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A5E6CC">
      <w:pPr>
        <w:rPr>
          <w:rFonts w:eastAsia="仿宋_GB2312"/>
          <w:color w:val="auto"/>
          <w:sz w:val="36"/>
          <w:szCs w:val="36"/>
          <w:highlight w:val="yellow"/>
        </w:rPr>
      </w:pPr>
    </w:p>
    <w:p w14:paraId="6A0469F3">
      <w:pPr>
        <w:rPr>
          <w:rFonts w:eastAsia="仿宋_GB2312"/>
          <w:color w:val="auto"/>
          <w:sz w:val="36"/>
          <w:szCs w:val="36"/>
          <w:highlight w:val="yellow"/>
        </w:rPr>
      </w:pPr>
    </w:p>
    <w:p w14:paraId="5163D760">
      <w:pPr>
        <w:rPr>
          <w:rFonts w:eastAsia="仿宋_GB2312"/>
          <w:color w:val="auto"/>
          <w:sz w:val="36"/>
          <w:szCs w:val="36"/>
        </w:rPr>
      </w:pPr>
    </w:p>
    <w:p w14:paraId="590846FD">
      <w:pPr>
        <w:bidi w:val="0"/>
        <w:jc w:val="center"/>
        <w:rPr>
          <w:rFonts w:hint="eastAsia" w:ascii="方正小标宋简体" w:hAnsi="方正小标宋简体" w:eastAsia="方正小标宋简体" w:cs="方正小标宋简体"/>
          <w:color w:val="auto"/>
          <w:sz w:val="72"/>
          <w:szCs w:val="72"/>
        </w:rPr>
      </w:pPr>
      <w:r>
        <w:rPr>
          <w:rFonts w:hint="eastAsia" w:ascii="方正小标宋简体" w:hAnsi="方正小标宋简体" w:eastAsia="方正小标宋简体" w:cs="方正小标宋简体"/>
          <w:color w:val="auto"/>
          <w:sz w:val="72"/>
          <w:szCs w:val="72"/>
        </w:rPr>
        <w:t>建设项目环境影响报告表</w:t>
      </w:r>
    </w:p>
    <w:p w14:paraId="1B9F3882">
      <w:pPr>
        <w:adjustRightInd w:val="0"/>
        <w:snapToGrid w:val="0"/>
        <w:spacing w:before="192" w:beforeLines="80"/>
        <w:jc w:val="center"/>
        <w:rPr>
          <w:rFonts w:eastAsia="楷体_GB2312"/>
          <w:bCs/>
          <w:color w:val="auto"/>
          <w:sz w:val="48"/>
          <w:szCs w:val="48"/>
        </w:rPr>
      </w:pPr>
      <w:r>
        <w:rPr>
          <w:rFonts w:eastAsia="楷体_GB2312"/>
          <w:bCs/>
          <w:color w:val="auto"/>
          <w:sz w:val="48"/>
          <w:szCs w:val="48"/>
        </w:rPr>
        <w:t>（污染影响类）</w:t>
      </w:r>
    </w:p>
    <w:p w14:paraId="3CA8E0FA">
      <w:pPr>
        <w:adjustRightInd w:val="0"/>
        <w:snapToGrid w:val="0"/>
        <w:spacing w:before="192" w:beforeLines="80"/>
        <w:jc w:val="center"/>
        <w:rPr>
          <w:rFonts w:hint="eastAsia" w:ascii="Times New Roman" w:hAnsi="Times New Roman" w:eastAsia="楷体_GB2312" w:cs="Times New Roman"/>
          <w:bCs/>
          <w:color w:val="auto"/>
          <w:sz w:val="36"/>
          <w:szCs w:val="36"/>
          <w:lang w:eastAsia="zh-CN"/>
        </w:rPr>
      </w:pPr>
      <w:r>
        <w:rPr>
          <w:rFonts w:hint="eastAsia" w:ascii="Times New Roman" w:hAnsi="Times New Roman" w:eastAsia="楷体_GB2312" w:cs="Times New Roman"/>
          <w:bCs/>
          <w:color w:val="auto"/>
          <w:sz w:val="36"/>
          <w:szCs w:val="36"/>
          <w:lang w:eastAsia="zh-CN"/>
        </w:rPr>
        <w:t>（</w:t>
      </w:r>
      <w:r>
        <w:rPr>
          <w:rFonts w:hint="eastAsia" w:eastAsia="楷体_GB2312" w:cs="Times New Roman"/>
          <w:bCs/>
          <w:color w:val="auto"/>
          <w:sz w:val="36"/>
          <w:szCs w:val="36"/>
          <w:lang w:val="en-US" w:eastAsia="zh-CN"/>
        </w:rPr>
        <w:t>报批</w:t>
      </w:r>
      <w:r>
        <w:rPr>
          <w:rFonts w:hint="eastAsia" w:ascii="Times New Roman" w:hAnsi="Times New Roman" w:eastAsia="楷体_GB2312" w:cs="Times New Roman"/>
          <w:bCs/>
          <w:color w:val="auto"/>
          <w:sz w:val="36"/>
          <w:szCs w:val="36"/>
          <w:lang w:val="en-US" w:eastAsia="zh-CN"/>
        </w:rPr>
        <w:t>稿</w:t>
      </w:r>
      <w:r>
        <w:rPr>
          <w:rFonts w:hint="eastAsia" w:ascii="Times New Roman" w:hAnsi="Times New Roman" w:eastAsia="楷体_GB2312" w:cs="Times New Roman"/>
          <w:bCs/>
          <w:color w:val="auto"/>
          <w:sz w:val="36"/>
          <w:szCs w:val="36"/>
          <w:lang w:eastAsia="zh-CN"/>
        </w:rPr>
        <w:t>）</w:t>
      </w:r>
    </w:p>
    <w:p w14:paraId="38EDFAC1">
      <w:pPr>
        <w:jc w:val="center"/>
        <w:rPr>
          <w:rFonts w:eastAsia="仿宋"/>
          <w:color w:val="auto"/>
          <w:sz w:val="52"/>
          <w:szCs w:val="52"/>
        </w:rPr>
      </w:pPr>
    </w:p>
    <w:p w14:paraId="4B38BDAC">
      <w:pPr>
        <w:ind w:firstLine="1040"/>
        <w:rPr>
          <w:rFonts w:eastAsia="仿宋"/>
          <w:color w:val="auto"/>
          <w:sz w:val="44"/>
          <w:szCs w:val="44"/>
        </w:rPr>
      </w:pPr>
    </w:p>
    <w:p w14:paraId="02F0B425">
      <w:pPr>
        <w:pStyle w:val="21"/>
        <w:ind w:left="420" w:hanging="420"/>
        <w:rPr>
          <w:color w:val="auto"/>
        </w:rPr>
      </w:pPr>
    </w:p>
    <w:p w14:paraId="5F67555E">
      <w:pPr>
        <w:ind w:firstLine="1040"/>
        <w:rPr>
          <w:rFonts w:eastAsia="仿宋"/>
          <w:color w:val="auto"/>
          <w:sz w:val="44"/>
          <w:szCs w:val="44"/>
        </w:rPr>
      </w:pPr>
    </w:p>
    <w:p w14:paraId="7A7B8C3D">
      <w:pPr>
        <w:adjustRightInd w:val="0"/>
        <w:snapToGrid w:val="0"/>
        <w:spacing w:line="360" w:lineRule="auto"/>
        <w:rPr>
          <w:rFonts w:eastAsia="仿宋_GB2312"/>
          <w:color w:val="auto"/>
          <w:sz w:val="36"/>
          <w:szCs w:val="36"/>
        </w:rPr>
      </w:pPr>
    </w:p>
    <w:p w14:paraId="3D7A4E6E">
      <w:pPr>
        <w:adjustRightInd w:val="0"/>
        <w:snapToGrid w:val="0"/>
        <w:spacing w:line="360" w:lineRule="auto"/>
        <w:rPr>
          <w:rFonts w:eastAsia="仿宋_GB2312"/>
          <w:color w:val="auto"/>
          <w:sz w:val="36"/>
          <w:szCs w:val="36"/>
        </w:rPr>
      </w:pPr>
    </w:p>
    <w:p w14:paraId="1A06614E">
      <w:pPr>
        <w:adjustRightInd w:val="0"/>
        <w:snapToGrid w:val="0"/>
        <w:spacing w:line="360" w:lineRule="auto"/>
        <w:rPr>
          <w:rFonts w:hint="default" w:eastAsia="仿宋_GB2312"/>
          <w:color w:val="auto"/>
          <w:spacing w:val="-6"/>
          <w:sz w:val="36"/>
          <w:szCs w:val="36"/>
          <w:u w:val="single"/>
          <w:lang w:val="en-US"/>
        </w:rPr>
      </w:pPr>
      <w:r>
        <w:rPr>
          <w:rFonts w:eastAsia="仿宋_GB2312"/>
          <w:color w:val="auto"/>
          <w:sz w:val="36"/>
          <w:szCs w:val="36"/>
        </w:rPr>
        <w:t>项目名称</w:t>
      </w:r>
      <w:r>
        <w:rPr>
          <w:rFonts w:hint="eastAsia" w:eastAsia="仿宋_GB2312"/>
          <w:color w:val="auto"/>
          <w:spacing w:val="-11"/>
          <w:sz w:val="36"/>
          <w:szCs w:val="36"/>
        </w:rPr>
        <w:t>：</w:t>
      </w:r>
      <w:r>
        <w:rPr>
          <w:rFonts w:hint="eastAsia" w:eastAsia="仿宋_GB2312"/>
          <w:color w:val="auto"/>
          <w:sz w:val="36"/>
          <w:szCs w:val="36"/>
          <w:u w:val="single"/>
          <w:lang w:val="en-US" w:eastAsia="zh-CN"/>
        </w:rPr>
        <w:t>新疆顺通钢结构有限公司非标钢结构生产</w:t>
      </w:r>
    </w:p>
    <w:p w14:paraId="7548B2A9">
      <w:pPr>
        <w:adjustRightInd w:val="0"/>
        <w:snapToGrid w:val="0"/>
        <w:spacing w:line="360" w:lineRule="auto"/>
        <w:rPr>
          <w:rFonts w:hint="default" w:eastAsia="仿宋_GB2312"/>
          <w:color w:val="auto"/>
          <w:sz w:val="32"/>
          <w:szCs w:val="32"/>
          <w:u w:val="single"/>
          <w:lang w:val="en-US" w:eastAsia="zh-CN"/>
        </w:rPr>
      </w:pPr>
      <w:r>
        <w:rPr>
          <w:rFonts w:eastAsia="仿宋_GB2312"/>
          <w:color w:val="auto"/>
          <w:sz w:val="36"/>
          <w:szCs w:val="36"/>
        </w:rPr>
        <w:t>建设单位（盖章）</w:t>
      </w:r>
      <w:r>
        <w:rPr>
          <w:rFonts w:hint="eastAsia" w:eastAsia="仿宋_GB2312"/>
          <w:color w:val="auto"/>
          <w:sz w:val="36"/>
          <w:szCs w:val="36"/>
        </w:rPr>
        <w:t>：</w:t>
      </w:r>
      <w:r>
        <w:rPr>
          <w:rFonts w:hint="eastAsia" w:ascii="Times New Roman" w:hAnsi="Times New Roman" w:eastAsia="仿宋_GB2312" w:cs="Times New Roman"/>
          <w:color w:val="auto"/>
          <w:sz w:val="36"/>
          <w:szCs w:val="36"/>
          <w:u w:val="single"/>
          <w:lang w:val="en-US" w:eastAsia="zh-CN"/>
        </w:rPr>
        <w:t xml:space="preserve">新疆顺通钢结构有限公司      </w:t>
      </w:r>
    </w:p>
    <w:p w14:paraId="7ECF3858">
      <w:pPr>
        <w:adjustRightInd w:val="0"/>
        <w:snapToGrid w:val="0"/>
        <w:spacing w:line="360" w:lineRule="auto"/>
        <w:rPr>
          <w:rFonts w:eastAsia="仿宋_GB2312"/>
          <w:color w:val="auto"/>
          <w:sz w:val="36"/>
          <w:szCs w:val="36"/>
          <w:u w:val="single"/>
        </w:rPr>
      </w:pPr>
      <w:r>
        <w:rPr>
          <w:rFonts w:eastAsia="仿宋_GB2312"/>
          <w:color w:val="auto"/>
          <w:sz w:val="36"/>
          <w:szCs w:val="36"/>
        </w:rPr>
        <w:t>编制日期：</w:t>
      </w:r>
      <w:r>
        <w:rPr>
          <w:rFonts w:hint="eastAsia" w:ascii="Times New Roman" w:hAnsi="Times New Roman" w:eastAsia="仿宋_GB2312" w:cs="Times New Roman"/>
          <w:color w:val="auto"/>
          <w:sz w:val="36"/>
          <w:szCs w:val="36"/>
          <w:u w:val="single"/>
          <w:lang w:val="en-US" w:eastAsia="zh-CN"/>
        </w:rPr>
        <w:t xml:space="preserve">             2026年</w:t>
      </w:r>
      <w:r>
        <w:rPr>
          <w:rFonts w:hint="eastAsia" w:eastAsia="仿宋_GB2312" w:cs="Times New Roman"/>
          <w:color w:val="0000FF"/>
          <w:sz w:val="36"/>
          <w:szCs w:val="36"/>
          <w:u w:val="single"/>
          <w:lang w:val="en-US" w:eastAsia="zh-CN"/>
        </w:rPr>
        <w:t>9</w:t>
      </w:r>
      <w:r>
        <w:rPr>
          <w:rFonts w:hint="eastAsia" w:ascii="Times New Roman" w:hAnsi="Times New Roman" w:eastAsia="仿宋_GB2312" w:cs="Times New Roman"/>
          <w:color w:val="0000FF"/>
          <w:sz w:val="36"/>
          <w:szCs w:val="36"/>
          <w:u w:val="single"/>
          <w:lang w:val="en-US" w:eastAsia="zh-CN"/>
        </w:rPr>
        <w:t>月</w:t>
      </w:r>
      <w:r>
        <w:rPr>
          <w:rFonts w:hint="eastAsia" w:ascii="Times New Roman" w:hAnsi="Times New Roman" w:eastAsia="仿宋_GB2312" w:cs="Times New Roman"/>
          <w:color w:val="auto"/>
          <w:sz w:val="36"/>
          <w:szCs w:val="36"/>
          <w:u w:val="single"/>
          <w:lang w:val="en-US" w:eastAsia="zh-CN"/>
        </w:rPr>
        <w:t xml:space="preserve">             </w:t>
      </w:r>
    </w:p>
    <w:p w14:paraId="23D95B2D">
      <w:pPr>
        <w:rPr>
          <w:color w:val="auto"/>
        </w:rPr>
      </w:pPr>
      <w:bookmarkStart w:id="0" w:name="_Hlk57884087"/>
    </w:p>
    <w:p w14:paraId="74747CC4">
      <w:pPr>
        <w:adjustRightInd w:val="0"/>
        <w:snapToGrid w:val="0"/>
        <w:spacing w:line="288" w:lineRule="auto"/>
        <w:ind w:firstLine="1040"/>
        <w:rPr>
          <w:rFonts w:eastAsia="仿宋_GB2312"/>
          <w:color w:val="auto"/>
          <w:sz w:val="36"/>
          <w:szCs w:val="36"/>
        </w:rPr>
      </w:pPr>
    </w:p>
    <w:p w14:paraId="34A182D5">
      <w:pPr>
        <w:adjustRightInd w:val="0"/>
        <w:snapToGrid w:val="0"/>
        <w:spacing w:line="288" w:lineRule="auto"/>
        <w:ind w:firstLine="1040"/>
        <w:rPr>
          <w:rFonts w:eastAsia="仿宋_GB2312"/>
          <w:color w:val="auto"/>
          <w:sz w:val="36"/>
          <w:szCs w:val="36"/>
        </w:rPr>
      </w:pPr>
    </w:p>
    <w:p w14:paraId="34DD2CD6">
      <w:pPr>
        <w:adjustRightInd w:val="0"/>
        <w:snapToGrid w:val="0"/>
        <w:spacing w:line="288" w:lineRule="auto"/>
        <w:ind w:firstLine="1040"/>
        <w:rPr>
          <w:rFonts w:eastAsia="仿宋_GB2312"/>
          <w:color w:val="auto"/>
          <w:sz w:val="36"/>
          <w:szCs w:val="36"/>
        </w:rPr>
      </w:pPr>
    </w:p>
    <w:p w14:paraId="22195CDD">
      <w:pPr>
        <w:pStyle w:val="44"/>
        <w:rPr>
          <w:rFonts w:eastAsia="仿宋_GB2312"/>
          <w:color w:val="auto"/>
          <w:sz w:val="36"/>
          <w:szCs w:val="36"/>
        </w:rPr>
      </w:pPr>
    </w:p>
    <w:p w14:paraId="6081F773">
      <w:pPr>
        <w:rPr>
          <w:color w:val="auto"/>
        </w:rPr>
      </w:pPr>
    </w:p>
    <w:bookmarkEnd w:id="0"/>
    <w:p w14:paraId="29C475F5">
      <w:pPr>
        <w:adjustRightInd w:val="0"/>
        <w:snapToGrid w:val="0"/>
        <w:spacing w:line="288" w:lineRule="auto"/>
        <w:rPr>
          <w:rFonts w:eastAsia="楷体_GB2312"/>
          <w:color w:val="auto"/>
          <w:sz w:val="36"/>
          <w:szCs w:val="36"/>
        </w:rPr>
      </w:pPr>
    </w:p>
    <w:p w14:paraId="09A9159C">
      <w:pPr>
        <w:adjustRightInd w:val="0"/>
        <w:snapToGrid w:val="0"/>
        <w:spacing w:line="288" w:lineRule="auto"/>
        <w:jc w:val="center"/>
        <w:rPr>
          <w:rFonts w:eastAsia="楷体_GB2312"/>
          <w:color w:val="auto"/>
          <w:sz w:val="36"/>
          <w:szCs w:val="36"/>
        </w:rPr>
      </w:pPr>
      <w:r>
        <w:rPr>
          <w:rFonts w:eastAsia="楷体_GB2312"/>
          <w:color w:val="auto"/>
          <w:sz w:val="36"/>
          <w:szCs w:val="36"/>
        </w:rPr>
        <w:t>中华人民共和国生态环境部制</w:t>
      </w:r>
    </w:p>
    <w:p w14:paraId="73BF122B">
      <w:pPr>
        <w:adjustRightInd w:val="0"/>
        <w:snapToGrid w:val="0"/>
        <w:spacing w:line="288" w:lineRule="auto"/>
        <w:ind w:firstLine="1040"/>
        <w:rPr>
          <w:rFonts w:eastAsia="仿宋_GB2312"/>
          <w:color w:val="auto"/>
          <w:sz w:val="36"/>
          <w:szCs w:val="36"/>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559FEE18">
      <w:pPr>
        <w:adjustRightInd w:val="0"/>
        <w:snapToGrid w:val="0"/>
        <w:spacing w:line="288" w:lineRule="auto"/>
        <w:rPr>
          <w:rFonts w:hint="eastAsia" w:eastAsia="仿宋_GB2312"/>
          <w:color w:val="auto"/>
          <w:sz w:val="36"/>
          <w:szCs w:val="36"/>
          <w:lang w:eastAsia="zh-CN"/>
        </w:rPr>
        <w:sectPr>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r>
        <w:rPr>
          <w:rFonts w:hint="eastAsia" w:eastAsia="仿宋_GB2312"/>
          <w:color w:val="auto"/>
          <w:sz w:val="36"/>
          <w:szCs w:val="36"/>
          <w:lang w:eastAsia="zh-CN"/>
        </w:rPr>
        <w:drawing>
          <wp:inline distT="0" distB="0" distL="114300" distR="114300">
            <wp:extent cx="5608955" cy="7766050"/>
            <wp:effectExtent l="0" t="0" r="10795" b="6350"/>
            <wp:docPr id="28" name="图片 28" descr="签署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签署页"/>
                    <pic:cNvPicPr>
                      <a:picLocks noChangeAspect="1"/>
                    </pic:cNvPicPr>
                  </pic:nvPicPr>
                  <pic:blipFill>
                    <a:blip r:embed="rId10"/>
                    <a:stretch>
                      <a:fillRect/>
                    </a:stretch>
                  </pic:blipFill>
                  <pic:spPr>
                    <a:xfrm>
                      <a:off x="0" y="0"/>
                      <a:ext cx="5608955" cy="7766050"/>
                    </a:xfrm>
                    <a:prstGeom prst="rect">
                      <a:avLst/>
                    </a:prstGeom>
                  </pic:spPr>
                </pic:pic>
              </a:graphicData>
            </a:graphic>
          </wp:inline>
        </w:drawing>
      </w:r>
    </w:p>
    <w:p w14:paraId="6FB4BF86">
      <w:pPr>
        <w:adjustRightInd w:val="0"/>
        <w:snapToGrid w:val="0"/>
        <w:spacing w:line="288" w:lineRule="auto"/>
        <w:jc w:val="left"/>
        <w:rPr>
          <w:rFonts w:hint="eastAsia" w:eastAsia="仿宋_GB2312"/>
          <w:color w:val="auto"/>
          <w:sz w:val="18"/>
          <w:szCs w:val="18"/>
          <w:lang w:eastAsia="zh-CN"/>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r>
        <w:rPr>
          <w:rFonts w:hint="eastAsia" w:eastAsia="仿宋_GB2312"/>
          <w:color w:val="auto"/>
          <w:sz w:val="18"/>
          <w:szCs w:val="18"/>
          <w:lang w:eastAsia="zh-CN"/>
        </w:rPr>
        <w:drawing>
          <wp:inline distT="0" distB="0" distL="114300" distR="114300">
            <wp:extent cx="5614035" cy="8008620"/>
            <wp:effectExtent l="0" t="0" r="5715" b="11430"/>
            <wp:docPr id="41" name="图片 4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图片"/>
                    <pic:cNvPicPr>
                      <a:picLocks noChangeAspect="1"/>
                    </pic:cNvPicPr>
                  </pic:nvPicPr>
                  <pic:blipFill>
                    <a:blip r:embed="rId11"/>
                    <a:stretch>
                      <a:fillRect/>
                    </a:stretch>
                  </pic:blipFill>
                  <pic:spPr>
                    <a:xfrm>
                      <a:off x="0" y="0"/>
                      <a:ext cx="5614035" cy="8008620"/>
                    </a:xfrm>
                    <a:prstGeom prst="rect">
                      <a:avLst/>
                    </a:prstGeom>
                  </pic:spPr>
                </pic:pic>
              </a:graphicData>
            </a:graphic>
          </wp:inline>
        </w:drawing>
      </w:r>
    </w:p>
    <w:p w14:paraId="1AA0574E">
      <w:pPr>
        <w:pStyle w:val="5"/>
        <w:rPr>
          <w:rFonts w:hint="eastAsia" w:eastAsia="宋体"/>
          <w:lang w:eastAsia="zh-CN"/>
        </w:rPr>
        <w:sectPr>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r>
        <w:rPr>
          <w:rFonts w:hint="eastAsia" w:eastAsia="宋体"/>
          <w:lang w:eastAsia="zh-CN"/>
        </w:rPr>
        <w:drawing>
          <wp:inline distT="0" distB="0" distL="114300" distR="114300">
            <wp:extent cx="5579110" cy="7890510"/>
            <wp:effectExtent l="0" t="0" r="2540" b="15240"/>
            <wp:docPr id="51" name="图片 51" descr="江工证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江工证_01"/>
                    <pic:cNvPicPr>
                      <a:picLocks noChangeAspect="1"/>
                    </pic:cNvPicPr>
                  </pic:nvPicPr>
                  <pic:blipFill>
                    <a:blip r:embed="rId12"/>
                    <a:stretch>
                      <a:fillRect/>
                    </a:stretch>
                  </pic:blipFill>
                  <pic:spPr>
                    <a:xfrm>
                      <a:off x="0" y="0"/>
                      <a:ext cx="5579110" cy="7890510"/>
                    </a:xfrm>
                    <a:prstGeom prst="rect">
                      <a:avLst/>
                    </a:prstGeom>
                  </pic:spPr>
                </pic:pic>
              </a:graphicData>
            </a:graphic>
          </wp:inline>
        </w:drawing>
      </w:r>
    </w:p>
    <w:p w14:paraId="20583111">
      <w:pPr>
        <w:rPr>
          <w:rFonts w:hint="eastAsia" w:eastAsia="宋体"/>
          <w:lang w:eastAsia="zh-CN"/>
        </w:rPr>
        <w:sectPr>
          <w:pgSz w:w="16838" w:h="11906" w:orient="landscape"/>
          <w:pgMar w:top="1531" w:right="1701" w:bottom="1531" w:left="1701" w:header="851" w:footer="1077" w:gutter="0"/>
          <w:pgBorders>
            <w:top w:val="none" w:sz="0" w:space="0"/>
            <w:left w:val="none" w:sz="0" w:space="0"/>
            <w:bottom w:val="none" w:sz="0" w:space="0"/>
            <w:right w:val="none" w:sz="0" w:space="0"/>
          </w:pgBorders>
          <w:pgNumType w:start="1"/>
          <w:cols w:space="720" w:num="1"/>
          <w:docGrid w:linePitch="312" w:charSpace="0"/>
        </w:sectPr>
      </w:pPr>
      <w:r>
        <w:rPr>
          <w:rFonts w:hint="eastAsia" w:eastAsia="宋体"/>
          <w:lang w:eastAsia="zh-CN"/>
        </w:rPr>
        <w:drawing>
          <wp:inline distT="0" distB="0" distL="114300" distR="114300">
            <wp:extent cx="8096885" cy="5614035"/>
            <wp:effectExtent l="0" t="0" r="18415" b="5715"/>
            <wp:docPr id="52" name="图片 52" descr="微信图片_20260204142340_1784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微信图片_20260204142340_1784_21"/>
                    <pic:cNvPicPr>
                      <a:picLocks noChangeAspect="1"/>
                    </pic:cNvPicPr>
                  </pic:nvPicPr>
                  <pic:blipFill>
                    <a:blip r:embed="rId13"/>
                    <a:stretch>
                      <a:fillRect/>
                    </a:stretch>
                  </pic:blipFill>
                  <pic:spPr>
                    <a:xfrm>
                      <a:off x="0" y="0"/>
                      <a:ext cx="8096885" cy="5614035"/>
                    </a:xfrm>
                    <a:prstGeom prst="rect">
                      <a:avLst/>
                    </a:prstGeom>
                  </pic:spPr>
                </pic:pic>
              </a:graphicData>
            </a:graphic>
          </wp:inline>
        </w:drawing>
      </w:r>
    </w:p>
    <w:p w14:paraId="516CBB27">
      <w:pPr>
        <w:pStyle w:val="5"/>
      </w:pPr>
    </w:p>
    <w:tbl>
      <w:tblPr>
        <w:tblStyle w:val="2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30"/>
        <w:gridCol w:w="4530"/>
      </w:tblGrid>
      <w:tr w14:paraId="2DCE8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2" w:hRule="atLeast"/>
        </w:trPr>
        <w:tc>
          <w:tcPr>
            <w:tcW w:w="4530" w:type="dxa"/>
            <w:noWrap w:val="0"/>
            <w:vAlign w:val="top"/>
          </w:tcPr>
          <w:p w14:paraId="3402A16D">
            <w:pPr>
              <w:pStyle w:val="33"/>
              <w:keepNext w:val="0"/>
              <w:keepLines w:val="0"/>
              <w:pageBreakBefore w:val="0"/>
              <w:widowControl/>
              <w:kinsoku/>
              <w:wordWrap/>
              <w:overflowPunct/>
              <w:topLinePunct w:val="0"/>
              <w:autoSpaceDE/>
              <w:autoSpaceDN/>
              <w:bidi w:val="0"/>
              <w:adjustRightInd/>
              <w:snapToGrid w:val="0"/>
              <w:spacing w:before="469" w:beforeLines="150" w:line="240" w:lineRule="auto"/>
              <w:ind w:left="0" w:leftChars="0" w:firstLine="0" w:firstLineChars="0"/>
              <w:jc w:val="center"/>
              <w:textAlignment w:val="auto"/>
              <w:rPr>
                <w:rFonts w:hint="eastAsia" w:eastAsia="微软雅黑"/>
                <w:color w:val="auto"/>
                <w:vertAlign w:val="baseline"/>
                <w:lang w:eastAsia="zh-CN"/>
              </w:rPr>
            </w:pPr>
            <w:r>
              <w:rPr>
                <w:rFonts w:hint="eastAsia" w:eastAsia="微软雅黑"/>
                <w:color w:val="auto"/>
                <w:vertAlign w:val="baseline"/>
                <w:lang w:eastAsia="zh-CN"/>
              </w:rPr>
              <w:drawing>
                <wp:inline distT="0" distB="0" distL="114300" distR="114300">
                  <wp:extent cx="2681605" cy="2016125"/>
                  <wp:effectExtent l="9525" t="9525" r="13970" b="12700"/>
                  <wp:docPr id="32" name="图片 48" descr="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48" descr="东"/>
                          <pic:cNvPicPr>
                            <a:picLocks noChangeAspect="1"/>
                          </pic:cNvPicPr>
                        </pic:nvPicPr>
                        <pic:blipFill>
                          <a:blip r:embed="rId14"/>
                          <a:srcRect l="25172"/>
                          <a:stretch>
                            <a:fillRect/>
                          </a:stretch>
                        </pic:blipFill>
                        <pic:spPr>
                          <a:xfrm>
                            <a:off x="0" y="0"/>
                            <a:ext cx="2681605" cy="2016125"/>
                          </a:xfrm>
                          <a:prstGeom prst="rect">
                            <a:avLst/>
                          </a:prstGeom>
                          <a:noFill/>
                          <a:ln w="9525" cap="flat" cmpd="sng">
                            <a:solidFill>
                              <a:srgbClr val="000000"/>
                            </a:solidFill>
                            <a:prstDash val="solid"/>
                            <a:miter/>
                            <a:headEnd type="none" w="med" len="med"/>
                            <a:tailEnd type="none" w="med" len="med"/>
                          </a:ln>
                        </pic:spPr>
                      </pic:pic>
                    </a:graphicData>
                  </a:graphic>
                </wp:inline>
              </w:drawing>
            </w:r>
          </w:p>
        </w:tc>
        <w:tc>
          <w:tcPr>
            <w:tcW w:w="4530" w:type="dxa"/>
            <w:noWrap w:val="0"/>
            <w:vAlign w:val="top"/>
          </w:tcPr>
          <w:p w14:paraId="1F27E51C">
            <w:pPr>
              <w:pStyle w:val="33"/>
              <w:keepNext w:val="0"/>
              <w:keepLines w:val="0"/>
              <w:pageBreakBefore w:val="0"/>
              <w:widowControl/>
              <w:kinsoku/>
              <w:wordWrap/>
              <w:overflowPunct/>
              <w:topLinePunct w:val="0"/>
              <w:autoSpaceDE/>
              <w:autoSpaceDN/>
              <w:bidi w:val="0"/>
              <w:adjustRightInd/>
              <w:snapToGrid w:val="0"/>
              <w:spacing w:before="469" w:beforeLines="150" w:line="240" w:lineRule="auto"/>
              <w:ind w:left="0" w:leftChars="0" w:firstLine="0" w:firstLineChars="0"/>
              <w:jc w:val="center"/>
              <w:textAlignment w:val="auto"/>
              <w:rPr>
                <w:rFonts w:hint="eastAsia" w:eastAsia="微软雅黑"/>
                <w:color w:val="auto"/>
                <w:vertAlign w:val="baseline"/>
                <w:lang w:eastAsia="zh-CN"/>
              </w:rPr>
            </w:pPr>
            <w:r>
              <w:rPr>
                <w:rFonts w:hint="eastAsia" w:ascii="Times New Roman" w:hAnsi="Times New Roman" w:eastAsia="微软雅黑" w:cs="Times New Roman"/>
                <w:snapToGrid w:val="0"/>
                <w:color w:val="auto"/>
                <w:kern w:val="0"/>
                <w:sz w:val="22"/>
                <w:szCs w:val="21"/>
                <w:vertAlign w:val="baseline"/>
                <w:lang w:val="en-US" w:eastAsia="zh-CN" w:bidi="ar-SA"/>
              </w:rPr>
              <w:drawing>
                <wp:inline distT="0" distB="0" distL="114300" distR="114300">
                  <wp:extent cx="2680970" cy="2016125"/>
                  <wp:effectExtent l="9525" t="9525" r="14605" b="12700"/>
                  <wp:docPr id="33" name="图片 49" descr="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9" descr="南"/>
                          <pic:cNvPicPr>
                            <a:picLocks noChangeAspect="1"/>
                          </pic:cNvPicPr>
                        </pic:nvPicPr>
                        <pic:blipFill>
                          <a:blip r:embed="rId15"/>
                          <a:srcRect l="25212"/>
                          <a:stretch>
                            <a:fillRect/>
                          </a:stretch>
                        </pic:blipFill>
                        <pic:spPr>
                          <a:xfrm>
                            <a:off x="0" y="0"/>
                            <a:ext cx="2680970" cy="2016125"/>
                          </a:xfrm>
                          <a:prstGeom prst="rect">
                            <a:avLst/>
                          </a:prstGeom>
                          <a:noFill/>
                          <a:ln w="9525" cap="flat" cmpd="sng">
                            <a:solidFill>
                              <a:srgbClr val="000000"/>
                            </a:solidFill>
                            <a:prstDash val="solid"/>
                            <a:miter/>
                            <a:headEnd type="none" w="med" len="med"/>
                            <a:tailEnd type="none" w="med" len="med"/>
                          </a:ln>
                        </pic:spPr>
                      </pic:pic>
                    </a:graphicData>
                  </a:graphic>
                </wp:inline>
              </w:drawing>
            </w:r>
            <w:r>
              <w:rPr>
                <w:rFonts w:hint="eastAsia" w:eastAsia="微软雅黑"/>
                <w:color w:val="auto"/>
                <w:vertAlign w:val="baseline"/>
                <w:lang w:eastAsia="zh-CN"/>
              </w:rPr>
              <w:drawing>
                <wp:inline distT="0" distB="0" distL="114300" distR="114300">
                  <wp:extent cx="635" cy="0"/>
                  <wp:effectExtent l="0" t="0" r="0" b="0"/>
                  <wp:docPr id="34" name="图片 27" descr="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7" descr="东"/>
                          <pic:cNvPicPr>
                            <a:picLocks noChangeAspect="1"/>
                          </pic:cNvPicPr>
                        </pic:nvPicPr>
                        <pic:blipFill>
                          <a:blip r:embed="rId14"/>
                          <a:stretch>
                            <a:fillRect/>
                          </a:stretch>
                        </pic:blipFill>
                        <pic:spPr>
                          <a:xfrm>
                            <a:off x="0" y="0"/>
                            <a:ext cx="635" cy="0"/>
                          </a:xfrm>
                          <a:prstGeom prst="rect">
                            <a:avLst/>
                          </a:prstGeom>
                          <a:noFill/>
                          <a:ln>
                            <a:noFill/>
                          </a:ln>
                        </pic:spPr>
                      </pic:pic>
                    </a:graphicData>
                  </a:graphic>
                </wp:inline>
              </w:drawing>
            </w:r>
          </w:p>
        </w:tc>
      </w:tr>
      <w:tr w14:paraId="0DFB1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530" w:type="dxa"/>
            <w:noWrap w:val="0"/>
            <w:vAlign w:val="center"/>
          </w:tcPr>
          <w:p w14:paraId="275E0C2D">
            <w:pPr>
              <w:keepNext w:val="0"/>
              <w:keepLines w:val="0"/>
              <w:pageBreakBefore w:val="0"/>
              <w:widowControl w:val="0"/>
              <w:kinsoku/>
              <w:wordWrap/>
              <w:overflowPunct/>
              <w:topLinePunct w:val="0"/>
              <w:bidi w:val="0"/>
              <w:adjustRightInd w:val="0"/>
              <w:snapToGrid w:val="0"/>
              <w:spacing w:line="24" w:lineRule="atLeast"/>
              <w:ind w:firstLine="0" w:firstLineChars="0"/>
              <w:jc w:val="center"/>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项目区东侧</w:t>
            </w:r>
          </w:p>
        </w:tc>
        <w:tc>
          <w:tcPr>
            <w:tcW w:w="4530" w:type="dxa"/>
            <w:noWrap w:val="0"/>
            <w:vAlign w:val="center"/>
          </w:tcPr>
          <w:p w14:paraId="7B5F90E7">
            <w:pPr>
              <w:keepNext w:val="0"/>
              <w:keepLines w:val="0"/>
              <w:pageBreakBefore w:val="0"/>
              <w:widowControl w:val="0"/>
              <w:kinsoku/>
              <w:wordWrap/>
              <w:overflowPunct/>
              <w:topLinePunct w:val="0"/>
              <w:bidi w:val="0"/>
              <w:adjustRightInd w:val="0"/>
              <w:snapToGrid w:val="0"/>
              <w:spacing w:line="24" w:lineRule="atLeast"/>
              <w:ind w:firstLine="0" w:firstLineChars="0"/>
              <w:jc w:val="center"/>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项目区南侧</w:t>
            </w:r>
          </w:p>
        </w:tc>
      </w:tr>
      <w:tr w14:paraId="65117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2" w:hRule="atLeast"/>
        </w:trPr>
        <w:tc>
          <w:tcPr>
            <w:tcW w:w="4530" w:type="dxa"/>
            <w:noWrap w:val="0"/>
            <w:vAlign w:val="top"/>
          </w:tcPr>
          <w:p w14:paraId="5B914C62">
            <w:pPr>
              <w:pStyle w:val="23"/>
              <w:keepNext w:val="0"/>
              <w:keepLines w:val="0"/>
              <w:widowControl/>
              <w:suppressLineNumbers w:val="0"/>
              <w:jc w:val="center"/>
              <w:rPr>
                <w:rFonts w:hint="eastAsia" w:ascii="Times New Roman" w:hAnsi="Times New Roman" w:eastAsia="微软雅黑" w:cs="Times New Roman"/>
                <w:snapToGrid w:val="0"/>
                <w:color w:val="auto"/>
                <w:kern w:val="0"/>
                <w:sz w:val="22"/>
                <w:szCs w:val="21"/>
                <w:vertAlign w:val="baseline"/>
                <w:lang w:val="en-US" w:eastAsia="zh-CN" w:bidi="ar-SA"/>
              </w:rPr>
            </w:pPr>
            <w:r>
              <w:rPr>
                <w:rFonts w:hint="eastAsia" w:ascii="Times New Roman" w:hAnsi="Times New Roman" w:eastAsia="微软雅黑" w:cs="Times New Roman"/>
                <w:snapToGrid w:val="0"/>
                <w:color w:val="auto"/>
                <w:kern w:val="0"/>
                <w:sz w:val="22"/>
                <w:szCs w:val="21"/>
                <w:vertAlign w:val="baseline"/>
                <w:lang w:val="en-US" w:eastAsia="zh-CN" w:bidi="ar-SA"/>
              </w:rPr>
              <w:drawing>
                <wp:inline distT="0" distB="0" distL="114300" distR="114300">
                  <wp:extent cx="2682240" cy="2016125"/>
                  <wp:effectExtent l="9525" t="9525" r="13335" b="12700"/>
                  <wp:docPr id="35" name="图片 50" descr="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50" descr="西"/>
                          <pic:cNvPicPr>
                            <a:picLocks noChangeAspect="1"/>
                          </pic:cNvPicPr>
                        </pic:nvPicPr>
                        <pic:blipFill>
                          <a:blip r:embed="rId16"/>
                          <a:srcRect l="25188"/>
                          <a:stretch>
                            <a:fillRect/>
                          </a:stretch>
                        </pic:blipFill>
                        <pic:spPr>
                          <a:xfrm>
                            <a:off x="0" y="0"/>
                            <a:ext cx="2682240" cy="2016125"/>
                          </a:xfrm>
                          <a:prstGeom prst="rect">
                            <a:avLst/>
                          </a:prstGeom>
                          <a:noFill/>
                          <a:ln w="9525" cap="flat" cmpd="sng">
                            <a:solidFill>
                              <a:srgbClr val="000000"/>
                            </a:solidFill>
                            <a:prstDash val="solid"/>
                            <a:miter/>
                            <a:headEnd type="none" w="med" len="med"/>
                            <a:tailEnd type="none" w="med" len="med"/>
                          </a:ln>
                        </pic:spPr>
                      </pic:pic>
                    </a:graphicData>
                  </a:graphic>
                </wp:inline>
              </w:drawing>
            </w:r>
          </w:p>
        </w:tc>
        <w:tc>
          <w:tcPr>
            <w:tcW w:w="4530" w:type="dxa"/>
            <w:noWrap w:val="0"/>
            <w:vAlign w:val="top"/>
          </w:tcPr>
          <w:p w14:paraId="71685AE4">
            <w:pPr>
              <w:pStyle w:val="33"/>
              <w:spacing w:line="240" w:lineRule="auto"/>
              <w:ind w:left="0" w:leftChars="0" w:firstLine="0" w:firstLineChars="0"/>
              <w:jc w:val="center"/>
              <w:rPr>
                <w:rFonts w:hint="eastAsia" w:ascii="Times New Roman" w:hAnsi="Times New Roman" w:eastAsia="微软雅黑" w:cs="Times New Roman"/>
                <w:snapToGrid w:val="0"/>
                <w:color w:val="auto"/>
                <w:kern w:val="0"/>
                <w:sz w:val="22"/>
                <w:szCs w:val="21"/>
                <w:vertAlign w:val="baseline"/>
                <w:lang w:val="en-US" w:eastAsia="zh-CN" w:bidi="ar-SA"/>
              </w:rPr>
            </w:pPr>
            <w:r>
              <w:rPr>
                <w:rFonts w:hint="eastAsia" w:eastAsia="微软雅黑"/>
                <w:color w:val="auto"/>
                <w:vertAlign w:val="baseline"/>
                <w:lang w:eastAsia="zh-CN"/>
              </w:rPr>
              <w:drawing>
                <wp:inline distT="0" distB="0" distL="114300" distR="114300">
                  <wp:extent cx="2681605" cy="2016125"/>
                  <wp:effectExtent l="9525" t="9525" r="13970" b="12700"/>
                  <wp:docPr id="36" name="图片 51" descr="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51" descr="北"/>
                          <pic:cNvPicPr>
                            <a:picLocks noChangeAspect="1"/>
                          </pic:cNvPicPr>
                        </pic:nvPicPr>
                        <pic:blipFill>
                          <a:blip r:embed="rId17"/>
                          <a:srcRect l="25189"/>
                          <a:stretch>
                            <a:fillRect/>
                          </a:stretch>
                        </pic:blipFill>
                        <pic:spPr>
                          <a:xfrm>
                            <a:off x="0" y="0"/>
                            <a:ext cx="2681605" cy="2016125"/>
                          </a:xfrm>
                          <a:prstGeom prst="rect">
                            <a:avLst/>
                          </a:prstGeom>
                          <a:noFill/>
                          <a:ln w="9525" cap="flat" cmpd="sng">
                            <a:solidFill>
                              <a:srgbClr val="000000"/>
                            </a:solidFill>
                            <a:prstDash val="solid"/>
                            <a:miter/>
                            <a:headEnd type="none" w="med" len="med"/>
                            <a:tailEnd type="none" w="med" len="med"/>
                          </a:ln>
                        </pic:spPr>
                      </pic:pic>
                    </a:graphicData>
                  </a:graphic>
                </wp:inline>
              </w:drawing>
            </w:r>
          </w:p>
        </w:tc>
      </w:tr>
      <w:tr w14:paraId="3B55F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530" w:type="dxa"/>
            <w:noWrap w:val="0"/>
            <w:vAlign w:val="center"/>
          </w:tcPr>
          <w:p w14:paraId="55B13049">
            <w:pPr>
              <w:keepNext w:val="0"/>
              <w:keepLines w:val="0"/>
              <w:pageBreakBefore w:val="0"/>
              <w:widowControl w:val="0"/>
              <w:kinsoku/>
              <w:wordWrap/>
              <w:overflowPunct/>
              <w:topLinePunct w:val="0"/>
              <w:bidi w:val="0"/>
              <w:adjustRightInd w:val="0"/>
              <w:snapToGrid w:val="0"/>
              <w:spacing w:line="24" w:lineRule="atLeast"/>
              <w:ind w:firstLine="0" w:firstLineChars="0"/>
              <w:jc w:val="center"/>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项目区西侧</w:t>
            </w:r>
          </w:p>
        </w:tc>
        <w:tc>
          <w:tcPr>
            <w:tcW w:w="4530" w:type="dxa"/>
            <w:noWrap w:val="0"/>
            <w:vAlign w:val="center"/>
          </w:tcPr>
          <w:p w14:paraId="4256FBFB">
            <w:pPr>
              <w:keepNext w:val="0"/>
              <w:keepLines w:val="0"/>
              <w:pageBreakBefore w:val="0"/>
              <w:widowControl w:val="0"/>
              <w:kinsoku/>
              <w:wordWrap/>
              <w:overflowPunct/>
              <w:topLinePunct w:val="0"/>
              <w:bidi w:val="0"/>
              <w:adjustRightInd w:val="0"/>
              <w:snapToGrid w:val="0"/>
              <w:spacing w:line="24" w:lineRule="atLeast"/>
              <w:ind w:firstLine="0" w:firstLineChars="0"/>
              <w:jc w:val="center"/>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项目区北侧</w:t>
            </w:r>
          </w:p>
        </w:tc>
      </w:tr>
      <w:tr w14:paraId="44469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2" w:hRule="atLeast"/>
        </w:trPr>
        <w:tc>
          <w:tcPr>
            <w:tcW w:w="4530" w:type="dxa"/>
            <w:noWrap w:val="0"/>
            <w:vAlign w:val="top"/>
          </w:tcPr>
          <w:p w14:paraId="678AB7F0">
            <w:pPr>
              <w:pStyle w:val="23"/>
              <w:keepNext w:val="0"/>
              <w:keepLines w:val="0"/>
              <w:widowControl/>
              <w:suppressLineNumbers w:val="0"/>
              <w:jc w:val="both"/>
              <w:rPr>
                <w:rFonts w:hint="eastAsia"/>
                <w:color w:val="auto"/>
                <w:lang w:eastAsia="zh-CN"/>
              </w:rPr>
            </w:pPr>
            <w:r>
              <w:rPr>
                <w:rFonts w:hint="eastAsia"/>
                <w:color w:val="auto"/>
                <w:lang w:eastAsia="zh-CN"/>
              </w:rPr>
              <w:drawing>
                <wp:inline distT="0" distB="0" distL="114300" distR="114300">
                  <wp:extent cx="2682240" cy="2011045"/>
                  <wp:effectExtent l="9525" t="9525" r="13335" b="17780"/>
                  <wp:docPr id="37" name="图片 42" descr="TC_00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42" descr="TC_00248"/>
                          <pic:cNvPicPr>
                            <a:picLocks noChangeAspect="1"/>
                          </pic:cNvPicPr>
                        </pic:nvPicPr>
                        <pic:blipFill>
                          <a:blip r:embed="rId18"/>
                          <a:stretch>
                            <a:fillRect/>
                          </a:stretch>
                        </pic:blipFill>
                        <pic:spPr>
                          <a:xfrm>
                            <a:off x="0" y="0"/>
                            <a:ext cx="2682240" cy="2011045"/>
                          </a:xfrm>
                          <a:prstGeom prst="rect">
                            <a:avLst/>
                          </a:prstGeom>
                          <a:noFill/>
                          <a:ln w="9525" cap="flat" cmpd="sng">
                            <a:solidFill>
                              <a:srgbClr val="000000"/>
                            </a:solidFill>
                            <a:prstDash val="solid"/>
                            <a:miter/>
                            <a:headEnd type="none" w="med" len="med"/>
                            <a:tailEnd type="none" w="med" len="med"/>
                          </a:ln>
                        </pic:spPr>
                      </pic:pic>
                    </a:graphicData>
                  </a:graphic>
                </wp:inline>
              </w:drawing>
            </w:r>
          </w:p>
        </w:tc>
        <w:tc>
          <w:tcPr>
            <w:tcW w:w="4530" w:type="dxa"/>
            <w:noWrap w:val="0"/>
            <w:vAlign w:val="top"/>
          </w:tcPr>
          <w:p w14:paraId="1560EF0A">
            <w:pPr>
              <w:pStyle w:val="23"/>
              <w:keepNext w:val="0"/>
              <w:keepLines w:val="0"/>
              <w:widowControl/>
              <w:suppressLineNumbers w:val="0"/>
              <w:jc w:val="center"/>
              <w:rPr>
                <w:rFonts w:hint="eastAsia"/>
                <w:color w:val="auto"/>
                <w:lang w:eastAsia="zh-CN"/>
              </w:rPr>
            </w:pPr>
            <w:r>
              <w:rPr>
                <w:rFonts w:hint="eastAsia"/>
                <w:color w:val="auto"/>
                <w:lang w:eastAsia="zh-CN"/>
              </w:rPr>
              <w:drawing>
                <wp:inline distT="0" distB="0" distL="114300" distR="114300">
                  <wp:extent cx="2682240" cy="2011045"/>
                  <wp:effectExtent l="9525" t="9525" r="13335" b="17780"/>
                  <wp:docPr id="38" name="图片 26" descr="TC_00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6" descr="TC_00262"/>
                          <pic:cNvPicPr>
                            <a:picLocks noChangeAspect="1"/>
                          </pic:cNvPicPr>
                        </pic:nvPicPr>
                        <pic:blipFill>
                          <a:blip r:embed="rId19"/>
                          <a:stretch>
                            <a:fillRect/>
                          </a:stretch>
                        </pic:blipFill>
                        <pic:spPr>
                          <a:xfrm>
                            <a:off x="0" y="0"/>
                            <a:ext cx="2682240" cy="2011045"/>
                          </a:xfrm>
                          <a:prstGeom prst="rect">
                            <a:avLst/>
                          </a:prstGeom>
                          <a:noFill/>
                          <a:ln w="9525" cap="flat" cmpd="sng">
                            <a:solidFill>
                              <a:srgbClr val="000000"/>
                            </a:solidFill>
                            <a:prstDash val="solid"/>
                            <a:miter/>
                            <a:headEnd type="none" w="med" len="med"/>
                            <a:tailEnd type="none" w="med" len="med"/>
                          </a:ln>
                        </pic:spPr>
                      </pic:pic>
                    </a:graphicData>
                  </a:graphic>
                </wp:inline>
              </w:drawing>
            </w:r>
          </w:p>
        </w:tc>
      </w:tr>
      <w:tr w14:paraId="38864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530" w:type="dxa"/>
            <w:noWrap w:val="0"/>
            <w:vAlign w:val="center"/>
          </w:tcPr>
          <w:p w14:paraId="30C42D70">
            <w:pPr>
              <w:keepNext w:val="0"/>
              <w:keepLines w:val="0"/>
              <w:pageBreakBefore w:val="0"/>
              <w:widowControl w:val="0"/>
              <w:kinsoku/>
              <w:wordWrap/>
              <w:overflowPunct/>
              <w:topLinePunct w:val="0"/>
              <w:bidi w:val="0"/>
              <w:adjustRightInd w:val="0"/>
              <w:snapToGrid w:val="0"/>
              <w:spacing w:line="24" w:lineRule="atLeast"/>
              <w:ind w:firstLine="0" w:firstLineChars="0"/>
              <w:jc w:val="center"/>
              <w:textAlignment w:val="auto"/>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项目区现状</w:t>
            </w:r>
          </w:p>
        </w:tc>
        <w:tc>
          <w:tcPr>
            <w:tcW w:w="4530" w:type="dxa"/>
            <w:noWrap w:val="0"/>
            <w:vAlign w:val="center"/>
          </w:tcPr>
          <w:p w14:paraId="1C1C0418">
            <w:pPr>
              <w:keepNext w:val="0"/>
              <w:keepLines w:val="0"/>
              <w:pageBreakBefore w:val="0"/>
              <w:widowControl w:val="0"/>
              <w:kinsoku/>
              <w:wordWrap/>
              <w:overflowPunct/>
              <w:topLinePunct w:val="0"/>
              <w:bidi w:val="0"/>
              <w:adjustRightInd w:val="0"/>
              <w:snapToGrid w:val="0"/>
              <w:spacing w:line="24" w:lineRule="atLeast"/>
              <w:ind w:firstLine="0" w:firstLineChars="0"/>
              <w:jc w:val="center"/>
              <w:textAlignment w:val="auto"/>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工程师现场踏勘</w:t>
            </w:r>
          </w:p>
        </w:tc>
      </w:tr>
      <w:tr w14:paraId="59F0A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9060" w:type="dxa"/>
            <w:gridSpan w:val="2"/>
            <w:noWrap w:val="0"/>
            <w:vAlign w:val="center"/>
          </w:tcPr>
          <w:p w14:paraId="4E0FC1A2">
            <w:pPr>
              <w:keepNext w:val="0"/>
              <w:keepLines w:val="0"/>
              <w:pageBreakBefore w:val="0"/>
              <w:widowControl w:val="0"/>
              <w:kinsoku/>
              <w:wordWrap/>
              <w:overflowPunct/>
              <w:topLinePunct w:val="0"/>
              <w:bidi w:val="0"/>
              <w:adjustRightInd w:val="0"/>
              <w:snapToGrid w:val="0"/>
              <w:spacing w:line="24" w:lineRule="atLeast"/>
              <w:ind w:firstLine="0" w:firstLineChars="0"/>
              <w:jc w:val="center"/>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8"/>
                <w:szCs w:val="28"/>
                <w:lang w:val="en-US" w:eastAsia="zh-CN"/>
              </w:rPr>
              <w:t>项目现场及周边环境踏勘图</w:t>
            </w:r>
          </w:p>
        </w:tc>
      </w:tr>
    </w:tbl>
    <w:p w14:paraId="2EA89A13">
      <w:pPr>
        <w:pStyle w:val="23"/>
        <w:jc w:val="center"/>
        <w:outlineLvl w:val="0"/>
        <w:rPr>
          <w:rFonts w:ascii="Times New Roman" w:hAnsi="Times New Roman" w:eastAsia="黑体"/>
          <w:snapToGrid w:val="0"/>
          <w:color w:val="auto"/>
          <w:sz w:val="30"/>
          <w:szCs w:val="30"/>
        </w:rPr>
        <w:sectPr>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132000E0">
      <w:pPr>
        <w:keepNext w:val="0"/>
        <w:keepLines w:val="0"/>
        <w:pageBreakBefore w:val="0"/>
        <w:widowControl w:val="0"/>
        <w:kinsoku/>
        <w:wordWrap/>
        <w:overflowPunct/>
        <w:topLinePunct w:val="0"/>
        <w:autoSpaceDE/>
        <w:autoSpaceDN/>
        <w:bidi w:val="0"/>
        <w:adjustRightInd w:val="0"/>
        <w:snapToGrid w:val="0"/>
        <w:spacing w:after="157" w:afterLines="50" w:line="288" w:lineRule="auto"/>
        <w:ind w:firstLine="0" w:firstLineChars="0"/>
        <w:jc w:val="center"/>
        <w:textAlignment w:val="auto"/>
        <w:rPr>
          <w:rFonts w:hint="eastAsia" w:ascii="宋体" w:hAnsi="宋体" w:eastAsia="宋体" w:cs="宋体"/>
          <w:b/>
          <w:bCs/>
          <w:color w:val="auto"/>
          <w:sz w:val="32"/>
          <w:szCs w:val="32"/>
        </w:rPr>
      </w:pPr>
      <w:r>
        <w:rPr>
          <w:rFonts w:hint="eastAsia" w:ascii="宋体" w:hAnsi="宋体" w:eastAsia="宋体" w:cs="宋体"/>
          <w:b/>
          <w:bCs/>
          <w:color w:val="auto"/>
          <w:sz w:val="32"/>
          <w:szCs w:val="32"/>
        </w:rPr>
        <w:t>目</w:t>
      </w: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录</w:t>
      </w:r>
    </w:p>
    <w:p w14:paraId="29CA84CE">
      <w:pPr>
        <w:pStyle w:val="20"/>
        <w:rPr>
          <w:color w:val="auto"/>
        </w:rPr>
      </w:pPr>
      <w:r>
        <w:rPr>
          <w:color w:val="auto"/>
        </w:rPr>
        <w:fldChar w:fldCharType="begin"/>
      </w:r>
      <w:r>
        <w:rPr>
          <w:color w:val="auto"/>
        </w:rPr>
        <w:instrText xml:space="preserve">TOC \o "1-1" \h \u </w:instrText>
      </w:r>
      <w:r>
        <w:rPr>
          <w:color w:val="auto"/>
        </w:rPr>
        <w:fldChar w:fldCharType="separate"/>
      </w:r>
      <w:r>
        <w:rPr>
          <w:color w:val="auto"/>
        </w:rPr>
        <w:fldChar w:fldCharType="begin"/>
      </w:r>
      <w:r>
        <w:rPr>
          <w:color w:val="auto"/>
        </w:rPr>
        <w:instrText xml:space="preserve"> HYPERLINK \l _Toc12276 </w:instrText>
      </w:r>
      <w:r>
        <w:rPr>
          <w:color w:val="auto"/>
        </w:rPr>
        <w:fldChar w:fldCharType="separate"/>
      </w:r>
      <w:r>
        <w:rPr>
          <w:rFonts w:ascii="Times New Roman" w:hAnsi="Times New Roman" w:eastAsia="黑体"/>
          <w:snapToGrid w:val="0"/>
          <w:color w:val="auto"/>
          <w:szCs w:val="30"/>
        </w:rPr>
        <w:t>一、建设项目基本情况</w:t>
      </w:r>
      <w:r>
        <w:rPr>
          <w:color w:val="auto"/>
        </w:rPr>
        <w:tab/>
      </w:r>
      <w:r>
        <w:rPr>
          <w:color w:val="auto"/>
        </w:rPr>
        <w:fldChar w:fldCharType="begin"/>
      </w:r>
      <w:r>
        <w:rPr>
          <w:color w:val="auto"/>
        </w:rPr>
        <w:instrText xml:space="preserve"> PAGEREF _Toc12276 \h </w:instrText>
      </w:r>
      <w:r>
        <w:rPr>
          <w:color w:val="auto"/>
        </w:rPr>
        <w:fldChar w:fldCharType="separate"/>
      </w:r>
      <w:r>
        <w:rPr>
          <w:color w:val="auto"/>
        </w:rPr>
        <w:t>1</w:t>
      </w:r>
      <w:r>
        <w:rPr>
          <w:color w:val="auto"/>
        </w:rPr>
        <w:fldChar w:fldCharType="end"/>
      </w:r>
      <w:r>
        <w:rPr>
          <w:color w:val="auto"/>
        </w:rPr>
        <w:fldChar w:fldCharType="end"/>
      </w:r>
    </w:p>
    <w:p w14:paraId="13FBB815">
      <w:pPr>
        <w:pStyle w:val="20"/>
        <w:rPr>
          <w:color w:val="auto"/>
        </w:rPr>
      </w:pPr>
      <w:r>
        <w:rPr>
          <w:color w:val="auto"/>
        </w:rPr>
        <w:fldChar w:fldCharType="begin"/>
      </w:r>
      <w:r>
        <w:rPr>
          <w:color w:val="auto"/>
        </w:rPr>
        <w:instrText xml:space="preserve"> HYPERLINK \l _Toc17818 </w:instrText>
      </w:r>
      <w:r>
        <w:rPr>
          <w:color w:val="auto"/>
        </w:rPr>
        <w:fldChar w:fldCharType="separate"/>
      </w:r>
      <w:r>
        <w:rPr>
          <w:rFonts w:ascii="Times New Roman" w:hAnsi="Times New Roman" w:eastAsia="黑体"/>
          <w:snapToGrid w:val="0"/>
          <w:color w:val="auto"/>
          <w:szCs w:val="30"/>
        </w:rPr>
        <w:t>二、建设项目工程分析</w:t>
      </w:r>
      <w:r>
        <w:rPr>
          <w:color w:val="auto"/>
        </w:rPr>
        <w:tab/>
      </w:r>
      <w:r>
        <w:rPr>
          <w:color w:val="auto"/>
        </w:rPr>
        <w:fldChar w:fldCharType="begin"/>
      </w:r>
      <w:r>
        <w:rPr>
          <w:color w:val="auto"/>
        </w:rPr>
        <w:instrText xml:space="preserve"> PAGEREF _Toc17818 \h </w:instrText>
      </w:r>
      <w:r>
        <w:rPr>
          <w:color w:val="auto"/>
        </w:rPr>
        <w:fldChar w:fldCharType="separate"/>
      </w:r>
      <w:r>
        <w:rPr>
          <w:color w:val="auto"/>
        </w:rPr>
        <w:t>21</w:t>
      </w:r>
      <w:r>
        <w:rPr>
          <w:color w:val="auto"/>
        </w:rPr>
        <w:fldChar w:fldCharType="end"/>
      </w:r>
      <w:r>
        <w:rPr>
          <w:color w:val="auto"/>
        </w:rPr>
        <w:fldChar w:fldCharType="end"/>
      </w:r>
    </w:p>
    <w:p w14:paraId="438774ED">
      <w:pPr>
        <w:pStyle w:val="20"/>
        <w:rPr>
          <w:color w:val="auto"/>
        </w:rPr>
      </w:pPr>
      <w:r>
        <w:rPr>
          <w:color w:val="auto"/>
        </w:rPr>
        <w:fldChar w:fldCharType="begin"/>
      </w:r>
      <w:r>
        <w:rPr>
          <w:color w:val="auto"/>
        </w:rPr>
        <w:instrText xml:space="preserve"> HYPERLINK \l _Toc8236 </w:instrText>
      </w:r>
      <w:r>
        <w:rPr>
          <w:color w:val="auto"/>
        </w:rPr>
        <w:fldChar w:fldCharType="separate"/>
      </w:r>
      <w:r>
        <w:rPr>
          <w:rFonts w:ascii="Times New Roman" w:hAnsi="Times New Roman" w:eastAsia="黑体"/>
          <w:snapToGrid w:val="0"/>
          <w:color w:val="auto"/>
          <w:szCs w:val="30"/>
        </w:rPr>
        <w:t>三、区域环境质量现状、环境保护目标及评价标准</w:t>
      </w:r>
      <w:r>
        <w:rPr>
          <w:color w:val="auto"/>
        </w:rPr>
        <w:tab/>
      </w:r>
      <w:r>
        <w:rPr>
          <w:color w:val="auto"/>
        </w:rPr>
        <w:fldChar w:fldCharType="begin"/>
      </w:r>
      <w:r>
        <w:rPr>
          <w:color w:val="auto"/>
        </w:rPr>
        <w:instrText xml:space="preserve"> PAGEREF _Toc8236 \h </w:instrText>
      </w:r>
      <w:r>
        <w:rPr>
          <w:color w:val="auto"/>
        </w:rPr>
        <w:fldChar w:fldCharType="separate"/>
      </w:r>
      <w:r>
        <w:rPr>
          <w:color w:val="auto"/>
        </w:rPr>
        <w:t>34</w:t>
      </w:r>
      <w:r>
        <w:rPr>
          <w:color w:val="auto"/>
        </w:rPr>
        <w:fldChar w:fldCharType="end"/>
      </w:r>
      <w:r>
        <w:rPr>
          <w:color w:val="auto"/>
        </w:rPr>
        <w:fldChar w:fldCharType="end"/>
      </w:r>
    </w:p>
    <w:p w14:paraId="29DDD852">
      <w:pPr>
        <w:pStyle w:val="20"/>
        <w:rPr>
          <w:color w:val="auto"/>
        </w:rPr>
      </w:pPr>
      <w:r>
        <w:rPr>
          <w:color w:val="auto"/>
        </w:rPr>
        <w:fldChar w:fldCharType="begin"/>
      </w:r>
      <w:r>
        <w:rPr>
          <w:color w:val="auto"/>
        </w:rPr>
        <w:instrText xml:space="preserve"> HYPERLINK \l _Toc7898 </w:instrText>
      </w:r>
      <w:r>
        <w:rPr>
          <w:color w:val="auto"/>
        </w:rPr>
        <w:fldChar w:fldCharType="separate"/>
      </w:r>
      <w:r>
        <w:rPr>
          <w:rFonts w:ascii="Times New Roman" w:hAnsi="Times New Roman" w:eastAsia="黑体"/>
          <w:snapToGrid w:val="0"/>
          <w:color w:val="auto"/>
          <w:szCs w:val="30"/>
        </w:rPr>
        <w:t>四、主要环境影响和保护措施</w:t>
      </w:r>
      <w:r>
        <w:rPr>
          <w:color w:val="auto"/>
        </w:rPr>
        <w:tab/>
      </w:r>
      <w:r>
        <w:rPr>
          <w:color w:val="auto"/>
        </w:rPr>
        <w:fldChar w:fldCharType="begin"/>
      </w:r>
      <w:r>
        <w:rPr>
          <w:color w:val="auto"/>
        </w:rPr>
        <w:instrText xml:space="preserve"> PAGEREF _Toc7898 \h </w:instrText>
      </w:r>
      <w:r>
        <w:rPr>
          <w:color w:val="auto"/>
        </w:rPr>
        <w:fldChar w:fldCharType="separate"/>
      </w:r>
      <w:r>
        <w:rPr>
          <w:color w:val="auto"/>
        </w:rPr>
        <w:t>41</w:t>
      </w:r>
      <w:r>
        <w:rPr>
          <w:color w:val="auto"/>
        </w:rPr>
        <w:fldChar w:fldCharType="end"/>
      </w:r>
      <w:r>
        <w:rPr>
          <w:color w:val="auto"/>
        </w:rPr>
        <w:fldChar w:fldCharType="end"/>
      </w:r>
    </w:p>
    <w:p w14:paraId="28CA48A7">
      <w:pPr>
        <w:pStyle w:val="20"/>
        <w:rPr>
          <w:color w:val="auto"/>
        </w:rPr>
      </w:pPr>
      <w:r>
        <w:rPr>
          <w:color w:val="auto"/>
        </w:rPr>
        <w:fldChar w:fldCharType="begin"/>
      </w:r>
      <w:r>
        <w:rPr>
          <w:color w:val="auto"/>
        </w:rPr>
        <w:instrText xml:space="preserve"> HYPERLINK \l _Toc5327 </w:instrText>
      </w:r>
      <w:r>
        <w:rPr>
          <w:color w:val="auto"/>
        </w:rPr>
        <w:fldChar w:fldCharType="separate"/>
      </w:r>
      <w:r>
        <w:rPr>
          <w:rFonts w:ascii="Times New Roman" w:hAnsi="Times New Roman" w:eastAsia="黑体"/>
          <w:snapToGrid w:val="0"/>
          <w:color w:val="auto"/>
          <w:szCs w:val="30"/>
        </w:rPr>
        <w:t>五、环境保护措施监督检查清单</w:t>
      </w:r>
      <w:r>
        <w:rPr>
          <w:color w:val="auto"/>
        </w:rPr>
        <w:tab/>
      </w:r>
      <w:r>
        <w:rPr>
          <w:color w:val="auto"/>
        </w:rPr>
        <w:fldChar w:fldCharType="begin"/>
      </w:r>
      <w:r>
        <w:rPr>
          <w:color w:val="auto"/>
        </w:rPr>
        <w:instrText xml:space="preserve"> PAGEREF _Toc5327 \h </w:instrText>
      </w:r>
      <w:r>
        <w:rPr>
          <w:color w:val="auto"/>
        </w:rPr>
        <w:fldChar w:fldCharType="separate"/>
      </w:r>
      <w:r>
        <w:rPr>
          <w:color w:val="auto"/>
        </w:rPr>
        <w:t>71</w:t>
      </w:r>
      <w:r>
        <w:rPr>
          <w:color w:val="auto"/>
        </w:rPr>
        <w:fldChar w:fldCharType="end"/>
      </w:r>
      <w:r>
        <w:rPr>
          <w:color w:val="auto"/>
        </w:rPr>
        <w:fldChar w:fldCharType="end"/>
      </w:r>
    </w:p>
    <w:p w14:paraId="10E0744D">
      <w:pPr>
        <w:pStyle w:val="20"/>
        <w:rPr>
          <w:color w:val="auto"/>
        </w:rPr>
      </w:pPr>
      <w:r>
        <w:rPr>
          <w:color w:val="auto"/>
        </w:rPr>
        <w:fldChar w:fldCharType="begin"/>
      </w:r>
      <w:r>
        <w:rPr>
          <w:color w:val="auto"/>
        </w:rPr>
        <w:instrText xml:space="preserve"> HYPERLINK \l _Toc17764 </w:instrText>
      </w:r>
      <w:r>
        <w:rPr>
          <w:color w:val="auto"/>
        </w:rPr>
        <w:fldChar w:fldCharType="separate"/>
      </w:r>
      <w:r>
        <w:rPr>
          <w:rFonts w:ascii="Times New Roman" w:hAnsi="Times New Roman" w:eastAsia="黑体"/>
          <w:snapToGrid w:val="0"/>
          <w:color w:val="auto"/>
          <w:szCs w:val="30"/>
        </w:rPr>
        <w:t>六、结论</w:t>
      </w:r>
      <w:r>
        <w:rPr>
          <w:color w:val="auto"/>
        </w:rPr>
        <w:tab/>
      </w:r>
      <w:r>
        <w:rPr>
          <w:color w:val="auto"/>
        </w:rPr>
        <w:fldChar w:fldCharType="begin"/>
      </w:r>
      <w:r>
        <w:rPr>
          <w:color w:val="auto"/>
        </w:rPr>
        <w:instrText xml:space="preserve"> PAGEREF _Toc17764 \h </w:instrText>
      </w:r>
      <w:r>
        <w:rPr>
          <w:color w:val="auto"/>
        </w:rPr>
        <w:fldChar w:fldCharType="separate"/>
      </w:r>
      <w:r>
        <w:rPr>
          <w:color w:val="auto"/>
        </w:rPr>
        <w:t>76</w:t>
      </w:r>
      <w:r>
        <w:rPr>
          <w:color w:val="auto"/>
        </w:rPr>
        <w:fldChar w:fldCharType="end"/>
      </w:r>
      <w:r>
        <w:rPr>
          <w:color w:val="auto"/>
        </w:rPr>
        <w:fldChar w:fldCharType="end"/>
      </w:r>
    </w:p>
    <w:p w14:paraId="32F0FF8C">
      <w:pPr>
        <w:pStyle w:val="20"/>
        <w:rPr>
          <w:color w:val="auto"/>
        </w:rPr>
      </w:pPr>
      <w:r>
        <w:rPr>
          <w:color w:val="auto"/>
        </w:rPr>
        <w:fldChar w:fldCharType="begin"/>
      </w:r>
      <w:r>
        <w:rPr>
          <w:color w:val="auto"/>
        </w:rPr>
        <w:instrText xml:space="preserve"> HYPERLINK \l _Toc766 </w:instrText>
      </w:r>
      <w:r>
        <w:rPr>
          <w:color w:val="auto"/>
        </w:rPr>
        <w:fldChar w:fldCharType="separate"/>
      </w:r>
      <w:r>
        <w:rPr>
          <w:rFonts w:ascii="Times New Roman" w:hAnsi="Times New Roman" w:eastAsia="黑体"/>
          <w:snapToGrid w:val="0"/>
          <w:color w:val="auto"/>
          <w:szCs w:val="32"/>
        </w:rPr>
        <w:t>附表</w:t>
      </w:r>
      <w:r>
        <w:rPr>
          <w:rFonts w:hint="eastAsia" w:eastAsia="黑体"/>
          <w:snapToGrid w:val="0"/>
          <w:color w:val="auto"/>
          <w:szCs w:val="32"/>
          <w:lang w:val="en-US" w:eastAsia="zh-CN"/>
        </w:rPr>
        <w:t xml:space="preserve"> 建设项目污染物排放量汇总表</w:t>
      </w:r>
      <w:r>
        <w:rPr>
          <w:color w:val="auto"/>
        </w:rPr>
        <w:tab/>
      </w:r>
      <w:r>
        <w:rPr>
          <w:color w:val="auto"/>
        </w:rPr>
        <w:fldChar w:fldCharType="begin"/>
      </w:r>
      <w:r>
        <w:rPr>
          <w:color w:val="auto"/>
        </w:rPr>
        <w:instrText xml:space="preserve"> PAGEREF _Toc766 \h </w:instrText>
      </w:r>
      <w:r>
        <w:rPr>
          <w:color w:val="auto"/>
        </w:rPr>
        <w:fldChar w:fldCharType="separate"/>
      </w:r>
      <w:r>
        <w:rPr>
          <w:color w:val="auto"/>
        </w:rPr>
        <w:t>77</w:t>
      </w:r>
      <w:r>
        <w:rPr>
          <w:color w:val="auto"/>
        </w:rPr>
        <w:fldChar w:fldCharType="end"/>
      </w:r>
      <w:r>
        <w:rPr>
          <w:color w:val="auto"/>
        </w:rPr>
        <w:fldChar w:fldCharType="end"/>
      </w:r>
    </w:p>
    <w:p w14:paraId="492F5C14">
      <w:pPr>
        <w:keepNext w:val="0"/>
        <w:keepLines w:val="0"/>
        <w:pageBreakBefore w:val="0"/>
        <w:widowControl w:val="0"/>
        <w:kinsoku/>
        <w:wordWrap/>
        <w:overflowPunct/>
        <w:topLinePunct w:val="0"/>
        <w:autoSpaceDE/>
        <w:autoSpaceDN/>
        <w:bidi w:val="0"/>
        <w:adjustRightInd/>
        <w:snapToGrid/>
        <w:spacing w:line="300" w:lineRule="auto"/>
        <w:ind w:firstLine="210" w:firstLineChars="100"/>
        <w:textAlignment w:val="auto"/>
        <w:rPr>
          <w:rFonts w:hint="eastAsia" w:ascii="宋体" w:hAnsi="宋体" w:eastAsia="宋体" w:cs="宋体"/>
          <w:color w:val="auto"/>
          <w:sz w:val="13"/>
          <w:szCs w:val="16"/>
          <w:lang w:val="en-US" w:eastAsia="zh-CN"/>
        </w:rPr>
      </w:pPr>
      <w:r>
        <w:rPr>
          <w:color w:val="auto"/>
        </w:rPr>
        <w:fldChar w:fldCharType="end"/>
      </w:r>
    </w:p>
    <w:p w14:paraId="35A3CF50">
      <w:pPr>
        <w:pStyle w:val="20"/>
        <w:rPr>
          <w:rFonts w:hint="eastAsia" w:ascii="Times New Roman" w:hAnsi="Times New Roman" w:eastAsia="黑体" w:cs="Times New Roman"/>
          <w:bCs w:val="0"/>
          <w:snapToGrid w:val="0"/>
          <w:color w:val="auto"/>
          <w:kern w:val="0"/>
          <w:szCs w:val="30"/>
          <w:lang w:val="en-US" w:eastAsia="zh-CN" w:bidi="ar-SA"/>
        </w:rPr>
      </w:pPr>
      <w:r>
        <w:rPr>
          <w:rFonts w:hint="eastAsia" w:ascii="Times New Roman" w:hAnsi="Times New Roman" w:eastAsia="黑体" w:cs="Times New Roman"/>
          <w:bCs w:val="0"/>
          <w:snapToGrid w:val="0"/>
          <w:color w:val="auto"/>
          <w:kern w:val="0"/>
          <w:szCs w:val="30"/>
          <w:lang w:val="en-US" w:eastAsia="zh-CN" w:bidi="ar-SA"/>
        </w:rPr>
        <w:t>附图</w:t>
      </w:r>
    </w:p>
    <w:p w14:paraId="47AFF006">
      <w:pPr>
        <w:keepNext w:val="0"/>
        <w:keepLines w:val="0"/>
        <w:pageBreakBefore w:val="0"/>
        <w:widowControl w:val="0"/>
        <w:kinsoku/>
        <w:wordWrap/>
        <w:overflowPunct/>
        <w:topLinePunct w:val="0"/>
        <w:autoSpaceDE/>
        <w:autoSpaceDN/>
        <w:bidi w:val="0"/>
        <w:adjustRightInd/>
        <w:snapToGrid/>
        <w:spacing w:line="360" w:lineRule="auto"/>
        <w:ind w:firstLine="220" w:firstLineChars="1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附图</w:t>
      </w:r>
      <w:r>
        <w:rPr>
          <w:rFonts w:hint="eastAsia" w:ascii="宋体" w:hAnsi="宋体" w:cs="宋体"/>
          <w:color w:val="auto"/>
          <w:sz w:val="22"/>
          <w:szCs w:val="22"/>
          <w:lang w:val="en-US" w:eastAsia="zh-CN"/>
        </w:rPr>
        <w:t>1</w:t>
      </w:r>
      <w:r>
        <w:rPr>
          <w:rFonts w:hint="eastAsia" w:ascii="宋体" w:hAnsi="宋体" w:eastAsia="宋体" w:cs="宋体"/>
          <w:color w:val="auto"/>
          <w:sz w:val="22"/>
          <w:szCs w:val="22"/>
          <w:lang w:val="en-US" w:eastAsia="zh-CN"/>
        </w:rPr>
        <w:t>：项目在昌吉高新技术产业开发区产业分区图中的位置</w:t>
      </w:r>
    </w:p>
    <w:p w14:paraId="3A63BE9E">
      <w:pPr>
        <w:keepNext w:val="0"/>
        <w:keepLines w:val="0"/>
        <w:pageBreakBefore w:val="0"/>
        <w:widowControl w:val="0"/>
        <w:kinsoku/>
        <w:wordWrap/>
        <w:overflowPunct/>
        <w:topLinePunct w:val="0"/>
        <w:autoSpaceDE/>
        <w:autoSpaceDN/>
        <w:bidi w:val="0"/>
        <w:adjustRightInd/>
        <w:snapToGrid/>
        <w:spacing w:line="360" w:lineRule="auto"/>
        <w:ind w:firstLine="220" w:firstLineChars="1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附图</w:t>
      </w:r>
      <w:r>
        <w:rPr>
          <w:rFonts w:hint="eastAsia" w:ascii="宋体" w:hAnsi="宋体" w:cs="宋体"/>
          <w:color w:val="auto"/>
          <w:sz w:val="22"/>
          <w:szCs w:val="22"/>
          <w:lang w:val="en-US" w:eastAsia="zh-CN"/>
        </w:rPr>
        <w:t>2</w:t>
      </w:r>
      <w:r>
        <w:rPr>
          <w:rFonts w:hint="eastAsia" w:ascii="宋体" w:hAnsi="宋体" w:eastAsia="宋体" w:cs="宋体"/>
          <w:color w:val="auto"/>
          <w:sz w:val="22"/>
          <w:szCs w:val="22"/>
          <w:lang w:val="en-US" w:eastAsia="zh-CN"/>
        </w:rPr>
        <w:t>：项目在昌吉高新技术产业开发区土地使用规划图中的位置</w:t>
      </w:r>
    </w:p>
    <w:p w14:paraId="7280BE9D">
      <w:pPr>
        <w:keepNext w:val="0"/>
        <w:keepLines w:val="0"/>
        <w:pageBreakBefore w:val="0"/>
        <w:widowControl w:val="0"/>
        <w:kinsoku/>
        <w:wordWrap/>
        <w:overflowPunct/>
        <w:topLinePunct w:val="0"/>
        <w:autoSpaceDE/>
        <w:autoSpaceDN/>
        <w:bidi w:val="0"/>
        <w:adjustRightInd/>
        <w:snapToGrid/>
        <w:spacing w:line="360" w:lineRule="auto"/>
        <w:ind w:firstLine="220" w:firstLineChars="1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附图</w:t>
      </w:r>
      <w:r>
        <w:rPr>
          <w:rFonts w:hint="eastAsia" w:ascii="宋体" w:hAnsi="宋体" w:cs="宋体"/>
          <w:color w:val="auto"/>
          <w:sz w:val="22"/>
          <w:szCs w:val="22"/>
          <w:lang w:val="en-US" w:eastAsia="zh-CN"/>
        </w:rPr>
        <w:t>3</w:t>
      </w:r>
      <w:r>
        <w:rPr>
          <w:rFonts w:hint="eastAsia" w:ascii="宋体" w:hAnsi="宋体" w:eastAsia="宋体" w:cs="宋体"/>
          <w:color w:val="auto"/>
          <w:sz w:val="22"/>
          <w:szCs w:val="22"/>
          <w:lang w:val="en-US" w:eastAsia="zh-CN"/>
        </w:rPr>
        <w:t>：项目在昌吉高新技术产业开发区空间结构规划图中的位置</w:t>
      </w:r>
    </w:p>
    <w:p w14:paraId="1B495356">
      <w:pPr>
        <w:keepNext w:val="0"/>
        <w:keepLines w:val="0"/>
        <w:pageBreakBefore w:val="0"/>
        <w:widowControl w:val="0"/>
        <w:kinsoku/>
        <w:wordWrap/>
        <w:overflowPunct/>
        <w:topLinePunct w:val="0"/>
        <w:autoSpaceDE/>
        <w:autoSpaceDN/>
        <w:bidi w:val="0"/>
        <w:adjustRightInd/>
        <w:snapToGrid/>
        <w:spacing w:line="360" w:lineRule="auto"/>
        <w:ind w:firstLine="220" w:firstLineChars="1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附图</w:t>
      </w:r>
      <w:r>
        <w:rPr>
          <w:rFonts w:hint="eastAsia" w:ascii="宋体" w:hAnsi="宋体" w:cs="宋体"/>
          <w:color w:val="auto"/>
          <w:sz w:val="22"/>
          <w:szCs w:val="22"/>
          <w:lang w:val="en-US" w:eastAsia="zh-CN"/>
        </w:rPr>
        <w:t>4</w:t>
      </w:r>
      <w:r>
        <w:rPr>
          <w:rFonts w:hint="eastAsia" w:ascii="宋体" w:hAnsi="宋体" w:eastAsia="宋体" w:cs="宋体"/>
          <w:color w:val="auto"/>
          <w:sz w:val="22"/>
          <w:szCs w:val="22"/>
          <w:lang w:val="en-US" w:eastAsia="zh-CN"/>
        </w:rPr>
        <w:t>：项目在昌吉回族自治州环境管控单元图中的位置</w:t>
      </w:r>
    </w:p>
    <w:p w14:paraId="4570D0BF">
      <w:pPr>
        <w:keepNext w:val="0"/>
        <w:keepLines w:val="0"/>
        <w:pageBreakBefore w:val="0"/>
        <w:widowControl w:val="0"/>
        <w:kinsoku/>
        <w:wordWrap/>
        <w:overflowPunct/>
        <w:topLinePunct w:val="0"/>
        <w:autoSpaceDE/>
        <w:autoSpaceDN/>
        <w:bidi w:val="0"/>
        <w:adjustRightInd/>
        <w:snapToGrid/>
        <w:spacing w:line="360" w:lineRule="auto"/>
        <w:ind w:firstLine="220" w:firstLineChars="1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附图</w:t>
      </w:r>
      <w:r>
        <w:rPr>
          <w:rFonts w:hint="eastAsia" w:ascii="宋体" w:hAnsi="宋体" w:cs="宋体"/>
          <w:color w:val="auto"/>
          <w:sz w:val="22"/>
          <w:szCs w:val="22"/>
          <w:lang w:val="en-US" w:eastAsia="zh-CN"/>
        </w:rPr>
        <w:t>5</w:t>
      </w:r>
      <w:r>
        <w:rPr>
          <w:rFonts w:hint="eastAsia" w:ascii="宋体" w:hAnsi="宋体" w:eastAsia="宋体" w:cs="宋体"/>
          <w:color w:val="auto"/>
          <w:sz w:val="22"/>
          <w:szCs w:val="22"/>
          <w:lang w:val="en-US" w:eastAsia="zh-CN"/>
        </w:rPr>
        <w:t>：项目地理位置示意图</w:t>
      </w:r>
    </w:p>
    <w:p w14:paraId="1ABCB655">
      <w:pPr>
        <w:keepNext w:val="0"/>
        <w:keepLines w:val="0"/>
        <w:pageBreakBefore w:val="0"/>
        <w:widowControl w:val="0"/>
        <w:kinsoku/>
        <w:wordWrap/>
        <w:overflowPunct/>
        <w:topLinePunct w:val="0"/>
        <w:autoSpaceDE/>
        <w:autoSpaceDN/>
        <w:bidi w:val="0"/>
        <w:adjustRightInd/>
        <w:snapToGrid/>
        <w:spacing w:line="360" w:lineRule="auto"/>
        <w:ind w:firstLine="220" w:firstLineChars="1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附图</w:t>
      </w:r>
      <w:r>
        <w:rPr>
          <w:rFonts w:hint="eastAsia" w:ascii="宋体" w:hAnsi="宋体" w:cs="宋体"/>
          <w:color w:val="auto"/>
          <w:sz w:val="22"/>
          <w:szCs w:val="22"/>
          <w:lang w:val="en-US" w:eastAsia="zh-CN"/>
        </w:rPr>
        <w:t>6</w:t>
      </w:r>
      <w:r>
        <w:rPr>
          <w:rFonts w:hint="eastAsia" w:ascii="宋体" w:hAnsi="宋体" w:eastAsia="宋体" w:cs="宋体"/>
          <w:color w:val="auto"/>
          <w:sz w:val="22"/>
          <w:szCs w:val="22"/>
          <w:lang w:val="en-US" w:eastAsia="zh-CN"/>
        </w:rPr>
        <w:t>：项目周边环境关系示意图</w:t>
      </w:r>
    </w:p>
    <w:p w14:paraId="47345EDA">
      <w:pPr>
        <w:keepNext w:val="0"/>
        <w:keepLines w:val="0"/>
        <w:pageBreakBefore w:val="0"/>
        <w:widowControl w:val="0"/>
        <w:kinsoku/>
        <w:wordWrap/>
        <w:overflowPunct/>
        <w:topLinePunct w:val="0"/>
        <w:autoSpaceDE/>
        <w:autoSpaceDN/>
        <w:bidi w:val="0"/>
        <w:adjustRightInd/>
        <w:snapToGrid/>
        <w:spacing w:line="360" w:lineRule="auto"/>
        <w:ind w:firstLine="220" w:firstLineChars="1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附图</w:t>
      </w:r>
      <w:r>
        <w:rPr>
          <w:rFonts w:hint="eastAsia" w:ascii="宋体" w:hAnsi="宋体" w:cs="宋体"/>
          <w:color w:val="auto"/>
          <w:sz w:val="22"/>
          <w:szCs w:val="22"/>
          <w:lang w:val="en-US" w:eastAsia="zh-CN"/>
        </w:rPr>
        <w:t>7</w:t>
      </w:r>
      <w:r>
        <w:rPr>
          <w:rFonts w:hint="eastAsia" w:ascii="宋体" w:hAnsi="宋体" w:eastAsia="宋体" w:cs="宋体"/>
          <w:color w:val="auto"/>
          <w:sz w:val="22"/>
          <w:szCs w:val="22"/>
          <w:lang w:val="en-US" w:eastAsia="zh-CN"/>
        </w:rPr>
        <w:t>：厂区总平面布置示意图</w:t>
      </w:r>
    </w:p>
    <w:p w14:paraId="5F376C5F">
      <w:pPr>
        <w:keepNext w:val="0"/>
        <w:keepLines w:val="0"/>
        <w:pageBreakBefore w:val="0"/>
        <w:widowControl w:val="0"/>
        <w:kinsoku/>
        <w:wordWrap/>
        <w:overflowPunct/>
        <w:topLinePunct w:val="0"/>
        <w:autoSpaceDE/>
        <w:autoSpaceDN/>
        <w:bidi w:val="0"/>
        <w:adjustRightInd/>
        <w:snapToGrid/>
        <w:spacing w:line="360" w:lineRule="auto"/>
        <w:ind w:firstLine="220" w:firstLineChars="100"/>
        <w:textAlignment w:val="auto"/>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附图</w:t>
      </w:r>
      <w:r>
        <w:rPr>
          <w:rFonts w:hint="eastAsia" w:ascii="宋体" w:hAnsi="宋体" w:cs="宋体"/>
          <w:color w:val="auto"/>
          <w:sz w:val="22"/>
          <w:szCs w:val="22"/>
          <w:lang w:val="en-US" w:eastAsia="zh-CN"/>
        </w:rPr>
        <w:t>8</w:t>
      </w:r>
      <w:r>
        <w:rPr>
          <w:rFonts w:hint="eastAsia" w:ascii="宋体" w:hAnsi="宋体" w:eastAsia="宋体" w:cs="宋体"/>
          <w:color w:val="auto"/>
          <w:sz w:val="22"/>
          <w:szCs w:val="22"/>
          <w:lang w:val="en-US" w:eastAsia="zh-CN"/>
        </w:rPr>
        <w:t>：项目与引用数据监测点位置关系示意图</w:t>
      </w:r>
    </w:p>
    <w:p w14:paraId="0E3CA2F3">
      <w:pPr>
        <w:keepNext w:val="0"/>
        <w:keepLines w:val="0"/>
        <w:pageBreakBefore w:val="0"/>
        <w:widowControl w:val="0"/>
        <w:kinsoku/>
        <w:wordWrap/>
        <w:overflowPunct/>
        <w:topLinePunct w:val="0"/>
        <w:autoSpaceDE/>
        <w:autoSpaceDN/>
        <w:bidi w:val="0"/>
        <w:adjustRightInd/>
        <w:snapToGrid/>
        <w:spacing w:line="360" w:lineRule="auto"/>
        <w:ind w:firstLine="220" w:firstLineChars="1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附图</w:t>
      </w:r>
      <w:r>
        <w:rPr>
          <w:rFonts w:hint="eastAsia" w:ascii="宋体" w:hAnsi="宋体" w:cs="宋体"/>
          <w:color w:val="auto"/>
          <w:sz w:val="22"/>
          <w:szCs w:val="22"/>
          <w:lang w:val="en-US" w:eastAsia="zh-CN"/>
        </w:rPr>
        <w:t>9</w:t>
      </w:r>
      <w:r>
        <w:rPr>
          <w:rFonts w:hint="eastAsia" w:ascii="宋体" w:hAnsi="宋体" w:eastAsia="宋体" w:cs="宋体"/>
          <w:color w:val="auto"/>
          <w:sz w:val="22"/>
          <w:szCs w:val="22"/>
          <w:lang w:val="en-US" w:eastAsia="zh-CN"/>
        </w:rPr>
        <w:t>：项目分区防渗示意图</w:t>
      </w:r>
    </w:p>
    <w:p w14:paraId="2A85A0DF">
      <w:pPr>
        <w:pStyle w:val="20"/>
        <w:rPr>
          <w:rFonts w:hint="eastAsia" w:ascii="Times New Roman" w:hAnsi="Times New Roman" w:eastAsia="黑体" w:cs="Times New Roman"/>
          <w:bCs w:val="0"/>
          <w:snapToGrid w:val="0"/>
          <w:color w:val="auto"/>
          <w:kern w:val="0"/>
          <w:szCs w:val="30"/>
          <w:lang w:val="en-US" w:eastAsia="zh-CN" w:bidi="ar-SA"/>
        </w:rPr>
      </w:pPr>
      <w:r>
        <w:rPr>
          <w:rFonts w:hint="eastAsia" w:ascii="Times New Roman" w:hAnsi="Times New Roman" w:eastAsia="黑体" w:cs="Times New Roman"/>
          <w:bCs w:val="0"/>
          <w:snapToGrid w:val="0"/>
          <w:color w:val="auto"/>
          <w:kern w:val="0"/>
          <w:szCs w:val="30"/>
          <w:lang w:val="en-US" w:eastAsia="zh-CN" w:bidi="ar-SA"/>
        </w:rPr>
        <w:t>附件</w:t>
      </w:r>
    </w:p>
    <w:p w14:paraId="7148484B">
      <w:pPr>
        <w:keepNext w:val="0"/>
        <w:keepLines w:val="0"/>
        <w:pageBreakBefore w:val="0"/>
        <w:widowControl w:val="0"/>
        <w:kinsoku/>
        <w:wordWrap/>
        <w:overflowPunct/>
        <w:topLinePunct w:val="0"/>
        <w:autoSpaceDE/>
        <w:autoSpaceDN/>
        <w:bidi w:val="0"/>
        <w:adjustRightInd/>
        <w:snapToGrid/>
        <w:spacing w:line="360" w:lineRule="auto"/>
        <w:ind w:firstLine="220" w:firstLineChars="1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附件1：委托书</w:t>
      </w:r>
    </w:p>
    <w:p w14:paraId="5369B800">
      <w:pPr>
        <w:keepNext w:val="0"/>
        <w:keepLines w:val="0"/>
        <w:pageBreakBefore w:val="0"/>
        <w:widowControl w:val="0"/>
        <w:kinsoku/>
        <w:wordWrap/>
        <w:overflowPunct/>
        <w:topLinePunct w:val="0"/>
        <w:autoSpaceDE/>
        <w:autoSpaceDN/>
        <w:bidi w:val="0"/>
        <w:adjustRightInd/>
        <w:snapToGrid/>
        <w:spacing w:line="360" w:lineRule="auto"/>
        <w:ind w:firstLine="220" w:firstLineChars="100"/>
        <w:textAlignment w:val="auto"/>
        <w:rPr>
          <w:rFonts w:hint="eastAsia" w:ascii="宋体" w:hAnsi="宋体" w:eastAsia="宋体" w:cs="宋体"/>
          <w:color w:val="auto"/>
          <w:sz w:val="22"/>
          <w:szCs w:val="22"/>
          <w:lang w:val="en-US" w:eastAsia="zh-CN"/>
        </w:rPr>
      </w:pPr>
      <w:bookmarkStart w:id="1" w:name="_Toc21103"/>
      <w:r>
        <w:rPr>
          <w:rFonts w:hint="eastAsia" w:ascii="宋体" w:hAnsi="宋体" w:eastAsia="宋体" w:cs="宋体"/>
          <w:color w:val="auto"/>
          <w:sz w:val="22"/>
          <w:szCs w:val="22"/>
          <w:lang w:val="en-US" w:eastAsia="zh-CN"/>
        </w:rPr>
        <w:t>附件2：项目备案证</w:t>
      </w:r>
    </w:p>
    <w:p w14:paraId="5BFAF560">
      <w:pPr>
        <w:keepNext w:val="0"/>
        <w:keepLines w:val="0"/>
        <w:pageBreakBefore w:val="0"/>
        <w:widowControl w:val="0"/>
        <w:kinsoku/>
        <w:wordWrap/>
        <w:overflowPunct/>
        <w:topLinePunct w:val="0"/>
        <w:autoSpaceDE/>
        <w:autoSpaceDN/>
        <w:bidi w:val="0"/>
        <w:adjustRightInd/>
        <w:snapToGrid/>
        <w:spacing w:line="360" w:lineRule="auto"/>
        <w:ind w:firstLine="220" w:firstLineChars="100"/>
        <w:textAlignment w:val="auto"/>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附件3：公司营业执照</w:t>
      </w:r>
    </w:p>
    <w:p w14:paraId="77073A53">
      <w:pPr>
        <w:keepNext w:val="0"/>
        <w:keepLines w:val="0"/>
        <w:pageBreakBefore w:val="0"/>
        <w:widowControl w:val="0"/>
        <w:kinsoku/>
        <w:wordWrap/>
        <w:overflowPunct/>
        <w:topLinePunct w:val="0"/>
        <w:autoSpaceDE/>
        <w:autoSpaceDN/>
        <w:bidi w:val="0"/>
        <w:adjustRightInd/>
        <w:snapToGrid/>
        <w:spacing w:line="360" w:lineRule="auto"/>
        <w:ind w:firstLine="220" w:firstLineChars="1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附件4：</w:t>
      </w:r>
      <w:bookmarkEnd w:id="1"/>
      <w:r>
        <w:rPr>
          <w:rFonts w:hint="eastAsia" w:ascii="宋体" w:hAnsi="宋体" w:eastAsia="宋体" w:cs="宋体"/>
          <w:color w:val="auto"/>
          <w:spacing w:val="-6"/>
          <w:sz w:val="22"/>
          <w:szCs w:val="22"/>
          <w:lang w:val="en-US" w:eastAsia="zh-CN"/>
        </w:rPr>
        <w:t>《新疆维吾尔自治区人民政府关于&lt;昌吉市国土空间总体规划（2021-2035年）&gt;的批复》</w:t>
      </w:r>
    </w:p>
    <w:p w14:paraId="28DE5732">
      <w:pPr>
        <w:keepNext w:val="0"/>
        <w:keepLines w:val="0"/>
        <w:pageBreakBefore w:val="0"/>
        <w:widowControl w:val="0"/>
        <w:kinsoku/>
        <w:wordWrap/>
        <w:overflowPunct/>
        <w:topLinePunct w:val="0"/>
        <w:autoSpaceDE/>
        <w:autoSpaceDN/>
        <w:bidi w:val="0"/>
        <w:adjustRightInd/>
        <w:snapToGrid/>
        <w:spacing w:line="360" w:lineRule="auto"/>
        <w:ind w:firstLine="220" w:firstLineChars="100"/>
        <w:textAlignment w:val="auto"/>
        <w:rPr>
          <w:rFonts w:hint="eastAsia" w:ascii="宋体" w:hAnsi="宋体" w:eastAsia="宋体" w:cs="宋体"/>
          <w:color w:val="auto"/>
          <w:sz w:val="22"/>
          <w:szCs w:val="22"/>
          <w:lang w:val="en-US" w:eastAsia="zh-CN"/>
        </w:rPr>
      </w:pPr>
      <w:bookmarkStart w:id="2" w:name="_Toc17618"/>
      <w:r>
        <w:rPr>
          <w:rFonts w:hint="eastAsia" w:ascii="宋体" w:hAnsi="宋体" w:eastAsia="宋体" w:cs="宋体"/>
          <w:color w:val="auto"/>
          <w:sz w:val="22"/>
          <w:szCs w:val="22"/>
          <w:lang w:val="en-US" w:eastAsia="zh-CN"/>
        </w:rPr>
        <w:t>附件5：</w:t>
      </w:r>
      <w:bookmarkEnd w:id="2"/>
      <w:r>
        <w:rPr>
          <w:rFonts w:hint="eastAsia" w:ascii="宋体" w:hAnsi="宋体" w:eastAsia="宋体" w:cs="宋体"/>
          <w:color w:val="auto"/>
          <w:spacing w:val="-6"/>
          <w:sz w:val="22"/>
          <w:szCs w:val="22"/>
          <w:lang w:val="en-US" w:eastAsia="zh-CN"/>
        </w:rPr>
        <w:t>《关于昌吉高新技术产业开发区总体规划（2014-2030）环境影响报告书的审查意见》</w:t>
      </w:r>
    </w:p>
    <w:p w14:paraId="2AB76B2F">
      <w:pPr>
        <w:keepNext w:val="0"/>
        <w:keepLines w:val="0"/>
        <w:pageBreakBefore w:val="0"/>
        <w:widowControl w:val="0"/>
        <w:kinsoku/>
        <w:wordWrap/>
        <w:overflowPunct/>
        <w:topLinePunct w:val="0"/>
        <w:autoSpaceDE/>
        <w:autoSpaceDN/>
        <w:bidi w:val="0"/>
        <w:adjustRightInd/>
        <w:snapToGrid/>
        <w:spacing w:line="360" w:lineRule="auto"/>
        <w:ind w:firstLine="220" w:firstLineChars="100"/>
        <w:textAlignment w:val="auto"/>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附件6：项目引用环境空气现状检测报告</w:t>
      </w:r>
    </w:p>
    <w:p w14:paraId="45E56F79">
      <w:pPr>
        <w:keepNext w:val="0"/>
        <w:keepLines w:val="0"/>
        <w:pageBreakBefore w:val="0"/>
        <w:widowControl w:val="0"/>
        <w:kinsoku/>
        <w:wordWrap/>
        <w:overflowPunct/>
        <w:topLinePunct w:val="0"/>
        <w:autoSpaceDE/>
        <w:autoSpaceDN/>
        <w:bidi w:val="0"/>
        <w:adjustRightInd/>
        <w:snapToGrid/>
        <w:spacing w:line="360" w:lineRule="auto"/>
        <w:ind w:firstLine="220" w:firstLineChars="100"/>
        <w:textAlignment w:val="auto"/>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附件7：建设工程规划许可证</w:t>
      </w:r>
    </w:p>
    <w:p w14:paraId="7284453E">
      <w:pPr>
        <w:keepNext w:val="0"/>
        <w:keepLines w:val="0"/>
        <w:pageBreakBefore w:val="0"/>
        <w:widowControl w:val="0"/>
        <w:kinsoku/>
        <w:wordWrap/>
        <w:overflowPunct/>
        <w:topLinePunct w:val="0"/>
        <w:autoSpaceDE/>
        <w:autoSpaceDN/>
        <w:bidi w:val="0"/>
        <w:adjustRightInd/>
        <w:snapToGrid/>
        <w:spacing w:line="360" w:lineRule="auto"/>
        <w:ind w:firstLine="220" w:firstLineChars="100"/>
        <w:textAlignment w:val="auto"/>
        <w:rPr>
          <w:rFonts w:hint="default" w:ascii="宋体" w:hAnsi="宋体" w:eastAsia="宋体" w:cs="宋体"/>
          <w:color w:val="auto"/>
          <w:sz w:val="22"/>
          <w:szCs w:val="22"/>
          <w:lang w:val="en-US" w:eastAsia="zh-CN"/>
        </w:rPr>
        <w:sectPr>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2E10540E">
      <w:pPr>
        <w:pStyle w:val="23"/>
        <w:jc w:val="center"/>
        <w:outlineLvl w:val="0"/>
        <w:rPr>
          <w:rFonts w:ascii="Times New Roman" w:hAnsi="Times New Roman" w:eastAsia="黑体"/>
          <w:snapToGrid w:val="0"/>
          <w:color w:val="auto"/>
          <w:sz w:val="30"/>
          <w:szCs w:val="30"/>
        </w:rPr>
      </w:pPr>
      <w:bookmarkStart w:id="3" w:name="_Toc12276"/>
      <w:r>
        <w:rPr>
          <w:rFonts w:ascii="Times New Roman" w:hAnsi="Times New Roman" w:eastAsia="黑体"/>
          <w:snapToGrid w:val="0"/>
          <w:color w:val="auto"/>
          <w:sz w:val="30"/>
          <w:szCs w:val="30"/>
        </w:rPr>
        <w:t>一、建设项目基本情况</w:t>
      </w:r>
      <w:bookmarkEnd w:id="3"/>
    </w:p>
    <w:tbl>
      <w:tblPr>
        <w:tblStyle w:val="26"/>
        <w:tblW w:w="930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2034"/>
        <w:gridCol w:w="2344"/>
        <w:gridCol w:w="1936"/>
        <w:gridCol w:w="2987"/>
      </w:tblGrid>
      <w:tr w14:paraId="6AF0DD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2034" w:type="dxa"/>
            <w:noWrap w:val="0"/>
            <w:tcMar>
              <w:top w:w="16" w:type="dxa"/>
              <w:left w:w="16" w:type="dxa"/>
              <w:right w:w="16" w:type="dxa"/>
            </w:tcMar>
            <w:vAlign w:val="center"/>
          </w:tcPr>
          <w:p w14:paraId="28D6CDB2">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cs="宋体"/>
                <w:color w:val="auto"/>
                <w:sz w:val="24"/>
              </w:rPr>
            </w:pPr>
            <w:r>
              <w:rPr>
                <w:rFonts w:hint="eastAsia" w:ascii="宋体" w:hAnsi="宋体" w:cs="宋体"/>
                <w:color w:val="auto"/>
                <w:sz w:val="24"/>
              </w:rPr>
              <w:t>建设项目名称</w:t>
            </w:r>
          </w:p>
        </w:tc>
        <w:tc>
          <w:tcPr>
            <w:tcW w:w="7267" w:type="dxa"/>
            <w:gridSpan w:val="3"/>
            <w:noWrap w:val="0"/>
            <w:vAlign w:val="center"/>
          </w:tcPr>
          <w:p w14:paraId="46A160D1">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eastAsia="宋体" w:cs="宋体"/>
                <w:color w:val="auto"/>
                <w:sz w:val="24"/>
              </w:rPr>
            </w:pPr>
            <w:r>
              <w:rPr>
                <w:rFonts w:hint="eastAsia" w:ascii="宋体" w:hAnsi="宋体" w:eastAsia="宋体" w:cs="宋体"/>
                <w:color w:val="auto"/>
                <w:sz w:val="24"/>
              </w:rPr>
              <w:t>新疆顺通钢结构有限公司非标钢结构生产</w:t>
            </w:r>
          </w:p>
        </w:tc>
      </w:tr>
      <w:tr w14:paraId="1B7DE2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2034" w:type="dxa"/>
            <w:noWrap w:val="0"/>
            <w:tcMar>
              <w:top w:w="16" w:type="dxa"/>
              <w:left w:w="16" w:type="dxa"/>
              <w:right w:w="16" w:type="dxa"/>
            </w:tcMar>
            <w:vAlign w:val="center"/>
          </w:tcPr>
          <w:p w14:paraId="30F3FF14">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cs="宋体"/>
                <w:color w:val="auto"/>
                <w:sz w:val="24"/>
              </w:rPr>
            </w:pPr>
            <w:r>
              <w:rPr>
                <w:rFonts w:hint="eastAsia" w:ascii="宋体" w:hAnsi="宋体" w:cs="宋体"/>
                <w:color w:val="auto"/>
                <w:sz w:val="24"/>
              </w:rPr>
              <w:t>项目代码</w:t>
            </w:r>
          </w:p>
        </w:tc>
        <w:tc>
          <w:tcPr>
            <w:tcW w:w="7267" w:type="dxa"/>
            <w:gridSpan w:val="3"/>
            <w:noWrap w:val="0"/>
            <w:vAlign w:val="center"/>
          </w:tcPr>
          <w:p w14:paraId="50FE8C1D">
            <w:pPr>
              <w:keepNext w:val="0"/>
              <w:keepLines w:val="0"/>
              <w:pageBreakBefore w:val="0"/>
              <w:kinsoku/>
              <w:wordWrap/>
              <w:overflowPunct/>
              <w:topLinePunct w:val="0"/>
              <w:bidi w:val="0"/>
              <w:adjustRightInd w:val="0"/>
              <w:snapToGrid w:val="0"/>
              <w:spacing w:line="264" w:lineRule="auto"/>
              <w:jc w:val="center"/>
              <w:textAlignment w:val="auto"/>
              <w:rPr>
                <w:rFonts w:hint="default" w:ascii="宋体" w:hAnsi="宋体" w:eastAsia="宋体" w:cs="宋体"/>
                <w:color w:val="auto"/>
                <w:sz w:val="24"/>
                <w:lang w:val="en-US" w:eastAsia="zh-CN"/>
              </w:rPr>
            </w:pPr>
            <w:r>
              <w:rPr>
                <w:rFonts w:hint="eastAsia" w:ascii="宋体" w:hAnsi="宋体" w:eastAsia="宋体" w:cs="宋体"/>
                <w:color w:val="auto"/>
                <w:sz w:val="24"/>
              </w:rPr>
              <w:t>2</w:t>
            </w:r>
            <w:r>
              <w:rPr>
                <w:rFonts w:hint="eastAsia" w:ascii="宋体" w:hAnsi="宋体" w:eastAsia="宋体" w:cs="宋体"/>
                <w:color w:val="auto"/>
                <w:sz w:val="24"/>
                <w:lang w:val="en-US" w:eastAsia="zh-CN"/>
              </w:rPr>
              <w:t>509</w:t>
            </w:r>
            <w:r>
              <w:rPr>
                <w:rFonts w:hint="eastAsia" w:ascii="宋体" w:hAnsi="宋体" w:eastAsia="宋体" w:cs="宋体"/>
                <w:color w:val="auto"/>
                <w:sz w:val="24"/>
              </w:rPr>
              <w:t>-6523</w:t>
            </w:r>
            <w:r>
              <w:rPr>
                <w:rFonts w:hint="eastAsia" w:ascii="宋体" w:hAnsi="宋体" w:eastAsia="宋体" w:cs="宋体"/>
                <w:color w:val="auto"/>
                <w:sz w:val="24"/>
                <w:lang w:val="en-US" w:eastAsia="zh-CN"/>
              </w:rPr>
              <w:t>12</w:t>
            </w:r>
            <w:r>
              <w:rPr>
                <w:rFonts w:hint="eastAsia" w:ascii="宋体" w:hAnsi="宋体" w:eastAsia="宋体" w:cs="宋体"/>
                <w:color w:val="auto"/>
                <w:sz w:val="24"/>
              </w:rPr>
              <w:t>-0</w:t>
            </w:r>
            <w:r>
              <w:rPr>
                <w:rFonts w:hint="eastAsia" w:ascii="宋体" w:hAnsi="宋体" w:eastAsia="宋体" w:cs="宋体"/>
                <w:color w:val="auto"/>
                <w:sz w:val="24"/>
                <w:lang w:val="en-US" w:eastAsia="zh-CN"/>
              </w:rPr>
              <w:t>7</w:t>
            </w:r>
            <w:r>
              <w:rPr>
                <w:rFonts w:hint="eastAsia" w:ascii="宋体" w:hAnsi="宋体" w:eastAsia="宋体" w:cs="宋体"/>
                <w:color w:val="auto"/>
                <w:sz w:val="24"/>
              </w:rPr>
              <w:t>-01-9</w:t>
            </w:r>
            <w:r>
              <w:rPr>
                <w:rFonts w:hint="eastAsia" w:ascii="宋体" w:hAnsi="宋体" w:eastAsia="宋体" w:cs="宋体"/>
                <w:color w:val="auto"/>
                <w:sz w:val="24"/>
                <w:lang w:val="en-US" w:eastAsia="zh-CN"/>
              </w:rPr>
              <w:t>03068</w:t>
            </w:r>
          </w:p>
        </w:tc>
      </w:tr>
      <w:tr w14:paraId="79FF34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2034" w:type="dxa"/>
            <w:noWrap w:val="0"/>
            <w:tcMar>
              <w:top w:w="16" w:type="dxa"/>
              <w:left w:w="16" w:type="dxa"/>
              <w:right w:w="16" w:type="dxa"/>
            </w:tcMar>
            <w:vAlign w:val="center"/>
          </w:tcPr>
          <w:p w14:paraId="6CDACF47">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eastAsia="宋体" w:cs="宋体"/>
                <w:color w:val="auto"/>
                <w:sz w:val="24"/>
              </w:rPr>
            </w:pPr>
            <w:r>
              <w:rPr>
                <w:rFonts w:hint="eastAsia" w:ascii="宋体" w:hAnsi="宋体" w:eastAsia="宋体" w:cs="宋体"/>
                <w:color w:val="auto"/>
                <w:sz w:val="24"/>
              </w:rPr>
              <w:t>建设单位联系人</w:t>
            </w:r>
          </w:p>
        </w:tc>
        <w:tc>
          <w:tcPr>
            <w:tcW w:w="2344" w:type="dxa"/>
            <w:noWrap w:val="0"/>
            <w:vAlign w:val="center"/>
          </w:tcPr>
          <w:p w14:paraId="5923F082">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eastAsia="宋体" w:cs="宋体"/>
                <w:color w:val="auto"/>
                <w:sz w:val="24"/>
              </w:rPr>
            </w:pPr>
            <w:r>
              <w:rPr>
                <w:rFonts w:hint="eastAsia" w:ascii="宋体" w:hAnsi="宋体" w:eastAsia="宋体" w:cs="宋体"/>
                <w:color w:val="auto"/>
                <w:sz w:val="24"/>
              </w:rPr>
              <w:t>范丽萍</w:t>
            </w:r>
          </w:p>
        </w:tc>
        <w:tc>
          <w:tcPr>
            <w:tcW w:w="1936" w:type="dxa"/>
            <w:noWrap w:val="0"/>
            <w:vAlign w:val="center"/>
          </w:tcPr>
          <w:p w14:paraId="74F92D3E">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eastAsia="宋体" w:cs="宋体"/>
                <w:color w:val="auto"/>
                <w:sz w:val="24"/>
              </w:rPr>
            </w:pPr>
            <w:r>
              <w:rPr>
                <w:rFonts w:hint="eastAsia" w:ascii="宋体" w:hAnsi="宋体" w:eastAsia="宋体" w:cs="宋体"/>
                <w:color w:val="auto"/>
                <w:sz w:val="24"/>
              </w:rPr>
              <w:t>联系方式</w:t>
            </w:r>
          </w:p>
        </w:tc>
        <w:tc>
          <w:tcPr>
            <w:tcW w:w="2987" w:type="dxa"/>
            <w:noWrap w:val="0"/>
            <w:vAlign w:val="center"/>
          </w:tcPr>
          <w:p w14:paraId="782445A9">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eastAsia="宋体" w:cs="宋体"/>
                <w:color w:val="auto"/>
                <w:sz w:val="24"/>
              </w:rPr>
            </w:pPr>
            <w:r>
              <w:rPr>
                <w:rFonts w:hint="eastAsia" w:ascii="宋体" w:hAnsi="宋体" w:eastAsia="宋体" w:cs="宋体"/>
                <w:color w:val="auto"/>
                <w:sz w:val="24"/>
              </w:rPr>
              <w:t>17793786680</w:t>
            </w:r>
          </w:p>
        </w:tc>
      </w:tr>
      <w:tr w14:paraId="1CC09D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2034" w:type="dxa"/>
            <w:noWrap w:val="0"/>
            <w:tcMar>
              <w:top w:w="16" w:type="dxa"/>
              <w:left w:w="16" w:type="dxa"/>
              <w:right w:w="16" w:type="dxa"/>
            </w:tcMar>
            <w:vAlign w:val="center"/>
          </w:tcPr>
          <w:p w14:paraId="348CCCC3">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cs="宋体"/>
                <w:color w:val="auto"/>
                <w:sz w:val="24"/>
              </w:rPr>
            </w:pPr>
            <w:r>
              <w:rPr>
                <w:rFonts w:hint="eastAsia" w:ascii="宋体" w:hAnsi="宋体" w:cs="宋体"/>
                <w:color w:val="auto"/>
                <w:sz w:val="24"/>
              </w:rPr>
              <w:t>建设地点</w:t>
            </w:r>
          </w:p>
        </w:tc>
        <w:tc>
          <w:tcPr>
            <w:tcW w:w="7267" w:type="dxa"/>
            <w:gridSpan w:val="3"/>
            <w:noWrap w:val="0"/>
            <w:vAlign w:val="center"/>
          </w:tcPr>
          <w:p w14:paraId="7367538D">
            <w:pPr>
              <w:keepNext w:val="0"/>
              <w:keepLines w:val="0"/>
              <w:pageBreakBefore w:val="0"/>
              <w:kinsoku/>
              <w:wordWrap/>
              <w:overflowPunct/>
              <w:topLinePunct w:val="0"/>
              <w:bidi w:val="0"/>
              <w:adjustRightInd w:val="0"/>
              <w:snapToGrid w:val="0"/>
              <w:spacing w:line="264" w:lineRule="auto"/>
              <w:jc w:val="center"/>
              <w:textAlignment w:val="auto"/>
              <w:rPr>
                <w:rFonts w:hint="default" w:ascii="宋体" w:hAnsi="宋体" w:eastAsia="宋体" w:cs="宋体"/>
                <w:color w:val="auto"/>
                <w:sz w:val="24"/>
                <w:lang w:val="en-US" w:eastAsia="zh-CN"/>
              </w:rPr>
            </w:pPr>
            <w:r>
              <w:rPr>
                <w:rFonts w:hint="eastAsia" w:ascii="宋体" w:hAnsi="宋体" w:cs="宋体"/>
                <w:color w:val="auto"/>
                <w:sz w:val="24"/>
                <w:u w:val="single"/>
              </w:rPr>
              <w:t>新疆维吾尔</w:t>
            </w:r>
            <w:r>
              <w:rPr>
                <w:rFonts w:hint="eastAsia" w:ascii="宋体" w:hAnsi="宋体" w:cs="宋体"/>
                <w:color w:val="auto"/>
                <w:sz w:val="24"/>
              </w:rPr>
              <w:t>自治区</w:t>
            </w:r>
            <w:r>
              <w:rPr>
                <w:rFonts w:hint="eastAsia" w:ascii="宋体" w:hAnsi="宋体" w:cs="宋体"/>
                <w:color w:val="auto"/>
                <w:sz w:val="24"/>
                <w:u w:val="single"/>
              </w:rPr>
              <w:t>昌吉回族</w:t>
            </w:r>
            <w:r>
              <w:rPr>
                <w:rFonts w:hint="eastAsia" w:ascii="宋体" w:hAnsi="宋体" w:cs="宋体"/>
                <w:color w:val="auto"/>
                <w:sz w:val="24"/>
                <w:lang w:val="en-US" w:eastAsia="zh-CN"/>
              </w:rPr>
              <w:t>自治州</w:t>
            </w:r>
            <w:r>
              <w:rPr>
                <w:rFonts w:hint="eastAsia" w:ascii="宋体" w:hAnsi="宋体" w:cs="宋体"/>
                <w:color w:val="auto"/>
                <w:sz w:val="24"/>
                <w:u w:val="single"/>
              </w:rPr>
              <w:t>昌吉高新技术产业开发区</w:t>
            </w:r>
            <w:r>
              <w:rPr>
                <w:rFonts w:hint="eastAsia" w:ascii="宋体" w:hAnsi="宋体" w:cs="宋体"/>
                <w:color w:val="auto"/>
                <w:sz w:val="24"/>
                <w:u w:val="single"/>
                <w:lang w:val="en-US" w:eastAsia="zh-CN"/>
              </w:rPr>
              <w:t>C-16号</w:t>
            </w:r>
          </w:p>
        </w:tc>
      </w:tr>
      <w:tr w14:paraId="697984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2034" w:type="dxa"/>
            <w:noWrap w:val="0"/>
            <w:tcMar>
              <w:top w:w="16" w:type="dxa"/>
              <w:left w:w="16" w:type="dxa"/>
              <w:right w:w="16" w:type="dxa"/>
            </w:tcMar>
            <w:vAlign w:val="center"/>
          </w:tcPr>
          <w:p w14:paraId="5A8733C1">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cs="宋体"/>
                <w:color w:val="auto"/>
                <w:sz w:val="24"/>
              </w:rPr>
            </w:pPr>
            <w:r>
              <w:rPr>
                <w:rFonts w:hint="eastAsia" w:ascii="宋体" w:hAnsi="宋体" w:cs="宋体"/>
                <w:color w:val="auto"/>
                <w:sz w:val="24"/>
              </w:rPr>
              <w:t>地理坐标</w:t>
            </w:r>
          </w:p>
        </w:tc>
        <w:tc>
          <w:tcPr>
            <w:tcW w:w="7267" w:type="dxa"/>
            <w:gridSpan w:val="3"/>
            <w:noWrap w:val="0"/>
            <w:vAlign w:val="center"/>
          </w:tcPr>
          <w:p w14:paraId="57D74CF6">
            <w:pPr>
              <w:pStyle w:val="23"/>
              <w:keepNext w:val="0"/>
              <w:keepLines w:val="0"/>
              <w:pageBreakBefore w:val="0"/>
              <w:kinsoku/>
              <w:wordWrap/>
              <w:overflowPunct/>
              <w:topLinePunct w:val="0"/>
              <w:bidi w:val="0"/>
              <w:spacing w:before="0" w:beforeAutospacing="0" w:after="0" w:afterAutospacing="0" w:line="264" w:lineRule="auto"/>
              <w:jc w:val="center"/>
              <w:textAlignment w:val="auto"/>
              <w:rPr>
                <w:rFonts w:hint="eastAsia" w:cs="宋体"/>
                <w:color w:val="auto"/>
                <w:szCs w:val="24"/>
              </w:rPr>
            </w:pPr>
            <w:r>
              <w:rPr>
                <w:rFonts w:hint="eastAsia" w:cs="宋体"/>
                <w:color w:val="auto"/>
                <w:szCs w:val="24"/>
              </w:rPr>
              <w:t>（</w:t>
            </w:r>
            <w:r>
              <w:rPr>
                <w:rFonts w:hint="eastAsia" w:cs="宋体"/>
                <w:color w:val="auto"/>
                <w:szCs w:val="24"/>
                <w:u w:val="single"/>
              </w:rPr>
              <w:t xml:space="preserve"> 87 </w:t>
            </w:r>
            <w:r>
              <w:rPr>
                <w:rFonts w:hint="eastAsia" w:cs="宋体"/>
                <w:color w:val="auto"/>
                <w:szCs w:val="24"/>
              </w:rPr>
              <w:t>度</w:t>
            </w:r>
            <w:r>
              <w:rPr>
                <w:rFonts w:hint="eastAsia" w:cs="宋体"/>
                <w:color w:val="auto"/>
                <w:szCs w:val="24"/>
                <w:u w:val="single"/>
              </w:rPr>
              <w:t xml:space="preserve"> 22 </w:t>
            </w:r>
            <w:r>
              <w:rPr>
                <w:rFonts w:hint="eastAsia" w:cs="宋体"/>
                <w:color w:val="auto"/>
                <w:szCs w:val="24"/>
              </w:rPr>
              <w:t>分</w:t>
            </w:r>
            <w:r>
              <w:rPr>
                <w:rFonts w:hint="eastAsia" w:cs="宋体"/>
                <w:color w:val="auto"/>
                <w:szCs w:val="24"/>
                <w:u w:val="single"/>
              </w:rPr>
              <w:t xml:space="preserve"> 24.273 </w:t>
            </w:r>
            <w:r>
              <w:rPr>
                <w:rFonts w:hint="eastAsia" w:cs="宋体"/>
                <w:color w:val="auto"/>
                <w:szCs w:val="24"/>
              </w:rPr>
              <w:t>秒，</w:t>
            </w:r>
            <w:r>
              <w:rPr>
                <w:rFonts w:hint="eastAsia" w:cs="宋体"/>
                <w:color w:val="auto"/>
                <w:szCs w:val="24"/>
                <w:u w:val="single"/>
              </w:rPr>
              <w:t xml:space="preserve"> 43 </w:t>
            </w:r>
            <w:r>
              <w:rPr>
                <w:rFonts w:hint="eastAsia" w:cs="宋体"/>
                <w:color w:val="auto"/>
                <w:szCs w:val="24"/>
              </w:rPr>
              <w:t>度</w:t>
            </w:r>
            <w:r>
              <w:rPr>
                <w:rFonts w:hint="eastAsia" w:cs="宋体"/>
                <w:color w:val="auto"/>
                <w:szCs w:val="24"/>
                <w:u w:val="single"/>
              </w:rPr>
              <w:t xml:space="preserve"> 54 </w:t>
            </w:r>
            <w:r>
              <w:rPr>
                <w:rFonts w:hint="eastAsia" w:cs="宋体"/>
                <w:color w:val="auto"/>
                <w:szCs w:val="24"/>
              </w:rPr>
              <w:t>分</w:t>
            </w:r>
            <w:r>
              <w:rPr>
                <w:rFonts w:hint="eastAsia" w:cs="宋体"/>
                <w:color w:val="auto"/>
                <w:szCs w:val="24"/>
                <w:u w:val="single"/>
              </w:rPr>
              <w:t xml:space="preserve"> 36.437 </w:t>
            </w:r>
            <w:r>
              <w:rPr>
                <w:rFonts w:hint="eastAsia" w:cs="宋体"/>
                <w:color w:val="auto"/>
                <w:szCs w:val="24"/>
              </w:rPr>
              <w:t>秒）</w:t>
            </w:r>
          </w:p>
        </w:tc>
      </w:tr>
      <w:tr w14:paraId="17F58F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757" w:hRule="atLeast"/>
          <w:jc w:val="center"/>
        </w:trPr>
        <w:tc>
          <w:tcPr>
            <w:tcW w:w="2034" w:type="dxa"/>
            <w:noWrap w:val="0"/>
            <w:tcMar>
              <w:top w:w="16" w:type="dxa"/>
              <w:left w:w="16" w:type="dxa"/>
              <w:right w:w="16" w:type="dxa"/>
            </w:tcMar>
            <w:vAlign w:val="center"/>
          </w:tcPr>
          <w:p w14:paraId="5496C176">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cs="宋体"/>
                <w:color w:val="auto"/>
                <w:sz w:val="24"/>
              </w:rPr>
            </w:pPr>
            <w:r>
              <w:rPr>
                <w:rFonts w:hint="eastAsia" w:ascii="宋体" w:hAnsi="宋体" w:cs="宋体"/>
                <w:color w:val="auto"/>
                <w:sz w:val="24"/>
              </w:rPr>
              <w:t>国民经济</w:t>
            </w:r>
          </w:p>
          <w:p w14:paraId="20CE87D4">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cs="宋体"/>
                <w:color w:val="auto"/>
                <w:sz w:val="24"/>
              </w:rPr>
            </w:pPr>
            <w:r>
              <w:rPr>
                <w:rFonts w:hint="eastAsia" w:ascii="宋体" w:hAnsi="宋体" w:cs="宋体"/>
                <w:color w:val="auto"/>
                <w:sz w:val="24"/>
              </w:rPr>
              <w:t>行业类别</w:t>
            </w:r>
          </w:p>
        </w:tc>
        <w:tc>
          <w:tcPr>
            <w:tcW w:w="2344" w:type="dxa"/>
            <w:noWrap w:val="0"/>
            <w:vAlign w:val="center"/>
          </w:tcPr>
          <w:p w14:paraId="26BB5A5D">
            <w:pPr>
              <w:keepNext w:val="0"/>
              <w:keepLines w:val="0"/>
              <w:pageBreakBefore w:val="0"/>
              <w:kinsoku/>
              <w:wordWrap/>
              <w:overflowPunct/>
              <w:topLinePunct w:val="0"/>
              <w:bidi w:val="0"/>
              <w:adjustRightInd w:val="0"/>
              <w:snapToGrid w:val="0"/>
              <w:spacing w:line="264" w:lineRule="auto"/>
              <w:jc w:val="center"/>
              <w:textAlignment w:val="auto"/>
              <w:rPr>
                <w:rFonts w:ascii="宋体" w:hAnsi="宋体" w:cs="宋体"/>
                <w:color w:val="auto"/>
                <w:sz w:val="24"/>
              </w:rPr>
            </w:pPr>
            <w:r>
              <w:rPr>
                <w:rFonts w:hint="eastAsia" w:ascii="宋体" w:hAnsi="宋体" w:cs="宋体"/>
                <w:color w:val="auto"/>
                <w:sz w:val="24"/>
              </w:rPr>
              <w:t>C3311金属结构制造</w:t>
            </w:r>
          </w:p>
        </w:tc>
        <w:tc>
          <w:tcPr>
            <w:tcW w:w="1936" w:type="dxa"/>
            <w:noWrap w:val="0"/>
            <w:vAlign w:val="center"/>
          </w:tcPr>
          <w:p w14:paraId="171ADEE6">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cs="宋体"/>
                <w:color w:val="auto"/>
                <w:sz w:val="24"/>
              </w:rPr>
            </w:pPr>
            <w:bookmarkStart w:id="4" w:name="_Hlk49843745"/>
            <w:r>
              <w:rPr>
                <w:rFonts w:hint="eastAsia" w:ascii="宋体" w:hAnsi="宋体" w:cs="宋体"/>
                <w:color w:val="auto"/>
                <w:sz w:val="24"/>
              </w:rPr>
              <w:t>建设项目</w:t>
            </w:r>
          </w:p>
          <w:p w14:paraId="47085EC3">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cs="宋体"/>
                <w:color w:val="auto"/>
                <w:sz w:val="24"/>
              </w:rPr>
            </w:pPr>
            <w:r>
              <w:rPr>
                <w:rFonts w:hint="eastAsia" w:ascii="宋体" w:hAnsi="宋体" w:cs="宋体"/>
                <w:color w:val="auto"/>
                <w:sz w:val="24"/>
              </w:rPr>
              <w:t>行业类别</w:t>
            </w:r>
            <w:bookmarkEnd w:id="4"/>
          </w:p>
        </w:tc>
        <w:tc>
          <w:tcPr>
            <w:tcW w:w="2987" w:type="dxa"/>
            <w:noWrap w:val="0"/>
            <w:vAlign w:val="center"/>
          </w:tcPr>
          <w:p w14:paraId="191F51C6">
            <w:pPr>
              <w:keepNext w:val="0"/>
              <w:keepLines w:val="0"/>
              <w:pageBreakBefore w:val="0"/>
              <w:widowControl w:val="0"/>
              <w:kinsoku/>
              <w:wordWrap/>
              <w:overflowPunct/>
              <w:topLinePunct w:val="0"/>
              <w:autoSpaceDE/>
              <w:autoSpaceDN/>
              <w:bidi w:val="0"/>
              <w:adjustRightInd w:val="0"/>
              <w:snapToGrid w:val="0"/>
              <w:spacing w:line="264" w:lineRule="auto"/>
              <w:jc w:val="center"/>
              <w:textAlignment w:val="auto"/>
              <w:rPr>
                <w:rFonts w:ascii="宋体" w:hAnsi="宋体" w:cs="宋体"/>
                <w:color w:val="auto"/>
                <w:sz w:val="24"/>
              </w:rPr>
            </w:pPr>
            <w:r>
              <w:rPr>
                <w:rFonts w:hint="eastAsia" w:ascii="宋体" w:hAnsi="宋体" w:cs="宋体"/>
                <w:color w:val="auto"/>
                <w:sz w:val="24"/>
              </w:rPr>
              <w:t>三十、金属制品业33-66结构性金属制品制造331-其他（仅分割、焊接、组装的除外；年用非溶剂型低VOC</w:t>
            </w:r>
            <w:r>
              <w:rPr>
                <w:rFonts w:hint="eastAsia" w:ascii="宋体" w:hAnsi="宋体" w:cs="宋体"/>
                <w:color w:val="auto"/>
                <w:sz w:val="24"/>
                <w:vertAlign w:val="subscript"/>
              </w:rPr>
              <w:t>S</w:t>
            </w:r>
            <w:r>
              <w:rPr>
                <w:rFonts w:hint="eastAsia" w:ascii="宋体" w:hAnsi="宋体" w:cs="宋体"/>
                <w:color w:val="auto"/>
                <w:sz w:val="24"/>
              </w:rPr>
              <w:t>含量涂料10吨以下的除外）</w:t>
            </w:r>
          </w:p>
        </w:tc>
      </w:tr>
      <w:tr w14:paraId="5D08A7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417" w:hRule="atLeast"/>
          <w:jc w:val="center"/>
        </w:trPr>
        <w:tc>
          <w:tcPr>
            <w:tcW w:w="2034" w:type="dxa"/>
            <w:noWrap w:val="0"/>
            <w:tcMar>
              <w:top w:w="16" w:type="dxa"/>
              <w:left w:w="16" w:type="dxa"/>
              <w:right w:w="16" w:type="dxa"/>
            </w:tcMar>
            <w:vAlign w:val="center"/>
          </w:tcPr>
          <w:p w14:paraId="49132093">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cs="宋体"/>
                <w:color w:val="auto"/>
                <w:sz w:val="24"/>
              </w:rPr>
            </w:pPr>
            <w:r>
              <w:rPr>
                <w:rFonts w:hint="eastAsia" w:ascii="宋体" w:hAnsi="宋体" w:cs="宋体"/>
                <w:color w:val="auto"/>
                <w:sz w:val="24"/>
              </w:rPr>
              <w:t>建设性质</w:t>
            </w:r>
          </w:p>
        </w:tc>
        <w:tc>
          <w:tcPr>
            <w:tcW w:w="2344" w:type="dxa"/>
            <w:noWrap w:val="0"/>
            <w:vAlign w:val="center"/>
          </w:tcPr>
          <w:p w14:paraId="4C1CBE59">
            <w:pPr>
              <w:keepNext w:val="0"/>
              <w:keepLines w:val="0"/>
              <w:pageBreakBefore w:val="0"/>
              <w:kinsoku/>
              <w:wordWrap/>
              <w:overflowPunct/>
              <w:topLinePunct w:val="0"/>
              <w:bidi w:val="0"/>
              <w:adjustRightInd w:val="0"/>
              <w:snapToGrid w:val="0"/>
              <w:spacing w:line="264" w:lineRule="auto"/>
              <w:jc w:val="left"/>
              <w:textAlignment w:val="auto"/>
              <w:rPr>
                <w:rFonts w:hint="eastAsia" w:ascii="宋体" w:hAnsi="宋体" w:cs="宋体"/>
                <w:color w:val="auto"/>
                <w:sz w:val="24"/>
              </w:rPr>
            </w:pPr>
            <w:r>
              <w:rPr>
                <w:rFonts w:hint="eastAsia" w:ascii="宋体" w:hAnsi="宋体" w:cs="宋体"/>
                <w:color w:val="auto"/>
                <w:sz w:val="24"/>
              </w:rPr>
              <w:sym w:font="Wingdings" w:char="00FE"/>
            </w:r>
            <w:r>
              <w:rPr>
                <w:rFonts w:hint="eastAsia" w:ascii="宋体" w:hAnsi="宋体" w:cs="宋体"/>
                <w:color w:val="auto"/>
                <w:sz w:val="24"/>
              </w:rPr>
              <w:t>新建（迁建）</w:t>
            </w:r>
          </w:p>
          <w:p w14:paraId="2E4F6BE5">
            <w:pPr>
              <w:keepNext w:val="0"/>
              <w:keepLines w:val="0"/>
              <w:pageBreakBefore w:val="0"/>
              <w:kinsoku/>
              <w:wordWrap/>
              <w:overflowPunct/>
              <w:topLinePunct w:val="0"/>
              <w:bidi w:val="0"/>
              <w:adjustRightInd w:val="0"/>
              <w:snapToGrid w:val="0"/>
              <w:spacing w:line="264" w:lineRule="auto"/>
              <w:jc w:val="left"/>
              <w:textAlignment w:val="auto"/>
              <w:rPr>
                <w:rFonts w:hint="eastAsia" w:ascii="宋体" w:hAnsi="宋体" w:cs="宋体"/>
                <w:color w:val="auto"/>
                <w:sz w:val="24"/>
              </w:rPr>
            </w:pPr>
            <w:r>
              <w:rPr>
                <w:rFonts w:hint="eastAsia" w:ascii="宋体" w:hAnsi="宋体" w:cs="宋体"/>
                <w:color w:val="auto"/>
                <w:sz w:val="24"/>
              </w:rPr>
              <w:sym w:font="Wingdings" w:char="00A8"/>
            </w:r>
            <w:r>
              <w:rPr>
                <w:rFonts w:hint="eastAsia" w:ascii="宋体" w:hAnsi="宋体" w:cs="宋体"/>
                <w:color w:val="auto"/>
                <w:sz w:val="24"/>
              </w:rPr>
              <w:t>改建</w:t>
            </w:r>
          </w:p>
          <w:p w14:paraId="4A377E56">
            <w:pPr>
              <w:keepNext w:val="0"/>
              <w:keepLines w:val="0"/>
              <w:pageBreakBefore w:val="0"/>
              <w:kinsoku/>
              <w:wordWrap/>
              <w:overflowPunct/>
              <w:topLinePunct w:val="0"/>
              <w:bidi w:val="0"/>
              <w:adjustRightInd w:val="0"/>
              <w:snapToGrid w:val="0"/>
              <w:spacing w:line="264" w:lineRule="auto"/>
              <w:jc w:val="left"/>
              <w:textAlignment w:val="auto"/>
              <w:rPr>
                <w:rFonts w:hint="eastAsia" w:ascii="宋体" w:hAnsi="宋体" w:cs="宋体"/>
                <w:color w:val="auto"/>
                <w:sz w:val="24"/>
              </w:rPr>
            </w:pPr>
            <w:r>
              <w:rPr>
                <w:rFonts w:hint="eastAsia" w:ascii="宋体" w:hAnsi="宋体" w:cs="宋体"/>
                <w:color w:val="auto"/>
                <w:sz w:val="24"/>
              </w:rPr>
              <w:sym w:font="Wingdings" w:char="00A8"/>
            </w:r>
            <w:r>
              <w:rPr>
                <w:rFonts w:hint="eastAsia" w:ascii="宋体" w:hAnsi="宋体" w:cs="宋体"/>
                <w:color w:val="auto"/>
                <w:sz w:val="24"/>
              </w:rPr>
              <w:t>扩建</w:t>
            </w:r>
          </w:p>
          <w:p w14:paraId="3F577C81">
            <w:pPr>
              <w:keepNext w:val="0"/>
              <w:keepLines w:val="0"/>
              <w:pageBreakBefore w:val="0"/>
              <w:kinsoku/>
              <w:wordWrap/>
              <w:overflowPunct/>
              <w:topLinePunct w:val="0"/>
              <w:bidi w:val="0"/>
              <w:adjustRightInd w:val="0"/>
              <w:snapToGrid w:val="0"/>
              <w:spacing w:line="264" w:lineRule="auto"/>
              <w:jc w:val="left"/>
              <w:textAlignment w:val="auto"/>
              <w:rPr>
                <w:rFonts w:hint="eastAsia" w:ascii="宋体" w:hAnsi="宋体" w:cs="宋体"/>
                <w:color w:val="auto"/>
                <w:sz w:val="24"/>
              </w:rPr>
            </w:pPr>
            <w:r>
              <w:rPr>
                <w:rFonts w:hint="eastAsia" w:ascii="宋体" w:hAnsi="宋体" w:cs="宋体"/>
                <w:color w:val="auto"/>
                <w:sz w:val="24"/>
              </w:rPr>
              <w:sym w:font="Wingdings" w:char="00A8"/>
            </w:r>
            <w:r>
              <w:rPr>
                <w:rFonts w:hint="eastAsia" w:ascii="宋体" w:hAnsi="宋体" w:cs="宋体"/>
                <w:color w:val="auto"/>
                <w:sz w:val="24"/>
              </w:rPr>
              <w:t>技术改造</w:t>
            </w:r>
          </w:p>
        </w:tc>
        <w:tc>
          <w:tcPr>
            <w:tcW w:w="1936" w:type="dxa"/>
            <w:noWrap w:val="0"/>
            <w:vAlign w:val="center"/>
          </w:tcPr>
          <w:p w14:paraId="5DB7987F">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cs="宋体"/>
                <w:color w:val="auto"/>
                <w:sz w:val="24"/>
              </w:rPr>
            </w:pPr>
            <w:r>
              <w:rPr>
                <w:rFonts w:hint="eastAsia" w:ascii="宋体" w:hAnsi="宋体" w:cs="宋体"/>
                <w:color w:val="auto"/>
                <w:sz w:val="24"/>
              </w:rPr>
              <w:t>建设项目</w:t>
            </w:r>
          </w:p>
          <w:p w14:paraId="3C5C8633">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cs="宋体"/>
                <w:color w:val="auto"/>
                <w:sz w:val="24"/>
              </w:rPr>
            </w:pPr>
            <w:r>
              <w:rPr>
                <w:rFonts w:hint="eastAsia" w:ascii="宋体" w:hAnsi="宋体" w:cs="宋体"/>
                <w:color w:val="auto"/>
                <w:sz w:val="24"/>
              </w:rPr>
              <w:t>申报情形</w:t>
            </w:r>
          </w:p>
        </w:tc>
        <w:tc>
          <w:tcPr>
            <w:tcW w:w="2987" w:type="dxa"/>
            <w:noWrap w:val="0"/>
            <w:vAlign w:val="center"/>
          </w:tcPr>
          <w:p w14:paraId="46BE6BB5">
            <w:pPr>
              <w:keepNext w:val="0"/>
              <w:keepLines w:val="0"/>
              <w:pageBreakBefore w:val="0"/>
              <w:kinsoku/>
              <w:wordWrap/>
              <w:overflowPunct/>
              <w:topLinePunct w:val="0"/>
              <w:bidi w:val="0"/>
              <w:adjustRightInd w:val="0"/>
              <w:snapToGrid w:val="0"/>
              <w:spacing w:line="264" w:lineRule="auto"/>
              <w:jc w:val="left"/>
              <w:textAlignment w:val="auto"/>
              <w:rPr>
                <w:rFonts w:hint="eastAsia" w:ascii="宋体" w:hAnsi="宋体" w:cs="宋体"/>
                <w:color w:val="auto"/>
                <w:sz w:val="24"/>
              </w:rPr>
            </w:pPr>
            <w:r>
              <w:rPr>
                <w:rFonts w:hint="eastAsia" w:ascii="宋体" w:hAnsi="宋体" w:cs="宋体"/>
                <w:color w:val="auto"/>
                <w:sz w:val="24"/>
              </w:rPr>
              <w:sym w:font="Wingdings" w:char="00FE"/>
            </w:r>
            <w:r>
              <w:rPr>
                <w:rFonts w:hint="eastAsia" w:ascii="宋体" w:hAnsi="宋体" w:cs="宋体"/>
                <w:color w:val="auto"/>
                <w:sz w:val="24"/>
              </w:rPr>
              <w:t xml:space="preserve">首次申报项目             </w:t>
            </w:r>
          </w:p>
          <w:p w14:paraId="1F414331">
            <w:pPr>
              <w:keepNext w:val="0"/>
              <w:keepLines w:val="0"/>
              <w:pageBreakBefore w:val="0"/>
              <w:kinsoku/>
              <w:wordWrap/>
              <w:overflowPunct/>
              <w:topLinePunct w:val="0"/>
              <w:bidi w:val="0"/>
              <w:adjustRightInd w:val="0"/>
              <w:snapToGrid w:val="0"/>
              <w:spacing w:line="264" w:lineRule="auto"/>
              <w:jc w:val="left"/>
              <w:textAlignment w:val="auto"/>
              <w:rPr>
                <w:rFonts w:hint="eastAsia" w:ascii="宋体" w:hAnsi="宋体" w:cs="宋体"/>
                <w:color w:val="auto"/>
                <w:sz w:val="24"/>
              </w:rPr>
            </w:pPr>
            <w:r>
              <w:rPr>
                <w:rFonts w:hint="eastAsia" w:ascii="宋体" w:hAnsi="宋体" w:cs="宋体"/>
                <w:color w:val="auto"/>
                <w:sz w:val="24"/>
              </w:rPr>
              <w:sym w:font="Wingdings" w:char="00A8"/>
            </w:r>
            <w:r>
              <w:rPr>
                <w:rFonts w:hint="eastAsia" w:ascii="宋体" w:hAnsi="宋体" w:cs="宋体"/>
                <w:color w:val="auto"/>
                <w:sz w:val="24"/>
              </w:rPr>
              <w:t>不予批准后再次申报项目</w:t>
            </w:r>
          </w:p>
          <w:p w14:paraId="3CF1425C">
            <w:pPr>
              <w:keepNext w:val="0"/>
              <w:keepLines w:val="0"/>
              <w:pageBreakBefore w:val="0"/>
              <w:kinsoku/>
              <w:wordWrap/>
              <w:overflowPunct/>
              <w:topLinePunct w:val="0"/>
              <w:bidi w:val="0"/>
              <w:adjustRightInd w:val="0"/>
              <w:snapToGrid w:val="0"/>
              <w:spacing w:line="264" w:lineRule="auto"/>
              <w:jc w:val="left"/>
              <w:textAlignment w:val="auto"/>
              <w:rPr>
                <w:rFonts w:hint="eastAsia" w:ascii="宋体" w:hAnsi="宋体" w:cs="宋体"/>
                <w:color w:val="auto"/>
                <w:sz w:val="24"/>
              </w:rPr>
            </w:pPr>
            <w:r>
              <w:rPr>
                <w:rFonts w:hint="eastAsia" w:ascii="宋体" w:hAnsi="宋体" w:cs="宋体"/>
                <w:color w:val="auto"/>
                <w:sz w:val="24"/>
              </w:rPr>
              <w:sym w:font="Wingdings" w:char="00A8"/>
            </w:r>
            <w:r>
              <w:rPr>
                <w:rFonts w:hint="eastAsia" w:ascii="宋体" w:hAnsi="宋体" w:cs="宋体"/>
                <w:color w:val="auto"/>
                <w:sz w:val="24"/>
              </w:rPr>
              <w:t xml:space="preserve">超五年重新审核项目     </w:t>
            </w:r>
          </w:p>
          <w:p w14:paraId="32CF13A9">
            <w:pPr>
              <w:keepNext w:val="0"/>
              <w:keepLines w:val="0"/>
              <w:pageBreakBefore w:val="0"/>
              <w:kinsoku/>
              <w:wordWrap/>
              <w:overflowPunct/>
              <w:topLinePunct w:val="0"/>
              <w:bidi w:val="0"/>
              <w:adjustRightInd w:val="0"/>
              <w:snapToGrid w:val="0"/>
              <w:spacing w:line="264" w:lineRule="auto"/>
              <w:jc w:val="left"/>
              <w:textAlignment w:val="auto"/>
              <w:rPr>
                <w:rFonts w:hint="eastAsia" w:ascii="宋体" w:hAnsi="宋体" w:cs="宋体"/>
                <w:color w:val="auto"/>
                <w:sz w:val="24"/>
              </w:rPr>
            </w:pPr>
            <w:r>
              <w:rPr>
                <w:rFonts w:hint="eastAsia" w:ascii="宋体" w:hAnsi="宋体" w:cs="宋体"/>
                <w:color w:val="auto"/>
                <w:sz w:val="24"/>
              </w:rPr>
              <w:sym w:font="Wingdings" w:char="00A8"/>
            </w:r>
            <w:r>
              <w:rPr>
                <w:rFonts w:hint="eastAsia" w:ascii="宋体" w:hAnsi="宋体" w:cs="宋体"/>
                <w:color w:val="auto"/>
                <w:sz w:val="24"/>
              </w:rPr>
              <w:t>重大变动重新报批项目</w:t>
            </w:r>
          </w:p>
        </w:tc>
      </w:tr>
      <w:tr w14:paraId="5CD7F7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2034" w:type="dxa"/>
            <w:noWrap w:val="0"/>
            <w:tcMar>
              <w:top w:w="16" w:type="dxa"/>
              <w:left w:w="16" w:type="dxa"/>
              <w:right w:w="16" w:type="dxa"/>
            </w:tcMar>
            <w:vAlign w:val="center"/>
          </w:tcPr>
          <w:p w14:paraId="5B03CAA5">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cs="宋体"/>
                <w:color w:val="auto"/>
                <w:sz w:val="24"/>
              </w:rPr>
            </w:pPr>
            <w:r>
              <w:rPr>
                <w:rFonts w:hint="eastAsia" w:ascii="宋体" w:hAnsi="宋体" w:cs="宋体"/>
                <w:color w:val="auto"/>
                <w:sz w:val="24"/>
              </w:rPr>
              <w:t>项目审批（核准/</w:t>
            </w:r>
          </w:p>
          <w:p w14:paraId="54FA2F36">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cs="宋体"/>
                <w:color w:val="auto"/>
                <w:sz w:val="24"/>
              </w:rPr>
            </w:pPr>
            <w:r>
              <w:rPr>
                <w:rFonts w:hint="eastAsia" w:ascii="宋体" w:hAnsi="宋体" w:cs="宋体"/>
                <w:color w:val="auto"/>
                <w:sz w:val="24"/>
              </w:rPr>
              <w:t>备案）部门（选填）</w:t>
            </w:r>
          </w:p>
        </w:tc>
        <w:tc>
          <w:tcPr>
            <w:tcW w:w="2344" w:type="dxa"/>
            <w:noWrap w:val="0"/>
            <w:vAlign w:val="center"/>
          </w:tcPr>
          <w:p w14:paraId="2A7A7A4E">
            <w:pPr>
              <w:keepNext w:val="0"/>
              <w:keepLines w:val="0"/>
              <w:pageBreakBefore w:val="0"/>
              <w:kinsoku/>
              <w:wordWrap/>
              <w:overflowPunct/>
              <w:topLinePunct w:val="0"/>
              <w:bidi w:val="0"/>
              <w:adjustRightInd w:val="0"/>
              <w:snapToGrid w:val="0"/>
              <w:spacing w:line="264" w:lineRule="auto"/>
              <w:jc w:val="center"/>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昌吉高新技术产业开发区产业发展科技局</w:t>
            </w:r>
          </w:p>
        </w:tc>
        <w:tc>
          <w:tcPr>
            <w:tcW w:w="1936" w:type="dxa"/>
            <w:noWrap w:val="0"/>
            <w:vAlign w:val="center"/>
          </w:tcPr>
          <w:p w14:paraId="2A2034AD">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cs="宋体"/>
                <w:color w:val="auto"/>
                <w:sz w:val="24"/>
              </w:rPr>
            </w:pPr>
            <w:r>
              <w:rPr>
                <w:rFonts w:hint="eastAsia" w:ascii="宋体" w:hAnsi="宋体" w:cs="宋体"/>
                <w:color w:val="auto"/>
                <w:sz w:val="24"/>
              </w:rPr>
              <w:t>项目审批（核准/</w:t>
            </w:r>
          </w:p>
          <w:p w14:paraId="6CC2F041">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cs="宋体"/>
                <w:color w:val="auto"/>
                <w:sz w:val="24"/>
              </w:rPr>
            </w:pPr>
            <w:r>
              <w:rPr>
                <w:rFonts w:hint="eastAsia" w:ascii="宋体" w:hAnsi="宋体" w:cs="宋体"/>
                <w:color w:val="auto"/>
                <w:sz w:val="24"/>
              </w:rPr>
              <w:t>备案）文号（选填）</w:t>
            </w:r>
          </w:p>
        </w:tc>
        <w:tc>
          <w:tcPr>
            <w:tcW w:w="2987" w:type="dxa"/>
            <w:noWrap w:val="0"/>
            <w:vAlign w:val="center"/>
          </w:tcPr>
          <w:p w14:paraId="446CB763">
            <w:pPr>
              <w:keepNext w:val="0"/>
              <w:keepLines w:val="0"/>
              <w:pageBreakBefore w:val="0"/>
              <w:kinsoku/>
              <w:wordWrap/>
              <w:overflowPunct/>
              <w:topLinePunct w:val="0"/>
              <w:bidi w:val="0"/>
              <w:adjustRightInd w:val="0"/>
              <w:snapToGrid w:val="0"/>
              <w:spacing w:line="264" w:lineRule="auto"/>
              <w:jc w:val="center"/>
              <w:textAlignment w:val="auto"/>
              <w:rPr>
                <w:rFonts w:hint="default" w:ascii="宋体" w:hAnsi="宋体" w:eastAsia="宋体" w:cs="宋体"/>
                <w:color w:val="auto"/>
                <w:sz w:val="24"/>
                <w:lang w:val="en-US" w:eastAsia="zh-CN"/>
              </w:rPr>
            </w:pPr>
            <w:r>
              <w:rPr>
                <w:rFonts w:hint="eastAsia" w:ascii="宋体" w:hAnsi="宋体" w:cs="宋体"/>
                <w:color w:val="auto"/>
                <w:sz w:val="24"/>
                <w:lang w:val="en-US" w:eastAsia="zh-CN"/>
              </w:rPr>
              <w:t>2509041938652312000130</w:t>
            </w:r>
          </w:p>
        </w:tc>
      </w:tr>
      <w:tr w14:paraId="5BE278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2034" w:type="dxa"/>
            <w:noWrap w:val="0"/>
            <w:tcMar>
              <w:top w:w="16" w:type="dxa"/>
              <w:left w:w="16" w:type="dxa"/>
              <w:right w:w="16" w:type="dxa"/>
            </w:tcMar>
            <w:vAlign w:val="center"/>
          </w:tcPr>
          <w:p w14:paraId="570D482F">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eastAsia="宋体" w:cs="宋体"/>
                <w:color w:val="auto"/>
                <w:sz w:val="24"/>
              </w:rPr>
            </w:pPr>
            <w:r>
              <w:rPr>
                <w:rFonts w:hint="eastAsia" w:ascii="宋体" w:hAnsi="宋体" w:eastAsia="宋体" w:cs="宋体"/>
                <w:color w:val="auto"/>
                <w:sz w:val="24"/>
              </w:rPr>
              <w:t>总投资（万元）</w:t>
            </w:r>
          </w:p>
        </w:tc>
        <w:tc>
          <w:tcPr>
            <w:tcW w:w="2344" w:type="dxa"/>
            <w:noWrap w:val="0"/>
            <w:vAlign w:val="center"/>
          </w:tcPr>
          <w:p w14:paraId="62B5EAD5">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eastAsia="宋体" w:cs="宋体"/>
                <w:color w:val="auto"/>
                <w:sz w:val="24"/>
              </w:rPr>
            </w:pPr>
            <w:r>
              <w:rPr>
                <w:rFonts w:hint="eastAsia" w:ascii="宋体" w:hAnsi="宋体" w:eastAsia="宋体" w:cs="宋体"/>
                <w:color w:val="auto"/>
                <w:sz w:val="24"/>
                <w:lang w:val="en-US" w:eastAsia="zh-CN"/>
              </w:rPr>
              <w:t>72</w:t>
            </w:r>
            <w:r>
              <w:rPr>
                <w:rFonts w:hint="eastAsia" w:ascii="宋体" w:hAnsi="宋体" w:eastAsia="宋体" w:cs="宋体"/>
                <w:color w:val="auto"/>
                <w:sz w:val="24"/>
              </w:rPr>
              <w:t>00</w:t>
            </w:r>
          </w:p>
        </w:tc>
        <w:tc>
          <w:tcPr>
            <w:tcW w:w="1936" w:type="dxa"/>
            <w:noWrap w:val="0"/>
            <w:tcMar>
              <w:top w:w="16" w:type="dxa"/>
              <w:left w:w="16" w:type="dxa"/>
              <w:right w:w="16" w:type="dxa"/>
            </w:tcMar>
            <w:vAlign w:val="center"/>
          </w:tcPr>
          <w:p w14:paraId="6A3FC209">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eastAsia="宋体" w:cs="宋体"/>
                <w:color w:val="auto"/>
                <w:sz w:val="24"/>
              </w:rPr>
            </w:pPr>
            <w:r>
              <w:rPr>
                <w:rFonts w:hint="eastAsia" w:ascii="宋体" w:hAnsi="宋体" w:eastAsia="宋体" w:cs="宋体"/>
                <w:color w:val="auto"/>
                <w:sz w:val="24"/>
              </w:rPr>
              <w:t>环保投资（万元）</w:t>
            </w:r>
          </w:p>
        </w:tc>
        <w:tc>
          <w:tcPr>
            <w:tcW w:w="2987" w:type="dxa"/>
            <w:noWrap w:val="0"/>
            <w:vAlign w:val="center"/>
          </w:tcPr>
          <w:p w14:paraId="4ABA388C">
            <w:pPr>
              <w:keepNext w:val="0"/>
              <w:keepLines w:val="0"/>
              <w:pageBreakBefore w:val="0"/>
              <w:kinsoku/>
              <w:wordWrap/>
              <w:overflowPunct/>
              <w:topLinePunct w:val="0"/>
              <w:bidi w:val="0"/>
              <w:adjustRightInd w:val="0"/>
              <w:snapToGrid w:val="0"/>
              <w:spacing w:line="264" w:lineRule="auto"/>
              <w:jc w:val="center"/>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260</w:t>
            </w:r>
          </w:p>
        </w:tc>
      </w:tr>
      <w:tr w14:paraId="517770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2034" w:type="dxa"/>
            <w:noWrap w:val="0"/>
            <w:tcMar>
              <w:top w:w="16" w:type="dxa"/>
              <w:left w:w="16" w:type="dxa"/>
              <w:right w:w="16" w:type="dxa"/>
            </w:tcMar>
            <w:vAlign w:val="center"/>
          </w:tcPr>
          <w:p w14:paraId="242F8039">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eastAsia="宋体" w:cs="宋体"/>
                <w:color w:val="auto"/>
                <w:sz w:val="24"/>
              </w:rPr>
            </w:pPr>
            <w:r>
              <w:rPr>
                <w:rFonts w:hint="eastAsia" w:ascii="宋体" w:hAnsi="宋体" w:eastAsia="宋体" w:cs="宋体"/>
                <w:color w:val="auto"/>
                <w:sz w:val="24"/>
              </w:rPr>
              <w:t>环保投资占比（%）</w:t>
            </w:r>
          </w:p>
        </w:tc>
        <w:tc>
          <w:tcPr>
            <w:tcW w:w="2344" w:type="dxa"/>
            <w:noWrap w:val="0"/>
            <w:vAlign w:val="center"/>
          </w:tcPr>
          <w:p w14:paraId="0234D91E">
            <w:pPr>
              <w:keepNext w:val="0"/>
              <w:keepLines w:val="0"/>
              <w:pageBreakBefore w:val="0"/>
              <w:kinsoku/>
              <w:wordWrap/>
              <w:overflowPunct/>
              <w:topLinePunct w:val="0"/>
              <w:bidi w:val="0"/>
              <w:adjustRightInd w:val="0"/>
              <w:snapToGrid w:val="0"/>
              <w:spacing w:line="264" w:lineRule="auto"/>
              <w:jc w:val="center"/>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3.61</w:t>
            </w:r>
          </w:p>
        </w:tc>
        <w:tc>
          <w:tcPr>
            <w:tcW w:w="1936" w:type="dxa"/>
            <w:noWrap w:val="0"/>
            <w:tcMar>
              <w:top w:w="16" w:type="dxa"/>
              <w:left w:w="16" w:type="dxa"/>
              <w:right w:w="16" w:type="dxa"/>
            </w:tcMar>
            <w:vAlign w:val="center"/>
          </w:tcPr>
          <w:p w14:paraId="6D076093">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eastAsia="宋体" w:cs="宋体"/>
                <w:color w:val="auto"/>
                <w:sz w:val="24"/>
              </w:rPr>
            </w:pPr>
            <w:r>
              <w:rPr>
                <w:rFonts w:hint="eastAsia" w:ascii="宋体" w:hAnsi="宋体" w:eastAsia="宋体" w:cs="宋体"/>
                <w:color w:val="auto"/>
                <w:sz w:val="24"/>
              </w:rPr>
              <w:t>施工工期</w:t>
            </w:r>
          </w:p>
        </w:tc>
        <w:tc>
          <w:tcPr>
            <w:tcW w:w="2987" w:type="dxa"/>
            <w:noWrap w:val="0"/>
            <w:vAlign w:val="center"/>
          </w:tcPr>
          <w:p w14:paraId="108E49CF">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eastAsia="宋体" w:cs="宋体"/>
                <w:color w:val="auto"/>
                <w:sz w:val="24"/>
              </w:rPr>
            </w:pPr>
            <w:r>
              <w:rPr>
                <w:rFonts w:hint="eastAsia" w:ascii="宋体" w:hAnsi="宋体" w:eastAsia="宋体" w:cs="宋体"/>
                <w:color w:val="auto"/>
                <w:sz w:val="24"/>
                <w:lang w:val="en-US" w:eastAsia="zh-CN"/>
              </w:rPr>
              <w:t>12</w:t>
            </w:r>
            <w:r>
              <w:rPr>
                <w:rFonts w:hint="eastAsia" w:ascii="宋体" w:hAnsi="宋体" w:eastAsia="宋体" w:cs="宋体"/>
                <w:color w:val="auto"/>
                <w:sz w:val="24"/>
              </w:rPr>
              <w:t>个月</w:t>
            </w:r>
          </w:p>
        </w:tc>
      </w:tr>
      <w:tr w14:paraId="7B7485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2034" w:type="dxa"/>
            <w:noWrap w:val="0"/>
            <w:tcMar>
              <w:top w:w="16" w:type="dxa"/>
              <w:left w:w="16" w:type="dxa"/>
              <w:right w:w="16" w:type="dxa"/>
            </w:tcMar>
            <w:vAlign w:val="center"/>
          </w:tcPr>
          <w:p w14:paraId="35F0758B">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cs="宋体"/>
                <w:color w:val="auto"/>
                <w:sz w:val="24"/>
              </w:rPr>
            </w:pPr>
            <w:r>
              <w:rPr>
                <w:rFonts w:hint="eastAsia" w:ascii="宋体" w:hAnsi="宋体" w:cs="宋体"/>
                <w:color w:val="auto"/>
                <w:sz w:val="24"/>
              </w:rPr>
              <w:t>是否开工建设</w:t>
            </w:r>
          </w:p>
        </w:tc>
        <w:tc>
          <w:tcPr>
            <w:tcW w:w="2344" w:type="dxa"/>
            <w:noWrap w:val="0"/>
            <w:vAlign w:val="center"/>
          </w:tcPr>
          <w:p w14:paraId="5058EC5B">
            <w:pPr>
              <w:keepNext w:val="0"/>
              <w:keepLines w:val="0"/>
              <w:pageBreakBefore w:val="0"/>
              <w:kinsoku/>
              <w:wordWrap/>
              <w:overflowPunct/>
              <w:topLinePunct w:val="0"/>
              <w:bidi w:val="0"/>
              <w:adjustRightInd w:val="0"/>
              <w:snapToGrid w:val="0"/>
              <w:spacing w:line="264" w:lineRule="auto"/>
              <w:textAlignment w:val="auto"/>
              <w:rPr>
                <w:rFonts w:hint="eastAsia" w:ascii="宋体" w:hAnsi="宋体" w:cs="宋体"/>
                <w:color w:val="auto"/>
                <w:sz w:val="24"/>
              </w:rPr>
            </w:pPr>
            <w:r>
              <w:rPr>
                <w:rFonts w:hint="eastAsia" w:ascii="宋体" w:hAnsi="宋体" w:cs="宋体"/>
                <w:color w:val="auto"/>
                <w:sz w:val="24"/>
              </w:rPr>
              <w:sym w:font="Wingdings" w:char="00FE"/>
            </w:r>
            <w:r>
              <w:rPr>
                <w:rFonts w:hint="eastAsia" w:ascii="宋体" w:hAnsi="宋体" w:cs="宋体"/>
                <w:color w:val="auto"/>
                <w:sz w:val="24"/>
              </w:rPr>
              <w:t>否</w:t>
            </w:r>
          </w:p>
          <w:p w14:paraId="66337648">
            <w:pPr>
              <w:keepNext w:val="0"/>
              <w:keepLines w:val="0"/>
              <w:pageBreakBefore w:val="0"/>
              <w:kinsoku/>
              <w:wordWrap/>
              <w:overflowPunct/>
              <w:topLinePunct w:val="0"/>
              <w:bidi w:val="0"/>
              <w:adjustRightInd w:val="0"/>
              <w:snapToGrid w:val="0"/>
              <w:spacing w:line="264" w:lineRule="auto"/>
              <w:textAlignment w:val="auto"/>
              <w:rPr>
                <w:rFonts w:ascii="宋体" w:hAnsi="宋体" w:cs="宋体"/>
                <w:color w:val="auto"/>
                <w:sz w:val="24"/>
              </w:rPr>
            </w:pPr>
            <w:r>
              <w:rPr>
                <w:rFonts w:hint="eastAsia" w:ascii="宋体" w:hAnsi="宋体" w:cs="宋体"/>
                <w:color w:val="auto"/>
                <w:sz w:val="24"/>
              </w:rPr>
              <w:sym w:font="Wingdings" w:char="00A8"/>
            </w:r>
            <w:r>
              <w:rPr>
                <w:rFonts w:hint="eastAsia" w:ascii="宋体" w:hAnsi="宋体" w:cs="宋体"/>
                <w:color w:val="auto"/>
                <w:sz w:val="24"/>
              </w:rPr>
              <w:t>是：</w:t>
            </w:r>
            <w:r>
              <w:rPr>
                <w:rFonts w:hint="eastAsia" w:ascii="宋体" w:hAnsi="宋体" w:cs="宋体"/>
                <w:color w:val="auto"/>
                <w:sz w:val="24"/>
                <w:u w:val="single"/>
              </w:rPr>
              <w:t xml:space="preserve">            </w:t>
            </w:r>
          </w:p>
        </w:tc>
        <w:tc>
          <w:tcPr>
            <w:tcW w:w="1936" w:type="dxa"/>
            <w:noWrap w:val="0"/>
            <w:tcMar>
              <w:top w:w="16" w:type="dxa"/>
              <w:left w:w="16" w:type="dxa"/>
              <w:right w:w="16" w:type="dxa"/>
            </w:tcMar>
            <w:vAlign w:val="center"/>
          </w:tcPr>
          <w:p w14:paraId="14383119">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cs="宋体"/>
                <w:color w:val="auto"/>
                <w:sz w:val="24"/>
              </w:rPr>
            </w:pPr>
            <w:r>
              <w:rPr>
                <w:rFonts w:hint="eastAsia" w:ascii="宋体" w:hAnsi="宋体" w:cs="宋体"/>
                <w:color w:val="auto"/>
                <w:sz w:val="24"/>
              </w:rPr>
              <w:t>用地（用海）</w:t>
            </w:r>
          </w:p>
          <w:p w14:paraId="12F1073C">
            <w:pPr>
              <w:keepNext w:val="0"/>
              <w:keepLines w:val="0"/>
              <w:pageBreakBefore w:val="0"/>
              <w:kinsoku/>
              <w:wordWrap/>
              <w:overflowPunct/>
              <w:topLinePunct w:val="0"/>
              <w:bidi w:val="0"/>
              <w:adjustRightInd w:val="0"/>
              <w:snapToGrid w:val="0"/>
              <w:spacing w:line="264" w:lineRule="auto"/>
              <w:jc w:val="center"/>
              <w:textAlignment w:val="auto"/>
              <w:rPr>
                <w:rFonts w:hint="eastAsia" w:ascii="宋体" w:hAnsi="宋体" w:cs="宋体"/>
                <w:color w:val="auto"/>
                <w:sz w:val="24"/>
              </w:rPr>
            </w:pPr>
            <w:r>
              <w:rPr>
                <w:rFonts w:hint="eastAsia" w:ascii="宋体" w:hAnsi="宋体" w:cs="宋体"/>
                <w:color w:val="auto"/>
                <w:sz w:val="24"/>
              </w:rPr>
              <w:t>面积（㎡）</w:t>
            </w:r>
          </w:p>
        </w:tc>
        <w:tc>
          <w:tcPr>
            <w:tcW w:w="2987" w:type="dxa"/>
            <w:noWrap w:val="0"/>
            <w:vAlign w:val="center"/>
          </w:tcPr>
          <w:p w14:paraId="001E03DC">
            <w:pPr>
              <w:keepNext w:val="0"/>
              <w:keepLines w:val="0"/>
              <w:pageBreakBefore w:val="0"/>
              <w:kinsoku/>
              <w:wordWrap/>
              <w:overflowPunct/>
              <w:topLinePunct w:val="0"/>
              <w:bidi w:val="0"/>
              <w:adjustRightInd w:val="0"/>
              <w:snapToGrid w:val="0"/>
              <w:spacing w:line="264" w:lineRule="auto"/>
              <w:jc w:val="center"/>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27527.93</w:t>
            </w:r>
          </w:p>
        </w:tc>
      </w:tr>
      <w:tr w14:paraId="36EBE3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2034" w:type="dxa"/>
            <w:noWrap w:val="0"/>
            <w:vAlign w:val="center"/>
          </w:tcPr>
          <w:p w14:paraId="31A0B781">
            <w:pPr>
              <w:keepNext w:val="0"/>
              <w:keepLines w:val="0"/>
              <w:pageBreakBefore w:val="0"/>
              <w:kinsoku/>
              <w:wordWrap/>
              <w:overflowPunct/>
              <w:topLinePunct w:val="0"/>
              <w:autoSpaceDE w:val="0"/>
              <w:autoSpaceDN w:val="0"/>
              <w:bidi w:val="0"/>
              <w:adjustRightInd w:val="0"/>
              <w:snapToGrid w:val="0"/>
              <w:spacing w:line="264" w:lineRule="auto"/>
              <w:jc w:val="center"/>
              <w:textAlignment w:val="auto"/>
              <w:rPr>
                <w:rFonts w:hint="eastAsia" w:ascii="宋体" w:hAnsi="宋体" w:cs="宋体"/>
                <w:color w:val="auto"/>
                <w:kern w:val="0"/>
                <w:sz w:val="24"/>
              </w:rPr>
            </w:pPr>
            <w:r>
              <w:rPr>
                <w:rFonts w:hint="eastAsia" w:ascii="宋体" w:hAnsi="宋体" w:cs="宋体"/>
                <w:color w:val="auto"/>
                <w:kern w:val="0"/>
                <w:sz w:val="24"/>
              </w:rPr>
              <w:t>专项评价设置情况</w:t>
            </w:r>
          </w:p>
        </w:tc>
        <w:tc>
          <w:tcPr>
            <w:tcW w:w="7267" w:type="dxa"/>
            <w:gridSpan w:val="3"/>
            <w:noWrap w:val="0"/>
            <w:vAlign w:val="center"/>
          </w:tcPr>
          <w:p w14:paraId="4FA6690E">
            <w:pPr>
              <w:keepNext w:val="0"/>
              <w:keepLines w:val="0"/>
              <w:pageBreakBefore w:val="0"/>
              <w:widowControl/>
              <w:kinsoku/>
              <w:wordWrap/>
              <w:overflowPunct/>
              <w:topLinePunct w:val="0"/>
              <w:bidi w:val="0"/>
              <w:spacing w:line="264" w:lineRule="auto"/>
              <w:jc w:val="center"/>
              <w:textAlignment w:val="auto"/>
              <w:rPr>
                <w:rFonts w:hint="eastAsia" w:ascii="宋体" w:hAnsi="宋体" w:cs="宋体"/>
                <w:color w:val="auto"/>
                <w:kern w:val="0"/>
                <w:sz w:val="24"/>
              </w:rPr>
            </w:pPr>
            <w:r>
              <w:rPr>
                <w:rFonts w:hint="eastAsia" w:ascii="宋体" w:hAnsi="宋体" w:cs="宋体"/>
                <w:color w:val="auto"/>
                <w:sz w:val="24"/>
              </w:rPr>
              <w:t>无</w:t>
            </w:r>
          </w:p>
        </w:tc>
      </w:tr>
      <w:tr w14:paraId="2933DC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899" w:hRule="atLeast"/>
          <w:jc w:val="center"/>
        </w:trPr>
        <w:tc>
          <w:tcPr>
            <w:tcW w:w="2034" w:type="dxa"/>
            <w:noWrap w:val="0"/>
            <w:vAlign w:val="center"/>
          </w:tcPr>
          <w:p w14:paraId="1C3CD28D">
            <w:pPr>
              <w:keepNext w:val="0"/>
              <w:keepLines w:val="0"/>
              <w:pageBreakBefore w:val="0"/>
              <w:kinsoku/>
              <w:wordWrap/>
              <w:overflowPunct/>
              <w:topLinePunct w:val="0"/>
              <w:autoSpaceDE w:val="0"/>
              <w:autoSpaceDN w:val="0"/>
              <w:bidi w:val="0"/>
              <w:adjustRightInd w:val="0"/>
              <w:snapToGrid w:val="0"/>
              <w:spacing w:line="264" w:lineRule="auto"/>
              <w:jc w:val="center"/>
              <w:textAlignment w:val="auto"/>
              <w:rPr>
                <w:rFonts w:hint="eastAsia" w:ascii="宋体" w:hAnsi="宋体" w:cs="宋体"/>
                <w:color w:val="auto"/>
                <w:kern w:val="0"/>
                <w:sz w:val="24"/>
              </w:rPr>
            </w:pPr>
            <w:r>
              <w:rPr>
                <w:rFonts w:hint="eastAsia" w:ascii="宋体" w:hAnsi="宋体" w:cs="宋体"/>
                <w:color w:val="auto"/>
                <w:kern w:val="0"/>
                <w:sz w:val="24"/>
              </w:rPr>
              <w:t>规划情况</w:t>
            </w:r>
          </w:p>
        </w:tc>
        <w:tc>
          <w:tcPr>
            <w:tcW w:w="7267" w:type="dxa"/>
            <w:gridSpan w:val="3"/>
            <w:noWrap w:val="0"/>
            <w:vAlign w:val="center"/>
          </w:tcPr>
          <w:p w14:paraId="4AC87818">
            <w:pPr>
              <w:keepNext w:val="0"/>
              <w:keepLines w:val="0"/>
              <w:pageBreakBefore w:val="0"/>
              <w:widowControl w:val="0"/>
              <w:kinsoku/>
              <w:wordWrap/>
              <w:overflowPunct/>
              <w:topLinePunct w:val="0"/>
              <w:autoSpaceDE/>
              <w:autoSpaceDN/>
              <w:bidi w:val="0"/>
              <w:adjustRightInd w:val="0"/>
              <w:snapToGrid w:val="0"/>
              <w:spacing w:line="276" w:lineRule="auto"/>
              <w:jc w:val="both"/>
              <w:textAlignment w:val="auto"/>
              <w:rPr>
                <w:rFonts w:hint="eastAsia" w:ascii="宋体" w:hAnsi="宋体" w:eastAsia="宋体" w:cs="宋体"/>
                <w:color w:val="auto"/>
                <w:sz w:val="24"/>
                <w:lang w:eastAsia="zh-CN"/>
              </w:rPr>
            </w:pPr>
            <w:r>
              <w:rPr>
                <w:rFonts w:hint="eastAsia" w:ascii="宋体" w:hAnsi="宋体" w:cs="宋体"/>
                <w:color w:val="auto"/>
                <w:sz w:val="24"/>
              </w:rPr>
              <w:t>规划名称：</w:t>
            </w:r>
            <w:r>
              <w:rPr>
                <w:rFonts w:hint="eastAsia" w:ascii="宋体" w:hAnsi="宋体" w:cs="宋体"/>
                <w:color w:val="auto"/>
                <w:sz w:val="24"/>
                <w:lang w:val="en-US" w:eastAsia="zh-CN"/>
              </w:rPr>
              <w:t>《昌吉高新技术产业开发区总体规划（2014-2030）》，《昌吉市国土空间总体规划（2021-2035年）》；</w:t>
            </w:r>
          </w:p>
          <w:p w14:paraId="6CA62544">
            <w:pPr>
              <w:keepNext w:val="0"/>
              <w:keepLines w:val="0"/>
              <w:pageBreakBefore w:val="0"/>
              <w:widowControl w:val="0"/>
              <w:kinsoku/>
              <w:wordWrap/>
              <w:overflowPunct/>
              <w:topLinePunct w:val="0"/>
              <w:autoSpaceDE/>
              <w:autoSpaceDN/>
              <w:bidi w:val="0"/>
              <w:adjustRightInd w:val="0"/>
              <w:snapToGrid w:val="0"/>
              <w:spacing w:line="276" w:lineRule="auto"/>
              <w:jc w:val="both"/>
              <w:textAlignment w:val="auto"/>
              <w:rPr>
                <w:rFonts w:hint="default" w:ascii="宋体" w:hAnsi="宋体" w:eastAsia="宋体" w:cs="宋体"/>
                <w:color w:val="auto"/>
                <w:sz w:val="24"/>
                <w:lang w:val="en-US" w:eastAsia="zh-CN"/>
              </w:rPr>
            </w:pPr>
            <w:r>
              <w:rPr>
                <w:rFonts w:hint="eastAsia" w:ascii="宋体" w:hAnsi="宋体" w:cs="宋体"/>
                <w:color w:val="auto"/>
                <w:sz w:val="24"/>
              </w:rPr>
              <w:t>审</w:t>
            </w:r>
            <w:r>
              <w:rPr>
                <w:rFonts w:hint="eastAsia" w:ascii="宋体" w:hAnsi="宋体" w:cs="宋体"/>
                <w:color w:val="auto"/>
                <w:sz w:val="24"/>
                <w:lang w:val="en-US" w:eastAsia="zh-CN"/>
              </w:rPr>
              <w:t>批</w:t>
            </w:r>
            <w:r>
              <w:rPr>
                <w:rFonts w:hint="eastAsia" w:ascii="宋体" w:hAnsi="宋体" w:cs="宋体"/>
                <w:color w:val="auto"/>
                <w:sz w:val="24"/>
              </w:rPr>
              <w:t>机关：新疆维吾尔自治区人民政府</w:t>
            </w:r>
            <w:r>
              <w:rPr>
                <w:rFonts w:hint="eastAsia" w:ascii="宋体" w:hAnsi="宋体" w:cs="宋体"/>
                <w:color w:val="auto"/>
                <w:sz w:val="24"/>
                <w:lang w:eastAsia="zh-CN"/>
              </w:rPr>
              <w:t>；</w:t>
            </w:r>
            <w:r>
              <w:rPr>
                <w:rFonts w:hint="eastAsia" w:ascii="宋体" w:hAnsi="宋体" w:cs="宋体"/>
                <w:color w:val="auto"/>
                <w:sz w:val="24"/>
                <w:lang w:val="en-US" w:eastAsia="zh-CN"/>
              </w:rPr>
              <w:t xml:space="preserve">  </w:t>
            </w:r>
          </w:p>
          <w:p w14:paraId="0E291112">
            <w:pPr>
              <w:keepNext w:val="0"/>
              <w:keepLines w:val="0"/>
              <w:pageBreakBefore w:val="0"/>
              <w:widowControl w:val="0"/>
              <w:kinsoku/>
              <w:wordWrap/>
              <w:overflowPunct/>
              <w:topLinePunct w:val="0"/>
              <w:autoSpaceDE/>
              <w:autoSpaceDN/>
              <w:bidi w:val="0"/>
              <w:adjustRightInd w:val="0"/>
              <w:snapToGrid w:val="0"/>
              <w:spacing w:line="276" w:lineRule="auto"/>
              <w:jc w:val="both"/>
              <w:textAlignment w:val="auto"/>
              <w:rPr>
                <w:rFonts w:hint="eastAsia" w:ascii="宋体" w:hAnsi="宋体" w:eastAsia="宋体" w:cs="宋体"/>
                <w:color w:val="auto"/>
                <w:sz w:val="24"/>
                <w:lang w:eastAsia="zh-CN"/>
              </w:rPr>
            </w:pPr>
            <w:r>
              <w:rPr>
                <w:rFonts w:hint="eastAsia" w:ascii="宋体" w:hAnsi="宋体" w:cs="宋体"/>
                <w:color w:val="auto"/>
                <w:sz w:val="24"/>
              </w:rPr>
              <w:t>审批文件名称及文号：《新疆维吾尔自治区人民政府关于&lt;昌吉市国土空间总体规划（2021-2035年）&gt;的批复》（新政函〔2024〕137号）</w:t>
            </w:r>
            <w:r>
              <w:rPr>
                <w:rFonts w:hint="eastAsia" w:ascii="宋体" w:hAnsi="宋体" w:cs="宋体"/>
                <w:color w:val="auto"/>
                <w:sz w:val="24"/>
                <w:lang w:eastAsia="zh-CN"/>
              </w:rPr>
              <w:t>。</w:t>
            </w:r>
          </w:p>
        </w:tc>
      </w:tr>
      <w:tr w14:paraId="6A597A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899" w:hRule="atLeast"/>
          <w:jc w:val="center"/>
        </w:trPr>
        <w:tc>
          <w:tcPr>
            <w:tcW w:w="2034" w:type="dxa"/>
            <w:noWrap w:val="0"/>
            <w:vAlign w:val="center"/>
          </w:tcPr>
          <w:p w14:paraId="1B5FE0F5">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auto"/>
              <w:rPr>
                <w:rFonts w:hint="eastAsia" w:ascii="宋体" w:hAnsi="宋体" w:cs="宋体"/>
                <w:color w:val="auto"/>
                <w:kern w:val="0"/>
                <w:sz w:val="24"/>
              </w:rPr>
            </w:pPr>
            <w:r>
              <w:rPr>
                <w:rFonts w:hint="eastAsia" w:ascii="宋体" w:hAnsi="宋体" w:cs="宋体"/>
                <w:color w:val="auto"/>
                <w:kern w:val="0"/>
                <w:sz w:val="24"/>
              </w:rPr>
              <w:t>规划环境影响</w:t>
            </w:r>
          </w:p>
          <w:p w14:paraId="33D86F96">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auto"/>
              <w:rPr>
                <w:rFonts w:hint="eastAsia" w:ascii="宋体" w:hAnsi="宋体" w:cs="宋体"/>
                <w:color w:val="auto"/>
                <w:kern w:val="0"/>
                <w:sz w:val="24"/>
              </w:rPr>
            </w:pPr>
            <w:r>
              <w:rPr>
                <w:rFonts w:hint="eastAsia" w:ascii="宋体" w:hAnsi="宋体" w:cs="宋体"/>
                <w:color w:val="auto"/>
                <w:kern w:val="0"/>
                <w:sz w:val="24"/>
              </w:rPr>
              <w:t>评价情况</w:t>
            </w:r>
          </w:p>
        </w:tc>
        <w:tc>
          <w:tcPr>
            <w:tcW w:w="7267" w:type="dxa"/>
            <w:gridSpan w:val="3"/>
            <w:noWrap w:val="0"/>
            <w:vAlign w:val="center"/>
          </w:tcPr>
          <w:p w14:paraId="10377D7D">
            <w:pPr>
              <w:keepNext w:val="0"/>
              <w:keepLines w:val="0"/>
              <w:pageBreakBefore w:val="0"/>
              <w:widowControl w:val="0"/>
              <w:kinsoku/>
              <w:wordWrap/>
              <w:overflowPunct/>
              <w:topLinePunct w:val="0"/>
              <w:autoSpaceDE/>
              <w:autoSpaceDN/>
              <w:bidi w:val="0"/>
              <w:adjustRightInd w:val="0"/>
              <w:snapToGrid w:val="0"/>
              <w:spacing w:line="276" w:lineRule="auto"/>
              <w:jc w:val="both"/>
              <w:textAlignment w:val="auto"/>
              <w:rPr>
                <w:rFonts w:hint="eastAsia" w:ascii="宋体" w:hAnsi="宋体" w:cs="宋体"/>
                <w:color w:val="auto"/>
                <w:sz w:val="24"/>
              </w:rPr>
            </w:pPr>
            <w:r>
              <w:rPr>
                <w:rFonts w:hint="eastAsia" w:ascii="宋体" w:hAnsi="宋体" w:cs="宋体"/>
                <w:color w:val="auto"/>
                <w:sz w:val="24"/>
              </w:rPr>
              <w:t>规划环境影响评价文件名称：《昌吉高新技术产业开发区总体规划（2014-2030）环境影响报告书》；</w:t>
            </w:r>
          </w:p>
          <w:p w14:paraId="088AB248">
            <w:pPr>
              <w:keepNext w:val="0"/>
              <w:keepLines w:val="0"/>
              <w:pageBreakBefore w:val="0"/>
              <w:widowControl w:val="0"/>
              <w:kinsoku/>
              <w:wordWrap/>
              <w:overflowPunct/>
              <w:topLinePunct w:val="0"/>
              <w:autoSpaceDE/>
              <w:autoSpaceDN/>
              <w:bidi w:val="0"/>
              <w:adjustRightInd w:val="0"/>
              <w:snapToGrid w:val="0"/>
              <w:spacing w:line="276" w:lineRule="auto"/>
              <w:jc w:val="both"/>
              <w:textAlignment w:val="auto"/>
              <w:rPr>
                <w:rFonts w:hint="eastAsia" w:ascii="宋体" w:hAnsi="宋体" w:cs="宋体"/>
                <w:color w:val="auto"/>
                <w:sz w:val="24"/>
              </w:rPr>
            </w:pPr>
            <w:r>
              <w:rPr>
                <w:rFonts w:hint="eastAsia" w:ascii="宋体" w:hAnsi="宋体" w:cs="宋体"/>
                <w:color w:val="auto"/>
                <w:sz w:val="24"/>
              </w:rPr>
              <w:t>审查机关：原新疆维吾尔自治区环境保护厅；</w:t>
            </w:r>
          </w:p>
          <w:p w14:paraId="1825F236">
            <w:pPr>
              <w:keepNext w:val="0"/>
              <w:keepLines w:val="0"/>
              <w:pageBreakBefore w:val="0"/>
              <w:widowControl w:val="0"/>
              <w:kinsoku/>
              <w:wordWrap/>
              <w:overflowPunct/>
              <w:topLinePunct w:val="0"/>
              <w:autoSpaceDE/>
              <w:autoSpaceDN/>
              <w:bidi w:val="0"/>
              <w:adjustRightInd w:val="0"/>
              <w:snapToGrid w:val="0"/>
              <w:spacing w:line="276" w:lineRule="auto"/>
              <w:jc w:val="both"/>
              <w:textAlignment w:val="auto"/>
              <w:rPr>
                <w:rFonts w:hint="eastAsia" w:ascii="宋体" w:hAnsi="宋体" w:cs="宋体"/>
                <w:color w:val="auto"/>
                <w:sz w:val="24"/>
              </w:rPr>
            </w:pPr>
            <w:r>
              <w:rPr>
                <w:rFonts w:hint="eastAsia" w:ascii="宋体" w:hAnsi="宋体" w:cs="宋体"/>
                <w:color w:val="auto"/>
                <w:sz w:val="24"/>
              </w:rPr>
              <w:t>审查文件名称及文号：《关于昌吉高新技术产业开发区总体规划（2014-2030）</w:t>
            </w:r>
            <w:r>
              <w:rPr>
                <w:rFonts w:hint="eastAsia" w:ascii="宋体" w:hAnsi="宋体" w:cs="宋体"/>
                <w:color w:val="auto"/>
                <w:spacing w:val="-6"/>
                <w:sz w:val="24"/>
              </w:rPr>
              <w:t>环境影响报告书的审查意见》（新环函〔2015〕306号）。</w:t>
            </w:r>
          </w:p>
        </w:tc>
      </w:tr>
      <w:tr w14:paraId="6331EF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907" w:hRule="atLeast"/>
          <w:jc w:val="center"/>
        </w:trPr>
        <w:tc>
          <w:tcPr>
            <w:tcW w:w="2034" w:type="dxa"/>
            <w:noWrap w:val="0"/>
            <w:vAlign w:val="center"/>
          </w:tcPr>
          <w:p w14:paraId="2CFE345C">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auto"/>
              <w:rPr>
                <w:rFonts w:hint="eastAsia" w:ascii="宋体" w:hAnsi="宋体" w:cs="宋体"/>
                <w:color w:val="auto"/>
                <w:kern w:val="0"/>
                <w:sz w:val="24"/>
              </w:rPr>
            </w:pPr>
            <w:r>
              <w:rPr>
                <w:rFonts w:hint="eastAsia" w:ascii="宋体" w:hAnsi="宋体" w:cs="宋体"/>
                <w:color w:val="auto"/>
                <w:kern w:val="0"/>
                <w:sz w:val="24"/>
              </w:rPr>
              <w:t>规划及规划环境</w:t>
            </w:r>
          </w:p>
          <w:p w14:paraId="24B1FF55">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auto"/>
              <w:rPr>
                <w:rFonts w:hint="eastAsia" w:ascii="宋体" w:hAnsi="宋体" w:cs="宋体"/>
                <w:color w:val="auto"/>
                <w:kern w:val="0"/>
                <w:sz w:val="24"/>
              </w:rPr>
            </w:pPr>
            <w:r>
              <w:rPr>
                <w:rFonts w:hint="eastAsia" w:ascii="宋体" w:hAnsi="宋体" w:cs="宋体"/>
                <w:color w:val="auto"/>
                <w:kern w:val="0"/>
                <w:sz w:val="24"/>
              </w:rPr>
              <w:t>影响评价符合性</w:t>
            </w:r>
          </w:p>
          <w:p w14:paraId="055DEF99">
            <w:pPr>
              <w:keepNext w:val="0"/>
              <w:keepLines w:val="0"/>
              <w:pageBreakBefore w:val="0"/>
              <w:widowControl w:val="0"/>
              <w:kinsoku/>
              <w:wordWrap/>
              <w:overflowPunct/>
              <w:topLinePunct w:val="0"/>
              <w:autoSpaceDE w:val="0"/>
              <w:autoSpaceDN w:val="0"/>
              <w:bidi w:val="0"/>
              <w:adjustRightInd w:val="0"/>
              <w:snapToGrid w:val="0"/>
              <w:spacing w:line="276" w:lineRule="auto"/>
              <w:jc w:val="center"/>
              <w:textAlignment w:val="auto"/>
              <w:rPr>
                <w:rFonts w:hint="eastAsia" w:ascii="宋体" w:hAnsi="宋体" w:cs="宋体"/>
                <w:color w:val="auto"/>
                <w:kern w:val="0"/>
                <w:sz w:val="24"/>
              </w:rPr>
            </w:pPr>
            <w:r>
              <w:rPr>
                <w:rFonts w:hint="eastAsia" w:ascii="宋体" w:hAnsi="宋体" w:cs="宋体"/>
                <w:color w:val="auto"/>
                <w:kern w:val="0"/>
                <w:sz w:val="24"/>
              </w:rPr>
              <w:t>分析</w:t>
            </w:r>
          </w:p>
        </w:tc>
        <w:tc>
          <w:tcPr>
            <w:tcW w:w="7267" w:type="dxa"/>
            <w:gridSpan w:val="3"/>
            <w:noWrap w:val="0"/>
            <w:vAlign w:val="center"/>
          </w:tcPr>
          <w:p w14:paraId="14F8AC16">
            <w:pPr>
              <w:pStyle w:val="77"/>
              <w:keepNext w:val="0"/>
              <w:keepLines w:val="0"/>
              <w:pageBreakBefore w:val="0"/>
              <w:widowControl w:val="0"/>
              <w:kinsoku/>
              <w:wordWrap/>
              <w:overflowPunct/>
              <w:topLinePunct w:val="0"/>
              <w:autoSpaceDE/>
              <w:autoSpaceDN/>
              <w:bidi w:val="0"/>
              <w:adjustRightInd w:val="0"/>
              <w:snapToGrid w:val="0"/>
              <w:spacing w:before="120" w:beforeLines="50" w:line="351" w:lineRule="auto"/>
              <w:ind w:left="0" w:leftChars="0" w:firstLine="0" w:firstLineChars="0"/>
              <w:textAlignment w:val="auto"/>
              <w:rPr>
                <w:rFonts w:hint="eastAsia" w:ascii="宋体" w:hAnsi="宋体" w:eastAsia="宋体" w:cs="宋体"/>
                <w:b/>
                <w:bCs/>
                <w:color w:val="auto"/>
                <w:spacing w:val="-6"/>
                <w:sz w:val="24"/>
              </w:rPr>
            </w:pPr>
            <w:r>
              <w:rPr>
                <w:rFonts w:hint="eastAsia" w:ascii="宋体" w:hAnsi="宋体" w:cs="宋体"/>
                <w:b/>
                <w:bCs/>
                <w:color w:val="auto"/>
                <w:spacing w:val="-6"/>
                <w:sz w:val="24"/>
                <w:lang w:val="en-US" w:eastAsia="zh-CN"/>
              </w:rPr>
              <w:t>1</w:t>
            </w:r>
            <w:r>
              <w:rPr>
                <w:rFonts w:hint="eastAsia" w:ascii="宋体" w:hAnsi="宋体" w:eastAsia="宋体" w:cs="宋体"/>
                <w:b/>
                <w:bCs/>
                <w:color w:val="auto"/>
                <w:spacing w:val="-6"/>
                <w:sz w:val="24"/>
                <w:lang w:val="en-US" w:eastAsia="zh-CN"/>
              </w:rPr>
              <w:t>.</w:t>
            </w:r>
            <w:r>
              <w:rPr>
                <w:rFonts w:hint="eastAsia" w:ascii="宋体" w:hAnsi="宋体" w:eastAsia="宋体" w:cs="宋体"/>
                <w:b/>
                <w:bCs/>
                <w:color w:val="auto"/>
                <w:spacing w:val="-6"/>
                <w:sz w:val="24"/>
              </w:rPr>
              <w:t>与《昌吉高新技术产业开发区总体规划（2014-2030）》符合性分析</w:t>
            </w:r>
          </w:p>
          <w:p w14:paraId="4AFE3571">
            <w:pPr>
              <w:keepNext w:val="0"/>
              <w:keepLines w:val="0"/>
              <w:pageBreakBefore w:val="0"/>
              <w:widowControl w:val="0"/>
              <w:kinsoku/>
              <w:wordWrap/>
              <w:overflowPunct/>
              <w:topLinePunct w:val="0"/>
              <w:autoSpaceDE/>
              <w:autoSpaceDN/>
              <w:bidi w:val="0"/>
              <w:adjustRightInd/>
              <w:snapToGrid/>
              <w:spacing w:line="351" w:lineRule="auto"/>
              <w:ind w:firstLine="480" w:firstLineChars="20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根据《昌吉高新技术产业开发区总体规划（2014-2030）》，昌吉高新技术产业开发区规划建设用地总面积51.00平方公里，东到榆树沟镇行政边界，西到呼图壁边界，南到创新大道和乌奎高速路，北到S201 省道和科兴路。本项目位于昌吉高新技术产业开发区C-16号，在昌吉高新技术产业开发区范围内，用地性质为规划的工业用地。</w:t>
            </w:r>
          </w:p>
          <w:p w14:paraId="64411841">
            <w:pPr>
              <w:keepNext w:val="0"/>
              <w:keepLines w:val="0"/>
              <w:pageBreakBefore w:val="0"/>
              <w:widowControl w:val="0"/>
              <w:kinsoku/>
              <w:wordWrap/>
              <w:overflowPunct/>
              <w:topLinePunct w:val="0"/>
              <w:autoSpaceDE/>
              <w:autoSpaceDN/>
              <w:bidi w:val="0"/>
              <w:adjustRightInd/>
              <w:snapToGrid/>
              <w:spacing w:line="351" w:lineRule="auto"/>
              <w:ind w:firstLine="480" w:firstLineChars="20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园区发展定位：以装备制造业、新材料产业、生物科技和食品产业为主，配套现代服务业，将园区打造成全区重要先进制造业基地，昌吉州生产性服务业创新中心。园区划分为精细化工、工程机械装备制造业、综合产业园（管理服务、装备制造、食品生物科技）、新材料产业园（新型建材、节能环保材料）等分区。本项目位于昌吉高新技术产业开发区总体规划（2014-2030 年）的工程机械装备制造业区，为金属结构制造项目，符合园区规划产业分区布局要求，项目在昌吉高新技术产业开发区产业分区图中的位置见</w:t>
            </w:r>
            <w:r>
              <w:rPr>
                <w:rFonts w:hint="eastAsia" w:ascii="宋体" w:hAnsi="宋体" w:cs="宋体"/>
                <w:b/>
                <w:bCs/>
                <w:color w:val="auto"/>
                <w:sz w:val="24"/>
                <w:lang w:val="en-US" w:eastAsia="zh-CN"/>
              </w:rPr>
              <w:t>附图1</w:t>
            </w:r>
            <w:r>
              <w:rPr>
                <w:rFonts w:hint="eastAsia" w:ascii="宋体" w:hAnsi="宋体" w:cs="宋体"/>
                <w:color w:val="auto"/>
                <w:sz w:val="24"/>
                <w:lang w:val="en-US" w:eastAsia="zh-CN"/>
              </w:rPr>
              <w:t>。</w:t>
            </w:r>
          </w:p>
          <w:p w14:paraId="5E97875A">
            <w:pPr>
              <w:keepNext w:val="0"/>
              <w:keepLines w:val="0"/>
              <w:pageBreakBefore w:val="0"/>
              <w:widowControl w:val="0"/>
              <w:kinsoku/>
              <w:wordWrap/>
              <w:overflowPunct/>
              <w:topLinePunct w:val="0"/>
              <w:autoSpaceDE/>
              <w:autoSpaceDN/>
              <w:bidi w:val="0"/>
              <w:adjustRightInd/>
              <w:snapToGrid/>
              <w:spacing w:line="351" w:lineRule="auto"/>
              <w:ind w:firstLine="480" w:firstLineChars="20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综上，本项目建设符合《昌吉高新技术产业开发区总体规划（2014-2030）》相关要求。</w:t>
            </w:r>
          </w:p>
          <w:p w14:paraId="36DEB6F2">
            <w:pPr>
              <w:pStyle w:val="77"/>
              <w:keepNext w:val="0"/>
              <w:keepLines w:val="0"/>
              <w:pageBreakBefore w:val="0"/>
              <w:widowControl w:val="0"/>
              <w:kinsoku/>
              <w:wordWrap/>
              <w:overflowPunct/>
              <w:topLinePunct w:val="0"/>
              <w:autoSpaceDE/>
              <w:autoSpaceDN/>
              <w:bidi w:val="0"/>
              <w:adjustRightInd w:val="0"/>
              <w:snapToGrid w:val="0"/>
              <w:spacing w:line="351" w:lineRule="auto"/>
              <w:ind w:left="0" w:leftChars="0" w:firstLine="0" w:firstLineChars="0"/>
              <w:textAlignment w:val="auto"/>
              <w:rPr>
                <w:rFonts w:hint="eastAsia" w:ascii="宋体" w:hAnsi="宋体" w:eastAsia="宋体" w:cs="宋体"/>
                <w:b/>
                <w:bCs/>
                <w:color w:val="auto"/>
              </w:rPr>
            </w:pPr>
            <w:r>
              <w:rPr>
                <w:rFonts w:hint="eastAsia" w:ascii="宋体" w:hAnsi="宋体" w:cs="宋体"/>
                <w:b/>
                <w:bCs/>
                <w:color w:val="auto"/>
                <w:lang w:val="en-US" w:eastAsia="zh-CN"/>
              </w:rPr>
              <w:t>2</w:t>
            </w:r>
            <w:r>
              <w:rPr>
                <w:rFonts w:hint="eastAsia" w:ascii="宋体" w:hAnsi="宋体" w:eastAsia="宋体" w:cs="宋体"/>
                <w:b/>
                <w:bCs/>
                <w:color w:val="auto"/>
                <w:lang w:val="en-US" w:eastAsia="zh-CN"/>
              </w:rPr>
              <w:t>.</w:t>
            </w:r>
            <w:r>
              <w:rPr>
                <w:rFonts w:hint="eastAsia" w:ascii="宋体" w:hAnsi="宋体" w:eastAsia="宋体" w:cs="宋体"/>
                <w:b/>
                <w:bCs/>
                <w:color w:val="auto"/>
              </w:rPr>
              <w:t>与《昌吉</w:t>
            </w:r>
            <w:r>
              <w:rPr>
                <w:rFonts w:hint="eastAsia" w:ascii="宋体" w:hAnsi="宋体" w:eastAsia="宋体" w:cs="宋体"/>
                <w:b/>
                <w:bCs/>
                <w:color w:val="auto"/>
                <w:lang w:eastAsia="zh-CN"/>
              </w:rPr>
              <w:t>市国土空间总体规划（</w:t>
            </w:r>
            <w:r>
              <w:rPr>
                <w:rFonts w:hint="eastAsia" w:ascii="宋体" w:hAnsi="宋体" w:eastAsia="宋体" w:cs="宋体"/>
                <w:b/>
                <w:bCs/>
                <w:color w:val="auto"/>
                <w:lang w:val="en-US" w:eastAsia="zh-CN"/>
              </w:rPr>
              <w:t>2021-2035年</w:t>
            </w:r>
            <w:r>
              <w:rPr>
                <w:rFonts w:hint="eastAsia" w:ascii="宋体" w:hAnsi="宋体" w:eastAsia="宋体" w:cs="宋体"/>
                <w:b/>
                <w:bCs/>
                <w:color w:val="auto"/>
                <w:lang w:eastAsia="zh-CN"/>
              </w:rPr>
              <w:t>）</w:t>
            </w:r>
            <w:r>
              <w:rPr>
                <w:rFonts w:hint="eastAsia" w:ascii="宋体" w:hAnsi="宋体" w:eastAsia="宋体" w:cs="宋体"/>
                <w:b/>
                <w:bCs/>
                <w:color w:val="auto"/>
              </w:rPr>
              <w:t>》符合性分析</w:t>
            </w:r>
          </w:p>
          <w:p w14:paraId="23ADCA38">
            <w:pPr>
              <w:keepNext w:val="0"/>
              <w:keepLines w:val="0"/>
              <w:pageBreakBefore w:val="0"/>
              <w:widowControl w:val="0"/>
              <w:kinsoku/>
              <w:wordWrap/>
              <w:overflowPunct/>
              <w:topLinePunct w:val="0"/>
              <w:autoSpaceDE/>
              <w:autoSpaceDN/>
              <w:bidi w:val="0"/>
              <w:adjustRightInd/>
              <w:snapToGrid/>
              <w:spacing w:line="351" w:lineRule="auto"/>
              <w:ind w:firstLine="480" w:firstLineChars="200"/>
              <w:textAlignment w:val="auto"/>
              <w:rPr>
                <w:rFonts w:hint="eastAsia" w:ascii="宋体" w:hAnsi="宋体" w:eastAsia="宋体" w:cs="宋体"/>
                <w:color w:val="auto"/>
                <w:sz w:val="24"/>
                <w:lang w:eastAsia="zh-CN"/>
              </w:rPr>
            </w:pPr>
            <w:r>
              <w:rPr>
                <w:rFonts w:hint="eastAsia" w:ascii="宋体" w:hAnsi="宋体" w:eastAsia="宋体" w:cs="宋体"/>
                <w:color w:val="auto"/>
                <w:sz w:val="24"/>
                <w:lang w:eastAsia="zh-CN"/>
              </w:rPr>
              <w:t>根据《昌吉市国土空间总体规划</w:t>
            </w:r>
            <w:r>
              <w:rPr>
                <w:rFonts w:hint="eastAsia" w:ascii="宋体" w:hAnsi="宋体" w:eastAsia="宋体" w:cs="宋体"/>
                <w:color w:val="auto"/>
                <w:spacing w:val="-6"/>
                <w:sz w:val="24"/>
                <w:lang w:eastAsia="zh-CN"/>
              </w:rPr>
              <w:t>（</w:t>
            </w:r>
            <w:r>
              <w:rPr>
                <w:rFonts w:hint="eastAsia" w:ascii="宋体" w:hAnsi="宋体" w:eastAsia="宋体" w:cs="宋体"/>
                <w:color w:val="auto"/>
                <w:spacing w:val="-6"/>
                <w:sz w:val="24"/>
                <w:lang w:val="en-US" w:eastAsia="zh-CN"/>
              </w:rPr>
              <w:t>2021-2035年</w:t>
            </w:r>
            <w:r>
              <w:rPr>
                <w:rFonts w:hint="eastAsia" w:ascii="宋体" w:hAnsi="宋体" w:eastAsia="宋体" w:cs="宋体"/>
                <w:color w:val="auto"/>
                <w:spacing w:val="-6"/>
                <w:sz w:val="24"/>
                <w:lang w:eastAsia="zh-CN"/>
              </w:rPr>
              <w:t>）》</w:t>
            </w:r>
            <w:r>
              <w:rPr>
                <w:rFonts w:hint="eastAsia" w:ascii="宋体" w:hAnsi="宋体" w:eastAsia="宋体" w:cs="宋体"/>
                <w:color w:val="0000FF"/>
                <w:spacing w:val="-6"/>
                <w:sz w:val="24"/>
                <w:lang w:eastAsia="zh-CN"/>
              </w:rPr>
              <w:t>中</w:t>
            </w:r>
            <w:r>
              <w:rPr>
                <w:rFonts w:hint="eastAsia" w:ascii="宋体" w:hAnsi="宋体" w:eastAsia="宋体" w:cs="宋体"/>
                <w:color w:val="0000FF"/>
                <w:sz w:val="24"/>
                <w:lang w:eastAsia="zh-CN"/>
              </w:rPr>
              <w:t>昌吉高新技术产业开发区国土空间专项规划</w:t>
            </w:r>
            <w:r>
              <w:rPr>
                <w:rFonts w:hint="eastAsia" w:ascii="宋体" w:hAnsi="宋体" w:eastAsia="宋体" w:cs="宋体"/>
                <w:color w:val="0000FF"/>
                <w:spacing w:val="-6"/>
                <w:sz w:val="24"/>
                <w:lang w:val="en-US" w:eastAsia="zh-CN"/>
              </w:rPr>
              <w:t>（2021-2035年）</w:t>
            </w:r>
            <w:r>
              <w:rPr>
                <w:rFonts w:hint="eastAsia" w:ascii="宋体" w:hAnsi="宋体" w:eastAsia="宋体" w:cs="宋体"/>
                <w:color w:val="auto"/>
                <w:spacing w:val="-6"/>
                <w:sz w:val="24"/>
                <w:lang w:val="en-US" w:eastAsia="zh-CN"/>
              </w:rPr>
              <w:t>，</w:t>
            </w:r>
            <w:r>
              <w:rPr>
                <w:rFonts w:hint="eastAsia" w:ascii="宋体" w:hAnsi="宋体" w:eastAsia="宋体" w:cs="宋体"/>
                <w:color w:val="auto"/>
                <w:sz w:val="24"/>
                <w:lang w:eastAsia="zh-CN"/>
              </w:rPr>
              <w:t>加强园区核心产业延链</w:t>
            </w:r>
            <w:r>
              <w:rPr>
                <w:rFonts w:hint="eastAsia" w:ascii="宋体" w:hAnsi="宋体" w:eastAsia="宋体" w:cs="宋体"/>
                <w:color w:val="auto"/>
                <w:sz w:val="24"/>
                <w:lang w:val="en-US" w:eastAsia="zh-CN"/>
              </w:rPr>
              <w:t>补链</w:t>
            </w:r>
            <w:r>
              <w:rPr>
                <w:rFonts w:hint="eastAsia" w:ascii="宋体" w:hAnsi="宋体" w:eastAsia="宋体" w:cs="宋体"/>
                <w:color w:val="auto"/>
                <w:sz w:val="24"/>
                <w:lang w:eastAsia="zh-CN"/>
              </w:rPr>
              <w:t>和改造升级，聚力发展新材料、装备制造、生物科技三大产业区，重点打造特变电工科技城与蓝山屯河科技城，培育壮大曙光园与高新文化中心，构建“三区两城、一园一心”的产业空间布局。</w:t>
            </w:r>
          </w:p>
          <w:p w14:paraId="0A87818F">
            <w:pPr>
              <w:keepNext w:val="0"/>
              <w:keepLines w:val="0"/>
              <w:pageBreakBefore w:val="0"/>
              <w:widowControl w:val="0"/>
              <w:kinsoku/>
              <w:wordWrap/>
              <w:overflowPunct/>
              <w:topLinePunct w:val="0"/>
              <w:autoSpaceDE/>
              <w:autoSpaceDN/>
              <w:bidi w:val="0"/>
              <w:adjustRightInd/>
              <w:snapToGrid/>
              <w:spacing w:line="351" w:lineRule="auto"/>
              <w:ind w:firstLine="480" w:firstLineChars="20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eastAsia="zh-CN"/>
              </w:rPr>
              <w:t>三区：新材料产业区主要位于乌昌大道以南、吉祥路以西区域，谋划布局硅基新材料、铝基新材料、碳基新材料等功能组团，配套电商组团、仓储组团。装备制造产业区主要位于乌昌大道以北、吉祥路以西区域，推进电力装备、机械设备、医疗装备等组团建设，加快新能源汽车、光伏发电设备、风电设备等新能源关联产业发展。生物科技区主要位于光明路以东，省道</w:t>
            </w:r>
            <w:r>
              <w:rPr>
                <w:rFonts w:hint="eastAsia" w:ascii="宋体" w:hAnsi="宋体" w:eastAsia="宋体" w:cs="宋体"/>
                <w:color w:val="auto"/>
                <w:sz w:val="24"/>
                <w:lang w:val="en-US" w:eastAsia="zh-CN"/>
              </w:rPr>
              <w:t>S325以南，环城南路以北区域，重点打造生物制造、生物能源、生物环保、生物医药等组团，开展生物</w:t>
            </w:r>
          </w:p>
          <w:p w14:paraId="30795A0E">
            <w:pPr>
              <w:keepNext w:val="0"/>
              <w:keepLines w:val="0"/>
              <w:pageBreakBefore w:val="0"/>
              <w:widowControl w:val="0"/>
              <w:kinsoku/>
              <w:wordWrap/>
              <w:overflowPunct/>
              <w:topLinePunct w:val="0"/>
              <w:autoSpaceDE/>
              <w:autoSpaceDN/>
              <w:bidi w:val="0"/>
              <w:adjustRightInd/>
              <w:snapToGrid/>
              <w:spacing w:before="157" w:beforeLines="50" w:line="351" w:lineRule="auto"/>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科技关键技术集成与产业化示范。</w:t>
            </w:r>
          </w:p>
          <w:p w14:paraId="2D071228">
            <w:pPr>
              <w:keepNext w:val="0"/>
              <w:keepLines w:val="0"/>
              <w:pageBreakBefore w:val="0"/>
              <w:widowControl w:val="0"/>
              <w:kinsoku/>
              <w:wordWrap/>
              <w:overflowPunct/>
              <w:topLinePunct w:val="0"/>
              <w:autoSpaceDE/>
              <w:autoSpaceDN/>
              <w:bidi w:val="0"/>
              <w:adjustRightInd/>
              <w:snapToGrid/>
              <w:spacing w:line="351" w:lineRule="auto"/>
              <w:ind w:firstLine="480" w:firstLineChars="200"/>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eastAsia="zh-CN"/>
              </w:rPr>
              <w:t>两城：特变电工科技城围绕输变电产业，加快推进装备制造产业发展。蓝山屯河科技城打造生物基原料、生物基新材料、下游制品研发生产基地，带动新材料产业区发展。</w:t>
            </w:r>
          </w:p>
          <w:p w14:paraId="36027399">
            <w:pPr>
              <w:keepNext w:val="0"/>
              <w:keepLines w:val="0"/>
              <w:pageBreakBefore w:val="0"/>
              <w:widowControl w:val="0"/>
              <w:kinsoku/>
              <w:wordWrap/>
              <w:overflowPunct/>
              <w:topLinePunct w:val="0"/>
              <w:autoSpaceDE/>
              <w:autoSpaceDN/>
              <w:bidi w:val="0"/>
              <w:adjustRightInd/>
              <w:snapToGrid/>
              <w:spacing w:line="351" w:lineRule="auto"/>
              <w:ind w:firstLine="480" w:firstLineChars="200"/>
              <w:textAlignment w:val="auto"/>
              <w:rPr>
                <w:rFonts w:hint="eastAsia" w:ascii="宋体" w:hAnsi="宋体" w:eastAsia="宋体" w:cs="宋体"/>
                <w:color w:val="auto"/>
                <w:sz w:val="24"/>
                <w:lang w:eastAsia="zh-CN"/>
              </w:rPr>
            </w:pPr>
            <w:r>
              <w:rPr>
                <w:rFonts w:hint="eastAsia" w:ascii="宋体" w:hAnsi="宋体" w:eastAsia="宋体" w:cs="宋体"/>
                <w:color w:val="auto"/>
                <w:sz w:val="24"/>
                <w:lang w:eastAsia="zh-CN"/>
              </w:rPr>
              <w:t>一园：曙光园以曙光村为依托，聚焦发展新型建材、绿色装配式建筑等领域，打造区镇一体化样板地区。</w:t>
            </w:r>
          </w:p>
          <w:p w14:paraId="5909C4BD">
            <w:pPr>
              <w:keepNext w:val="0"/>
              <w:keepLines w:val="0"/>
              <w:pageBreakBefore w:val="0"/>
              <w:widowControl w:val="0"/>
              <w:kinsoku/>
              <w:wordWrap/>
              <w:overflowPunct/>
              <w:topLinePunct w:val="0"/>
              <w:autoSpaceDE/>
              <w:autoSpaceDN/>
              <w:bidi w:val="0"/>
              <w:adjustRightInd/>
              <w:snapToGrid/>
              <w:spacing w:line="351" w:lineRule="auto"/>
              <w:ind w:firstLine="480" w:firstLineChars="200"/>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eastAsia="zh-CN"/>
              </w:rPr>
              <w:t>一心：管委会周边布局高等级公共服务、科创服务设施，助力高新区完成产业转型、产业融合升级。</w:t>
            </w:r>
          </w:p>
          <w:p w14:paraId="44E3CCD0">
            <w:pPr>
              <w:keepNext w:val="0"/>
              <w:keepLines w:val="0"/>
              <w:pageBreakBefore w:val="0"/>
              <w:widowControl w:val="0"/>
              <w:kinsoku/>
              <w:wordWrap/>
              <w:overflowPunct/>
              <w:topLinePunct w:val="0"/>
              <w:autoSpaceDE/>
              <w:autoSpaceDN/>
              <w:bidi w:val="0"/>
              <w:adjustRightInd/>
              <w:snapToGrid/>
              <w:spacing w:line="351" w:lineRule="auto"/>
              <w:ind w:firstLine="480" w:firstLineChars="20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rPr>
              <w:t>本项目位于昌吉高新技术产业开发区</w:t>
            </w:r>
            <w:r>
              <w:rPr>
                <w:rFonts w:hint="eastAsia" w:ascii="宋体" w:hAnsi="宋体" w:eastAsia="宋体" w:cs="宋体"/>
                <w:color w:val="auto"/>
                <w:sz w:val="24"/>
                <w:lang w:val="en-US" w:eastAsia="zh-CN"/>
              </w:rPr>
              <w:t>C-16号，属于《昌吉高新技术产业开发区国土空间专项规划（2021-2035年）》</w:t>
            </w:r>
            <w:r>
              <w:rPr>
                <w:rFonts w:hint="eastAsia" w:ascii="宋体" w:hAnsi="宋体" w:cs="宋体"/>
                <w:color w:val="auto"/>
                <w:sz w:val="24"/>
                <w:lang w:val="en-US" w:eastAsia="zh-CN"/>
              </w:rPr>
              <w:t>范围内，</w:t>
            </w:r>
            <w:r>
              <w:rPr>
                <w:rFonts w:hint="eastAsia" w:ascii="宋体" w:hAnsi="宋体" w:eastAsia="宋体" w:cs="宋体"/>
                <w:color w:val="auto"/>
                <w:sz w:val="24"/>
                <w:lang w:val="en-US" w:eastAsia="zh-CN"/>
              </w:rPr>
              <w:t>用地性质为工业用地</w:t>
            </w:r>
            <w:r>
              <w:rPr>
                <w:rFonts w:hint="eastAsia" w:ascii="宋体" w:hAnsi="宋体" w:cs="宋体"/>
                <w:color w:val="auto"/>
                <w:sz w:val="24"/>
                <w:lang w:val="en-US" w:eastAsia="zh-CN"/>
              </w:rPr>
              <w:t>，</w:t>
            </w:r>
            <w:r>
              <w:rPr>
                <w:rFonts w:hint="eastAsia" w:ascii="宋体" w:hAnsi="宋体" w:eastAsia="宋体" w:cs="宋体"/>
                <w:color w:val="auto"/>
                <w:sz w:val="24"/>
                <w:lang w:val="en-US" w:eastAsia="zh-CN"/>
              </w:rPr>
              <w:t>项目在昌吉高新技术产业开发区土地使用规划图中的位置见</w:t>
            </w:r>
            <w:r>
              <w:rPr>
                <w:rFonts w:hint="eastAsia" w:ascii="宋体" w:hAnsi="宋体" w:eastAsia="宋体" w:cs="宋体"/>
                <w:b/>
                <w:bCs/>
                <w:color w:val="auto"/>
                <w:sz w:val="24"/>
                <w:lang w:val="en-US" w:eastAsia="zh-CN"/>
              </w:rPr>
              <w:t>附图</w:t>
            </w:r>
            <w:r>
              <w:rPr>
                <w:rFonts w:hint="eastAsia" w:ascii="宋体" w:hAnsi="宋体" w:cs="宋体"/>
                <w:b/>
                <w:bCs/>
                <w:color w:val="auto"/>
                <w:sz w:val="24"/>
                <w:lang w:val="en-US" w:eastAsia="zh-CN"/>
              </w:rPr>
              <w:t>2</w:t>
            </w:r>
            <w:r>
              <w:rPr>
                <w:rFonts w:hint="eastAsia" w:ascii="宋体" w:hAnsi="宋体" w:eastAsia="宋体" w:cs="宋体"/>
                <w:color w:val="auto"/>
                <w:sz w:val="24"/>
                <w:lang w:val="en-US" w:eastAsia="zh-CN"/>
              </w:rPr>
              <w:t>。根据《昌吉高新技术产业开发区国土空间专项规划（2021-2035年）》空间结构规划图</w:t>
            </w:r>
            <w:r>
              <w:rPr>
                <w:rFonts w:hint="eastAsia" w:ascii="宋体" w:hAnsi="宋体" w:cs="宋体"/>
                <w:color w:val="auto"/>
                <w:sz w:val="24"/>
                <w:lang w:val="en-US" w:eastAsia="zh-CN"/>
              </w:rPr>
              <w:t>，项目位于</w:t>
            </w:r>
            <w:r>
              <w:rPr>
                <w:rFonts w:hint="eastAsia" w:ascii="宋体" w:hAnsi="宋体" w:eastAsia="宋体" w:cs="宋体"/>
                <w:color w:val="auto"/>
                <w:sz w:val="24"/>
                <w:lang w:val="en-US" w:eastAsia="zh-CN"/>
              </w:rPr>
              <w:t>装备制造产业区，装备制造产业区</w:t>
            </w:r>
            <w:r>
              <w:rPr>
                <w:rFonts w:hint="eastAsia" w:ascii="宋体" w:hAnsi="宋体" w:cs="宋体"/>
                <w:color w:val="auto"/>
                <w:sz w:val="24"/>
                <w:lang w:val="en-US" w:eastAsia="zh-CN"/>
              </w:rPr>
              <w:t>规划方向为</w:t>
            </w:r>
            <w:r>
              <w:rPr>
                <w:rFonts w:hint="eastAsia" w:ascii="宋体" w:hAnsi="宋体" w:eastAsia="宋体" w:cs="宋体"/>
                <w:color w:val="auto"/>
                <w:sz w:val="24"/>
                <w:lang w:val="en-US" w:eastAsia="zh-CN"/>
              </w:rPr>
              <w:t>推进电力装备、机械设备、医疗装备等组团建设，加快新能源汽车、光伏发电设备、风电设备等新能源关联产业发展。本项目</w:t>
            </w:r>
            <w:r>
              <w:rPr>
                <w:rFonts w:hint="eastAsia" w:ascii="宋体" w:hAnsi="宋体" w:cs="宋体"/>
                <w:color w:val="auto"/>
                <w:sz w:val="24"/>
                <w:lang w:val="en-US" w:eastAsia="zh-CN"/>
              </w:rPr>
              <w:t>为</w:t>
            </w:r>
            <w:r>
              <w:rPr>
                <w:rFonts w:hint="eastAsia" w:ascii="宋体" w:hAnsi="宋体" w:eastAsia="宋体" w:cs="宋体"/>
                <w:color w:val="auto"/>
                <w:sz w:val="24"/>
                <w:lang w:val="en-US" w:eastAsia="zh-CN"/>
              </w:rPr>
              <w:t>金属结构制造项目，</w:t>
            </w:r>
            <w:r>
              <w:rPr>
                <w:rFonts w:hint="eastAsia" w:ascii="宋体" w:hAnsi="宋体" w:cs="宋体"/>
                <w:color w:val="auto"/>
                <w:sz w:val="24"/>
                <w:lang w:val="en-US" w:eastAsia="zh-CN"/>
              </w:rPr>
              <w:t>生产的各类</w:t>
            </w:r>
            <w:r>
              <w:rPr>
                <w:rFonts w:hint="eastAsia" w:ascii="宋体" w:hAnsi="宋体" w:eastAsia="宋体" w:cs="宋体"/>
                <w:color w:val="auto"/>
                <w:sz w:val="24"/>
                <w:lang w:val="en-US" w:eastAsia="zh-CN"/>
              </w:rPr>
              <w:t>钢结构</w:t>
            </w:r>
            <w:r>
              <w:rPr>
                <w:rFonts w:hint="eastAsia" w:ascii="宋体" w:hAnsi="宋体" w:cs="宋体"/>
                <w:color w:val="auto"/>
                <w:sz w:val="24"/>
                <w:lang w:val="en-US" w:eastAsia="zh-CN"/>
              </w:rPr>
              <w:t>产品（轻型钢结构、重型钢结构、空间钢结构等）为装备制造产业提供稳定、优质的原材料</w:t>
            </w:r>
            <w:r>
              <w:rPr>
                <w:rFonts w:hint="eastAsia" w:ascii="宋体" w:hAnsi="宋体" w:eastAsia="宋体" w:cs="宋体"/>
                <w:color w:val="auto"/>
                <w:sz w:val="24"/>
                <w:lang w:val="en-US" w:eastAsia="zh-CN"/>
              </w:rPr>
              <w:t>，符合装备制造产业区产业空间布局要求</w:t>
            </w:r>
            <w:r>
              <w:rPr>
                <w:rFonts w:hint="eastAsia" w:ascii="宋体" w:hAnsi="宋体" w:cs="宋体"/>
                <w:color w:val="auto"/>
                <w:sz w:val="24"/>
                <w:lang w:val="en-US" w:eastAsia="zh-CN"/>
              </w:rPr>
              <w:t>。</w:t>
            </w:r>
            <w:r>
              <w:rPr>
                <w:rFonts w:hint="eastAsia" w:ascii="宋体" w:hAnsi="宋体" w:eastAsia="宋体" w:cs="宋体"/>
                <w:color w:val="auto"/>
                <w:sz w:val="24"/>
                <w:lang w:val="en-US" w:eastAsia="zh-CN"/>
              </w:rPr>
              <w:t>项目在昌吉高新技术产业开发区空间结构规划图中的位置见</w:t>
            </w:r>
            <w:r>
              <w:rPr>
                <w:rFonts w:hint="eastAsia" w:ascii="宋体" w:hAnsi="宋体" w:eastAsia="宋体" w:cs="宋体"/>
                <w:b/>
                <w:bCs/>
                <w:color w:val="auto"/>
                <w:sz w:val="24"/>
                <w:lang w:val="en-US" w:eastAsia="zh-CN"/>
              </w:rPr>
              <w:t>附图</w:t>
            </w:r>
            <w:r>
              <w:rPr>
                <w:rFonts w:hint="eastAsia" w:ascii="宋体" w:hAnsi="宋体" w:cs="宋体"/>
                <w:b/>
                <w:bCs/>
                <w:color w:val="auto"/>
                <w:sz w:val="24"/>
                <w:lang w:val="en-US" w:eastAsia="zh-CN"/>
              </w:rPr>
              <w:t>3</w:t>
            </w:r>
            <w:r>
              <w:rPr>
                <w:rFonts w:hint="eastAsia" w:ascii="宋体" w:hAnsi="宋体" w:eastAsia="宋体" w:cs="宋体"/>
                <w:color w:val="auto"/>
                <w:sz w:val="24"/>
                <w:lang w:val="en-US" w:eastAsia="zh-CN"/>
              </w:rPr>
              <w:t>。</w:t>
            </w:r>
          </w:p>
          <w:p w14:paraId="16D340EE">
            <w:pPr>
              <w:keepNext w:val="0"/>
              <w:keepLines w:val="0"/>
              <w:pageBreakBefore w:val="0"/>
              <w:widowControl w:val="0"/>
              <w:kinsoku/>
              <w:wordWrap/>
              <w:overflowPunct/>
              <w:topLinePunct w:val="0"/>
              <w:autoSpaceDE/>
              <w:autoSpaceDN/>
              <w:bidi w:val="0"/>
              <w:adjustRightInd/>
              <w:snapToGrid/>
              <w:spacing w:line="351"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lang w:val="en-US" w:eastAsia="zh-CN"/>
              </w:rPr>
              <w:t>综上，本</w:t>
            </w:r>
            <w:r>
              <w:rPr>
                <w:rFonts w:hint="eastAsia" w:ascii="宋体" w:hAnsi="宋体" w:eastAsia="宋体" w:cs="宋体"/>
                <w:color w:val="auto"/>
                <w:sz w:val="24"/>
              </w:rPr>
              <w:t>项目</w:t>
            </w:r>
            <w:r>
              <w:rPr>
                <w:rFonts w:hint="eastAsia" w:ascii="宋体" w:hAnsi="宋体" w:eastAsia="宋体" w:cs="宋体"/>
                <w:color w:val="auto"/>
                <w:sz w:val="24"/>
                <w:lang w:val="en-US" w:eastAsia="zh-CN"/>
              </w:rPr>
              <w:t>建设</w:t>
            </w:r>
            <w:r>
              <w:rPr>
                <w:rFonts w:hint="eastAsia" w:ascii="宋体" w:hAnsi="宋体" w:eastAsia="宋体" w:cs="宋体"/>
                <w:color w:val="auto"/>
                <w:sz w:val="24"/>
              </w:rPr>
              <w:t>符合</w:t>
            </w:r>
            <w:r>
              <w:rPr>
                <w:rFonts w:hint="eastAsia" w:ascii="宋体" w:hAnsi="宋体" w:eastAsia="宋体" w:cs="宋体"/>
                <w:color w:val="auto"/>
                <w:sz w:val="24"/>
                <w:lang w:eastAsia="zh-CN"/>
              </w:rPr>
              <w:t>《昌吉市国土空间总体规划（</w:t>
            </w:r>
            <w:r>
              <w:rPr>
                <w:rFonts w:hint="eastAsia" w:ascii="宋体" w:hAnsi="宋体" w:eastAsia="宋体" w:cs="宋体"/>
                <w:color w:val="auto"/>
                <w:sz w:val="24"/>
                <w:lang w:val="en-US" w:eastAsia="zh-CN"/>
              </w:rPr>
              <w:t>2021-2035年</w:t>
            </w:r>
            <w:r>
              <w:rPr>
                <w:rFonts w:hint="eastAsia" w:ascii="宋体" w:hAnsi="宋体" w:eastAsia="宋体" w:cs="宋体"/>
                <w:color w:val="auto"/>
                <w:sz w:val="24"/>
                <w:lang w:eastAsia="zh-CN"/>
              </w:rPr>
              <w:t>）》</w:t>
            </w:r>
            <w:r>
              <w:rPr>
                <w:rFonts w:hint="eastAsia" w:ascii="宋体" w:hAnsi="宋体" w:eastAsia="宋体" w:cs="宋体"/>
                <w:color w:val="0000FF"/>
                <w:sz w:val="24"/>
                <w:lang w:val="en-US" w:eastAsia="zh-CN"/>
              </w:rPr>
              <w:t>中</w:t>
            </w:r>
            <w:r>
              <w:rPr>
                <w:rFonts w:hint="eastAsia" w:ascii="宋体" w:hAnsi="宋体" w:eastAsia="宋体" w:cs="宋体"/>
                <w:color w:val="0000FF"/>
                <w:sz w:val="24"/>
                <w:lang w:eastAsia="zh-CN"/>
              </w:rPr>
              <w:t>昌吉高新技术产业开发区国土空间专项规划（</w:t>
            </w:r>
            <w:r>
              <w:rPr>
                <w:rFonts w:hint="eastAsia" w:ascii="宋体" w:hAnsi="宋体" w:eastAsia="宋体" w:cs="宋体"/>
                <w:color w:val="0000FF"/>
                <w:sz w:val="24"/>
                <w:lang w:val="en-US" w:eastAsia="zh-CN"/>
              </w:rPr>
              <w:t>2021-2035年</w:t>
            </w:r>
            <w:r>
              <w:rPr>
                <w:rFonts w:hint="eastAsia" w:ascii="宋体" w:hAnsi="宋体" w:eastAsia="宋体" w:cs="宋体"/>
                <w:color w:val="0000FF"/>
                <w:sz w:val="24"/>
                <w:lang w:eastAsia="zh-CN"/>
              </w:rPr>
              <w:t>）</w:t>
            </w:r>
            <w:r>
              <w:rPr>
                <w:rFonts w:hint="eastAsia" w:ascii="宋体" w:hAnsi="宋体" w:eastAsia="宋体" w:cs="宋体"/>
                <w:color w:val="auto"/>
                <w:sz w:val="24"/>
                <w:lang w:val="en-US" w:eastAsia="zh-CN"/>
              </w:rPr>
              <w:t>相关要求</w:t>
            </w:r>
            <w:r>
              <w:rPr>
                <w:rFonts w:hint="eastAsia" w:ascii="宋体" w:hAnsi="宋体" w:eastAsia="宋体" w:cs="宋体"/>
                <w:color w:val="auto"/>
                <w:sz w:val="24"/>
              </w:rPr>
              <w:t>。</w:t>
            </w:r>
          </w:p>
          <w:p w14:paraId="20E3F533">
            <w:pPr>
              <w:pStyle w:val="77"/>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bCs/>
                <w:color w:val="auto"/>
                <w:lang w:val="en-US" w:eastAsia="zh-CN"/>
              </w:rPr>
            </w:pPr>
            <w:r>
              <w:rPr>
                <w:rFonts w:hint="eastAsia" w:ascii="宋体" w:hAnsi="宋体" w:cs="宋体"/>
                <w:b/>
                <w:bCs/>
                <w:color w:val="auto"/>
                <w:lang w:val="en-US" w:eastAsia="zh-CN"/>
              </w:rPr>
              <w:t>3</w:t>
            </w:r>
            <w:r>
              <w:rPr>
                <w:rFonts w:hint="eastAsia" w:ascii="宋体" w:hAnsi="宋体" w:eastAsia="宋体" w:cs="宋体"/>
                <w:b/>
                <w:bCs/>
                <w:color w:val="auto"/>
                <w:lang w:val="en-US" w:eastAsia="zh-CN"/>
              </w:rPr>
              <w:t>.与《昌吉高新技术产业开发区总体规划（2014-2030）环境影响报告书》及其审查意见符合性分析</w:t>
            </w:r>
          </w:p>
          <w:p w14:paraId="5CEABDBE">
            <w:pPr>
              <w:spacing w:line="360" w:lineRule="auto"/>
              <w:ind w:firstLine="480" w:firstLineChars="200"/>
              <w:rPr>
                <w:rFonts w:hint="eastAsia" w:ascii="宋体" w:hAnsi="宋体" w:eastAsia="宋体" w:cs="宋体"/>
                <w:color w:val="auto"/>
                <w:sz w:val="24"/>
                <w:lang w:val="en-US" w:eastAsia="zh-CN"/>
              </w:rPr>
            </w:pPr>
            <w:r>
              <w:rPr>
                <w:rFonts w:hint="eastAsia" w:ascii="宋体" w:hAnsi="宋体" w:eastAsia="宋体" w:cs="宋体"/>
                <w:color w:val="auto"/>
                <w:sz w:val="24"/>
                <w:lang w:eastAsia="zh-CN"/>
              </w:rPr>
              <w:t>本项目与《昌吉高新技术产业开发区总体规划（</w:t>
            </w:r>
            <w:r>
              <w:rPr>
                <w:rFonts w:hint="eastAsia" w:ascii="宋体" w:hAnsi="宋体" w:eastAsia="宋体" w:cs="宋体"/>
                <w:color w:val="auto"/>
                <w:sz w:val="24"/>
                <w:lang w:val="en-US" w:eastAsia="zh-CN"/>
              </w:rPr>
              <w:t>2014-2030</w:t>
            </w:r>
            <w:r>
              <w:rPr>
                <w:rFonts w:hint="eastAsia" w:ascii="宋体" w:hAnsi="宋体" w:eastAsia="宋体" w:cs="宋体"/>
                <w:color w:val="auto"/>
                <w:sz w:val="24"/>
                <w:lang w:eastAsia="zh-CN"/>
              </w:rPr>
              <w:t>）环境影响报告书》及其审查意见的符合性分析见表</w:t>
            </w:r>
            <w:r>
              <w:rPr>
                <w:rFonts w:hint="eastAsia" w:ascii="宋体" w:hAnsi="宋体" w:eastAsia="宋体" w:cs="宋体"/>
                <w:color w:val="auto"/>
                <w:sz w:val="24"/>
                <w:lang w:val="en-US" w:eastAsia="zh-CN"/>
              </w:rPr>
              <w:t>1-1。</w:t>
            </w:r>
          </w:p>
          <w:p w14:paraId="6BBFF132">
            <w:pPr>
              <w:keepNext w:val="0"/>
              <w:keepLines w:val="0"/>
              <w:pageBreakBefore w:val="0"/>
              <w:widowControl w:val="0"/>
              <w:kinsoku/>
              <w:wordWrap/>
              <w:overflowPunct/>
              <w:topLinePunct w:val="0"/>
              <w:autoSpaceDE/>
              <w:autoSpaceDN/>
              <w:bidi w:val="0"/>
              <w:adjustRightInd/>
              <w:snapToGrid/>
              <w:spacing w:line="300" w:lineRule="auto"/>
              <w:jc w:val="center"/>
              <w:textAlignment w:val="auto"/>
              <w:rPr>
                <w:b/>
                <w:bCs/>
                <w:color w:val="auto"/>
              </w:rPr>
            </w:pPr>
          </w:p>
          <w:p w14:paraId="372B4493">
            <w:pPr>
              <w:keepNext w:val="0"/>
              <w:keepLines w:val="0"/>
              <w:pageBreakBefore w:val="0"/>
              <w:widowControl w:val="0"/>
              <w:kinsoku/>
              <w:wordWrap/>
              <w:overflowPunct/>
              <w:topLinePunct w:val="0"/>
              <w:autoSpaceDE/>
              <w:autoSpaceDN/>
              <w:bidi w:val="0"/>
              <w:adjustRightInd/>
              <w:snapToGrid/>
              <w:spacing w:line="300" w:lineRule="auto"/>
              <w:jc w:val="center"/>
              <w:textAlignment w:val="auto"/>
              <w:rPr>
                <w:b/>
                <w:bCs/>
                <w:color w:val="auto"/>
              </w:rPr>
            </w:pPr>
          </w:p>
          <w:p w14:paraId="74F76E67">
            <w:pPr>
              <w:keepNext w:val="0"/>
              <w:keepLines w:val="0"/>
              <w:pageBreakBefore w:val="0"/>
              <w:widowControl w:val="0"/>
              <w:kinsoku/>
              <w:wordWrap/>
              <w:overflowPunct/>
              <w:topLinePunct w:val="0"/>
              <w:autoSpaceDE/>
              <w:autoSpaceDN/>
              <w:bidi w:val="0"/>
              <w:adjustRightInd/>
              <w:snapToGrid/>
              <w:spacing w:line="300" w:lineRule="auto"/>
              <w:jc w:val="center"/>
              <w:textAlignment w:val="auto"/>
              <w:rPr>
                <w:b/>
                <w:bCs/>
                <w:color w:val="auto"/>
              </w:rPr>
            </w:pPr>
          </w:p>
          <w:p w14:paraId="00D93D33">
            <w:pPr>
              <w:keepNext w:val="0"/>
              <w:keepLines w:val="0"/>
              <w:pageBreakBefore w:val="0"/>
              <w:widowControl w:val="0"/>
              <w:kinsoku/>
              <w:wordWrap/>
              <w:overflowPunct/>
              <w:topLinePunct w:val="0"/>
              <w:autoSpaceDE/>
              <w:autoSpaceDN/>
              <w:bidi w:val="0"/>
              <w:adjustRightInd/>
              <w:snapToGrid/>
              <w:spacing w:line="300" w:lineRule="auto"/>
              <w:jc w:val="center"/>
              <w:textAlignment w:val="auto"/>
              <w:rPr>
                <w:b/>
                <w:bCs/>
                <w:color w:val="auto"/>
              </w:rPr>
            </w:pPr>
          </w:p>
          <w:p w14:paraId="7154FD1D">
            <w:pPr>
              <w:keepNext w:val="0"/>
              <w:keepLines w:val="0"/>
              <w:pageBreakBefore w:val="0"/>
              <w:widowControl w:val="0"/>
              <w:kinsoku/>
              <w:wordWrap/>
              <w:overflowPunct/>
              <w:topLinePunct w:val="0"/>
              <w:autoSpaceDE/>
              <w:autoSpaceDN/>
              <w:bidi w:val="0"/>
              <w:adjustRightInd/>
              <w:snapToGrid/>
              <w:spacing w:before="157" w:beforeLines="50" w:line="300" w:lineRule="auto"/>
              <w:jc w:val="center"/>
              <w:textAlignment w:val="auto"/>
              <w:rPr>
                <w:b/>
                <w:bCs/>
                <w:color w:val="auto"/>
              </w:rPr>
            </w:pPr>
            <w:r>
              <w:rPr>
                <w:b/>
                <w:bCs/>
                <w:color w:val="auto"/>
              </w:rPr>
              <w:t>表</w:t>
            </w:r>
            <w:r>
              <w:rPr>
                <w:rFonts w:hint="eastAsia"/>
                <w:b/>
                <w:bCs/>
                <w:color w:val="auto"/>
                <w:lang w:val="en-US" w:eastAsia="zh-CN"/>
              </w:rPr>
              <w:t>1-1</w:t>
            </w:r>
            <w:r>
              <w:rPr>
                <w:rFonts w:hint="eastAsia"/>
                <w:b/>
                <w:bCs/>
                <w:color w:val="auto"/>
              </w:rPr>
              <w:t xml:space="preserve"> 与《昌吉高新技术产业开发区总体规划（2014-2030）环境影响报告书》及其审查意见</w:t>
            </w:r>
            <w:r>
              <w:rPr>
                <w:b/>
                <w:bCs/>
                <w:color w:val="auto"/>
              </w:rPr>
              <w:t>符合性分析</w:t>
            </w:r>
          </w:p>
          <w:tbl>
            <w:tblPr>
              <w:tblStyle w:val="26"/>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2458"/>
              <w:gridCol w:w="2348"/>
              <w:gridCol w:w="861"/>
            </w:tblGrid>
            <w:tr w14:paraId="49ED54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425" w:type="dxa"/>
                  <w:tcBorders>
                    <w:bottom w:val="single" w:color="auto" w:sz="12" w:space="0"/>
                  </w:tcBorders>
                  <w:noWrap w:val="0"/>
                  <w:vAlign w:val="center"/>
                </w:tcPr>
                <w:p w14:paraId="3212ECA9">
                  <w:pPr>
                    <w:pStyle w:val="7"/>
                    <w:jc w:val="center"/>
                    <w:outlineLvl w:val="3"/>
                    <w:rPr>
                      <w:rFonts w:hint="eastAsia" w:ascii="Times New Roman" w:hAnsi="Times New Roman" w:eastAsia="宋体"/>
                      <w:color w:val="auto"/>
                      <w:lang w:val="en-US" w:eastAsia="zh-CN"/>
                    </w:rPr>
                  </w:pPr>
                  <w:r>
                    <w:rPr>
                      <w:rFonts w:hint="eastAsia" w:ascii="Times New Roman" w:hAnsi="Times New Roman"/>
                      <w:color w:val="auto"/>
                      <w:lang w:val="en-US" w:eastAsia="zh-CN"/>
                    </w:rPr>
                    <w:t>名称</w:t>
                  </w:r>
                </w:p>
              </w:tc>
              <w:tc>
                <w:tcPr>
                  <w:tcW w:w="2458" w:type="dxa"/>
                  <w:tcBorders>
                    <w:bottom w:val="single" w:color="auto" w:sz="12" w:space="0"/>
                  </w:tcBorders>
                  <w:noWrap w:val="0"/>
                  <w:vAlign w:val="center"/>
                </w:tcPr>
                <w:p w14:paraId="53D3B0D0">
                  <w:pPr>
                    <w:pStyle w:val="7"/>
                    <w:jc w:val="center"/>
                    <w:outlineLvl w:val="3"/>
                    <w:rPr>
                      <w:rFonts w:ascii="Times New Roman" w:hAnsi="Times New Roman"/>
                      <w:color w:val="auto"/>
                      <w:szCs w:val="21"/>
                    </w:rPr>
                  </w:pPr>
                  <w:r>
                    <w:rPr>
                      <w:rFonts w:hint="eastAsia" w:ascii="Times New Roman" w:hAnsi="Times New Roman"/>
                      <w:color w:val="auto"/>
                      <w:szCs w:val="21"/>
                      <w:lang w:val="en-US" w:eastAsia="zh-CN"/>
                    </w:rPr>
                    <w:t>相关</w:t>
                  </w:r>
                  <w:r>
                    <w:rPr>
                      <w:rFonts w:hint="eastAsia" w:ascii="Times New Roman" w:hAnsi="Times New Roman"/>
                      <w:color w:val="auto"/>
                      <w:szCs w:val="21"/>
                    </w:rPr>
                    <w:t>要求</w:t>
                  </w:r>
                </w:p>
              </w:tc>
              <w:tc>
                <w:tcPr>
                  <w:tcW w:w="2348" w:type="dxa"/>
                  <w:tcBorders>
                    <w:bottom w:val="single" w:color="auto" w:sz="12" w:space="0"/>
                  </w:tcBorders>
                  <w:noWrap w:val="0"/>
                  <w:vAlign w:val="center"/>
                </w:tcPr>
                <w:p w14:paraId="16501AB3">
                  <w:pPr>
                    <w:pStyle w:val="7"/>
                    <w:jc w:val="center"/>
                    <w:outlineLvl w:val="3"/>
                    <w:rPr>
                      <w:rFonts w:ascii="Times New Roman" w:hAnsi="Times New Roman"/>
                      <w:color w:val="auto"/>
                      <w:szCs w:val="21"/>
                    </w:rPr>
                  </w:pPr>
                  <w:r>
                    <w:rPr>
                      <w:rFonts w:hint="eastAsia" w:ascii="Times New Roman" w:hAnsi="Times New Roman"/>
                      <w:color w:val="auto"/>
                      <w:szCs w:val="21"/>
                    </w:rPr>
                    <w:t>项目情况</w:t>
                  </w:r>
                </w:p>
              </w:tc>
              <w:tc>
                <w:tcPr>
                  <w:tcW w:w="861" w:type="dxa"/>
                  <w:tcBorders>
                    <w:bottom w:val="single" w:color="auto" w:sz="12" w:space="0"/>
                  </w:tcBorders>
                  <w:noWrap w:val="0"/>
                  <w:vAlign w:val="center"/>
                </w:tcPr>
                <w:p w14:paraId="00264DB1">
                  <w:pPr>
                    <w:pStyle w:val="7"/>
                    <w:jc w:val="center"/>
                    <w:outlineLvl w:val="3"/>
                    <w:rPr>
                      <w:rFonts w:ascii="Times New Roman" w:hAnsi="Times New Roman"/>
                      <w:color w:val="auto"/>
                      <w:szCs w:val="21"/>
                    </w:rPr>
                  </w:pPr>
                  <w:r>
                    <w:rPr>
                      <w:rFonts w:ascii="Times New Roman" w:hAnsi="Times New Roman"/>
                      <w:color w:val="auto"/>
                      <w:szCs w:val="21"/>
                    </w:rPr>
                    <w:t>符合性</w:t>
                  </w:r>
                </w:p>
              </w:tc>
            </w:tr>
            <w:tr w14:paraId="523182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59" w:hRule="atLeast"/>
              </w:trPr>
              <w:tc>
                <w:tcPr>
                  <w:tcW w:w="1425" w:type="dxa"/>
                  <w:tcBorders>
                    <w:top w:val="single" w:color="auto" w:sz="12" w:space="0"/>
                    <w:bottom w:val="single" w:color="auto" w:sz="8" w:space="0"/>
                  </w:tcBorders>
                  <w:noWrap w:val="0"/>
                  <w:vAlign w:val="center"/>
                </w:tcPr>
                <w:p w14:paraId="552AB265">
                  <w:pPr>
                    <w:adjustRightInd w:val="0"/>
                    <w:snapToGrid w:val="0"/>
                    <w:jc w:val="center"/>
                    <w:rPr>
                      <w:rFonts w:hint="eastAsia" w:ascii="宋体" w:hAnsi="宋体" w:eastAsia="宋体" w:cs="宋体"/>
                      <w:color w:val="auto"/>
                    </w:rPr>
                  </w:pPr>
                  <w:r>
                    <w:rPr>
                      <w:rFonts w:hint="eastAsia" w:ascii="宋体" w:hAnsi="宋体" w:eastAsia="宋体" w:cs="宋体"/>
                      <w:color w:val="auto"/>
                      <w:spacing w:val="-6"/>
                      <w:sz w:val="21"/>
                    </w:rPr>
                    <w:t>《昌吉高新技术产业开发区总体规划（2014-2030）</w:t>
                  </w:r>
                  <w:r>
                    <w:rPr>
                      <w:rFonts w:hint="eastAsia" w:ascii="宋体" w:hAnsi="宋体" w:eastAsia="宋体" w:cs="宋体"/>
                      <w:color w:val="auto"/>
                    </w:rPr>
                    <w:t>环境影响报告书》</w:t>
                  </w:r>
                </w:p>
              </w:tc>
              <w:tc>
                <w:tcPr>
                  <w:tcW w:w="2458" w:type="dxa"/>
                  <w:tcBorders>
                    <w:top w:val="single" w:color="auto" w:sz="12" w:space="0"/>
                    <w:bottom w:val="single" w:color="auto" w:sz="8" w:space="0"/>
                  </w:tcBorders>
                  <w:noWrap w:val="0"/>
                  <w:vAlign w:val="center"/>
                </w:tcPr>
                <w:p w14:paraId="31CA6F59">
                  <w:pPr>
                    <w:spacing w:line="240" w:lineRule="auto"/>
                    <w:ind w:firstLine="0" w:firstLineChars="0"/>
                    <w:jc w:val="both"/>
                    <w:rPr>
                      <w:rFonts w:ascii="宋体" w:hAnsi="宋体" w:cs="宋体"/>
                      <w:color w:val="auto"/>
                    </w:rPr>
                  </w:pPr>
                  <w:r>
                    <w:rPr>
                      <w:rFonts w:hint="default" w:ascii="Times New Roman" w:hAnsi="Times New Roman" w:eastAsia="宋体" w:cs="Times New Roman"/>
                      <w:color w:val="auto"/>
                      <w:sz w:val="21"/>
                      <w:szCs w:val="21"/>
                      <w:highlight w:val="none"/>
                    </w:rPr>
                    <w:t>禁止不符合国家经济政策、环保政策、技术政策及工业园区的产业定位的；废水含难降解的有机物、</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三致</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污染物、重金属等物质含量高的项目；废水经预处理达不到园区污水处理厂接纳标准的项目；污染严重的</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十五小</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及</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新五小</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企业项目；污染难以治理或环保设施不稳定达标的项目入园。</w:t>
                  </w:r>
                </w:p>
              </w:tc>
              <w:tc>
                <w:tcPr>
                  <w:tcW w:w="2348" w:type="dxa"/>
                  <w:tcBorders>
                    <w:top w:val="single" w:color="auto" w:sz="12" w:space="0"/>
                    <w:bottom w:val="single" w:color="auto" w:sz="8" w:space="0"/>
                  </w:tcBorders>
                  <w:noWrap w:val="0"/>
                  <w:vAlign w:val="center"/>
                </w:tcPr>
                <w:p w14:paraId="6FC03076">
                  <w:pPr>
                    <w:spacing w:line="240" w:lineRule="auto"/>
                    <w:ind w:firstLine="0" w:firstLineChars="0"/>
                    <w:jc w:val="both"/>
                    <w:rPr>
                      <w:rFonts w:ascii="宋体" w:hAnsi="宋体" w:cs="宋体"/>
                      <w:color w:val="auto"/>
                    </w:rPr>
                  </w:pPr>
                  <w:r>
                    <w:rPr>
                      <w:rFonts w:hint="default" w:ascii="Times New Roman" w:hAnsi="Times New Roman" w:eastAsia="宋体" w:cs="Times New Roman"/>
                      <w:color w:val="auto"/>
                      <w:sz w:val="21"/>
                      <w:szCs w:val="21"/>
                      <w:highlight w:val="none"/>
                      <w:lang w:val="en-US" w:eastAsia="zh-CN"/>
                    </w:rPr>
                    <w:t>本项目符合国家经济政策、环保政策、技术政策及园区的产业定位</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项目</w:t>
                  </w:r>
                  <w:r>
                    <w:rPr>
                      <w:rFonts w:hint="eastAsia" w:ascii="Times New Roman" w:hAnsi="Times New Roman" w:eastAsia="宋体" w:cs="Times New Roman"/>
                      <w:color w:val="auto"/>
                      <w:sz w:val="21"/>
                      <w:szCs w:val="21"/>
                      <w:highlight w:val="none"/>
                      <w:lang w:val="en-US" w:eastAsia="zh-CN"/>
                    </w:rPr>
                    <w:t>无</w:t>
                  </w:r>
                  <w:r>
                    <w:rPr>
                      <w:rFonts w:hint="default" w:ascii="Times New Roman" w:hAnsi="Times New Roman" w:eastAsia="宋体" w:cs="Times New Roman"/>
                      <w:color w:val="auto"/>
                      <w:sz w:val="21"/>
                      <w:szCs w:val="21"/>
                      <w:highlight w:val="none"/>
                      <w:lang w:val="en-US" w:eastAsia="zh-CN"/>
                    </w:rPr>
                    <w:t>生产废水</w:t>
                  </w:r>
                  <w:r>
                    <w:rPr>
                      <w:rFonts w:hint="eastAsia" w:ascii="Times New Roman" w:hAnsi="Times New Roman" w:eastAsia="宋体" w:cs="Times New Roman"/>
                      <w:color w:val="auto"/>
                      <w:sz w:val="21"/>
                      <w:szCs w:val="21"/>
                      <w:highlight w:val="none"/>
                      <w:lang w:val="en-US" w:eastAsia="zh-CN"/>
                    </w:rPr>
                    <w:t>产生</w:t>
                  </w:r>
                  <w:r>
                    <w:rPr>
                      <w:rFonts w:hint="default" w:ascii="Times New Roman" w:hAnsi="Times New Roman" w:eastAsia="宋体" w:cs="Times New Roman"/>
                      <w:color w:val="auto"/>
                      <w:sz w:val="21"/>
                      <w:szCs w:val="21"/>
                      <w:highlight w:val="none"/>
                      <w:lang w:val="en-US" w:eastAsia="zh-CN"/>
                    </w:rPr>
                    <w:t>，生活污水排入园区污水管网，最终进入园区污水处理厂处理；</w:t>
                  </w:r>
                  <w:r>
                    <w:rPr>
                      <w:rFonts w:hint="eastAsia" w:ascii="Times New Roman" w:hAnsi="Times New Roman" w:eastAsia="宋体" w:cs="Times New Roman"/>
                      <w:color w:val="auto"/>
                      <w:sz w:val="21"/>
                      <w:szCs w:val="21"/>
                      <w:highlight w:val="none"/>
                      <w:lang w:val="en-US" w:eastAsia="zh-CN"/>
                    </w:rPr>
                    <w:t>废气采取相应治理措施处理后排放；选用低噪声设备，采取基础减振、厂房隔声等措施降噪；项目产生的一般固体废物和危险废物分类收集暂存，均能够按</w:t>
                  </w:r>
                  <w:r>
                    <w:rPr>
                      <w:rFonts w:hint="default" w:ascii="Times New Roman" w:hAnsi="Times New Roman" w:eastAsia="宋体" w:cs="Times New Roman"/>
                      <w:color w:val="auto"/>
                      <w:sz w:val="21"/>
                      <w:szCs w:val="21"/>
                      <w:highlight w:val="none"/>
                      <w:lang w:val="en-US" w:eastAsia="zh-CN"/>
                    </w:rPr>
                    <w:t>要求妥善处理</w:t>
                  </w:r>
                  <w:r>
                    <w:rPr>
                      <w:rFonts w:hint="eastAsia" w:ascii="Times New Roman" w:hAnsi="Times New Roman" w:eastAsia="宋体" w:cs="Times New Roman"/>
                      <w:color w:val="auto"/>
                      <w:sz w:val="21"/>
                      <w:szCs w:val="21"/>
                      <w:highlight w:val="none"/>
                      <w:lang w:val="en-US" w:eastAsia="zh-CN"/>
                    </w:rPr>
                    <w:t>。通过采取上述污染防治措施后，项目各污染物均能够稳定达标排放，项目满足入园要求</w:t>
                  </w:r>
                  <w:r>
                    <w:rPr>
                      <w:rFonts w:hint="default" w:ascii="Times New Roman" w:hAnsi="Times New Roman" w:eastAsia="宋体" w:cs="Times New Roman"/>
                      <w:color w:val="auto"/>
                      <w:sz w:val="21"/>
                      <w:szCs w:val="21"/>
                      <w:highlight w:val="none"/>
                      <w:lang w:val="en-US" w:eastAsia="zh-CN"/>
                    </w:rPr>
                    <w:t>。</w:t>
                  </w:r>
                </w:p>
              </w:tc>
              <w:tc>
                <w:tcPr>
                  <w:tcW w:w="861" w:type="dxa"/>
                  <w:tcBorders>
                    <w:top w:val="single" w:color="auto" w:sz="12" w:space="0"/>
                    <w:bottom w:val="single" w:color="auto" w:sz="8" w:space="0"/>
                  </w:tcBorders>
                  <w:noWrap w:val="0"/>
                  <w:vAlign w:val="center"/>
                </w:tcPr>
                <w:p w14:paraId="3A61AA74">
                  <w:pPr>
                    <w:adjustRightInd w:val="0"/>
                    <w:snapToGrid w:val="0"/>
                    <w:jc w:val="center"/>
                    <w:rPr>
                      <w:rFonts w:ascii="宋体" w:hAnsi="宋体" w:cs="宋体"/>
                      <w:color w:val="auto"/>
                    </w:rPr>
                  </w:pPr>
                  <w:r>
                    <w:rPr>
                      <w:rFonts w:hint="eastAsia" w:ascii="宋体" w:hAnsi="宋体" w:cs="宋体"/>
                      <w:color w:val="auto"/>
                    </w:rPr>
                    <w:t>符合</w:t>
                  </w:r>
                </w:p>
              </w:tc>
            </w:tr>
            <w:tr w14:paraId="0B01C2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59" w:hRule="atLeast"/>
              </w:trPr>
              <w:tc>
                <w:tcPr>
                  <w:tcW w:w="1425" w:type="dxa"/>
                  <w:vMerge w:val="restart"/>
                  <w:tcBorders>
                    <w:top w:val="single" w:color="auto" w:sz="8" w:space="0"/>
                  </w:tcBorders>
                  <w:noWrap w:val="0"/>
                  <w:vAlign w:val="center"/>
                </w:tcPr>
                <w:p w14:paraId="772CAAF5">
                  <w:pPr>
                    <w:adjustRightInd w:val="0"/>
                    <w:snapToGrid w:val="0"/>
                    <w:jc w:val="center"/>
                    <w:rPr>
                      <w:rFonts w:hint="eastAsia" w:ascii="宋体" w:hAnsi="宋体" w:eastAsia="宋体" w:cs="宋体"/>
                      <w:color w:val="auto"/>
                    </w:rPr>
                  </w:pPr>
                  <w:r>
                    <w:rPr>
                      <w:rFonts w:hint="eastAsia" w:ascii="宋体" w:hAnsi="宋体" w:eastAsia="宋体" w:cs="宋体"/>
                      <w:color w:val="auto"/>
                      <w:lang w:val="en-US" w:eastAsia="zh-CN"/>
                    </w:rPr>
                    <w:t>《关于</w:t>
                  </w:r>
                  <w:r>
                    <w:rPr>
                      <w:rFonts w:hint="eastAsia" w:ascii="宋体" w:hAnsi="宋体" w:eastAsia="宋体" w:cs="宋体"/>
                      <w:color w:val="auto"/>
                    </w:rPr>
                    <w:t>昌吉高新技术产业开发区总体规划</w:t>
                  </w:r>
                  <w:r>
                    <w:rPr>
                      <w:rFonts w:hint="eastAsia" w:ascii="宋体" w:hAnsi="宋体" w:eastAsia="宋体" w:cs="宋体"/>
                      <w:color w:val="auto"/>
                      <w:spacing w:val="-6"/>
                      <w:sz w:val="21"/>
                    </w:rPr>
                    <w:t>（2014-2030）</w:t>
                  </w:r>
                  <w:r>
                    <w:rPr>
                      <w:rFonts w:hint="eastAsia" w:ascii="宋体" w:hAnsi="宋体" w:eastAsia="宋体" w:cs="宋体"/>
                      <w:color w:val="auto"/>
                    </w:rPr>
                    <w:t>环境影响报告书的审查意见</w:t>
                  </w:r>
                  <w:r>
                    <w:rPr>
                      <w:rFonts w:hint="eastAsia" w:ascii="宋体" w:hAnsi="宋体" w:eastAsia="宋体" w:cs="宋体"/>
                      <w:color w:val="auto"/>
                      <w:lang w:val="en-US" w:eastAsia="zh-CN"/>
                    </w:rPr>
                    <w:t>》</w:t>
                  </w:r>
                </w:p>
              </w:tc>
              <w:tc>
                <w:tcPr>
                  <w:tcW w:w="2458" w:type="dxa"/>
                  <w:tcBorders>
                    <w:top w:val="single" w:color="auto" w:sz="8" w:space="0"/>
                    <w:bottom w:val="single" w:color="auto" w:sz="8" w:space="0"/>
                  </w:tcBorders>
                  <w:noWrap w:val="0"/>
                  <w:vAlign w:val="center"/>
                </w:tcPr>
                <w:p w14:paraId="503B5625">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rPr>
                    <w:t>坚持实行入园企业环保准入审核制度，与产业定位方向不符的项目一律不得入园，对于入园的建设项目必须开展建设项目环境影响评价，并严格执行建设项目“三同时”环境管理制度</w:t>
                  </w:r>
                  <w:r>
                    <w:rPr>
                      <w:rFonts w:hint="eastAsia" w:ascii="Times New Roman" w:hAnsi="Times New Roman" w:eastAsia="宋体" w:cs="Times New Roman"/>
                      <w:color w:val="auto"/>
                      <w:sz w:val="21"/>
                      <w:szCs w:val="21"/>
                      <w:highlight w:val="none"/>
                      <w:lang w:eastAsia="zh-CN"/>
                    </w:rPr>
                    <w:t>。</w:t>
                  </w:r>
                </w:p>
              </w:tc>
              <w:tc>
                <w:tcPr>
                  <w:tcW w:w="2348" w:type="dxa"/>
                  <w:tcBorders>
                    <w:top w:val="single" w:color="auto" w:sz="8" w:space="0"/>
                    <w:bottom w:val="single" w:color="auto" w:sz="8" w:space="0"/>
                  </w:tcBorders>
                  <w:noWrap w:val="0"/>
                  <w:vAlign w:val="center"/>
                </w:tcPr>
                <w:p w14:paraId="5EAE7EB6">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rPr>
                    <w:t>本项目</w:t>
                  </w:r>
                  <w:r>
                    <w:rPr>
                      <w:rFonts w:hint="eastAsia" w:ascii="Times New Roman" w:hAnsi="Times New Roman" w:eastAsia="宋体" w:cs="Times New Roman"/>
                      <w:color w:val="auto"/>
                      <w:sz w:val="21"/>
                      <w:szCs w:val="21"/>
                      <w:highlight w:val="none"/>
                      <w:lang w:val="en-US" w:eastAsia="zh-CN"/>
                    </w:rPr>
                    <w:t>为</w:t>
                  </w:r>
                  <w:r>
                    <w:rPr>
                      <w:rFonts w:hint="eastAsia" w:ascii="Times New Roman" w:hAnsi="Times New Roman" w:eastAsia="宋体" w:cs="Times New Roman"/>
                      <w:color w:val="auto"/>
                      <w:sz w:val="21"/>
                      <w:szCs w:val="21"/>
                      <w:highlight w:val="none"/>
                    </w:rPr>
                    <w:t>金属结构制造项目，位于</w:t>
                  </w:r>
                  <w:r>
                    <w:rPr>
                      <w:rFonts w:hint="eastAsia" w:ascii="Times New Roman" w:hAnsi="Times New Roman" w:eastAsia="宋体" w:cs="Times New Roman"/>
                      <w:color w:val="auto"/>
                      <w:sz w:val="21"/>
                      <w:szCs w:val="21"/>
                      <w:highlight w:val="none"/>
                      <w:lang w:eastAsia="zh-CN"/>
                    </w:rPr>
                    <w:t>昌吉高新技术产业开发区C-16号</w:t>
                  </w:r>
                  <w:r>
                    <w:rPr>
                      <w:rFonts w:hint="eastAsia"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eastAsia="zh-CN"/>
                    </w:rPr>
                    <w:t>项目</w:t>
                  </w:r>
                  <w:r>
                    <w:rPr>
                      <w:rFonts w:hint="eastAsia" w:ascii="Times New Roman" w:hAnsi="Times New Roman" w:eastAsia="宋体" w:cs="Times New Roman"/>
                      <w:color w:val="auto"/>
                      <w:sz w:val="21"/>
                      <w:szCs w:val="21"/>
                      <w:highlight w:val="none"/>
                    </w:rPr>
                    <w:t>符合园区产业定位</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rPr>
                    <w:t>项目</w:t>
                  </w:r>
                  <w:r>
                    <w:rPr>
                      <w:rFonts w:hint="eastAsia" w:ascii="Times New Roman" w:hAnsi="Times New Roman" w:eastAsia="宋体" w:cs="Times New Roman"/>
                      <w:color w:val="auto"/>
                      <w:sz w:val="21"/>
                      <w:szCs w:val="21"/>
                      <w:highlight w:val="none"/>
                      <w:lang w:eastAsia="zh-CN"/>
                    </w:rPr>
                    <w:t>按要求开展环境影响评价工作，并严格执行建设项目“三同时”环境管理制度</w:t>
                  </w:r>
                  <w:r>
                    <w:rPr>
                      <w:rFonts w:hint="eastAsia" w:ascii="Times New Roman" w:hAnsi="Times New Roman" w:eastAsia="宋体" w:cs="Times New Roman"/>
                      <w:color w:val="auto"/>
                      <w:sz w:val="21"/>
                      <w:szCs w:val="21"/>
                      <w:highlight w:val="none"/>
                    </w:rPr>
                    <w:t>。</w:t>
                  </w:r>
                </w:p>
              </w:tc>
              <w:tc>
                <w:tcPr>
                  <w:tcW w:w="861" w:type="dxa"/>
                  <w:tcBorders>
                    <w:top w:val="single" w:color="auto" w:sz="8" w:space="0"/>
                    <w:bottom w:val="single" w:color="auto" w:sz="8" w:space="0"/>
                  </w:tcBorders>
                  <w:noWrap w:val="0"/>
                  <w:vAlign w:val="center"/>
                </w:tcPr>
                <w:p w14:paraId="69D47365">
                  <w:pPr>
                    <w:adjustRightInd w:val="0"/>
                    <w:snapToGrid w:val="0"/>
                    <w:jc w:val="center"/>
                    <w:rPr>
                      <w:rFonts w:ascii="宋体" w:hAnsi="宋体" w:cs="宋体"/>
                      <w:color w:val="auto"/>
                    </w:rPr>
                  </w:pPr>
                  <w:r>
                    <w:rPr>
                      <w:rFonts w:hint="eastAsia" w:ascii="宋体" w:hAnsi="宋体" w:cs="宋体"/>
                      <w:color w:val="auto"/>
                    </w:rPr>
                    <w:t>符合</w:t>
                  </w:r>
                </w:p>
              </w:tc>
            </w:tr>
            <w:tr w14:paraId="633F58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18" w:hRule="atLeast"/>
              </w:trPr>
              <w:tc>
                <w:tcPr>
                  <w:tcW w:w="1425" w:type="dxa"/>
                  <w:vMerge w:val="continue"/>
                  <w:noWrap w:val="0"/>
                  <w:vAlign w:val="center"/>
                </w:tcPr>
                <w:p w14:paraId="114DDAF8">
                  <w:pPr>
                    <w:adjustRightInd w:val="0"/>
                    <w:snapToGrid w:val="0"/>
                    <w:jc w:val="center"/>
                    <w:rPr>
                      <w:rFonts w:hint="eastAsia" w:ascii="宋体" w:hAnsi="宋体" w:eastAsia="宋体" w:cs="宋体"/>
                      <w:color w:val="auto"/>
                      <w:lang w:val="en-US" w:eastAsia="zh-CN"/>
                    </w:rPr>
                  </w:pPr>
                </w:p>
              </w:tc>
              <w:tc>
                <w:tcPr>
                  <w:tcW w:w="2458" w:type="dxa"/>
                  <w:tcBorders>
                    <w:top w:val="single" w:color="auto" w:sz="8" w:space="0"/>
                    <w:bottom w:val="single" w:color="auto" w:sz="8" w:space="0"/>
                  </w:tcBorders>
                  <w:noWrap w:val="0"/>
                  <w:vAlign w:val="center"/>
                </w:tcPr>
                <w:p w14:paraId="54744508">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pacing w:val="-6"/>
                      <w:sz w:val="21"/>
                      <w:szCs w:val="21"/>
                      <w:highlight w:val="none"/>
                    </w:rPr>
                    <w:t>园区范围内企业</w:t>
                  </w:r>
                  <w:r>
                    <w:rPr>
                      <w:rFonts w:hint="eastAsia" w:cs="Times New Roman"/>
                      <w:color w:val="auto"/>
                      <w:spacing w:val="-11"/>
                      <w:sz w:val="21"/>
                      <w:szCs w:val="21"/>
                      <w:highlight w:val="none"/>
                      <w:lang w:eastAsia="zh-CN"/>
                    </w:rPr>
                    <w:t>，</w:t>
                  </w:r>
                  <w:r>
                    <w:rPr>
                      <w:rFonts w:hint="eastAsia" w:ascii="Times New Roman" w:hAnsi="Times New Roman" w:eastAsia="宋体" w:cs="Times New Roman"/>
                      <w:color w:val="auto"/>
                      <w:spacing w:val="-11"/>
                      <w:sz w:val="21"/>
                      <w:szCs w:val="21"/>
                      <w:highlight w:val="none"/>
                    </w:rPr>
                    <w:t>应办理合法的环保手续，</w:t>
                  </w:r>
                  <w:r>
                    <w:rPr>
                      <w:rFonts w:hint="eastAsia" w:ascii="Times New Roman" w:hAnsi="Times New Roman" w:eastAsia="宋体" w:cs="Times New Roman"/>
                      <w:color w:val="auto"/>
                      <w:spacing w:val="-6"/>
                      <w:sz w:val="21"/>
                      <w:szCs w:val="21"/>
                      <w:highlight w:val="none"/>
                    </w:rPr>
                    <w:t>不符合园区规划布局、产业定位的企业应予以搬迁。园区项目须严格</w:t>
                  </w:r>
                  <w:r>
                    <w:rPr>
                      <w:rFonts w:hint="eastAsia" w:ascii="Times New Roman" w:hAnsi="Times New Roman" w:eastAsia="宋体" w:cs="Times New Roman"/>
                      <w:color w:val="auto"/>
                      <w:spacing w:val="-6"/>
                      <w:sz w:val="21"/>
                      <w:szCs w:val="21"/>
                      <w:highlight w:val="none"/>
                      <w:lang w:val="en-US" w:eastAsia="zh-CN"/>
                    </w:rPr>
                    <w:t>落实</w:t>
                  </w:r>
                  <w:r>
                    <w:rPr>
                      <w:rFonts w:hint="eastAsia" w:ascii="Times New Roman" w:hAnsi="Times New Roman" w:eastAsia="宋体" w:cs="Times New Roman"/>
                      <w:color w:val="auto"/>
                      <w:spacing w:val="-6"/>
                      <w:sz w:val="21"/>
                      <w:szCs w:val="21"/>
                      <w:highlight w:val="none"/>
                    </w:rPr>
                    <w:t>污染物总量控制要求，</w:t>
                  </w:r>
                  <w:r>
                    <w:rPr>
                      <w:rFonts w:hint="eastAsia" w:ascii="Times New Roman" w:hAnsi="Times New Roman" w:eastAsia="宋体" w:cs="Times New Roman"/>
                      <w:color w:val="auto"/>
                      <w:sz w:val="21"/>
                      <w:szCs w:val="21"/>
                      <w:highlight w:val="none"/>
                      <w:lang w:eastAsia="zh-CN"/>
                    </w:rPr>
                    <w:t>提出污染物减排具体方案和保障措施。</w:t>
                  </w:r>
                </w:p>
              </w:tc>
              <w:tc>
                <w:tcPr>
                  <w:tcW w:w="2348" w:type="dxa"/>
                  <w:tcBorders>
                    <w:top w:val="single" w:color="auto" w:sz="8" w:space="0"/>
                    <w:bottom w:val="single" w:color="auto" w:sz="8" w:space="0"/>
                  </w:tcBorders>
                  <w:noWrap w:val="0"/>
                  <w:vAlign w:val="center"/>
                </w:tcPr>
                <w:p w14:paraId="1ECA34EA">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eastAsia="zh-CN"/>
                    </w:rPr>
                    <w:t>本</w:t>
                  </w:r>
                  <w:r>
                    <w:rPr>
                      <w:rFonts w:hint="eastAsia" w:ascii="Times New Roman" w:hAnsi="Times New Roman" w:eastAsia="宋体" w:cs="Times New Roman"/>
                      <w:color w:val="auto"/>
                      <w:sz w:val="21"/>
                      <w:szCs w:val="21"/>
                      <w:highlight w:val="none"/>
                    </w:rPr>
                    <w:t>项目</w:t>
                  </w:r>
                  <w:r>
                    <w:rPr>
                      <w:rFonts w:hint="eastAsia" w:ascii="Times New Roman" w:hAnsi="Times New Roman" w:eastAsia="宋体" w:cs="Times New Roman"/>
                      <w:color w:val="auto"/>
                      <w:sz w:val="21"/>
                      <w:szCs w:val="21"/>
                      <w:highlight w:val="none"/>
                      <w:lang w:eastAsia="zh-CN"/>
                    </w:rPr>
                    <w:t>依法办理相关环保手续，项目</w:t>
                  </w:r>
                  <w:r>
                    <w:rPr>
                      <w:rFonts w:hint="eastAsia" w:ascii="Times New Roman" w:hAnsi="Times New Roman" w:eastAsia="宋体" w:cs="Times New Roman"/>
                      <w:color w:val="auto"/>
                      <w:sz w:val="21"/>
                      <w:szCs w:val="21"/>
                      <w:highlight w:val="none"/>
                    </w:rPr>
                    <w:t>符合园区规划布局、产业定位</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rPr>
                    <w:t>项目</w:t>
                  </w:r>
                  <w:r>
                    <w:rPr>
                      <w:rFonts w:hint="eastAsia" w:ascii="Times New Roman" w:hAnsi="Times New Roman" w:eastAsia="宋体" w:cs="Times New Roman"/>
                      <w:color w:val="auto"/>
                      <w:sz w:val="21"/>
                      <w:szCs w:val="21"/>
                      <w:highlight w:val="none"/>
                      <w:lang w:val="en-US" w:eastAsia="zh-CN"/>
                    </w:rPr>
                    <w:t>严格落实污染物</w:t>
                  </w:r>
                  <w:r>
                    <w:rPr>
                      <w:rFonts w:hint="eastAsia" w:ascii="Times New Roman" w:hAnsi="Times New Roman" w:eastAsia="宋体" w:cs="Times New Roman"/>
                      <w:color w:val="auto"/>
                      <w:sz w:val="21"/>
                      <w:szCs w:val="21"/>
                      <w:highlight w:val="none"/>
                    </w:rPr>
                    <w:t>总量控制</w:t>
                  </w:r>
                  <w:r>
                    <w:rPr>
                      <w:rFonts w:hint="eastAsia" w:ascii="Times New Roman" w:hAnsi="Times New Roman" w:eastAsia="宋体" w:cs="Times New Roman"/>
                      <w:color w:val="auto"/>
                      <w:sz w:val="21"/>
                      <w:szCs w:val="21"/>
                      <w:highlight w:val="none"/>
                      <w:lang w:val="en-US" w:eastAsia="zh-CN"/>
                    </w:rPr>
                    <w:t>要求</w:t>
                  </w:r>
                  <w:r>
                    <w:rPr>
                      <w:rFonts w:hint="eastAsia" w:ascii="Times New Roman" w:hAnsi="Times New Roman" w:eastAsia="宋体" w:cs="Times New Roman"/>
                      <w:color w:val="auto"/>
                      <w:spacing w:val="-6"/>
                      <w:sz w:val="21"/>
                      <w:szCs w:val="21"/>
                      <w:highlight w:val="none"/>
                      <w:lang w:eastAsia="zh-CN"/>
                    </w:rPr>
                    <w:t>，本次环评提出</w:t>
                  </w:r>
                  <w:r>
                    <w:rPr>
                      <w:rFonts w:hint="eastAsia" w:ascii="Times New Roman" w:hAnsi="Times New Roman" w:eastAsia="宋体" w:cs="Times New Roman"/>
                      <w:color w:val="auto"/>
                      <w:sz w:val="21"/>
                      <w:szCs w:val="21"/>
                      <w:highlight w:val="none"/>
                      <w:lang w:eastAsia="zh-CN"/>
                    </w:rPr>
                    <w:t>污染物</w:t>
                  </w:r>
                  <w:r>
                    <w:rPr>
                      <w:rFonts w:hint="eastAsia" w:ascii="Times New Roman" w:hAnsi="Times New Roman" w:eastAsia="宋体" w:cs="Times New Roman"/>
                      <w:color w:val="auto"/>
                      <w:sz w:val="21"/>
                      <w:szCs w:val="21"/>
                      <w:highlight w:val="none"/>
                      <w:lang w:val="en-US" w:eastAsia="zh-CN"/>
                    </w:rPr>
                    <w:t>减排措施</w:t>
                  </w:r>
                  <w:r>
                    <w:rPr>
                      <w:rFonts w:hint="eastAsia" w:ascii="Times New Roman" w:hAnsi="Times New Roman" w:eastAsia="宋体" w:cs="Times New Roman"/>
                      <w:color w:val="auto"/>
                      <w:spacing w:val="-6"/>
                      <w:sz w:val="21"/>
                      <w:szCs w:val="21"/>
                      <w:highlight w:val="none"/>
                    </w:rPr>
                    <w:t>。</w:t>
                  </w:r>
                </w:p>
              </w:tc>
              <w:tc>
                <w:tcPr>
                  <w:tcW w:w="861" w:type="dxa"/>
                  <w:tcBorders>
                    <w:top w:val="single" w:color="auto" w:sz="8" w:space="0"/>
                    <w:bottom w:val="single" w:color="auto" w:sz="8" w:space="0"/>
                  </w:tcBorders>
                  <w:noWrap w:val="0"/>
                  <w:vAlign w:val="center"/>
                </w:tcPr>
                <w:p w14:paraId="7E363B6E">
                  <w:pPr>
                    <w:adjustRightInd w:val="0"/>
                    <w:snapToGrid w:val="0"/>
                    <w:jc w:val="center"/>
                    <w:rPr>
                      <w:rFonts w:hint="eastAsia" w:ascii="宋体" w:hAnsi="宋体" w:cs="宋体"/>
                      <w:color w:val="auto"/>
                    </w:rPr>
                  </w:pPr>
                  <w:r>
                    <w:rPr>
                      <w:rFonts w:hint="eastAsia" w:ascii="宋体" w:hAnsi="宋体" w:cs="宋体"/>
                      <w:color w:val="auto"/>
                    </w:rPr>
                    <w:t>符合</w:t>
                  </w:r>
                </w:p>
              </w:tc>
            </w:tr>
            <w:tr w14:paraId="3D5DAC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1425" w:type="dxa"/>
                  <w:vMerge w:val="continue"/>
                  <w:tcBorders>
                    <w:bottom w:val="single" w:color="auto" w:sz="12" w:space="0"/>
                  </w:tcBorders>
                  <w:noWrap w:val="0"/>
                  <w:vAlign w:val="center"/>
                </w:tcPr>
                <w:p w14:paraId="4391B642">
                  <w:pPr>
                    <w:adjustRightInd w:val="0"/>
                    <w:snapToGrid w:val="0"/>
                    <w:jc w:val="center"/>
                    <w:rPr>
                      <w:rFonts w:hint="eastAsia" w:ascii="宋体" w:hAnsi="宋体" w:eastAsia="宋体" w:cs="宋体"/>
                      <w:color w:val="auto"/>
                      <w:lang w:val="en-US" w:eastAsia="zh-CN"/>
                    </w:rPr>
                  </w:pPr>
                </w:p>
              </w:tc>
              <w:tc>
                <w:tcPr>
                  <w:tcW w:w="2458" w:type="dxa"/>
                  <w:tcBorders>
                    <w:top w:val="single" w:color="auto" w:sz="8" w:space="0"/>
                    <w:bottom w:val="single" w:color="auto" w:sz="12" w:space="0"/>
                  </w:tcBorders>
                  <w:shd w:val="clear" w:color="auto" w:fill="auto"/>
                  <w:noWrap w:val="0"/>
                  <w:vAlign w:val="center"/>
                </w:tcPr>
                <w:p w14:paraId="544EFF69">
                  <w:pPr>
                    <w:spacing w:line="240" w:lineRule="auto"/>
                    <w:ind w:firstLine="0" w:firstLineChars="0"/>
                    <w:jc w:val="both"/>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加快基础设施建设，优先建设集中供热设施；企业生活、生产废水须经处理达到相应标准后，方可排入园区污水处理厂；严格按照国家有关规定进行危险废物贮存、处理和处置，产生的固废优先综合利用，不能利用的按规范安全处置。</w:t>
                  </w:r>
                </w:p>
              </w:tc>
              <w:tc>
                <w:tcPr>
                  <w:tcW w:w="2348" w:type="dxa"/>
                  <w:tcBorders>
                    <w:top w:val="single" w:color="auto" w:sz="8" w:space="0"/>
                    <w:bottom w:val="single" w:color="auto" w:sz="12" w:space="0"/>
                  </w:tcBorders>
                  <w:shd w:val="clear" w:color="auto" w:fill="auto"/>
                  <w:noWrap w:val="0"/>
                  <w:vAlign w:val="center"/>
                </w:tcPr>
                <w:p w14:paraId="1A69A572">
                  <w:pPr>
                    <w:spacing w:line="240" w:lineRule="auto"/>
                    <w:ind w:firstLine="0" w:firstLineChars="0"/>
                    <w:jc w:val="both"/>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本</w:t>
                  </w:r>
                  <w:r>
                    <w:rPr>
                      <w:rFonts w:hint="default" w:ascii="Times New Roman" w:hAnsi="Times New Roman" w:eastAsia="宋体" w:cs="Times New Roman"/>
                      <w:color w:val="auto"/>
                      <w:sz w:val="21"/>
                      <w:szCs w:val="21"/>
                      <w:highlight w:val="none"/>
                      <w:lang w:val="en-US" w:eastAsia="zh-CN"/>
                    </w:rPr>
                    <w:t>项目生活污水排入园区污水管网，最终进入园区污水处理厂处理；项目</w:t>
                  </w:r>
                  <w:r>
                    <w:rPr>
                      <w:rFonts w:hint="eastAsia" w:ascii="Times New Roman" w:hAnsi="Times New Roman" w:eastAsia="宋体" w:cs="Times New Roman"/>
                      <w:color w:val="auto"/>
                      <w:sz w:val="21"/>
                      <w:szCs w:val="21"/>
                      <w:highlight w:val="none"/>
                      <w:lang w:val="en-US" w:eastAsia="zh-CN"/>
                    </w:rPr>
                    <w:t>运营后</w:t>
                  </w:r>
                  <w:r>
                    <w:rPr>
                      <w:rFonts w:hint="default" w:ascii="Times New Roman" w:hAnsi="Times New Roman" w:eastAsia="宋体" w:cs="Times New Roman"/>
                      <w:color w:val="auto"/>
                      <w:sz w:val="21"/>
                      <w:szCs w:val="21"/>
                      <w:highlight w:val="none"/>
                      <w:lang w:val="en-US" w:eastAsia="zh-CN"/>
                    </w:rPr>
                    <w:t>产生的危险废物</w:t>
                  </w:r>
                  <w:r>
                    <w:rPr>
                      <w:rFonts w:hint="eastAsia" w:ascii="Times New Roman" w:hAnsi="Times New Roman" w:eastAsia="宋体" w:cs="Times New Roman"/>
                      <w:color w:val="auto"/>
                      <w:sz w:val="21"/>
                      <w:szCs w:val="21"/>
                      <w:highlight w:val="none"/>
                      <w:lang w:val="en-US" w:eastAsia="zh-CN"/>
                    </w:rPr>
                    <w:t>分类收集</w:t>
                  </w:r>
                  <w:r>
                    <w:rPr>
                      <w:rFonts w:hint="default" w:ascii="Times New Roman" w:hAnsi="Times New Roman" w:eastAsia="宋体" w:cs="Times New Roman"/>
                      <w:color w:val="auto"/>
                      <w:sz w:val="21"/>
                      <w:szCs w:val="21"/>
                      <w:highlight w:val="none"/>
                      <w:lang w:val="en-US" w:eastAsia="zh-CN"/>
                    </w:rPr>
                    <w:t>暂存</w:t>
                  </w:r>
                  <w:r>
                    <w:rPr>
                      <w:rFonts w:hint="eastAsia" w:ascii="Times New Roman" w:hAnsi="Times New Roman" w:eastAsia="宋体" w:cs="Times New Roman"/>
                      <w:color w:val="auto"/>
                      <w:sz w:val="21"/>
                      <w:szCs w:val="21"/>
                      <w:highlight w:val="none"/>
                      <w:lang w:val="en-US" w:eastAsia="zh-CN"/>
                    </w:rPr>
                    <w:t>于</w:t>
                  </w:r>
                  <w:r>
                    <w:rPr>
                      <w:rFonts w:hint="default" w:ascii="Times New Roman" w:hAnsi="Times New Roman" w:eastAsia="宋体" w:cs="Times New Roman"/>
                      <w:color w:val="auto"/>
                      <w:sz w:val="21"/>
                      <w:szCs w:val="21"/>
                      <w:highlight w:val="none"/>
                      <w:lang w:val="en-US" w:eastAsia="zh-CN"/>
                    </w:rPr>
                    <w:t>危废贮存</w:t>
                  </w:r>
                  <w:r>
                    <w:rPr>
                      <w:rFonts w:hint="eastAsia" w:cs="Times New Roman"/>
                      <w:color w:val="auto"/>
                      <w:sz w:val="21"/>
                      <w:szCs w:val="21"/>
                      <w:highlight w:val="none"/>
                      <w:lang w:val="en-US" w:eastAsia="zh-CN"/>
                    </w:rPr>
                    <w:t>点</w:t>
                  </w:r>
                  <w:r>
                    <w:rPr>
                      <w:rFonts w:hint="default" w:ascii="Times New Roman" w:hAnsi="Times New Roman" w:eastAsia="宋体" w:cs="Times New Roman"/>
                      <w:color w:val="auto"/>
                      <w:sz w:val="21"/>
                      <w:szCs w:val="21"/>
                      <w:highlight w:val="none"/>
                      <w:lang w:val="en-US" w:eastAsia="zh-CN"/>
                    </w:rPr>
                    <w:t>，委托有资质单位处置。</w:t>
                  </w:r>
                </w:p>
              </w:tc>
              <w:tc>
                <w:tcPr>
                  <w:tcW w:w="861" w:type="dxa"/>
                  <w:tcBorders>
                    <w:top w:val="single" w:color="auto" w:sz="8" w:space="0"/>
                    <w:bottom w:val="single" w:color="auto" w:sz="12" w:space="0"/>
                  </w:tcBorders>
                  <w:shd w:val="clear" w:color="auto" w:fill="auto"/>
                  <w:noWrap w:val="0"/>
                  <w:vAlign w:val="center"/>
                </w:tcPr>
                <w:p w14:paraId="4E1E661E">
                  <w:pPr>
                    <w:adjustRightInd w:val="0"/>
                    <w:snapToGrid w:val="0"/>
                    <w:jc w:val="center"/>
                    <w:rPr>
                      <w:rFonts w:hint="eastAsia" w:ascii="宋体" w:hAnsi="宋体" w:eastAsia="宋体" w:cs="宋体"/>
                      <w:color w:val="auto"/>
                      <w:kern w:val="2"/>
                      <w:sz w:val="21"/>
                      <w:szCs w:val="24"/>
                      <w:lang w:val="en-US" w:eastAsia="zh-CN" w:bidi="ar-SA"/>
                    </w:rPr>
                  </w:pPr>
                  <w:r>
                    <w:rPr>
                      <w:rFonts w:hint="eastAsia" w:ascii="宋体" w:hAnsi="宋体" w:cs="宋体"/>
                      <w:color w:val="auto"/>
                      <w:lang w:val="en-US" w:eastAsia="zh-CN"/>
                    </w:rPr>
                    <w:t>符合</w:t>
                  </w:r>
                </w:p>
              </w:tc>
            </w:tr>
          </w:tbl>
          <w:p w14:paraId="7145B91D">
            <w:pPr>
              <w:keepNext w:val="0"/>
              <w:keepLines w:val="0"/>
              <w:pageBreakBefore w:val="0"/>
              <w:widowControl w:val="0"/>
              <w:kinsoku/>
              <w:wordWrap/>
              <w:overflowPunct/>
              <w:topLinePunct w:val="0"/>
              <w:autoSpaceDE/>
              <w:autoSpaceDN/>
              <w:bidi w:val="0"/>
              <w:adjustRightInd/>
              <w:snapToGrid/>
              <w:spacing w:before="157" w:beforeLines="50" w:line="300" w:lineRule="auto"/>
              <w:jc w:val="right"/>
              <w:textAlignment w:val="auto"/>
              <w:rPr>
                <w:b/>
                <w:bCs/>
                <w:color w:val="auto"/>
              </w:rPr>
            </w:pPr>
            <w:r>
              <w:rPr>
                <w:rFonts w:hint="eastAsia"/>
                <w:b/>
                <w:bCs/>
                <w:color w:val="auto"/>
                <w:lang w:val="en-US" w:eastAsia="zh-CN"/>
              </w:rPr>
              <w:t>续</w:t>
            </w:r>
            <w:r>
              <w:rPr>
                <w:b/>
                <w:bCs/>
                <w:color w:val="auto"/>
              </w:rPr>
              <w:t>表</w:t>
            </w:r>
            <w:r>
              <w:rPr>
                <w:rFonts w:hint="eastAsia"/>
                <w:b/>
                <w:bCs/>
                <w:color w:val="auto"/>
                <w:lang w:val="en-US" w:eastAsia="zh-CN"/>
              </w:rPr>
              <w:t>1-1</w:t>
            </w:r>
            <w:r>
              <w:rPr>
                <w:rFonts w:hint="eastAsia"/>
                <w:b/>
                <w:bCs/>
                <w:color w:val="auto"/>
              </w:rPr>
              <w:t xml:space="preserve"> </w:t>
            </w:r>
          </w:p>
          <w:tbl>
            <w:tblPr>
              <w:tblStyle w:val="26"/>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2458"/>
              <w:gridCol w:w="2348"/>
              <w:gridCol w:w="861"/>
            </w:tblGrid>
            <w:tr w14:paraId="7B4290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69" w:hRule="atLeast"/>
              </w:trPr>
              <w:tc>
                <w:tcPr>
                  <w:tcW w:w="1425" w:type="dxa"/>
                  <w:tcBorders>
                    <w:bottom w:val="single" w:color="auto" w:sz="12" w:space="0"/>
                  </w:tcBorders>
                  <w:noWrap w:val="0"/>
                  <w:vAlign w:val="center"/>
                </w:tcPr>
                <w:p w14:paraId="6885AD0B">
                  <w:pPr>
                    <w:pStyle w:val="7"/>
                    <w:jc w:val="center"/>
                    <w:outlineLvl w:val="3"/>
                    <w:rPr>
                      <w:rFonts w:hint="eastAsia" w:ascii="Times New Roman" w:hAnsi="Times New Roman" w:eastAsia="宋体"/>
                      <w:color w:val="auto"/>
                      <w:lang w:val="en-US" w:eastAsia="zh-CN"/>
                    </w:rPr>
                  </w:pPr>
                  <w:r>
                    <w:rPr>
                      <w:rFonts w:hint="eastAsia" w:ascii="Times New Roman" w:hAnsi="Times New Roman"/>
                      <w:color w:val="auto"/>
                      <w:lang w:val="en-US" w:eastAsia="zh-CN"/>
                    </w:rPr>
                    <w:t>名称</w:t>
                  </w:r>
                </w:p>
              </w:tc>
              <w:tc>
                <w:tcPr>
                  <w:tcW w:w="2458" w:type="dxa"/>
                  <w:tcBorders>
                    <w:bottom w:val="single" w:color="auto" w:sz="12" w:space="0"/>
                  </w:tcBorders>
                  <w:noWrap w:val="0"/>
                  <w:vAlign w:val="center"/>
                </w:tcPr>
                <w:p w14:paraId="74EEE5EE">
                  <w:pPr>
                    <w:pStyle w:val="7"/>
                    <w:jc w:val="center"/>
                    <w:outlineLvl w:val="3"/>
                    <w:rPr>
                      <w:rFonts w:ascii="Times New Roman" w:hAnsi="Times New Roman"/>
                      <w:color w:val="auto"/>
                      <w:szCs w:val="21"/>
                    </w:rPr>
                  </w:pPr>
                  <w:r>
                    <w:rPr>
                      <w:rFonts w:hint="eastAsia" w:ascii="Times New Roman" w:hAnsi="Times New Roman"/>
                      <w:color w:val="auto"/>
                      <w:szCs w:val="21"/>
                      <w:lang w:val="en-US" w:eastAsia="zh-CN"/>
                    </w:rPr>
                    <w:t>相关</w:t>
                  </w:r>
                  <w:r>
                    <w:rPr>
                      <w:rFonts w:hint="eastAsia" w:ascii="Times New Roman" w:hAnsi="Times New Roman"/>
                      <w:color w:val="auto"/>
                      <w:szCs w:val="21"/>
                    </w:rPr>
                    <w:t>要求</w:t>
                  </w:r>
                </w:p>
              </w:tc>
              <w:tc>
                <w:tcPr>
                  <w:tcW w:w="2348" w:type="dxa"/>
                  <w:tcBorders>
                    <w:bottom w:val="single" w:color="auto" w:sz="12" w:space="0"/>
                  </w:tcBorders>
                  <w:noWrap w:val="0"/>
                  <w:vAlign w:val="center"/>
                </w:tcPr>
                <w:p w14:paraId="669771A5">
                  <w:pPr>
                    <w:pStyle w:val="7"/>
                    <w:jc w:val="center"/>
                    <w:outlineLvl w:val="3"/>
                    <w:rPr>
                      <w:rFonts w:ascii="Times New Roman" w:hAnsi="Times New Roman"/>
                      <w:color w:val="auto"/>
                      <w:szCs w:val="21"/>
                    </w:rPr>
                  </w:pPr>
                  <w:r>
                    <w:rPr>
                      <w:rFonts w:hint="eastAsia" w:ascii="Times New Roman" w:hAnsi="Times New Roman"/>
                      <w:color w:val="auto"/>
                      <w:szCs w:val="21"/>
                    </w:rPr>
                    <w:t>项目情况</w:t>
                  </w:r>
                </w:p>
              </w:tc>
              <w:tc>
                <w:tcPr>
                  <w:tcW w:w="861" w:type="dxa"/>
                  <w:tcBorders>
                    <w:bottom w:val="single" w:color="auto" w:sz="12" w:space="0"/>
                  </w:tcBorders>
                  <w:noWrap w:val="0"/>
                  <w:vAlign w:val="center"/>
                </w:tcPr>
                <w:p w14:paraId="182E83F3">
                  <w:pPr>
                    <w:pStyle w:val="7"/>
                    <w:jc w:val="center"/>
                    <w:outlineLvl w:val="3"/>
                    <w:rPr>
                      <w:rFonts w:ascii="Times New Roman" w:hAnsi="Times New Roman"/>
                      <w:color w:val="auto"/>
                      <w:szCs w:val="21"/>
                    </w:rPr>
                  </w:pPr>
                  <w:r>
                    <w:rPr>
                      <w:rFonts w:ascii="Times New Roman" w:hAnsi="Times New Roman"/>
                      <w:color w:val="auto"/>
                      <w:szCs w:val="21"/>
                    </w:rPr>
                    <w:t>符合性</w:t>
                  </w:r>
                </w:p>
              </w:tc>
            </w:tr>
            <w:tr w14:paraId="179AC0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53" w:hRule="atLeast"/>
              </w:trPr>
              <w:tc>
                <w:tcPr>
                  <w:tcW w:w="1425" w:type="dxa"/>
                  <w:vMerge w:val="restart"/>
                  <w:tcBorders>
                    <w:top w:val="single" w:color="auto" w:sz="8" w:space="0"/>
                  </w:tcBorders>
                  <w:noWrap w:val="0"/>
                  <w:vAlign w:val="center"/>
                </w:tcPr>
                <w:p w14:paraId="4E9DF38C">
                  <w:pPr>
                    <w:adjustRightInd w:val="0"/>
                    <w:snapToGrid w:val="0"/>
                    <w:jc w:val="center"/>
                    <w:rPr>
                      <w:rFonts w:hint="eastAsia" w:ascii="宋体" w:hAnsi="宋体" w:eastAsia="宋体" w:cs="宋体"/>
                      <w:color w:val="auto"/>
                    </w:rPr>
                  </w:pPr>
                  <w:r>
                    <w:rPr>
                      <w:rFonts w:hint="eastAsia" w:ascii="宋体" w:hAnsi="宋体" w:eastAsia="宋体" w:cs="宋体"/>
                      <w:color w:val="auto"/>
                      <w:lang w:val="en-US" w:eastAsia="zh-CN"/>
                    </w:rPr>
                    <w:t>《关于</w:t>
                  </w:r>
                  <w:r>
                    <w:rPr>
                      <w:rFonts w:hint="eastAsia" w:ascii="宋体" w:hAnsi="宋体" w:eastAsia="宋体" w:cs="宋体"/>
                      <w:color w:val="auto"/>
                    </w:rPr>
                    <w:t>昌吉高新技术产业开发区总体规划</w:t>
                  </w:r>
                  <w:r>
                    <w:rPr>
                      <w:rFonts w:hint="eastAsia" w:ascii="宋体" w:hAnsi="宋体" w:eastAsia="宋体" w:cs="宋体"/>
                      <w:color w:val="auto"/>
                      <w:spacing w:val="-6"/>
                      <w:sz w:val="21"/>
                    </w:rPr>
                    <w:t>（2014-2030）</w:t>
                  </w:r>
                  <w:r>
                    <w:rPr>
                      <w:rFonts w:hint="eastAsia" w:ascii="宋体" w:hAnsi="宋体" w:eastAsia="宋体" w:cs="宋体"/>
                      <w:color w:val="auto"/>
                    </w:rPr>
                    <w:t>环境影响报告书的审查意见</w:t>
                  </w:r>
                  <w:r>
                    <w:rPr>
                      <w:rFonts w:hint="eastAsia" w:ascii="宋体" w:hAnsi="宋体" w:eastAsia="宋体" w:cs="宋体"/>
                      <w:color w:val="auto"/>
                      <w:lang w:val="en-US" w:eastAsia="zh-CN"/>
                    </w:rPr>
                    <w:t>》</w:t>
                  </w:r>
                </w:p>
              </w:tc>
              <w:tc>
                <w:tcPr>
                  <w:tcW w:w="2458" w:type="dxa"/>
                  <w:tcBorders>
                    <w:top w:val="single" w:color="auto" w:sz="8" w:space="0"/>
                    <w:bottom w:val="single" w:color="auto" w:sz="8" w:space="0"/>
                  </w:tcBorders>
                  <w:shd w:val="clear" w:color="auto" w:fill="auto"/>
                  <w:noWrap w:val="0"/>
                  <w:vAlign w:val="center"/>
                </w:tcPr>
                <w:p w14:paraId="146CCB01">
                  <w:pPr>
                    <w:spacing w:line="240" w:lineRule="auto"/>
                    <w:ind w:firstLine="0" w:firstLineChars="0"/>
                    <w:jc w:val="both"/>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严格设置园区企业的环境准入标准，积极开展清洁生产审核，入园企业的清洁生产水平必须达到国内先进水平，与园区产业类型不相符合达不到环境准入条件的建设项目禁入园区。</w:t>
                  </w:r>
                </w:p>
              </w:tc>
              <w:tc>
                <w:tcPr>
                  <w:tcW w:w="2348" w:type="dxa"/>
                  <w:tcBorders>
                    <w:top w:val="single" w:color="auto" w:sz="8" w:space="0"/>
                    <w:bottom w:val="single" w:color="auto" w:sz="8" w:space="0"/>
                  </w:tcBorders>
                  <w:shd w:val="clear" w:color="auto" w:fill="auto"/>
                  <w:noWrap w:val="0"/>
                  <w:vAlign w:val="center"/>
                </w:tcPr>
                <w:p w14:paraId="30C48C19">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本项目建设符合园区定</w:t>
                  </w:r>
                </w:p>
                <w:p w14:paraId="3CA4B63E">
                  <w:pPr>
                    <w:spacing w:line="240" w:lineRule="auto"/>
                    <w:ind w:firstLine="0" w:firstLineChars="0"/>
                    <w:jc w:val="both"/>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位，满足相关要求。</w:t>
                  </w:r>
                </w:p>
              </w:tc>
              <w:tc>
                <w:tcPr>
                  <w:tcW w:w="861" w:type="dxa"/>
                  <w:tcBorders>
                    <w:top w:val="single" w:color="auto" w:sz="8" w:space="0"/>
                    <w:bottom w:val="single" w:color="auto" w:sz="8" w:space="0"/>
                  </w:tcBorders>
                  <w:shd w:val="clear" w:color="auto" w:fill="auto"/>
                  <w:noWrap w:val="0"/>
                  <w:vAlign w:val="center"/>
                </w:tcPr>
                <w:p w14:paraId="62DA1C88">
                  <w:pPr>
                    <w:adjustRightInd w:val="0"/>
                    <w:snapToGrid w:val="0"/>
                    <w:jc w:val="center"/>
                    <w:rPr>
                      <w:rFonts w:hint="eastAsia" w:ascii="宋体" w:hAnsi="宋体" w:eastAsia="宋体" w:cs="宋体"/>
                      <w:color w:val="auto"/>
                      <w:kern w:val="2"/>
                      <w:sz w:val="21"/>
                      <w:szCs w:val="24"/>
                      <w:lang w:val="en-US" w:eastAsia="zh-CN" w:bidi="ar-SA"/>
                    </w:rPr>
                  </w:pPr>
                  <w:r>
                    <w:rPr>
                      <w:rFonts w:hint="eastAsia" w:ascii="宋体" w:hAnsi="宋体" w:cs="宋体"/>
                      <w:color w:val="auto"/>
                      <w:lang w:val="en-US" w:eastAsia="zh-CN"/>
                    </w:rPr>
                    <w:t>符合</w:t>
                  </w:r>
                </w:p>
              </w:tc>
            </w:tr>
            <w:tr w14:paraId="5E9DB8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53" w:hRule="atLeast"/>
              </w:trPr>
              <w:tc>
                <w:tcPr>
                  <w:tcW w:w="1425" w:type="dxa"/>
                  <w:vMerge w:val="continue"/>
                  <w:noWrap w:val="0"/>
                  <w:vAlign w:val="center"/>
                </w:tcPr>
                <w:p w14:paraId="0258AC1D">
                  <w:pPr>
                    <w:adjustRightInd w:val="0"/>
                    <w:snapToGrid w:val="0"/>
                    <w:jc w:val="center"/>
                    <w:rPr>
                      <w:rFonts w:ascii="宋体" w:hAnsi="宋体" w:cs="宋体"/>
                      <w:color w:val="auto"/>
                    </w:rPr>
                  </w:pPr>
                </w:p>
              </w:tc>
              <w:tc>
                <w:tcPr>
                  <w:tcW w:w="2458" w:type="dxa"/>
                  <w:tcBorders>
                    <w:top w:val="single" w:color="auto" w:sz="8" w:space="0"/>
                    <w:bottom w:val="single" w:color="auto" w:sz="8" w:space="0"/>
                  </w:tcBorders>
                  <w:noWrap w:val="0"/>
                  <w:vAlign w:val="center"/>
                </w:tcPr>
                <w:p w14:paraId="478692F3">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大力发展园区循环经济，制定切实可行的一般固体废物、危险废物和生产废水综合利用方案，提高资源利用效率。严格落实污染物总量控制要求，提出污染物减排具体方案及保障措施。</w:t>
                  </w:r>
                </w:p>
              </w:tc>
              <w:tc>
                <w:tcPr>
                  <w:tcW w:w="2348" w:type="dxa"/>
                  <w:tcBorders>
                    <w:top w:val="single" w:color="auto" w:sz="8" w:space="0"/>
                    <w:bottom w:val="single" w:color="auto" w:sz="8" w:space="0"/>
                  </w:tcBorders>
                  <w:noWrap w:val="0"/>
                  <w:vAlign w:val="center"/>
                </w:tcPr>
                <w:p w14:paraId="4701BDC7">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本项目产生的一般固体废物暂存于厂房内一般固废暂存区，外售综合利用；危险废物暂存于危废贮存</w:t>
                  </w:r>
                  <w:r>
                    <w:rPr>
                      <w:rFonts w:hint="eastAsia" w:cs="Times New Roman"/>
                      <w:color w:val="auto"/>
                      <w:sz w:val="21"/>
                      <w:szCs w:val="21"/>
                      <w:highlight w:val="none"/>
                      <w:lang w:val="en-US" w:eastAsia="zh-CN"/>
                    </w:rPr>
                    <w:t>点</w:t>
                  </w:r>
                  <w:r>
                    <w:rPr>
                      <w:rFonts w:hint="eastAsia" w:ascii="Times New Roman" w:hAnsi="Times New Roman" w:eastAsia="宋体" w:cs="Times New Roman"/>
                      <w:color w:val="auto"/>
                      <w:sz w:val="21"/>
                      <w:szCs w:val="21"/>
                      <w:highlight w:val="none"/>
                      <w:lang w:val="en-US" w:eastAsia="zh-CN"/>
                    </w:rPr>
                    <w:t>，委托有资质单位处置。</w:t>
                  </w:r>
                </w:p>
              </w:tc>
              <w:tc>
                <w:tcPr>
                  <w:tcW w:w="861" w:type="dxa"/>
                  <w:tcBorders>
                    <w:top w:val="single" w:color="auto" w:sz="8" w:space="0"/>
                    <w:bottom w:val="single" w:color="auto" w:sz="8" w:space="0"/>
                  </w:tcBorders>
                  <w:noWrap w:val="0"/>
                  <w:vAlign w:val="center"/>
                </w:tcPr>
                <w:p w14:paraId="50D53A54">
                  <w:pPr>
                    <w:adjustRightInd w:val="0"/>
                    <w:snapToGrid w:val="0"/>
                    <w:jc w:val="center"/>
                    <w:rPr>
                      <w:rFonts w:ascii="宋体" w:hAnsi="宋体" w:cs="宋体"/>
                      <w:color w:val="auto"/>
                    </w:rPr>
                  </w:pPr>
                  <w:r>
                    <w:rPr>
                      <w:rFonts w:hint="eastAsia" w:ascii="宋体" w:hAnsi="宋体" w:cs="宋体"/>
                      <w:color w:val="auto"/>
                      <w:lang w:val="en-US" w:eastAsia="zh-CN"/>
                    </w:rPr>
                    <w:t>符合</w:t>
                  </w:r>
                </w:p>
              </w:tc>
            </w:tr>
            <w:tr w14:paraId="018FD5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46" w:hRule="atLeast"/>
              </w:trPr>
              <w:tc>
                <w:tcPr>
                  <w:tcW w:w="1425" w:type="dxa"/>
                  <w:vMerge w:val="continue"/>
                  <w:tcBorders>
                    <w:bottom w:val="single" w:color="auto" w:sz="12" w:space="0"/>
                  </w:tcBorders>
                  <w:noWrap w:val="0"/>
                  <w:vAlign w:val="center"/>
                </w:tcPr>
                <w:p w14:paraId="355CEBF9">
                  <w:pPr>
                    <w:adjustRightInd w:val="0"/>
                    <w:snapToGrid w:val="0"/>
                    <w:jc w:val="center"/>
                    <w:rPr>
                      <w:rFonts w:ascii="宋体" w:hAnsi="宋体" w:cs="宋体"/>
                      <w:color w:val="auto"/>
                    </w:rPr>
                  </w:pPr>
                </w:p>
              </w:tc>
              <w:tc>
                <w:tcPr>
                  <w:tcW w:w="2458" w:type="dxa"/>
                  <w:tcBorders>
                    <w:top w:val="single" w:color="auto" w:sz="8" w:space="0"/>
                    <w:bottom w:val="single" w:color="auto" w:sz="12" w:space="0"/>
                  </w:tcBorders>
                  <w:noWrap w:val="0"/>
                  <w:vAlign w:val="center"/>
                </w:tcPr>
                <w:p w14:paraId="2DC95259">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建立健全环境管理机构，完善各种环境管理制度、环境风险防控体系、污染防治制度和环境监控体系，确保环境安全。在园区基础设施和企业建设项目运营管理中须制定并落实事故风险防范措施和应急预案，配套完善的运行管理设施，防止污染事故的发生。</w:t>
                  </w:r>
                </w:p>
              </w:tc>
              <w:tc>
                <w:tcPr>
                  <w:tcW w:w="2348" w:type="dxa"/>
                  <w:tcBorders>
                    <w:top w:val="single" w:color="auto" w:sz="8" w:space="0"/>
                    <w:bottom w:val="single" w:color="auto" w:sz="12" w:space="0"/>
                  </w:tcBorders>
                  <w:noWrap w:val="0"/>
                  <w:vAlign w:val="center"/>
                </w:tcPr>
                <w:p w14:paraId="3B3B7625">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公司设置环境管理机构及环保负责人，制定各种环境管理制度、环境风险防控体系、污染防治制度和环境监控体系等，编制突发环境事件应急预案，防止污染事故的发生。</w:t>
                  </w:r>
                </w:p>
              </w:tc>
              <w:tc>
                <w:tcPr>
                  <w:tcW w:w="861" w:type="dxa"/>
                  <w:tcBorders>
                    <w:top w:val="single" w:color="auto" w:sz="8" w:space="0"/>
                    <w:bottom w:val="single" w:color="auto" w:sz="12" w:space="0"/>
                  </w:tcBorders>
                  <w:noWrap w:val="0"/>
                  <w:vAlign w:val="center"/>
                </w:tcPr>
                <w:p w14:paraId="10F6A700">
                  <w:pPr>
                    <w:adjustRightInd w:val="0"/>
                    <w:snapToGrid w:val="0"/>
                    <w:jc w:val="center"/>
                    <w:rPr>
                      <w:rFonts w:ascii="宋体" w:hAnsi="宋体" w:cs="宋体"/>
                      <w:color w:val="auto"/>
                    </w:rPr>
                  </w:pPr>
                  <w:r>
                    <w:rPr>
                      <w:rFonts w:hint="eastAsia" w:ascii="宋体" w:hAnsi="宋体" w:cs="宋体"/>
                      <w:color w:val="auto"/>
                      <w:lang w:val="en-US" w:eastAsia="zh-CN"/>
                    </w:rPr>
                    <w:t>符合</w:t>
                  </w:r>
                </w:p>
              </w:tc>
            </w:tr>
          </w:tbl>
          <w:p w14:paraId="04337675">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cs="Times New Roman"/>
                <w:color w:val="auto"/>
              </w:rPr>
            </w:pPr>
            <w:r>
              <w:rPr>
                <w:rFonts w:hint="eastAsia" w:ascii="宋体" w:hAnsi="宋体" w:eastAsia="宋体" w:cs="宋体"/>
                <w:color w:val="auto"/>
                <w:sz w:val="24"/>
              </w:rPr>
              <w:t>综上，本项目</w:t>
            </w:r>
            <w:r>
              <w:rPr>
                <w:rFonts w:hint="eastAsia" w:ascii="宋体" w:hAnsi="宋体" w:eastAsia="宋体" w:cs="宋体"/>
                <w:color w:val="auto"/>
                <w:sz w:val="24"/>
                <w:lang w:val="en-US" w:eastAsia="zh-CN"/>
              </w:rPr>
              <w:t>建设</w:t>
            </w:r>
            <w:r>
              <w:rPr>
                <w:rFonts w:hint="eastAsia" w:ascii="宋体" w:hAnsi="宋体" w:eastAsia="宋体" w:cs="宋体"/>
                <w:color w:val="auto"/>
                <w:sz w:val="24"/>
              </w:rPr>
              <w:t>符合《昌吉高新技术产业开发区总体规划（2014-2030）环境影响报告书》及其审查意见相关要求。</w:t>
            </w:r>
          </w:p>
          <w:p w14:paraId="0B64EB76">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宋体" w:hAnsi="宋体" w:eastAsia="宋体" w:cs="宋体"/>
                <w:color w:val="auto"/>
                <w:sz w:val="24"/>
              </w:rPr>
            </w:pPr>
          </w:p>
          <w:p w14:paraId="3CF1BB5B">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宋体" w:hAnsi="宋体" w:eastAsia="宋体" w:cs="宋体"/>
                <w:color w:val="auto"/>
                <w:sz w:val="24"/>
              </w:rPr>
            </w:pPr>
          </w:p>
          <w:p w14:paraId="06F944FC">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宋体" w:hAnsi="宋体" w:eastAsia="宋体" w:cs="宋体"/>
                <w:color w:val="auto"/>
                <w:sz w:val="24"/>
              </w:rPr>
            </w:pPr>
          </w:p>
          <w:p w14:paraId="04D0F47B">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宋体" w:hAnsi="宋体" w:eastAsia="宋体" w:cs="宋体"/>
                <w:color w:val="auto"/>
                <w:sz w:val="24"/>
              </w:rPr>
            </w:pPr>
          </w:p>
          <w:p w14:paraId="644D102D">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宋体" w:hAnsi="宋体" w:eastAsia="宋体" w:cs="宋体"/>
                <w:color w:val="auto"/>
                <w:sz w:val="24"/>
              </w:rPr>
            </w:pPr>
          </w:p>
          <w:p w14:paraId="3946E24C">
            <w:pPr>
              <w:pStyle w:val="77"/>
              <w:rPr>
                <w:color w:val="auto"/>
                <w:kern w:val="0"/>
                <w:szCs w:val="21"/>
              </w:rPr>
            </w:pPr>
          </w:p>
        </w:tc>
      </w:tr>
    </w:tbl>
    <w:p w14:paraId="7E13A731">
      <w:pPr>
        <w:spacing w:line="360" w:lineRule="auto"/>
        <w:outlineLvl w:val="0"/>
        <w:rPr>
          <w:rFonts w:eastAsia="黑体"/>
          <w:color w:val="auto"/>
          <w:sz w:val="30"/>
        </w:rPr>
        <w:sectPr>
          <w:footerReference r:id="rId7"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tbl>
      <w:tblPr>
        <w:tblStyle w:val="26"/>
        <w:tblW w:w="9300"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1"/>
        <w:gridCol w:w="7329"/>
      </w:tblGrid>
      <w:tr w14:paraId="5A967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197" w:hRule="atLeast"/>
        </w:trPr>
        <w:tc>
          <w:tcPr>
            <w:tcW w:w="2025" w:type="dxa"/>
            <w:noWrap w:val="0"/>
            <w:vAlign w:val="center"/>
          </w:tcPr>
          <w:p w14:paraId="116912E9">
            <w:pPr>
              <w:autoSpaceDE w:val="0"/>
              <w:autoSpaceDN w:val="0"/>
              <w:adjustRightInd w:val="0"/>
              <w:snapToGrid w:val="0"/>
              <w:jc w:val="center"/>
              <w:rPr>
                <w:color w:val="auto"/>
                <w:kern w:val="0"/>
                <w:szCs w:val="21"/>
              </w:rPr>
            </w:pPr>
            <w:r>
              <w:rPr>
                <w:color w:val="auto"/>
                <w:kern w:val="0"/>
                <w:sz w:val="24"/>
              </w:rPr>
              <w:t>其他符合性分析</w:t>
            </w:r>
          </w:p>
        </w:tc>
        <w:tc>
          <w:tcPr>
            <w:tcW w:w="7275" w:type="dxa"/>
            <w:noWrap w:val="0"/>
            <w:vAlign w:val="center"/>
          </w:tcPr>
          <w:p w14:paraId="7802C9D7">
            <w:pPr>
              <w:spacing w:before="120" w:beforeLines="50" w:line="360" w:lineRule="auto"/>
              <w:rPr>
                <w:rFonts w:hint="eastAsia"/>
                <w:b/>
                <w:bCs/>
                <w:color w:val="auto"/>
                <w:sz w:val="24"/>
              </w:rPr>
            </w:pPr>
            <w:r>
              <w:rPr>
                <w:rFonts w:hint="eastAsia"/>
                <w:b/>
                <w:bCs/>
                <w:color w:val="auto"/>
                <w:sz w:val="24"/>
              </w:rPr>
              <w:t>1.产业政策符合性分析</w:t>
            </w:r>
          </w:p>
          <w:p w14:paraId="36876F83">
            <w:pPr>
              <w:spacing w:line="360" w:lineRule="auto"/>
              <w:ind w:firstLine="480" w:firstLineChars="200"/>
              <w:rPr>
                <w:rFonts w:hint="default" w:ascii="宋体" w:hAnsi="宋体" w:eastAsia="宋体" w:cs="宋体"/>
                <w:color w:val="auto"/>
                <w:sz w:val="24"/>
                <w:lang w:val="en-US" w:eastAsia="zh-CN"/>
              </w:rPr>
            </w:pPr>
            <w:r>
              <w:rPr>
                <w:rFonts w:hint="eastAsia" w:ascii="宋体" w:hAnsi="宋体" w:eastAsia="宋体" w:cs="宋体"/>
                <w:color w:val="auto"/>
                <w:sz w:val="24"/>
              </w:rPr>
              <w:t>本项目为金属结构制造项目，根据《产业结构调整指导目录（2024年本）》，本项目不属于目录中的“鼓励类、限制类、淘汰类”项目，根据国务院关于发布实施《促进产业结构调整暂行规定》的决定第三章产业结构调整指导目录第十三条“不属于鼓励类、限制类和淘汰类，且符合国家有关法律法规和政策规定的，为允许类”</w:t>
            </w: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项目建设符合国家产业政策。</w:t>
            </w:r>
          </w:p>
          <w:p w14:paraId="61E8939E">
            <w:pPr>
              <w:spacing w:line="360" w:lineRule="auto"/>
              <w:ind w:firstLine="456" w:firstLineChars="200"/>
              <w:rPr>
                <w:rFonts w:hint="eastAsia" w:ascii="宋体" w:hAnsi="宋体" w:eastAsia="宋体" w:cs="宋体"/>
                <w:color w:val="auto"/>
                <w:sz w:val="24"/>
              </w:rPr>
            </w:pPr>
            <w:r>
              <w:rPr>
                <w:rFonts w:hint="eastAsia" w:ascii="宋体" w:hAnsi="宋体" w:eastAsia="宋体" w:cs="宋体"/>
                <w:color w:val="auto"/>
                <w:spacing w:val="-6"/>
                <w:sz w:val="24"/>
                <w:lang w:val="en-US" w:eastAsia="zh-CN"/>
              </w:rPr>
              <w:t>本项目于</w:t>
            </w:r>
            <w:r>
              <w:rPr>
                <w:rFonts w:hint="eastAsia" w:ascii="宋体" w:hAnsi="宋体" w:eastAsia="宋体" w:cs="宋体"/>
                <w:color w:val="0000FF"/>
                <w:spacing w:val="-6"/>
                <w:sz w:val="24"/>
              </w:rPr>
              <w:t>202</w:t>
            </w:r>
            <w:r>
              <w:rPr>
                <w:rFonts w:hint="eastAsia" w:ascii="宋体" w:hAnsi="宋体" w:cs="宋体"/>
                <w:color w:val="0000FF"/>
                <w:spacing w:val="-6"/>
                <w:sz w:val="24"/>
                <w:lang w:val="en-US" w:eastAsia="zh-CN"/>
              </w:rPr>
              <w:t>6</w:t>
            </w:r>
            <w:r>
              <w:rPr>
                <w:rFonts w:hint="eastAsia" w:ascii="宋体" w:hAnsi="宋体" w:eastAsia="宋体" w:cs="宋体"/>
                <w:color w:val="0000FF"/>
                <w:spacing w:val="-6"/>
                <w:sz w:val="24"/>
              </w:rPr>
              <w:t>年</w:t>
            </w:r>
            <w:r>
              <w:rPr>
                <w:rFonts w:hint="eastAsia" w:ascii="宋体" w:hAnsi="宋体" w:cs="宋体"/>
                <w:color w:val="0000FF"/>
                <w:spacing w:val="-6"/>
                <w:sz w:val="24"/>
                <w:lang w:val="en-US" w:eastAsia="zh-CN"/>
              </w:rPr>
              <w:t>2</w:t>
            </w:r>
            <w:r>
              <w:rPr>
                <w:rFonts w:hint="eastAsia" w:ascii="宋体" w:hAnsi="宋体" w:eastAsia="宋体" w:cs="宋体"/>
                <w:color w:val="0000FF"/>
                <w:spacing w:val="-6"/>
                <w:sz w:val="24"/>
              </w:rPr>
              <w:t>月</w:t>
            </w:r>
            <w:r>
              <w:rPr>
                <w:rFonts w:hint="eastAsia" w:ascii="宋体" w:hAnsi="宋体" w:eastAsia="宋体" w:cs="宋体"/>
                <w:color w:val="0000FF"/>
                <w:spacing w:val="-6"/>
                <w:sz w:val="24"/>
                <w:lang w:val="en-US" w:eastAsia="zh-CN"/>
              </w:rPr>
              <w:t>4</w:t>
            </w:r>
            <w:r>
              <w:rPr>
                <w:rFonts w:hint="eastAsia" w:ascii="宋体" w:hAnsi="宋体" w:eastAsia="宋体" w:cs="宋体"/>
                <w:color w:val="0000FF"/>
                <w:spacing w:val="-6"/>
                <w:sz w:val="24"/>
              </w:rPr>
              <w:t>日</w:t>
            </w:r>
            <w:r>
              <w:rPr>
                <w:rFonts w:hint="eastAsia" w:ascii="宋体" w:hAnsi="宋体" w:eastAsia="宋体" w:cs="宋体"/>
                <w:color w:val="auto"/>
                <w:spacing w:val="-6"/>
                <w:sz w:val="24"/>
              </w:rPr>
              <w:t>取得昌吉高新技术产业开发区产业发展科技局出具的备案证</w:t>
            </w:r>
            <w:r>
              <w:rPr>
                <w:rFonts w:hint="eastAsia" w:ascii="宋体" w:hAnsi="宋体" w:eastAsia="宋体" w:cs="宋体"/>
                <w:color w:val="auto"/>
                <w:spacing w:val="-6"/>
                <w:sz w:val="24"/>
                <w:lang w:eastAsia="zh-CN"/>
              </w:rPr>
              <w:t>（</w:t>
            </w:r>
            <w:r>
              <w:rPr>
                <w:rFonts w:hint="eastAsia" w:ascii="宋体" w:hAnsi="宋体" w:eastAsia="宋体" w:cs="宋体"/>
                <w:color w:val="auto"/>
                <w:spacing w:val="-6"/>
                <w:sz w:val="24"/>
                <w:lang w:val="en-US" w:eastAsia="zh-CN"/>
              </w:rPr>
              <w:t>见附件2</w:t>
            </w:r>
            <w:r>
              <w:rPr>
                <w:rFonts w:hint="eastAsia" w:ascii="宋体" w:hAnsi="宋体" w:eastAsia="宋体" w:cs="宋体"/>
                <w:color w:val="auto"/>
                <w:spacing w:val="-6"/>
                <w:sz w:val="24"/>
                <w:lang w:eastAsia="zh-CN"/>
              </w:rPr>
              <w:t>），</w:t>
            </w:r>
            <w:r>
              <w:rPr>
                <w:rFonts w:hint="eastAsia" w:ascii="宋体" w:hAnsi="宋体" w:eastAsia="宋体" w:cs="宋体"/>
                <w:color w:val="auto"/>
                <w:spacing w:val="-6"/>
                <w:sz w:val="24"/>
                <w:lang w:val="en-US" w:eastAsia="zh-CN"/>
              </w:rPr>
              <w:t>项目代码</w:t>
            </w:r>
            <w:r>
              <w:rPr>
                <w:rFonts w:hint="eastAsia" w:ascii="宋体" w:hAnsi="宋体" w:eastAsia="宋体" w:cs="宋体"/>
                <w:color w:val="auto"/>
                <w:spacing w:val="-6"/>
                <w:sz w:val="24"/>
                <w:lang w:eastAsia="zh-CN"/>
              </w:rPr>
              <w:t>2509-652312-07-01-903068</w:t>
            </w:r>
            <w:r>
              <w:rPr>
                <w:rFonts w:hint="eastAsia" w:ascii="宋体" w:hAnsi="宋体" w:eastAsia="宋体" w:cs="宋体"/>
                <w:color w:val="auto"/>
                <w:spacing w:val="-6"/>
                <w:sz w:val="24"/>
              </w:rPr>
              <w:t>，</w:t>
            </w:r>
            <w:r>
              <w:rPr>
                <w:rFonts w:hint="eastAsia" w:ascii="宋体" w:hAnsi="宋体" w:eastAsia="宋体" w:cs="宋体"/>
                <w:color w:val="auto"/>
                <w:sz w:val="24"/>
              </w:rPr>
              <w:t>项目建设符合地方产业政策。</w:t>
            </w:r>
          </w:p>
          <w:p w14:paraId="757C6329">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val="en-US" w:eastAsia="zh-CN"/>
              </w:rPr>
              <w:t>综上</w:t>
            </w:r>
            <w:r>
              <w:rPr>
                <w:rFonts w:hint="eastAsia" w:ascii="宋体" w:hAnsi="宋体" w:eastAsia="宋体" w:cs="宋体"/>
                <w:color w:val="auto"/>
                <w:sz w:val="24"/>
              </w:rPr>
              <w:t>，本项目</w:t>
            </w:r>
            <w:r>
              <w:rPr>
                <w:rFonts w:hint="eastAsia" w:ascii="宋体" w:hAnsi="宋体" w:eastAsia="宋体" w:cs="宋体"/>
                <w:color w:val="auto"/>
                <w:sz w:val="24"/>
                <w:lang w:val="en-US" w:eastAsia="zh-CN"/>
              </w:rPr>
              <w:t>建设</w:t>
            </w:r>
            <w:r>
              <w:rPr>
                <w:rFonts w:hint="eastAsia" w:ascii="宋体" w:hAnsi="宋体" w:eastAsia="宋体" w:cs="宋体"/>
                <w:color w:val="auto"/>
                <w:sz w:val="24"/>
              </w:rPr>
              <w:t>符合国家及地方产业政策要求。</w:t>
            </w:r>
          </w:p>
          <w:p w14:paraId="5B42805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t>2.与生态环境分区管控符合性分析</w:t>
            </w:r>
          </w:p>
          <w:p w14:paraId="2A54C2C8">
            <w:pPr>
              <w:spacing w:line="360" w:lineRule="auto"/>
              <w:ind w:firstLine="480" w:firstLineChars="200"/>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本项目与</w:t>
            </w:r>
            <w:r>
              <w:rPr>
                <w:rFonts w:hint="eastAsia" w:ascii="宋体" w:hAnsi="宋体" w:eastAsia="宋体" w:cs="宋体"/>
                <w:color w:val="auto"/>
                <w:sz w:val="24"/>
              </w:rPr>
              <w:t>《昌吉回族自治州区域空间生态环境评价暨“三线一单”生态环境准入清单动态更新成果》符合性分析</w:t>
            </w:r>
            <w:r>
              <w:rPr>
                <w:rFonts w:hint="eastAsia" w:ascii="宋体" w:hAnsi="宋体" w:eastAsia="宋体" w:cs="宋体"/>
                <w:color w:val="auto"/>
                <w:sz w:val="24"/>
                <w:lang w:val="en-US" w:eastAsia="zh-CN"/>
              </w:rPr>
              <w:t>具体如下：</w:t>
            </w:r>
          </w:p>
          <w:p w14:paraId="67C4B57A">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（1）生态保护红线</w:t>
            </w:r>
          </w:p>
          <w:p w14:paraId="4916F6D3">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本项目位于新疆维吾尔自治区昌吉回族自治州昌吉高新技术产业开发区C-16号，项目</w:t>
            </w:r>
            <w:r>
              <w:rPr>
                <w:rFonts w:hint="eastAsia" w:ascii="宋体" w:hAnsi="宋体" w:eastAsia="宋体" w:cs="宋体"/>
                <w:color w:val="auto"/>
                <w:sz w:val="24"/>
                <w:lang w:val="en-US" w:eastAsia="zh-CN"/>
              </w:rPr>
              <w:t>建设地</w:t>
            </w:r>
            <w:r>
              <w:rPr>
                <w:rFonts w:hint="eastAsia" w:ascii="宋体" w:hAnsi="宋体" w:eastAsia="宋体" w:cs="宋体"/>
                <w:color w:val="auto"/>
                <w:sz w:val="24"/>
              </w:rPr>
              <w:t>属于重点管控单元，所在区域不在生态保护红线管控范围内。</w:t>
            </w:r>
          </w:p>
          <w:p w14:paraId="2440859B">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（2）环境质量底线</w:t>
            </w:r>
          </w:p>
          <w:p w14:paraId="3D44251C">
            <w:pPr>
              <w:spacing w:line="360" w:lineRule="auto"/>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根据</w:t>
            </w:r>
            <w:r>
              <w:rPr>
                <w:rFonts w:hint="eastAsia" w:ascii="宋体" w:hAnsi="宋体" w:eastAsia="宋体" w:cs="宋体"/>
                <w:color w:val="auto"/>
                <w:sz w:val="24"/>
                <w:lang w:val="en-US" w:eastAsia="zh-CN"/>
              </w:rPr>
              <w:t>本</w:t>
            </w:r>
            <w:r>
              <w:rPr>
                <w:rFonts w:hint="eastAsia" w:ascii="宋体" w:hAnsi="宋体" w:eastAsia="宋体" w:cs="宋体"/>
                <w:color w:val="auto"/>
                <w:sz w:val="24"/>
              </w:rPr>
              <w:t>项目所在地环境</w:t>
            </w:r>
            <w:r>
              <w:rPr>
                <w:rFonts w:hint="eastAsia" w:ascii="宋体" w:hAnsi="宋体" w:eastAsia="宋体" w:cs="宋体"/>
                <w:color w:val="auto"/>
                <w:sz w:val="24"/>
                <w:lang w:val="en-US" w:eastAsia="zh-CN"/>
              </w:rPr>
              <w:t>质量</w:t>
            </w:r>
            <w:r>
              <w:rPr>
                <w:rFonts w:hint="eastAsia" w:ascii="宋体" w:hAnsi="宋体" w:eastAsia="宋体" w:cs="宋体"/>
                <w:color w:val="auto"/>
                <w:sz w:val="24"/>
              </w:rPr>
              <w:t>现状调查和</w:t>
            </w:r>
            <w:r>
              <w:rPr>
                <w:rFonts w:hint="eastAsia" w:ascii="宋体" w:hAnsi="宋体" w:eastAsia="宋体" w:cs="宋体"/>
                <w:color w:val="auto"/>
                <w:sz w:val="24"/>
                <w:lang w:val="en-US" w:eastAsia="zh-CN"/>
              </w:rPr>
              <w:t>运营期各</w:t>
            </w:r>
            <w:r>
              <w:rPr>
                <w:rFonts w:hint="eastAsia" w:ascii="宋体" w:hAnsi="宋体" w:eastAsia="宋体" w:cs="宋体"/>
                <w:color w:val="auto"/>
                <w:sz w:val="24"/>
              </w:rPr>
              <w:t>污染物排放核算，项目</w:t>
            </w:r>
            <w:r>
              <w:rPr>
                <w:rFonts w:hint="eastAsia" w:ascii="宋体" w:hAnsi="宋体" w:eastAsia="宋体" w:cs="宋体"/>
                <w:color w:val="auto"/>
                <w:sz w:val="24"/>
                <w:lang w:val="en-US" w:eastAsia="zh-CN"/>
              </w:rPr>
              <w:t>在全面</w:t>
            </w:r>
            <w:r>
              <w:rPr>
                <w:rFonts w:hint="eastAsia" w:ascii="宋体" w:hAnsi="宋体" w:eastAsia="宋体" w:cs="宋体"/>
                <w:color w:val="auto"/>
                <w:sz w:val="24"/>
              </w:rPr>
              <w:t>落实</w:t>
            </w:r>
            <w:r>
              <w:rPr>
                <w:rFonts w:hint="eastAsia" w:ascii="宋体" w:hAnsi="宋体" w:eastAsia="宋体" w:cs="宋体"/>
                <w:color w:val="auto"/>
                <w:sz w:val="24"/>
                <w:lang w:val="en-US" w:eastAsia="zh-CN"/>
              </w:rPr>
              <w:t>本环境影响报告表</w:t>
            </w:r>
            <w:r>
              <w:rPr>
                <w:rFonts w:hint="eastAsia" w:ascii="宋体" w:hAnsi="宋体" w:eastAsia="宋体" w:cs="宋体"/>
                <w:color w:val="auto"/>
                <w:sz w:val="24"/>
              </w:rPr>
              <w:t>提出的各项环境保护措施</w:t>
            </w:r>
            <w:r>
              <w:rPr>
                <w:rFonts w:hint="eastAsia" w:ascii="宋体" w:hAnsi="宋体" w:eastAsia="宋体" w:cs="宋体"/>
                <w:color w:val="auto"/>
                <w:sz w:val="24"/>
                <w:lang w:val="en-US" w:eastAsia="zh-CN"/>
              </w:rPr>
              <w:t>后</w:t>
            </w:r>
            <w:r>
              <w:rPr>
                <w:rFonts w:hint="eastAsia" w:ascii="宋体" w:hAnsi="宋体" w:eastAsia="宋体" w:cs="宋体"/>
                <w:color w:val="auto"/>
                <w:sz w:val="24"/>
              </w:rPr>
              <w:t>，</w:t>
            </w:r>
            <w:r>
              <w:rPr>
                <w:rFonts w:hint="eastAsia" w:ascii="宋体" w:hAnsi="宋体" w:eastAsia="宋体" w:cs="宋体"/>
                <w:color w:val="auto"/>
                <w:sz w:val="24"/>
                <w:lang w:val="en-US" w:eastAsia="zh-CN"/>
              </w:rPr>
              <w:t>各</w:t>
            </w:r>
            <w:r>
              <w:rPr>
                <w:rFonts w:hint="eastAsia" w:ascii="宋体" w:hAnsi="宋体" w:eastAsia="宋体" w:cs="宋体"/>
                <w:color w:val="auto"/>
                <w:sz w:val="24"/>
              </w:rPr>
              <w:t>污染物</w:t>
            </w:r>
            <w:r>
              <w:rPr>
                <w:rFonts w:hint="eastAsia" w:ascii="宋体" w:hAnsi="宋体" w:eastAsia="宋体" w:cs="宋体"/>
                <w:color w:val="auto"/>
                <w:sz w:val="24"/>
                <w:lang w:val="en-US" w:eastAsia="zh-CN"/>
              </w:rPr>
              <w:t>均能够</w:t>
            </w:r>
            <w:r>
              <w:rPr>
                <w:rFonts w:hint="eastAsia" w:ascii="宋体" w:hAnsi="宋体" w:eastAsia="宋体" w:cs="宋体"/>
                <w:color w:val="auto"/>
                <w:sz w:val="24"/>
              </w:rPr>
              <w:t>稳定达标排放，对</w:t>
            </w:r>
            <w:r>
              <w:rPr>
                <w:rFonts w:hint="eastAsia" w:ascii="宋体" w:hAnsi="宋体" w:eastAsia="宋体" w:cs="宋体"/>
                <w:color w:val="auto"/>
                <w:sz w:val="24"/>
                <w:lang w:val="en-US" w:eastAsia="zh-CN"/>
              </w:rPr>
              <w:t>项目所在区域</w:t>
            </w:r>
            <w:r>
              <w:rPr>
                <w:rFonts w:hint="eastAsia" w:ascii="宋体" w:hAnsi="宋体" w:eastAsia="宋体" w:cs="宋体"/>
                <w:color w:val="auto"/>
                <w:sz w:val="24"/>
              </w:rPr>
              <w:t>环境质量影响</w:t>
            </w:r>
            <w:r>
              <w:rPr>
                <w:rFonts w:hint="eastAsia" w:ascii="宋体" w:hAnsi="宋体" w:eastAsia="宋体" w:cs="宋体"/>
                <w:color w:val="auto"/>
                <w:sz w:val="24"/>
                <w:lang w:val="en-US" w:eastAsia="zh-CN"/>
              </w:rPr>
              <w:t>较小</w:t>
            </w:r>
            <w:r>
              <w:rPr>
                <w:rFonts w:hint="eastAsia" w:ascii="宋体" w:hAnsi="宋体" w:eastAsia="宋体" w:cs="宋体"/>
                <w:color w:val="auto"/>
                <w:sz w:val="24"/>
              </w:rPr>
              <w:t>，</w:t>
            </w:r>
            <w:r>
              <w:rPr>
                <w:rFonts w:hint="eastAsia" w:ascii="宋体" w:hAnsi="宋体" w:eastAsia="宋体" w:cs="宋体"/>
                <w:color w:val="auto"/>
                <w:sz w:val="24"/>
                <w:lang w:val="en-US" w:eastAsia="zh-CN"/>
              </w:rPr>
              <w:t>满足</w:t>
            </w:r>
            <w:r>
              <w:rPr>
                <w:rFonts w:hint="eastAsia" w:ascii="宋体" w:hAnsi="宋体" w:eastAsia="宋体" w:cs="宋体"/>
                <w:color w:val="auto"/>
                <w:sz w:val="24"/>
              </w:rPr>
              <w:t>环境质量</w:t>
            </w:r>
            <w:r>
              <w:rPr>
                <w:rFonts w:hint="eastAsia" w:ascii="宋体" w:hAnsi="宋体" w:eastAsia="宋体" w:cs="宋体"/>
                <w:color w:val="auto"/>
                <w:sz w:val="24"/>
                <w:lang w:val="en-US" w:eastAsia="zh-CN"/>
              </w:rPr>
              <w:t>底线要求</w:t>
            </w:r>
            <w:r>
              <w:rPr>
                <w:rFonts w:hint="eastAsia" w:ascii="宋体" w:hAnsi="宋体" w:eastAsia="宋体" w:cs="宋体"/>
                <w:color w:val="auto"/>
                <w:sz w:val="24"/>
              </w:rPr>
              <w:t>。</w:t>
            </w:r>
          </w:p>
          <w:p w14:paraId="36AE4E08">
            <w:pPr>
              <w:spacing w:line="360" w:lineRule="auto"/>
              <w:ind w:firstLine="480" w:firstLineChars="200"/>
              <w:rPr>
                <w:rFonts w:hint="eastAsia" w:ascii="宋体" w:hAnsi="宋体" w:eastAsia="宋体" w:cs="宋体"/>
                <w:color w:val="auto"/>
                <w:sz w:val="24"/>
                <w:lang w:val="en-US" w:eastAsia="zh-CN"/>
              </w:rPr>
            </w:pPr>
            <w:r>
              <w:rPr>
                <w:rFonts w:hint="eastAsia" w:ascii="宋体" w:hAnsi="宋体" w:eastAsia="宋体" w:cs="宋体"/>
                <w:color w:val="auto"/>
                <w:sz w:val="24"/>
              </w:rPr>
              <w:t>（3）资源利用上</w:t>
            </w:r>
            <w:r>
              <w:rPr>
                <w:rFonts w:hint="eastAsia" w:ascii="宋体" w:hAnsi="宋体" w:eastAsia="宋体" w:cs="宋体"/>
                <w:color w:val="auto"/>
                <w:sz w:val="24"/>
                <w:lang w:val="en-US" w:eastAsia="zh-CN"/>
              </w:rPr>
              <w:t>线</w:t>
            </w:r>
          </w:p>
          <w:p w14:paraId="73DEF9C2">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本项目</w:t>
            </w:r>
            <w:r>
              <w:rPr>
                <w:rFonts w:hint="eastAsia" w:ascii="宋体" w:hAnsi="宋体" w:eastAsia="宋体" w:cs="宋体"/>
                <w:color w:val="auto"/>
                <w:sz w:val="24"/>
                <w:lang w:val="en-US" w:eastAsia="zh-CN"/>
              </w:rPr>
              <w:t>运营会消耗一定量的水、电，占用土地资源。项目供水</w:t>
            </w:r>
            <w:r>
              <w:rPr>
                <w:rFonts w:hint="eastAsia" w:ascii="宋体" w:hAnsi="宋体" w:eastAsia="宋体" w:cs="宋体"/>
                <w:color w:val="auto"/>
                <w:sz w:val="24"/>
              </w:rPr>
              <w:t>由</w:t>
            </w:r>
            <w:r>
              <w:rPr>
                <w:rFonts w:hint="eastAsia" w:ascii="宋体" w:hAnsi="宋体" w:eastAsia="宋体" w:cs="宋体"/>
                <w:color w:val="auto"/>
                <w:sz w:val="24"/>
                <w:lang w:val="en-US" w:eastAsia="zh-CN"/>
              </w:rPr>
              <w:t>园区</w:t>
            </w:r>
            <w:r>
              <w:rPr>
                <w:rFonts w:hint="eastAsia" w:ascii="宋体" w:hAnsi="宋体" w:eastAsia="宋体" w:cs="宋体"/>
                <w:color w:val="auto"/>
                <w:sz w:val="24"/>
              </w:rPr>
              <w:t>供水</w:t>
            </w:r>
            <w:r>
              <w:rPr>
                <w:rFonts w:hint="eastAsia" w:ascii="宋体" w:hAnsi="宋体" w:eastAsia="宋体" w:cs="宋体"/>
                <w:color w:val="auto"/>
                <w:sz w:val="24"/>
                <w:lang w:val="en-US" w:eastAsia="zh-CN"/>
              </w:rPr>
              <w:t>管网供给</w:t>
            </w:r>
            <w:r>
              <w:rPr>
                <w:rFonts w:hint="eastAsia" w:ascii="宋体" w:hAnsi="宋体" w:eastAsia="宋体" w:cs="宋体"/>
                <w:color w:val="auto"/>
                <w:sz w:val="24"/>
                <w:lang w:eastAsia="zh-CN"/>
              </w:rPr>
              <w:t>，</w:t>
            </w:r>
            <w:r>
              <w:rPr>
                <w:rFonts w:hint="eastAsia" w:ascii="宋体" w:hAnsi="宋体" w:eastAsia="宋体" w:cs="宋体"/>
                <w:color w:val="auto"/>
                <w:sz w:val="24"/>
              </w:rPr>
              <w:t>供电接</w:t>
            </w:r>
            <w:r>
              <w:rPr>
                <w:rFonts w:hint="eastAsia" w:ascii="宋体" w:hAnsi="宋体" w:eastAsia="宋体" w:cs="宋体"/>
                <w:color w:val="auto"/>
                <w:sz w:val="24"/>
                <w:lang w:val="en-US" w:eastAsia="zh-CN"/>
              </w:rPr>
              <w:t>园区</w:t>
            </w:r>
            <w:r>
              <w:rPr>
                <w:rFonts w:hint="eastAsia" w:ascii="宋体" w:hAnsi="宋体" w:eastAsia="宋体" w:cs="宋体"/>
                <w:color w:val="auto"/>
                <w:sz w:val="24"/>
              </w:rPr>
              <w:t>供电系统，</w:t>
            </w:r>
            <w:r>
              <w:rPr>
                <w:rFonts w:hint="eastAsia" w:ascii="宋体" w:hAnsi="宋体" w:eastAsia="宋体" w:cs="宋体"/>
                <w:color w:val="auto"/>
                <w:sz w:val="24"/>
                <w:lang w:val="en-US" w:eastAsia="zh-CN"/>
              </w:rPr>
              <w:t>厂内配备250kVA变压器，</w:t>
            </w:r>
            <w:r>
              <w:rPr>
                <w:rFonts w:hint="eastAsia" w:ascii="宋体" w:hAnsi="宋体" w:eastAsia="宋体" w:cs="宋体"/>
                <w:color w:val="auto"/>
                <w:sz w:val="24"/>
              </w:rPr>
              <w:t>用地</w:t>
            </w:r>
            <w:r>
              <w:rPr>
                <w:rFonts w:hint="eastAsia" w:ascii="宋体" w:hAnsi="宋体" w:eastAsia="宋体" w:cs="宋体"/>
                <w:color w:val="auto"/>
                <w:sz w:val="24"/>
                <w:lang w:val="en-US" w:eastAsia="zh-CN"/>
              </w:rPr>
              <w:t>性质为</w:t>
            </w:r>
            <w:r>
              <w:rPr>
                <w:rFonts w:hint="eastAsia" w:ascii="宋体" w:hAnsi="宋体" w:eastAsia="宋体" w:cs="宋体"/>
                <w:color w:val="auto"/>
                <w:sz w:val="24"/>
              </w:rPr>
              <w:t>工业用地，符合</w:t>
            </w:r>
            <w:r>
              <w:rPr>
                <w:rFonts w:hint="eastAsia" w:ascii="宋体" w:hAnsi="宋体" w:eastAsia="宋体" w:cs="宋体"/>
                <w:color w:val="auto"/>
                <w:sz w:val="24"/>
                <w:lang w:val="en-US" w:eastAsia="zh-CN"/>
              </w:rPr>
              <w:t>园区</w:t>
            </w:r>
            <w:r>
              <w:rPr>
                <w:rFonts w:hint="eastAsia" w:ascii="宋体" w:hAnsi="宋体" w:eastAsia="宋体" w:cs="宋体"/>
                <w:color w:val="auto"/>
                <w:sz w:val="24"/>
              </w:rPr>
              <w:t>用地规划</w:t>
            </w: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本项目资源消耗量相对区域资源利用总量较少，整体符合资源利用上线要求。</w:t>
            </w:r>
          </w:p>
          <w:p w14:paraId="299C8570">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（4）生态环境准入清单</w:t>
            </w:r>
          </w:p>
          <w:p w14:paraId="589F2EA9">
            <w:pPr>
              <w:spacing w:line="360" w:lineRule="auto"/>
              <w:ind w:firstLine="480" w:firstLineChars="200"/>
              <w:rPr>
                <w:rFonts w:ascii="Times New Roman" w:hAnsi="Times New Roman"/>
                <w:b/>
                <w:bCs/>
                <w:color w:val="auto"/>
              </w:rPr>
            </w:pPr>
            <w:r>
              <w:rPr>
                <w:rFonts w:hint="eastAsia" w:ascii="宋体" w:hAnsi="宋体" w:eastAsia="宋体" w:cs="宋体"/>
                <w:color w:val="auto"/>
                <w:sz w:val="24"/>
                <w:lang w:val="en-US" w:eastAsia="zh-CN"/>
              </w:rPr>
              <w:t>根据《昌吉回族自治州区域空间生态环境评价暨“三线一单”生态环境准入清单动态更新成果》，本项目环境管控单元类别为重点管控单元，环境管控单元名称为昌吉高新技术产业开发区，环境管控单元编码为ZH65230120002。本项目与“昌吉回族自治州生态环境准入清单”符合性分析见表1-2，项目在昌吉回族自治州环境管控单元图中的位置见</w:t>
            </w:r>
            <w:r>
              <w:rPr>
                <w:rFonts w:hint="eastAsia" w:ascii="宋体" w:hAnsi="宋体" w:eastAsia="宋体" w:cs="宋体"/>
                <w:b/>
                <w:bCs/>
                <w:color w:val="auto"/>
                <w:sz w:val="24"/>
                <w:lang w:val="en-US" w:eastAsia="zh-CN"/>
              </w:rPr>
              <w:t>附图</w:t>
            </w:r>
            <w:r>
              <w:rPr>
                <w:rFonts w:hint="eastAsia" w:ascii="宋体" w:hAnsi="宋体" w:cs="宋体"/>
                <w:b/>
                <w:bCs/>
                <w:color w:val="auto"/>
                <w:sz w:val="24"/>
                <w:lang w:val="en-US" w:eastAsia="zh-CN"/>
              </w:rPr>
              <w:t>4</w:t>
            </w:r>
            <w:r>
              <w:rPr>
                <w:rFonts w:hint="eastAsia" w:ascii="宋体" w:hAnsi="宋体" w:eastAsia="宋体" w:cs="宋体"/>
                <w:color w:val="auto"/>
                <w:sz w:val="24"/>
                <w:lang w:val="en-US" w:eastAsia="zh-CN"/>
              </w:rPr>
              <w:t>。</w:t>
            </w:r>
          </w:p>
          <w:p w14:paraId="10913E8D">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Times New Roman" w:hAnsi="Times New Roman" w:eastAsia="宋体" w:cs="Times New Roman"/>
                <w:b/>
                <w:bCs/>
                <w:color w:val="auto"/>
              </w:rPr>
            </w:pPr>
            <w:r>
              <w:rPr>
                <w:rFonts w:ascii="Times New Roman" w:hAnsi="Times New Roman" w:eastAsia="宋体" w:cs="Times New Roman"/>
                <w:b/>
                <w:bCs/>
                <w:color w:val="auto"/>
              </w:rPr>
              <w:t>表</w:t>
            </w:r>
            <w:r>
              <w:rPr>
                <w:rFonts w:hint="eastAsia" w:ascii="Times New Roman" w:hAnsi="Times New Roman" w:eastAsia="宋体" w:cs="Times New Roman"/>
                <w:b/>
                <w:bCs/>
                <w:color w:val="auto"/>
              </w:rPr>
              <w:t>1</w:t>
            </w:r>
            <w:r>
              <w:rPr>
                <w:rFonts w:hint="eastAsia" w:ascii="Times New Roman" w:hAnsi="Times New Roman" w:eastAsia="宋体" w:cs="Times New Roman"/>
                <w:b/>
                <w:bCs/>
                <w:color w:val="auto"/>
                <w:lang w:val="en-US" w:eastAsia="zh-CN"/>
              </w:rPr>
              <w:t>-2</w:t>
            </w:r>
            <w:r>
              <w:rPr>
                <w:rFonts w:hint="eastAsia" w:ascii="Times New Roman" w:hAnsi="Times New Roman" w:eastAsia="宋体" w:cs="Times New Roman"/>
                <w:b/>
                <w:bCs/>
                <w:color w:val="auto"/>
              </w:rPr>
              <w:t xml:space="preserve"> 与“昌吉回族自治州生态环境准入清单”</w:t>
            </w:r>
            <w:r>
              <w:rPr>
                <w:rFonts w:ascii="Times New Roman" w:hAnsi="Times New Roman" w:eastAsia="宋体" w:cs="Times New Roman"/>
                <w:b/>
                <w:bCs/>
                <w:color w:val="auto"/>
              </w:rPr>
              <w:t>符合性分析</w:t>
            </w:r>
          </w:p>
          <w:tbl>
            <w:tblPr>
              <w:tblStyle w:val="26"/>
              <w:tblW w:w="7059"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2973"/>
              <w:gridCol w:w="2569"/>
              <w:gridCol w:w="862"/>
            </w:tblGrid>
            <w:tr w14:paraId="09D42E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55" w:type="dxa"/>
                  <w:tcBorders>
                    <w:bottom w:val="single" w:color="auto" w:sz="12" w:space="0"/>
                  </w:tcBorders>
                  <w:noWrap w:val="0"/>
                  <w:vAlign w:val="center"/>
                </w:tcPr>
                <w:p w14:paraId="3FFB9E6E">
                  <w:pPr>
                    <w:pStyle w:val="7"/>
                    <w:jc w:val="center"/>
                    <w:outlineLvl w:val="3"/>
                    <w:rPr>
                      <w:rFonts w:hint="default" w:ascii="Times New Roman" w:hAnsi="Times New Roman" w:eastAsia="宋体"/>
                      <w:color w:val="auto"/>
                      <w:lang w:val="en-US" w:eastAsia="zh-CN"/>
                    </w:rPr>
                  </w:pPr>
                  <w:r>
                    <w:rPr>
                      <w:rFonts w:hint="eastAsia" w:ascii="Times New Roman" w:hAnsi="Times New Roman"/>
                      <w:color w:val="auto"/>
                      <w:lang w:val="en-US" w:eastAsia="zh-CN"/>
                    </w:rPr>
                    <w:t>管控维度</w:t>
                  </w:r>
                </w:p>
              </w:tc>
              <w:tc>
                <w:tcPr>
                  <w:tcW w:w="2973" w:type="dxa"/>
                  <w:tcBorders>
                    <w:bottom w:val="single" w:color="auto" w:sz="12" w:space="0"/>
                  </w:tcBorders>
                  <w:noWrap w:val="0"/>
                  <w:vAlign w:val="center"/>
                </w:tcPr>
                <w:p w14:paraId="3E63AB4E">
                  <w:pPr>
                    <w:pStyle w:val="7"/>
                    <w:jc w:val="center"/>
                    <w:outlineLvl w:val="3"/>
                    <w:rPr>
                      <w:rFonts w:ascii="Times New Roman" w:hAnsi="Times New Roman"/>
                      <w:color w:val="auto"/>
                      <w:szCs w:val="21"/>
                    </w:rPr>
                  </w:pPr>
                  <w:r>
                    <w:rPr>
                      <w:rFonts w:hint="eastAsia" w:ascii="Times New Roman" w:hAnsi="Times New Roman"/>
                      <w:color w:val="auto"/>
                      <w:szCs w:val="21"/>
                    </w:rPr>
                    <w:t>管控要求</w:t>
                  </w:r>
                </w:p>
              </w:tc>
              <w:tc>
                <w:tcPr>
                  <w:tcW w:w="2569" w:type="dxa"/>
                  <w:tcBorders>
                    <w:bottom w:val="single" w:color="auto" w:sz="12" w:space="0"/>
                  </w:tcBorders>
                  <w:noWrap w:val="0"/>
                  <w:vAlign w:val="center"/>
                </w:tcPr>
                <w:p w14:paraId="7FB1FFBA">
                  <w:pPr>
                    <w:pStyle w:val="7"/>
                    <w:jc w:val="center"/>
                    <w:outlineLvl w:val="3"/>
                    <w:rPr>
                      <w:rFonts w:ascii="Times New Roman" w:hAnsi="Times New Roman"/>
                      <w:color w:val="auto"/>
                      <w:szCs w:val="21"/>
                    </w:rPr>
                  </w:pPr>
                  <w:r>
                    <w:rPr>
                      <w:rFonts w:hint="eastAsia" w:ascii="Times New Roman" w:hAnsi="Times New Roman"/>
                      <w:color w:val="auto"/>
                      <w:szCs w:val="21"/>
                    </w:rPr>
                    <w:t>项目情况</w:t>
                  </w:r>
                </w:p>
              </w:tc>
              <w:tc>
                <w:tcPr>
                  <w:tcW w:w="862" w:type="dxa"/>
                  <w:tcBorders>
                    <w:bottom w:val="single" w:color="auto" w:sz="12" w:space="0"/>
                  </w:tcBorders>
                  <w:noWrap w:val="0"/>
                  <w:vAlign w:val="center"/>
                </w:tcPr>
                <w:p w14:paraId="71B14D48">
                  <w:pPr>
                    <w:pStyle w:val="7"/>
                    <w:jc w:val="center"/>
                    <w:outlineLvl w:val="3"/>
                    <w:rPr>
                      <w:rFonts w:ascii="Times New Roman" w:hAnsi="Times New Roman"/>
                      <w:color w:val="auto"/>
                      <w:szCs w:val="21"/>
                    </w:rPr>
                  </w:pPr>
                  <w:r>
                    <w:rPr>
                      <w:rFonts w:ascii="Times New Roman" w:hAnsi="Times New Roman"/>
                      <w:color w:val="auto"/>
                      <w:szCs w:val="21"/>
                    </w:rPr>
                    <w:t>符合性</w:t>
                  </w:r>
                </w:p>
              </w:tc>
            </w:tr>
            <w:tr w14:paraId="4CBDE5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58" w:hRule="atLeast"/>
              </w:trPr>
              <w:tc>
                <w:tcPr>
                  <w:tcW w:w="655" w:type="dxa"/>
                  <w:tcBorders>
                    <w:top w:val="single" w:color="auto" w:sz="12" w:space="0"/>
                    <w:bottom w:val="single" w:color="auto" w:sz="8" w:space="0"/>
                  </w:tcBorders>
                  <w:noWrap w:val="0"/>
                  <w:vAlign w:val="center"/>
                </w:tcPr>
                <w:p w14:paraId="3CA5FB92">
                  <w:pPr>
                    <w:overflowPunct w:val="0"/>
                    <w:autoSpaceDE w:val="0"/>
                    <w:jc w:val="center"/>
                    <w:rPr>
                      <w:color w:val="auto"/>
                      <w:szCs w:val="21"/>
                    </w:rPr>
                  </w:pPr>
                  <w:r>
                    <w:rPr>
                      <w:color w:val="auto"/>
                      <w:szCs w:val="21"/>
                    </w:rPr>
                    <w:t>空间布局约束</w:t>
                  </w:r>
                </w:p>
              </w:tc>
              <w:tc>
                <w:tcPr>
                  <w:tcW w:w="2973" w:type="dxa"/>
                  <w:tcBorders>
                    <w:top w:val="single" w:color="auto" w:sz="12" w:space="0"/>
                    <w:bottom w:val="single" w:color="auto" w:sz="8" w:space="0"/>
                  </w:tcBorders>
                  <w:noWrap w:val="0"/>
                  <w:vAlign w:val="center"/>
                </w:tcPr>
                <w:p w14:paraId="0663BAB2">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1.入园企业须符合园区产业发展定位、布局规划等要求。</w:t>
                  </w:r>
                </w:p>
                <w:p w14:paraId="209BA7EA">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pacing w:val="-6"/>
                      <w:sz w:val="21"/>
                      <w:szCs w:val="21"/>
                      <w:highlight w:val="none"/>
                      <w:lang w:val="en-US" w:eastAsia="zh-CN"/>
                    </w:rPr>
                    <w:t>入园企业须符合国土空间规划的布局及土地利用等相关要求。</w:t>
                  </w:r>
                </w:p>
                <w:p w14:paraId="3EAD14E1">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3.园区入驻项目须满足《新疆维吾尔自治区重点行业生态环境准入条件（2024年）》 相关要求。</w:t>
                  </w:r>
                </w:p>
                <w:p w14:paraId="04515E90">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4.园区入驻项目须严格执行园区规划及规划环评相关要求。</w:t>
                  </w:r>
                </w:p>
                <w:p w14:paraId="2A2C2B12">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5.除国家规定新增原料用能不纳入能源消费总量控制的项目和列入国家规划的项目外，“乌-昌-石”等重点区域原则不再新建、扩建使用燃料用煤项目。</w:t>
                  </w:r>
                </w:p>
              </w:tc>
              <w:tc>
                <w:tcPr>
                  <w:tcW w:w="2569" w:type="dxa"/>
                  <w:tcBorders>
                    <w:top w:val="single" w:color="auto" w:sz="12" w:space="0"/>
                    <w:bottom w:val="single" w:color="auto" w:sz="8" w:space="0"/>
                  </w:tcBorders>
                  <w:noWrap w:val="0"/>
                  <w:vAlign w:val="center"/>
                </w:tcPr>
                <w:p w14:paraId="259AC628">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1.本项目为金属结构制造项目，符合园区产业发展定位、布局规划等要求。</w:t>
                  </w:r>
                </w:p>
                <w:p w14:paraId="4FC75937">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pacing w:val="-6"/>
                      <w:sz w:val="21"/>
                      <w:szCs w:val="21"/>
                      <w:highlight w:val="none"/>
                      <w:lang w:val="en-US" w:eastAsia="zh-CN"/>
                    </w:rPr>
                    <w:t>本项目位于昌吉高新技术产业开发区装备制造产业区，符合国土空间规划的布局及土地利用等相关要求。</w:t>
                  </w:r>
                </w:p>
                <w:p w14:paraId="210045EF">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pacing w:val="-11"/>
                      <w:sz w:val="21"/>
                      <w:szCs w:val="21"/>
                      <w:highlight w:val="none"/>
                      <w:lang w:val="en-US" w:eastAsia="zh-CN"/>
                    </w:rPr>
                    <w:t>本项目符合《新疆维吾尔自治区重点行业生态环境准入条件（2024年）》相关要求。</w:t>
                  </w:r>
                </w:p>
                <w:p w14:paraId="533CF773">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4.由表1-1，本项目符合《昌吉高新技术产业开发区总体规划（2014-2030）环境影响报告书》及其审查意见相关要求。</w:t>
                  </w:r>
                </w:p>
                <w:p w14:paraId="4C2F5C30">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w:t>
                  </w:r>
                  <w:r>
                    <w:rPr>
                      <w:rFonts w:hint="eastAsia" w:ascii="Times New Roman" w:hAnsi="Times New Roman" w:eastAsia="宋体" w:cs="Times New Roman"/>
                      <w:color w:val="auto"/>
                      <w:spacing w:val="-6"/>
                      <w:sz w:val="21"/>
                      <w:szCs w:val="21"/>
                      <w:highlight w:val="none"/>
                      <w:lang w:val="en-US" w:eastAsia="zh-CN"/>
                    </w:rPr>
                    <w:t>本项目不涉及使用燃煤。</w:t>
                  </w:r>
                </w:p>
              </w:tc>
              <w:tc>
                <w:tcPr>
                  <w:tcW w:w="862" w:type="dxa"/>
                  <w:tcBorders>
                    <w:top w:val="single" w:color="auto" w:sz="12" w:space="0"/>
                    <w:bottom w:val="single" w:color="auto" w:sz="8" w:space="0"/>
                  </w:tcBorders>
                  <w:noWrap w:val="0"/>
                  <w:vAlign w:val="center"/>
                </w:tcPr>
                <w:p w14:paraId="1DFBA466">
                  <w:pPr>
                    <w:overflowPunct w:val="0"/>
                    <w:autoSpaceDE w:val="0"/>
                    <w:jc w:val="center"/>
                    <w:rPr>
                      <w:color w:val="auto"/>
                      <w:szCs w:val="21"/>
                    </w:rPr>
                  </w:pPr>
                  <w:r>
                    <w:rPr>
                      <w:rFonts w:hint="eastAsia"/>
                      <w:color w:val="auto"/>
                      <w:szCs w:val="21"/>
                    </w:rPr>
                    <w:t>符合</w:t>
                  </w:r>
                </w:p>
              </w:tc>
            </w:tr>
            <w:tr w14:paraId="7A1891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50" w:hRule="atLeast"/>
              </w:trPr>
              <w:tc>
                <w:tcPr>
                  <w:tcW w:w="655" w:type="dxa"/>
                  <w:tcBorders>
                    <w:top w:val="single" w:color="auto" w:sz="8" w:space="0"/>
                    <w:bottom w:val="single" w:color="auto" w:sz="8" w:space="0"/>
                  </w:tcBorders>
                  <w:noWrap w:val="0"/>
                  <w:vAlign w:val="center"/>
                </w:tcPr>
                <w:p w14:paraId="12A8E47C">
                  <w:pPr>
                    <w:overflowPunct w:val="0"/>
                    <w:autoSpaceDE w:val="0"/>
                    <w:jc w:val="center"/>
                    <w:rPr>
                      <w:color w:val="auto"/>
                      <w:szCs w:val="21"/>
                    </w:rPr>
                  </w:pPr>
                  <w:r>
                    <w:rPr>
                      <w:color w:val="auto"/>
                      <w:szCs w:val="21"/>
                    </w:rPr>
                    <w:t>污染物排放管控</w:t>
                  </w:r>
                </w:p>
              </w:tc>
              <w:tc>
                <w:tcPr>
                  <w:tcW w:w="2973" w:type="dxa"/>
                  <w:tcBorders>
                    <w:top w:val="single" w:color="auto" w:sz="8" w:space="0"/>
                    <w:bottom w:val="single" w:color="auto" w:sz="8" w:space="0"/>
                  </w:tcBorders>
                  <w:noWrap w:val="0"/>
                  <w:vAlign w:val="center"/>
                </w:tcPr>
                <w:p w14:paraId="63185F5C">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1.聚焦采暖期重污染天气治理，加大重点区域、重点行业结构调整和污染治理力度。</w:t>
                  </w:r>
                </w:p>
                <w:p w14:paraId="263F05DC">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pacing w:val="-6"/>
                      <w:sz w:val="21"/>
                      <w:szCs w:val="21"/>
                      <w:highlight w:val="none"/>
                      <w:lang w:val="en-US" w:eastAsia="zh-CN"/>
                    </w:rPr>
                    <w:t>新（改、扩）建项目应执行最严格的大气污染物排放标准。</w:t>
                  </w:r>
                </w:p>
                <w:p w14:paraId="79CA41E6">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pacing w:val="-11"/>
                      <w:sz w:val="21"/>
                      <w:szCs w:val="21"/>
                      <w:highlight w:val="none"/>
                      <w:lang w:val="en-US" w:eastAsia="zh-CN"/>
                    </w:rPr>
                    <w:t>“乌-昌-石”区域内，</w:t>
                  </w:r>
                  <w:r>
                    <w:rPr>
                      <w:rFonts w:hint="eastAsia" w:ascii="Times New Roman" w:hAnsi="Times New Roman" w:eastAsia="宋体" w:cs="Times New Roman"/>
                      <w:color w:val="auto"/>
                      <w:spacing w:val="-6"/>
                      <w:sz w:val="21"/>
                      <w:szCs w:val="21"/>
                      <w:highlight w:val="none"/>
                      <w:lang w:val="en-US" w:eastAsia="zh-CN"/>
                    </w:rPr>
                    <w:t>已实施超低排放的涉气排污单位</w:t>
                  </w:r>
                  <w:r>
                    <w:rPr>
                      <w:rFonts w:hint="eastAsia" w:ascii="Times New Roman" w:hAnsi="Times New Roman" w:eastAsia="宋体" w:cs="Times New Roman"/>
                      <w:color w:val="auto"/>
                      <w:spacing w:val="-11"/>
                      <w:sz w:val="21"/>
                      <w:szCs w:val="21"/>
                      <w:highlight w:val="none"/>
                      <w:lang w:val="en-US" w:eastAsia="zh-CN"/>
                    </w:rPr>
                    <w:t>，其实施超低排放改造的污</w:t>
                  </w:r>
                  <w:r>
                    <w:rPr>
                      <w:rFonts w:hint="eastAsia" w:ascii="Times New Roman" w:hAnsi="Times New Roman" w:eastAsia="宋体" w:cs="Times New Roman"/>
                      <w:color w:val="auto"/>
                      <w:spacing w:val="-6"/>
                      <w:sz w:val="21"/>
                      <w:szCs w:val="21"/>
                      <w:highlight w:val="none"/>
                      <w:lang w:val="en-US" w:eastAsia="zh-CN"/>
                    </w:rPr>
                    <w:t>染因子执行超</w:t>
                  </w:r>
                  <w:r>
                    <w:rPr>
                      <w:rFonts w:hint="eastAsia" w:ascii="Times New Roman" w:hAnsi="Times New Roman" w:eastAsia="宋体" w:cs="Times New Roman"/>
                      <w:color w:val="auto"/>
                      <w:spacing w:val="-11"/>
                      <w:sz w:val="21"/>
                      <w:szCs w:val="21"/>
                      <w:highlight w:val="none"/>
                      <w:lang w:val="en-US" w:eastAsia="zh-CN"/>
                    </w:rPr>
                    <w:t>低排放限值，</w:t>
                  </w:r>
                  <w:r>
                    <w:rPr>
                      <w:rFonts w:hint="eastAsia" w:ascii="Times New Roman" w:hAnsi="Times New Roman" w:eastAsia="宋体" w:cs="Times New Roman"/>
                      <w:color w:val="auto"/>
                      <w:spacing w:val="-6"/>
                      <w:sz w:val="21"/>
                      <w:szCs w:val="21"/>
                      <w:highlight w:val="none"/>
                      <w:lang w:val="en-US" w:eastAsia="zh-CN"/>
                    </w:rPr>
                    <w:t>其他污染因子执行特别排放限值和特别控制要求。</w:t>
                  </w:r>
                </w:p>
                <w:p w14:paraId="43A9FB64">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4.推动园区企业绿色发展，严格落实水污染物排放标准。</w:t>
                  </w:r>
                </w:p>
                <w:p w14:paraId="0BF08558">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5.严格实施污染物排放总量控制要求；全面深化面源污染治理，积极推进绿色施工。</w:t>
                  </w:r>
                </w:p>
              </w:tc>
              <w:tc>
                <w:tcPr>
                  <w:tcW w:w="2569" w:type="dxa"/>
                  <w:tcBorders>
                    <w:top w:val="single" w:color="auto" w:sz="8" w:space="0"/>
                    <w:bottom w:val="single" w:color="auto" w:sz="8" w:space="0"/>
                  </w:tcBorders>
                  <w:noWrap w:val="0"/>
                  <w:vAlign w:val="center"/>
                </w:tcPr>
                <w:p w14:paraId="3B05BBDC">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本项目严格执行重污染天气管控要求。</w:t>
                  </w:r>
                </w:p>
                <w:p w14:paraId="5157F368">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本项目排放</w:t>
                  </w:r>
                  <w:r>
                    <w:rPr>
                      <w:rFonts w:hint="eastAsia" w:ascii="Times New Roman" w:hAnsi="Times New Roman" w:eastAsia="宋体" w:cs="Times New Roman"/>
                      <w:color w:val="auto"/>
                      <w:sz w:val="21"/>
                      <w:szCs w:val="21"/>
                      <w:highlight w:val="none"/>
                      <w:lang w:val="en-US" w:eastAsia="zh-CN"/>
                    </w:rPr>
                    <w:t>的大气污染物</w:t>
                  </w:r>
                  <w:r>
                    <w:rPr>
                      <w:rFonts w:hint="default" w:ascii="Times New Roman" w:hAnsi="Times New Roman" w:eastAsia="宋体" w:cs="Times New Roman"/>
                      <w:color w:val="auto"/>
                      <w:sz w:val="21"/>
                      <w:szCs w:val="21"/>
                      <w:highlight w:val="none"/>
                      <w:lang w:val="en-US" w:eastAsia="zh-CN"/>
                    </w:rPr>
                    <w:t>执行最严格的大气污染物排放标准。</w:t>
                  </w:r>
                </w:p>
                <w:p w14:paraId="0AED09CF">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本项目</w:t>
                  </w:r>
                  <w:r>
                    <w:rPr>
                      <w:rFonts w:hint="eastAsia" w:ascii="Times New Roman" w:hAnsi="Times New Roman" w:eastAsia="宋体" w:cs="Times New Roman"/>
                      <w:color w:val="auto"/>
                      <w:sz w:val="21"/>
                      <w:szCs w:val="21"/>
                      <w:highlight w:val="none"/>
                      <w:lang w:val="en-US" w:eastAsia="zh-CN"/>
                    </w:rPr>
                    <w:t>厂区内无组织挥</w:t>
                  </w:r>
                  <w:r>
                    <w:rPr>
                      <w:rFonts w:hint="eastAsia" w:ascii="Times New Roman" w:hAnsi="Times New Roman" w:eastAsia="宋体" w:cs="Times New Roman"/>
                      <w:color w:val="auto"/>
                      <w:spacing w:val="-6"/>
                      <w:sz w:val="21"/>
                      <w:szCs w:val="21"/>
                      <w:highlight w:val="none"/>
                      <w:lang w:val="en-US" w:eastAsia="zh-CN"/>
                    </w:rPr>
                    <w:t>发性有机物排放执行</w:t>
                  </w:r>
                  <w:r>
                    <w:rPr>
                      <w:rFonts w:hint="default" w:ascii="Times New Roman" w:hAnsi="Times New Roman" w:eastAsia="宋体" w:cs="Times New Roman"/>
                      <w:color w:val="auto"/>
                      <w:spacing w:val="-6"/>
                      <w:sz w:val="21"/>
                      <w:szCs w:val="21"/>
                      <w:highlight w:val="none"/>
                      <w:lang w:val="en-US" w:eastAsia="zh-CN"/>
                    </w:rPr>
                    <w:t>大气污染物特别排放限值</w:t>
                  </w:r>
                  <w:r>
                    <w:rPr>
                      <w:rFonts w:hint="eastAsia" w:ascii="Times New Roman" w:hAnsi="Times New Roman" w:eastAsia="宋体" w:cs="Times New Roman"/>
                      <w:color w:val="auto"/>
                      <w:spacing w:val="-6"/>
                      <w:sz w:val="21"/>
                      <w:szCs w:val="21"/>
                      <w:highlight w:val="none"/>
                      <w:lang w:val="en-US" w:eastAsia="zh-CN"/>
                    </w:rPr>
                    <w:t>要求</w:t>
                  </w:r>
                  <w:r>
                    <w:rPr>
                      <w:rFonts w:hint="default" w:ascii="Times New Roman" w:hAnsi="Times New Roman" w:eastAsia="宋体" w:cs="Times New Roman"/>
                      <w:color w:val="auto"/>
                      <w:spacing w:val="-6"/>
                      <w:sz w:val="21"/>
                      <w:szCs w:val="21"/>
                      <w:highlight w:val="none"/>
                      <w:lang w:val="en-US" w:eastAsia="zh-CN"/>
                    </w:rPr>
                    <w:t>。</w:t>
                  </w:r>
                </w:p>
                <w:p w14:paraId="39F6E8B8">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lang w:val="en-US" w:eastAsia="zh-CN"/>
                    </w:rPr>
                    <w:t>本项目</w:t>
                  </w:r>
                  <w:r>
                    <w:rPr>
                      <w:rFonts w:hint="eastAsia" w:ascii="Times New Roman" w:hAnsi="Times New Roman" w:eastAsia="宋体" w:cs="Times New Roman"/>
                      <w:color w:val="auto"/>
                      <w:sz w:val="21"/>
                      <w:szCs w:val="21"/>
                      <w:highlight w:val="none"/>
                      <w:lang w:val="en-US" w:eastAsia="zh-CN"/>
                    </w:rPr>
                    <w:t>生活污水排放满足《污水综合排放标准》（GB8978-1996）表4中三级标准</w:t>
                  </w:r>
                  <w:r>
                    <w:rPr>
                      <w:rFonts w:hint="eastAsia" w:cs="Times New Roman"/>
                      <w:color w:val="auto"/>
                      <w:sz w:val="21"/>
                      <w:szCs w:val="21"/>
                      <w:highlight w:val="none"/>
                      <w:lang w:val="en-US" w:eastAsia="zh-CN"/>
                    </w:rPr>
                    <w:t>要求</w:t>
                  </w:r>
                  <w:r>
                    <w:rPr>
                      <w:rFonts w:hint="default" w:ascii="Times New Roman" w:hAnsi="Times New Roman" w:eastAsia="宋体" w:cs="Times New Roman"/>
                      <w:color w:val="auto"/>
                      <w:sz w:val="21"/>
                      <w:szCs w:val="21"/>
                      <w:highlight w:val="none"/>
                      <w:lang w:val="en-US" w:eastAsia="zh-CN"/>
                    </w:rPr>
                    <w:t>。</w:t>
                  </w:r>
                </w:p>
                <w:p w14:paraId="35C0123F">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lang w:val="en-US" w:eastAsia="zh-CN"/>
                    </w:rPr>
                    <w:t>项目严格落实污染物总量控制要求</w:t>
                  </w:r>
                  <w:r>
                    <w:rPr>
                      <w:rFonts w:hint="eastAsia" w:ascii="Times New Roman" w:hAnsi="Times New Roman" w:eastAsia="宋体" w:cs="Times New Roman"/>
                      <w:color w:val="auto"/>
                      <w:sz w:val="21"/>
                      <w:szCs w:val="21"/>
                      <w:highlight w:val="none"/>
                      <w:lang w:val="en-US" w:eastAsia="zh-CN"/>
                    </w:rPr>
                    <w:t>；厂房</w:t>
                  </w:r>
                  <w:r>
                    <w:rPr>
                      <w:rFonts w:hint="default" w:ascii="Times New Roman" w:hAnsi="Times New Roman" w:eastAsia="宋体" w:cs="Times New Roman"/>
                      <w:color w:val="auto"/>
                      <w:sz w:val="21"/>
                      <w:szCs w:val="21"/>
                      <w:highlight w:val="none"/>
                      <w:lang w:val="en-US" w:eastAsia="zh-CN"/>
                    </w:rPr>
                    <w:t>为封闭式，</w:t>
                  </w:r>
                  <w:r>
                    <w:rPr>
                      <w:rFonts w:hint="eastAsia" w:ascii="Times New Roman" w:hAnsi="Times New Roman" w:eastAsia="宋体" w:cs="Times New Roman"/>
                      <w:color w:val="auto"/>
                      <w:sz w:val="21"/>
                      <w:szCs w:val="21"/>
                      <w:highlight w:val="none"/>
                      <w:lang w:val="en-US" w:eastAsia="zh-CN"/>
                    </w:rPr>
                    <w:t>废气应收尽收</w:t>
                  </w:r>
                  <w:r>
                    <w:rPr>
                      <w:rFonts w:hint="default" w:ascii="Times New Roman" w:hAnsi="Times New Roman" w:eastAsia="宋体" w:cs="Times New Roman"/>
                      <w:color w:val="auto"/>
                      <w:sz w:val="21"/>
                      <w:szCs w:val="21"/>
                      <w:highlight w:val="none"/>
                      <w:lang w:val="en-US" w:eastAsia="zh-CN"/>
                    </w:rPr>
                    <w:t>。</w:t>
                  </w:r>
                </w:p>
              </w:tc>
              <w:tc>
                <w:tcPr>
                  <w:tcW w:w="862" w:type="dxa"/>
                  <w:tcBorders>
                    <w:top w:val="single" w:color="auto" w:sz="8" w:space="0"/>
                    <w:bottom w:val="single" w:color="auto" w:sz="8" w:space="0"/>
                  </w:tcBorders>
                  <w:noWrap w:val="0"/>
                  <w:vAlign w:val="center"/>
                </w:tcPr>
                <w:p w14:paraId="68AF22AE">
                  <w:pPr>
                    <w:wordWrap w:val="0"/>
                    <w:overflowPunct w:val="0"/>
                    <w:autoSpaceDE w:val="0"/>
                    <w:jc w:val="center"/>
                    <w:rPr>
                      <w:color w:val="auto"/>
                      <w:szCs w:val="21"/>
                    </w:rPr>
                  </w:pPr>
                  <w:r>
                    <w:rPr>
                      <w:rFonts w:hint="eastAsia"/>
                      <w:color w:val="auto"/>
                      <w:szCs w:val="21"/>
                    </w:rPr>
                    <w:t>符合</w:t>
                  </w:r>
                </w:p>
              </w:tc>
            </w:tr>
          </w:tbl>
          <w:p w14:paraId="37E26E0E">
            <w:pPr>
              <w:keepNext w:val="0"/>
              <w:keepLines w:val="0"/>
              <w:pageBreakBefore w:val="0"/>
              <w:widowControl w:val="0"/>
              <w:kinsoku/>
              <w:wordWrap/>
              <w:overflowPunct/>
              <w:topLinePunct w:val="0"/>
              <w:autoSpaceDE/>
              <w:autoSpaceDN/>
              <w:bidi w:val="0"/>
              <w:adjustRightInd/>
              <w:snapToGrid/>
              <w:spacing w:before="157" w:beforeLines="50" w:line="300" w:lineRule="auto"/>
              <w:jc w:val="right"/>
              <w:textAlignment w:val="auto"/>
              <w:rPr>
                <w:rFonts w:ascii="Times New Roman" w:hAnsi="Times New Roman" w:eastAsia="宋体" w:cs="Times New Roman"/>
                <w:b/>
                <w:bCs/>
                <w:color w:val="auto"/>
              </w:rPr>
            </w:pPr>
            <w:r>
              <w:rPr>
                <w:rFonts w:hint="eastAsia" w:ascii="Times New Roman" w:hAnsi="Times New Roman" w:eastAsia="宋体" w:cs="Times New Roman"/>
                <w:b/>
                <w:bCs/>
                <w:color w:val="auto"/>
                <w:lang w:val="en-US" w:eastAsia="zh-CN"/>
              </w:rPr>
              <w:t>续</w:t>
            </w:r>
            <w:r>
              <w:rPr>
                <w:rFonts w:ascii="Times New Roman" w:hAnsi="Times New Roman" w:eastAsia="宋体" w:cs="Times New Roman"/>
                <w:b/>
                <w:bCs/>
                <w:color w:val="auto"/>
              </w:rPr>
              <w:t>表</w:t>
            </w:r>
            <w:r>
              <w:rPr>
                <w:rFonts w:hint="eastAsia" w:ascii="Times New Roman" w:hAnsi="Times New Roman" w:eastAsia="宋体" w:cs="Times New Roman"/>
                <w:b/>
                <w:bCs/>
                <w:color w:val="auto"/>
              </w:rPr>
              <w:t>1</w:t>
            </w:r>
            <w:r>
              <w:rPr>
                <w:rFonts w:hint="eastAsia" w:ascii="Times New Roman" w:hAnsi="Times New Roman" w:eastAsia="宋体" w:cs="Times New Roman"/>
                <w:b/>
                <w:bCs/>
                <w:color w:val="auto"/>
                <w:lang w:val="en-US" w:eastAsia="zh-CN"/>
              </w:rPr>
              <w:t>-2</w:t>
            </w:r>
            <w:r>
              <w:rPr>
                <w:rFonts w:hint="eastAsia" w:ascii="Times New Roman" w:hAnsi="Times New Roman" w:eastAsia="宋体" w:cs="Times New Roman"/>
                <w:b/>
                <w:bCs/>
                <w:color w:val="auto"/>
              </w:rPr>
              <w:t xml:space="preserve"> </w:t>
            </w:r>
          </w:p>
          <w:tbl>
            <w:tblPr>
              <w:tblStyle w:val="26"/>
              <w:tblW w:w="7059"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2973"/>
              <w:gridCol w:w="2569"/>
              <w:gridCol w:w="862"/>
            </w:tblGrid>
            <w:tr w14:paraId="72E82C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55" w:type="dxa"/>
                  <w:tcBorders>
                    <w:bottom w:val="single" w:color="auto" w:sz="12" w:space="0"/>
                  </w:tcBorders>
                  <w:noWrap w:val="0"/>
                  <w:vAlign w:val="center"/>
                </w:tcPr>
                <w:p w14:paraId="5DF5F10A">
                  <w:pPr>
                    <w:pStyle w:val="7"/>
                    <w:jc w:val="center"/>
                    <w:outlineLvl w:val="3"/>
                    <w:rPr>
                      <w:rFonts w:hint="default" w:ascii="Times New Roman" w:hAnsi="Times New Roman" w:eastAsia="宋体"/>
                      <w:color w:val="auto"/>
                      <w:lang w:val="en-US" w:eastAsia="zh-CN"/>
                    </w:rPr>
                  </w:pPr>
                  <w:r>
                    <w:rPr>
                      <w:rFonts w:hint="eastAsia" w:ascii="Times New Roman" w:hAnsi="Times New Roman"/>
                      <w:color w:val="auto"/>
                      <w:lang w:val="en-US" w:eastAsia="zh-CN"/>
                    </w:rPr>
                    <w:t>管控维度</w:t>
                  </w:r>
                </w:p>
              </w:tc>
              <w:tc>
                <w:tcPr>
                  <w:tcW w:w="2973" w:type="dxa"/>
                  <w:tcBorders>
                    <w:bottom w:val="single" w:color="auto" w:sz="12" w:space="0"/>
                  </w:tcBorders>
                  <w:noWrap w:val="0"/>
                  <w:vAlign w:val="center"/>
                </w:tcPr>
                <w:p w14:paraId="5D6AC9DD">
                  <w:pPr>
                    <w:pStyle w:val="7"/>
                    <w:jc w:val="center"/>
                    <w:outlineLvl w:val="3"/>
                    <w:rPr>
                      <w:rFonts w:ascii="Times New Roman" w:hAnsi="Times New Roman"/>
                      <w:color w:val="auto"/>
                      <w:szCs w:val="21"/>
                    </w:rPr>
                  </w:pPr>
                  <w:r>
                    <w:rPr>
                      <w:rFonts w:hint="eastAsia" w:ascii="Times New Roman" w:hAnsi="Times New Roman"/>
                      <w:color w:val="auto"/>
                      <w:szCs w:val="21"/>
                    </w:rPr>
                    <w:t>管控要求</w:t>
                  </w:r>
                </w:p>
              </w:tc>
              <w:tc>
                <w:tcPr>
                  <w:tcW w:w="2569" w:type="dxa"/>
                  <w:tcBorders>
                    <w:bottom w:val="single" w:color="auto" w:sz="12" w:space="0"/>
                  </w:tcBorders>
                  <w:noWrap w:val="0"/>
                  <w:vAlign w:val="center"/>
                </w:tcPr>
                <w:p w14:paraId="5621AEFC">
                  <w:pPr>
                    <w:pStyle w:val="7"/>
                    <w:jc w:val="center"/>
                    <w:outlineLvl w:val="3"/>
                    <w:rPr>
                      <w:rFonts w:ascii="Times New Roman" w:hAnsi="Times New Roman"/>
                      <w:color w:val="auto"/>
                      <w:szCs w:val="21"/>
                    </w:rPr>
                  </w:pPr>
                  <w:r>
                    <w:rPr>
                      <w:rFonts w:hint="eastAsia" w:ascii="Times New Roman" w:hAnsi="Times New Roman"/>
                      <w:color w:val="auto"/>
                      <w:szCs w:val="21"/>
                    </w:rPr>
                    <w:t>项目情况</w:t>
                  </w:r>
                </w:p>
              </w:tc>
              <w:tc>
                <w:tcPr>
                  <w:tcW w:w="862" w:type="dxa"/>
                  <w:tcBorders>
                    <w:bottom w:val="single" w:color="auto" w:sz="12" w:space="0"/>
                  </w:tcBorders>
                  <w:noWrap w:val="0"/>
                  <w:vAlign w:val="center"/>
                </w:tcPr>
                <w:p w14:paraId="2811FCB1">
                  <w:pPr>
                    <w:pStyle w:val="7"/>
                    <w:jc w:val="center"/>
                    <w:outlineLvl w:val="3"/>
                    <w:rPr>
                      <w:rFonts w:ascii="Times New Roman" w:hAnsi="Times New Roman"/>
                      <w:color w:val="auto"/>
                      <w:szCs w:val="21"/>
                    </w:rPr>
                  </w:pPr>
                  <w:r>
                    <w:rPr>
                      <w:rFonts w:ascii="Times New Roman" w:hAnsi="Times New Roman"/>
                      <w:color w:val="auto"/>
                      <w:szCs w:val="21"/>
                    </w:rPr>
                    <w:t>符合性</w:t>
                  </w:r>
                </w:p>
              </w:tc>
            </w:tr>
            <w:tr w14:paraId="72ACA9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86" w:hRule="atLeast"/>
              </w:trPr>
              <w:tc>
                <w:tcPr>
                  <w:tcW w:w="655" w:type="dxa"/>
                  <w:tcBorders>
                    <w:top w:val="single" w:color="auto" w:sz="8" w:space="0"/>
                    <w:bottom w:val="single" w:color="auto" w:sz="8" w:space="0"/>
                  </w:tcBorders>
                  <w:noWrap w:val="0"/>
                  <w:vAlign w:val="center"/>
                </w:tcPr>
                <w:p w14:paraId="3B6C5EF3">
                  <w:pPr>
                    <w:overflowPunct w:val="0"/>
                    <w:autoSpaceDE w:val="0"/>
                    <w:jc w:val="center"/>
                    <w:rPr>
                      <w:color w:val="auto"/>
                      <w:szCs w:val="21"/>
                    </w:rPr>
                  </w:pPr>
                  <w:r>
                    <w:rPr>
                      <w:color w:val="auto"/>
                      <w:szCs w:val="21"/>
                    </w:rPr>
                    <w:t>环境风险防控</w:t>
                  </w:r>
                </w:p>
              </w:tc>
              <w:tc>
                <w:tcPr>
                  <w:tcW w:w="2973" w:type="dxa"/>
                  <w:tcBorders>
                    <w:top w:val="single" w:color="auto" w:sz="8" w:space="0"/>
                    <w:bottom w:val="single" w:color="auto" w:sz="8" w:space="0"/>
                  </w:tcBorders>
                  <w:noWrap w:val="0"/>
                  <w:vAlign w:val="center"/>
                </w:tcPr>
                <w:p w14:paraId="74570CF1">
                  <w:pPr>
                    <w:overflowPunct w:val="0"/>
                    <w:autoSpaceDE w:val="0"/>
                    <w:jc w:val="both"/>
                    <w:rPr>
                      <w:color w:val="auto"/>
                      <w:szCs w:val="21"/>
                    </w:rPr>
                  </w:pPr>
                  <w:r>
                    <w:rPr>
                      <w:rFonts w:hint="eastAsia"/>
                      <w:color w:val="auto"/>
                      <w:szCs w:val="21"/>
                    </w:rPr>
                    <w:t>园区应设立环境应急管理机构，建立环境风险监管制度、</w:t>
                  </w:r>
                  <w:r>
                    <w:rPr>
                      <w:rFonts w:hint="eastAsia"/>
                      <w:color w:val="auto"/>
                      <w:spacing w:val="-6"/>
                      <w:sz w:val="21"/>
                      <w:szCs w:val="21"/>
                    </w:rPr>
                    <w:t>环境风险预警制度、</w:t>
                  </w:r>
                  <w:r>
                    <w:rPr>
                      <w:rFonts w:hint="eastAsia" w:ascii="Times New Roman" w:hAnsi="Times New Roman" w:eastAsia="宋体" w:cs="Times New Roman"/>
                      <w:color w:val="auto"/>
                      <w:szCs w:val="21"/>
                    </w:rPr>
                    <w:t>突发环境事件应急预案</w:t>
                  </w:r>
                  <w:r>
                    <w:rPr>
                      <w:rFonts w:hint="eastAsia"/>
                      <w:color w:val="auto"/>
                      <w:spacing w:val="-6"/>
                      <w:sz w:val="21"/>
                      <w:szCs w:val="21"/>
                    </w:rPr>
                    <w:t>、环境风险应急保</w:t>
                  </w:r>
                  <w:r>
                    <w:rPr>
                      <w:rFonts w:hint="eastAsia" w:ascii="Times New Roman" w:hAnsi="Times New Roman" w:eastAsia="宋体" w:cs="Times New Roman"/>
                      <w:color w:val="auto"/>
                      <w:szCs w:val="21"/>
                    </w:rPr>
                    <w:t>障制度等环境风险防控体系，并具备环境风险应急救援能力。</w:t>
                  </w:r>
                </w:p>
              </w:tc>
              <w:tc>
                <w:tcPr>
                  <w:tcW w:w="2569" w:type="dxa"/>
                  <w:tcBorders>
                    <w:top w:val="single" w:color="auto" w:sz="8" w:space="0"/>
                    <w:bottom w:val="single" w:color="auto" w:sz="8" w:space="0"/>
                  </w:tcBorders>
                  <w:noWrap w:val="0"/>
                  <w:vAlign w:val="center"/>
                </w:tcPr>
                <w:p w14:paraId="78645149">
                  <w:pPr>
                    <w:overflowPunct w:val="0"/>
                    <w:autoSpaceDE w:val="0"/>
                    <w:jc w:val="both"/>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Cs w:val="21"/>
                      <w:lang w:val="en-US" w:eastAsia="zh-CN"/>
                    </w:rPr>
                    <w:t>本项目设计采用切实可行的环境风险</w:t>
                  </w:r>
                  <w:r>
                    <w:rPr>
                      <w:rFonts w:hint="eastAsia" w:ascii="Times New Roman" w:hAnsi="Times New Roman" w:eastAsia="宋体" w:cs="Times New Roman"/>
                      <w:color w:val="auto"/>
                      <w:szCs w:val="21"/>
                      <w:lang w:val="en-US" w:eastAsia="zh-CN"/>
                    </w:rPr>
                    <w:t>防控</w:t>
                  </w:r>
                  <w:r>
                    <w:rPr>
                      <w:rFonts w:hint="default" w:ascii="Times New Roman" w:hAnsi="Times New Roman" w:eastAsia="宋体" w:cs="Times New Roman"/>
                      <w:color w:val="auto"/>
                      <w:szCs w:val="21"/>
                      <w:lang w:val="en-US" w:eastAsia="zh-CN"/>
                    </w:rPr>
                    <w:t>措施，制定各种环境管理制度，</w:t>
                  </w:r>
                  <w:r>
                    <w:rPr>
                      <w:rFonts w:hint="eastAsia" w:ascii="Times New Roman" w:hAnsi="Times New Roman" w:eastAsia="宋体" w:cs="Times New Roman"/>
                      <w:color w:val="auto"/>
                      <w:szCs w:val="21"/>
                      <w:lang w:val="en-US" w:eastAsia="zh-CN"/>
                    </w:rPr>
                    <w:t>编</w:t>
                  </w:r>
                  <w:r>
                    <w:rPr>
                      <w:rFonts w:hint="eastAsia" w:ascii="Times New Roman" w:hAnsi="Times New Roman" w:eastAsia="宋体" w:cs="Times New Roman"/>
                      <w:color w:val="auto"/>
                      <w:spacing w:val="-6"/>
                      <w:sz w:val="21"/>
                      <w:szCs w:val="21"/>
                      <w:lang w:val="en-US" w:eastAsia="zh-CN"/>
                    </w:rPr>
                    <w:t>制</w:t>
                  </w:r>
                  <w:r>
                    <w:rPr>
                      <w:rFonts w:hint="default" w:ascii="Times New Roman" w:hAnsi="Times New Roman" w:eastAsia="宋体" w:cs="Times New Roman"/>
                      <w:color w:val="auto"/>
                      <w:spacing w:val="-6"/>
                      <w:sz w:val="21"/>
                      <w:szCs w:val="21"/>
                      <w:lang w:val="en-US" w:eastAsia="zh-CN"/>
                    </w:rPr>
                    <w:t>突发环境事件应急预案，</w:t>
                  </w:r>
                  <w:r>
                    <w:rPr>
                      <w:rFonts w:hint="default" w:ascii="Times New Roman" w:hAnsi="Times New Roman" w:eastAsia="宋体" w:cs="Times New Roman"/>
                      <w:color w:val="auto"/>
                      <w:szCs w:val="21"/>
                      <w:lang w:val="en-US" w:eastAsia="zh-CN"/>
                    </w:rPr>
                    <w:t>严防环境风险事件发生。</w:t>
                  </w:r>
                </w:p>
              </w:tc>
              <w:tc>
                <w:tcPr>
                  <w:tcW w:w="862" w:type="dxa"/>
                  <w:tcBorders>
                    <w:top w:val="single" w:color="auto" w:sz="8" w:space="0"/>
                    <w:bottom w:val="single" w:color="auto" w:sz="8" w:space="0"/>
                  </w:tcBorders>
                  <w:noWrap w:val="0"/>
                  <w:vAlign w:val="center"/>
                </w:tcPr>
                <w:p w14:paraId="2D911CDA">
                  <w:pPr>
                    <w:overflowPunct w:val="0"/>
                    <w:autoSpaceDE w:val="0"/>
                    <w:jc w:val="center"/>
                    <w:rPr>
                      <w:rFonts w:hint="eastAsia" w:eastAsia="宋体"/>
                      <w:color w:val="auto"/>
                      <w:szCs w:val="21"/>
                      <w:lang w:val="en-US" w:eastAsia="zh-CN"/>
                    </w:rPr>
                  </w:pPr>
                  <w:r>
                    <w:rPr>
                      <w:rFonts w:hint="eastAsia"/>
                      <w:color w:val="auto"/>
                      <w:szCs w:val="21"/>
                      <w:lang w:val="en-US" w:eastAsia="zh-CN"/>
                    </w:rPr>
                    <w:t>符合</w:t>
                  </w:r>
                </w:p>
              </w:tc>
            </w:tr>
            <w:tr w14:paraId="27D359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28" w:hRule="atLeast"/>
              </w:trPr>
              <w:tc>
                <w:tcPr>
                  <w:tcW w:w="655" w:type="dxa"/>
                  <w:tcBorders>
                    <w:top w:val="single" w:color="auto" w:sz="8" w:space="0"/>
                  </w:tcBorders>
                  <w:noWrap w:val="0"/>
                  <w:vAlign w:val="center"/>
                </w:tcPr>
                <w:p w14:paraId="13055E8D">
                  <w:pPr>
                    <w:overflowPunct w:val="0"/>
                    <w:autoSpaceDE w:val="0"/>
                    <w:jc w:val="center"/>
                    <w:rPr>
                      <w:rFonts w:hint="eastAsia" w:eastAsia="宋体"/>
                      <w:color w:val="auto"/>
                      <w:szCs w:val="21"/>
                      <w:lang w:val="en-US" w:eastAsia="zh-CN"/>
                    </w:rPr>
                  </w:pPr>
                  <w:r>
                    <w:rPr>
                      <w:color w:val="auto"/>
                      <w:szCs w:val="21"/>
                    </w:rPr>
                    <w:t>资源利用效率</w:t>
                  </w:r>
                  <w:r>
                    <w:rPr>
                      <w:rFonts w:hint="eastAsia"/>
                      <w:color w:val="auto"/>
                      <w:szCs w:val="21"/>
                      <w:lang w:val="en-US" w:eastAsia="zh-CN"/>
                    </w:rPr>
                    <w:t>要求</w:t>
                  </w:r>
                </w:p>
              </w:tc>
              <w:tc>
                <w:tcPr>
                  <w:tcW w:w="2973" w:type="dxa"/>
                  <w:tcBorders>
                    <w:top w:val="single" w:color="auto" w:sz="8" w:space="0"/>
                  </w:tcBorders>
                  <w:noWrap w:val="0"/>
                  <w:vAlign w:val="center"/>
                </w:tcPr>
                <w:p w14:paraId="454AF741">
                  <w:pPr>
                    <w:overflowPunct w:val="0"/>
                    <w:autoSpaceDE w:val="0"/>
                    <w:jc w:val="left"/>
                    <w:rPr>
                      <w:rFonts w:hint="eastAsia"/>
                      <w:color w:val="auto"/>
                      <w:szCs w:val="21"/>
                    </w:rPr>
                  </w:pPr>
                  <w:r>
                    <w:rPr>
                      <w:rFonts w:hint="eastAsia"/>
                      <w:color w:val="auto"/>
                      <w:szCs w:val="21"/>
                      <w:lang w:val="en-US" w:eastAsia="zh-CN"/>
                    </w:rPr>
                    <w:t>1.</w:t>
                  </w:r>
                  <w:r>
                    <w:rPr>
                      <w:rFonts w:hint="eastAsia"/>
                      <w:color w:val="auto"/>
                      <w:szCs w:val="21"/>
                    </w:rPr>
                    <w:t>严守水资源开发利用控制、用水效率控制和水功能区限制纳污“三条红线”，严格实行区域用水总量和强度控制，强化用水定额管理。</w:t>
                  </w:r>
                </w:p>
                <w:p w14:paraId="0C784F41">
                  <w:pPr>
                    <w:overflowPunct w:val="0"/>
                    <w:autoSpaceDE w:val="0"/>
                    <w:jc w:val="left"/>
                    <w:rPr>
                      <w:rFonts w:hint="eastAsia"/>
                      <w:color w:val="auto"/>
                      <w:szCs w:val="21"/>
                    </w:rPr>
                  </w:pPr>
                  <w:r>
                    <w:rPr>
                      <w:rFonts w:hint="eastAsia"/>
                      <w:color w:val="auto"/>
                      <w:szCs w:val="21"/>
                      <w:lang w:val="en-US" w:eastAsia="zh-CN"/>
                    </w:rPr>
                    <w:t>2.</w:t>
                  </w:r>
                  <w:r>
                    <w:rPr>
                      <w:rFonts w:hint="eastAsia"/>
                      <w:color w:val="auto"/>
                      <w:spacing w:val="-6"/>
                      <w:sz w:val="21"/>
                      <w:szCs w:val="21"/>
                    </w:rPr>
                    <w:t>推行清洁生产、降低生产水耗、从源头上控制污染物的产生。</w:t>
                  </w:r>
                  <w:r>
                    <w:rPr>
                      <w:rFonts w:hint="eastAsia"/>
                      <w:color w:val="auto"/>
                      <w:szCs w:val="21"/>
                    </w:rPr>
                    <w:t xml:space="preserve"> </w:t>
                  </w:r>
                </w:p>
                <w:p w14:paraId="3D613808">
                  <w:pPr>
                    <w:overflowPunct w:val="0"/>
                    <w:autoSpaceDE w:val="0"/>
                    <w:jc w:val="left"/>
                    <w:rPr>
                      <w:color w:val="auto"/>
                      <w:szCs w:val="21"/>
                    </w:rPr>
                  </w:pPr>
                  <w:r>
                    <w:rPr>
                      <w:rFonts w:hint="eastAsia"/>
                      <w:color w:val="auto"/>
                      <w:szCs w:val="21"/>
                      <w:lang w:val="en-US" w:eastAsia="zh-CN"/>
                    </w:rPr>
                    <w:t>3.</w:t>
                  </w:r>
                  <w:r>
                    <w:rPr>
                      <w:rFonts w:hint="eastAsia"/>
                      <w:color w:val="auto"/>
                      <w:szCs w:val="21"/>
                    </w:rPr>
                    <w:t>加强能耗“双控”管理，优化能源消费结构。严格合理控制煤炭消费增长，精准测算原料煤、动力煤，新增原料用能不纳入能源消费总量控制。</w:t>
                  </w:r>
                </w:p>
              </w:tc>
              <w:tc>
                <w:tcPr>
                  <w:tcW w:w="2569" w:type="dxa"/>
                  <w:tcBorders>
                    <w:top w:val="single" w:color="auto" w:sz="8" w:space="0"/>
                  </w:tcBorders>
                  <w:noWrap w:val="0"/>
                  <w:vAlign w:val="center"/>
                </w:tcPr>
                <w:p w14:paraId="02ECF932">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1.本项目用水量较小，不突破用水“三条红线”相关要求。</w:t>
                  </w:r>
                </w:p>
                <w:p w14:paraId="6532E057">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2.本项目生产不用水，无生产废水产生。</w:t>
                  </w:r>
                </w:p>
                <w:p w14:paraId="7ABD7431">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3.本项目使用能源主要为电能，不使用燃煤。</w:t>
                  </w:r>
                </w:p>
              </w:tc>
              <w:tc>
                <w:tcPr>
                  <w:tcW w:w="862" w:type="dxa"/>
                  <w:tcBorders>
                    <w:top w:val="single" w:color="auto" w:sz="8" w:space="0"/>
                  </w:tcBorders>
                  <w:noWrap w:val="0"/>
                  <w:vAlign w:val="center"/>
                </w:tcPr>
                <w:p w14:paraId="089A70F9">
                  <w:pPr>
                    <w:overflowPunct w:val="0"/>
                    <w:autoSpaceDE w:val="0"/>
                    <w:jc w:val="center"/>
                    <w:rPr>
                      <w:rFonts w:hint="eastAsia" w:eastAsia="宋体"/>
                      <w:color w:val="auto"/>
                      <w:lang w:val="en-US" w:eastAsia="zh-CN"/>
                    </w:rPr>
                  </w:pPr>
                  <w:r>
                    <w:rPr>
                      <w:rFonts w:hint="eastAsia"/>
                      <w:color w:val="auto"/>
                      <w:lang w:val="en-US" w:eastAsia="zh-CN"/>
                    </w:rPr>
                    <w:t>符合</w:t>
                  </w:r>
                </w:p>
              </w:tc>
            </w:tr>
          </w:tbl>
          <w:p w14:paraId="3F17D5F7">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cs="Times New Roman"/>
                <w:color w:val="auto"/>
              </w:rPr>
            </w:pPr>
            <w:r>
              <w:rPr>
                <w:rFonts w:hint="eastAsia" w:ascii="宋体" w:hAnsi="宋体" w:eastAsia="宋体" w:cs="宋体"/>
                <w:color w:val="auto"/>
                <w:sz w:val="24"/>
              </w:rPr>
              <w:t>综上，本项目</w:t>
            </w:r>
            <w:r>
              <w:rPr>
                <w:rFonts w:hint="eastAsia" w:ascii="宋体" w:hAnsi="宋体" w:eastAsia="宋体" w:cs="宋体"/>
                <w:color w:val="auto"/>
                <w:sz w:val="24"/>
                <w:lang w:val="en-US" w:eastAsia="zh-CN"/>
              </w:rPr>
              <w:t>建设</w:t>
            </w:r>
            <w:r>
              <w:rPr>
                <w:rFonts w:hint="eastAsia" w:ascii="宋体" w:hAnsi="宋体" w:eastAsia="宋体" w:cs="宋体"/>
                <w:color w:val="auto"/>
                <w:sz w:val="24"/>
              </w:rPr>
              <w:t>符合《昌吉回族自治州区域空间生态环境评价暨“三线一单”生态环境准入清单动态更新成果》相关要求。</w:t>
            </w:r>
          </w:p>
          <w:p w14:paraId="3343F73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t>3.与生态环境保护法规政策及相关规划符合性分析</w:t>
            </w:r>
          </w:p>
          <w:p w14:paraId="789A6EC3">
            <w:pPr>
              <w:spacing w:line="360" w:lineRule="auto"/>
              <w:ind w:firstLine="480" w:firstLineChars="200"/>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（1）与《空气质量持续改善行动计划》</w:t>
            </w:r>
            <w:r>
              <w:rPr>
                <w:rFonts w:hint="eastAsia" w:ascii="宋体" w:hAnsi="宋体" w:cs="宋体"/>
                <w:color w:val="auto"/>
                <w:sz w:val="24"/>
                <w:lang w:val="en-US" w:eastAsia="zh-CN"/>
              </w:rPr>
              <w:t>的通知（国发〔2023〕24号）</w:t>
            </w:r>
            <w:r>
              <w:rPr>
                <w:rFonts w:hint="eastAsia" w:ascii="宋体" w:hAnsi="宋体" w:eastAsia="宋体" w:cs="宋体"/>
                <w:color w:val="auto"/>
                <w:sz w:val="24"/>
                <w:lang w:val="en-US" w:eastAsia="zh-CN"/>
              </w:rPr>
              <w:t>符合性分析</w:t>
            </w:r>
          </w:p>
          <w:p w14:paraId="79D03858">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Times New Roman" w:hAnsi="Times New Roman" w:eastAsia="宋体" w:cs="Times New Roman"/>
                <w:b/>
                <w:bCs/>
                <w:color w:val="auto"/>
              </w:rPr>
            </w:pPr>
            <w:r>
              <w:rPr>
                <w:rFonts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 xml:space="preserve">1-3 </w:t>
            </w:r>
            <w:r>
              <w:rPr>
                <w:rFonts w:hint="eastAsia" w:ascii="Times New Roman" w:hAnsi="Times New Roman" w:eastAsia="宋体" w:cs="Times New Roman"/>
                <w:b/>
                <w:bCs/>
                <w:color w:val="auto"/>
              </w:rPr>
              <w:t>与《空气质量持续改善行动计划》</w:t>
            </w:r>
            <w:r>
              <w:rPr>
                <w:rFonts w:ascii="Times New Roman" w:hAnsi="Times New Roman" w:eastAsia="宋体" w:cs="Times New Roman"/>
                <w:b/>
                <w:bCs/>
                <w:color w:val="auto"/>
              </w:rPr>
              <w:t>符合性分析</w:t>
            </w:r>
          </w:p>
          <w:tbl>
            <w:tblPr>
              <w:tblStyle w:val="26"/>
              <w:tblW w:w="7113"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2979"/>
              <w:gridCol w:w="2588"/>
              <w:gridCol w:w="903"/>
            </w:tblGrid>
            <w:tr w14:paraId="55976C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43" w:type="dxa"/>
                  <w:tcBorders>
                    <w:bottom w:val="single" w:color="auto" w:sz="12" w:space="0"/>
                  </w:tcBorders>
                  <w:noWrap w:val="0"/>
                  <w:vAlign w:val="center"/>
                </w:tcPr>
                <w:p w14:paraId="7509BE31">
                  <w:pPr>
                    <w:pStyle w:val="7"/>
                    <w:jc w:val="center"/>
                    <w:outlineLvl w:val="3"/>
                    <w:rPr>
                      <w:rFonts w:ascii="Times New Roman" w:hAnsi="Times New Roman"/>
                      <w:color w:val="auto"/>
                    </w:rPr>
                  </w:pPr>
                  <w:r>
                    <w:rPr>
                      <w:rFonts w:hint="eastAsia" w:ascii="Times New Roman" w:hAnsi="Times New Roman"/>
                      <w:color w:val="auto"/>
                    </w:rPr>
                    <w:t>序号</w:t>
                  </w:r>
                </w:p>
              </w:tc>
              <w:tc>
                <w:tcPr>
                  <w:tcW w:w="2979" w:type="dxa"/>
                  <w:tcBorders>
                    <w:bottom w:val="single" w:color="auto" w:sz="12" w:space="0"/>
                  </w:tcBorders>
                  <w:noWrap w:val="0"/>
                  <w:vAlign w:val="center"/>
                </w:tcPr>
                <w:p w14:paraId="7C17197E">
                  <w:pPr>
                    <w:pStyle w:val="7"/>
                    <w:jc w:val="center"/>
                    <w:outlineLvl w:val="3"/>
                    <w:rPr>
                      <w:rFonts w:ascii="Times New Roman" w:hAnsi="Times New Roman"/>
                      <w:color w:val="auto"/>
                      <w:szCs w:val="21"/>
                    </w:rPr>
                  </w:pPr>
                  <w:r>
                    <w:rPr>
                      <w:rFonts w:hint="eastAsia" w:ascii="Times New Roman" w:hAnsi="Times New Roman"/>
                      <w:color w:val="auto"/>
                      <w:szCs w:val="21"/>
                      <w:lang w:val="en-US" w:eastAsia="zh-CN"/>
                    </w:rPr>
                    <w:t>相关</w:t>
                  </w:r>
                  <w:r>
                    <w:rPr>
                      <w:rFonts w:hint="eastAsia" w:ascii="Times New Roman" w:hAnsi="Times New Roman"/>
                      <w:color w:val="auto"/>
                      <w:szCs w:val="21"/>
                    </w:rPr>
                    <w:t>要求</w:t>
                  </w:r>
                </w:p>
              </w:tc>
              <w:tc>
                <w:tcPr>
                  <w:tcW w:w="2588" w:type="dxa"/>
                  <w:tcBorders>
                    <w:bottom w:val="single" w:color="auto" w:sz="12" w:space="0"/>
                  </w:tcBorders>
                  <w:noWrap w:val="0"/>
                  <w:vAlign w:val="center"/>
                </w:tcPr>
                <w:p w14:paraId="0C84A6BD">
                  <w:pPr>
                    <w:pStyle w:val="7"/>
                    <w:jc w:val="center"/>
                    <w:outlineLvl w:val="3"/>
                    <w:rPr>
                      <w:rFonts w:ascii="Times New Roman" w:hAnsi="Times New Roman"/>
                      <w:color w:val="auto"/>
                      <w:szCs w:val="21"/>
                    </w:rPr>
                  </w:pPr>
                  <w:r>
                    <w:rPr>
                      <w:rFonts w:hint="eastAsia" w:ascii="Times New Roman" w:hAnsi="Times New Roman"/>
                      <w:color w:val="auto"/>
                      <w:szCs w:val="21"/>
                    </w:rPr>
                    <w:t>项目情况</w:t>
                  </w:r>
                </w:p>
              </w:tc>
              <w:tc>
                <w:tcPr>
                  <w:tcW w:w="903" w:type="dxa"/>
                  <w:tcBorders>
                    <w:bottom w:val="single" w:color="auto" w:sz="12" w:space="0"/>
                  </w:tcBorders>
                  <w:noWrap w:val="0"/>
                  <w:vAlign w:val="center"/>
                </w:tcPr>
                <w:p w14:paraId="5D57A21A">
                  <w:pPr>
                    <w:pStyle w:val="7"/>
                    <w:jc w:val="center"/>
                    <w:outlineLvl w:val="3"/>
                    <w:rPr>
                      <w:rFonts w:ascii="Times New Roman" w:hAnsi="Times New Roman"/>
                      <w:color w:val="auto"/>
                      <w:szCs w:val="21"/>
                    </w:rPr>
                  </w:pPr>
                  <w:r>
                    <w:rPr>
                      <w:rFonts w:ascii="Times New Roman" w:hAnsi="Times New Roman" w:eastAsia="宋体" w:cs="Times New Roman"/>
                      <w:color w:val="auto"/>
                      <w:szCs w:val="21"/>
                    </w:rPr>
                    <w:t>符合性</w:t>
                  </w:r>
                </w:p>
              </w:tc>
            </w:tr>
            <w:tr w14:paraId="013314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2" w:hRule="atLeast"/>
              </w:trPr>
              <w:tc>
                <w:tcPr>
                  <w:tcW w:w="643" w:type="dxa"/>
                  <w:tcBorders>
                    <w:top w:val="single" w:color="auto" w:sz="12" w:space="0"/>
                    <w:bottom w:val="single" w:color="auto" w:sz="12" w:space="0"/>
                  </w:tcBorders>
                  <w:noWrap w:val="0"/>
                  <w:vAlign w:val="center"/>
                </w:tcPr>
                <w:p w14:paraId="7C908AE0">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1</w:t>
                  </w:r>
                </w:p>
              </w:tc>
              <w:tc>
                <w:tcPr>
                  <w:tcW w:w="2979" w:type="dxa"/>
                  <w:tcBorders>
                    <w:top w:val="single" w:color="auto" w:sz="12" w:space="0"/>
                    <w:bottom w:val="single" w:color="auto" w:sz="12" w:space="0"/>
                  </w:tcBorders>
                  <w:noWrap w:val="0"/>
                  <w:vAlign w:val="center"/>
                </w:tcPr>
                <w:p w14:paraId="66B20CA5">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四）坚决遏制高耗能、高排放、低水平项目上马。新改扩建项目严格落实国家产业规划、产业政策、生态环境分区管控方案、规划环评、项目环评、节能审查、产能置换、重点污染物总量控制、污染物排放区域削减、碳排放达峰目标等相关要求，原则上采用清洁运输方式。涉及产能置换的项目，被置换产能及其配套设施关停后，新建项目方可投产。</w:t>
                  </w:r>
                </w:p>
              </w:tc>
              <w:tc>
                <w:tcPr>
                  <w:tcW w:w="2588" w:type="dxa"/>
                  <w:tcBorders>
                    <w:top w:val="single" w:color="auto" w:sz="12" w:space="0"/>
                    <w:bottom w:val="single" w:color="auto" w:sz="12" w:space="0"/>
                  </w:tcBorders>
                  <w:noWrap w:val="0"/>
                  <w:vAlign w:val="center"/>
                </w:tcPr>
                <w:p w14:paraId="63454274">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不属于《产业结构调整指导目录（2024年本）》中鼓励类、限制类及淘汰类，视为允许类，符合国家产业政策要求；本项目符合生态环境分区管控方案、园区规划及规划环评等相关要求；本项目严格执行污染物总量控制</w:t>
                  </w:r>
                  <w:r>
                    <w:rPr>
                      <w:rFonts w:hint="eastAsia" w:ascii="Times New Roman" w:hAnsi="Times New Roman" w:eastAsia="宋体" w:cs="Times New Roman"/>
                      <w:color w:val="auto"/>
                      <w:spacing w:val="-6"/>
                      <w:sz w:val="21"/>
                      <w:szCs w:val="21"/>
                      <w:highlight w:val="none"/>
                      <w:lang w:val="en-US" w:eastAsia="zh-CN"/>
                    </w:rPr>
                    <w:t>、污染物排放区域削减要求；本项目原辅料及产品运输采用清洁运输方式。</w:t>
                  </w:r>
                </w:p>
              </w:tc>
              <w:tc>
                <w:tcPr>
                  <w:tcW w:w="903" w:type="dxa"/>
                  <w:tcBorders>
                    <w:top w:val="single" w:color="auto" w:sz="12" w:space="0"/>
                    <w:bottom w:val="single" w:color="auto" w:sz="12" w:space="0"/>
                  </w:tcBorders>
                  <w:noWrap w:val="0"/>
                  <w:vAlign w:val="center"/>
                </w:tcPr>
                <w:p w14:paraId="5D69F2FC">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符合</w:t>
                  </w:r>
                </w:p>
              </w:tc>
            </w:tr>
          </w:tbl>
          <w:p w14:paraId="1A700856">
            <w:pPr>
              <w:keepNext w:val="0"/>
              <w:keepLines w:val="0"/>
              <w:pageBreakBefore w:val="0"/>
              <w:widowControl w:val="0"/>
              <w:kinsoku/>
              <w:wordWrap/>
              <w:overflowPunct/>
              <w:topLinePunct w:val="0"/>
              <w:autoSpaceDE/>
              <w:autoSpaceDN/>
              <w:bidi w:val="0"/>
              <w:adjustRightInd/>
              <w:snapToGrid/>
              <w:spacing w:before="157" w:beforeLines="50" w:line="300" w:lineRule="auto"/>
              <w:jc w:val="right"/>
              <w:textAlignment w:val="auto"/>
              <w:rPr>
                <w:rFonts w:hint="eastAsia" w:ascii="Times New Roman" w:hAnsi="Times New Roman" w:eastAsia="宋体" w:cs="Times New Roman"/>
                <w:b/>
                <w:bCs/>
                <w:color w:val="auto"/>
              </w:rPr>
            </w:pPr>
            <w:r>
              <w:rPr>
                <w:rFonts w:hint="eastAsia" w:ascii="Times New Roman" w:hAnsi="Times New Roman" w:eastAsia="宋体" w:cs="Times New Roman"/>
                <w:b/>
                <w:bCs/>
                <w:color w:val="auto"/>
                <w:lang w:val="en-US" w:eastAsia="zh-CN"/>
              </w:rPr>
              <w:t>续</w:t>
            </w:r>
            <w:r>
              <w:rPr>
                <w:rFonts w:hint="eastAsia"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 xml:space="preserve">1-3 </w:t>
            </w:r>
          </w:p>
          <w:tbl>
            <w:tblPr>
              <w:tblStyle w:val="26"/>
              <w:tblW w:w="7113"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2979"/>
              <w:gridCol w:w="2588"/>
              <w:gridCol w:w="903"/>
            </w:tblGrid>
            <w:tr w14:paraId="15E93F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43" w:type="dxa"/>
                  <w:tcBorders>
                    <w:bottom w:val="single" w:color="auto" w:sz="12" w:space="0"/>
                  </w:tcBorders>
                  <w:noWrap w:val="0"/>
                  <w:vAlign w:val="center"/>
                </w:tcPr>
                <w:p w14:paraId="43CFC46B">
                  <w:pPr>
                    <w:pStyle w:val="7"/>
                    <w:jc w:val="center"/>
                    <w:outlineLvl w:val="3"/>
                    <w:rPr>
                      <w:rFonts w:ascii="Times New Roman" w:hAnsi="Times New Roman"/>
                      <w:color w:val="auto"/>
                    </w:rPr>
                  </w:pPr>
                  <w:r>
                    <w:rPr>
                      <w:rFonts w:hint="eastAsia" w:ascii="Times New Roman" w:hAnsi="Times New Roman"/>
                      <w:color w:val="auto"/>
                    </w:rPr>
                    <w:t>序号</w:t>
                  </w:r>
                </w:p>
              </w:tc>
              <w:tc>
                <w:tcPr>
                  <w:tcW w:w="2979" w:type="dxa"/>
                  <w:tcBorders>
                    <w:bottom w:val="single" w:color="auto" w:sz="12" w:space="0"/>
                  </w:tcBorders>
                  <w:noWrap w:val="0"/>
                  <w:vAlign w:val="center"/>
                </w:tcPr>
                <w:p w14:paraId="6AE29D75">
                  <w:pPr>
                    <w:pStyle w:val="7"/>
                    <w:jc w:val="center"/>
                    <w:outlineLvl w:val="3"/>
                    <w:rPr>
                      <w:rFonts w:ascii="Times New Roman" w:hAnsi="Times New Roman"/>
                      <w:color w:val="auto"/>
                      <w:szCs w:val="21"/>
                    </w:rPr>
                  </w:pPr>
                  <w:r>
                    <w:rPr>
                      <w:rFonts w:hint="eastAsia" w:ascii="Times New Roman" w:hAnsi="Times New Roman"/>
                      <w:color w:val="auto"/>
                      <w:szCs w:val="21"/>
                      <w:lang w:val="en-US" w:eastAsia="zh-CN"/>
                    </w:rPr>
                    <w:t>相关</w:t>
                  </w:r>
                  <w:r>
                    <w:rPr>
                      <w:rFonts w:hint="eastAsia" w:ascii="Times New Roman" w:hAnsi="Times New Roman"/>
                      <w:color w:val="auto"/>
                      <w:szCs w:val="21"/>
                    </w:rPr>
                    <w:t>要求</w:t>
                  </w:r>
                </w:p>
              </w:tc>
              <w:tc>
                <w:tcPr>
                  <w:tcW w:w="2588" w:type="dxa"/>
                  <w:tcBorders>
                    <w:bottom w:val="single" w:color="auto" w:sz="12" w:space="0"/>
                  </w:tcBorders>
                  <w:noWrap w:val="0"/>
                  <w:vAlign w:val="center"/>
                </w:tcPr>
                <w:p w14:paraId="21CD67D4">
                  <w:pPr>
                    <w:pStyle w:val="7"/>
                    <w:jc w:val="center"/>
                    <w:outlineLvl w:val="3"/>
                    <w:rPr>
                      <w:rFonts w:ascii="Times New Roman" w:hAnsi="Times New Roman"/>
                      <w:color w:val="auto"/>
                      <w:szCs w:val="21"/>
                    </w:rPr>
                  </w:pPr>
                  <w:r>
                    <w:rPr>
                      <w:rFonts w:hint="eastAsia" w:ascii="Times New Roman" w:hAnsi="Times New Roman"/>
                      <w:color w:val="auto"/>
                      <w:szCs w:val="21"/>
                    </w:rPr>
                    <w:t>项目情况</w:t>
                  </w:r>
                </w:p>
              </w:tc>
              <w:tc>
                <w:tcPr>
                  <w:tcW w:w="903" w:type="dxa"/>
                  <w:tcBorders>
                    <w:bottom w:val="single" w:color="auto" w:sz="12" w:space="0"/>
                  </w:tcBorders>
                  <w:noWrap w:val="0"/>
                  <w:vAlign w:val="center"/>
                </w:tcPr>
                <w:p w14:paraId="6C503B94">
                  <w:pPr>
                    <w:pStyle w:val="7"/>
                    <w:jc w:val="center"/>
                    <w:outlineLvl w:val="3"/>
                    <w:rPr>
                      <w:rFonts w:ascii="Times New Roman" w:hAnsi="Times New Roman"/>
                      <w:color w:val="auto"/>
                      <w:szCs w:val="21"/>
                    </w:rPr>
                  </w:pPr>
                  <w:r>
                    <w:rPr>
                      <w:rFonts w:ascii="Times New Roman" w:hAnsi="Times New Roman" w:eastAsia="宋体" w:cs="Times New Roman"/>
                      <w:color w:val="auto"/>
                      <w:szCs w:val="21"/>
                    </w:rPr>
                    <w:t>符合性</w:t>
                  </w:r>
                </w:p>
              </w:tc>
            </w:tr>
            <w:tr w14:paraId="065A2F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70" w:hRule="atLeast"/>
              </w:trPr>
              <w:tc>
                <w:tcPr>
                  <w:tcW w:w="643" w:type="dxa"/>
                  <w:tcBorders>
                    <w:top w:val="single" w:color="auto" w:sz="12" w:space="0"/>
                    <w:bottom w:val="single" w:color="auto" w:sz="8" w:space="0"/>
                  </w:tcBorders>
                  <w:noWrap w:val="0"/>
                  <w:vAlign w:val="center"/>
                </w:tcPr>
                <w:p w14:paraId="0063C758">
                  <w:pPr>
                    <w:adjustRightInd w:val="0"/>
                    <w:snapToGrid w:val="0"/>
                    <w:jc w:val="center"/>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2</w:t>
                  </w:r>
                </w:p>
              </w:tc>
              <w:tc>
                <w:tcPr>
                  <w:tcW w:w="2979" w:type="dxa"/>
                  <w:tcBorders>
                    <w:top w:val="single" w:color="auto" w:sz="12" w:space="0"/>
                    <w:bottom w:val="single" w:color="auto" w:sz="8" w:space="0"/>
                  </w:tcBorders>
                  <w:noWrap w:val="0"/>
                  <w:vAlign w:val="center"/>
                </w:tcPr>
                <w:p w14:paraId="722BEAC6">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（七）优化含VOC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原辅材料和产品结构。严格控制生产和使用高VOC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含量涂料、油墨、胶黏剂、清洗剂等建设项目，提高低（无）VOC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含量产品比重。实施源头替代工程，加大工业涂装、包装印刷和电子行业低（无）VOC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含量原辅材料替代力度。室外构筑物防护和城市道路交通标志推广使用低（无）VOC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含量涂料。在生产、销售、进口、使用等环节严格执行VOC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含量限值标准。</w:t>
                  </w:r>
                </w:p>
              </w:tc>
              <w:tc>
                <w:tcPr>
                  <w:tcW w:w="2588" w:type="dxa"/>
                  <w:tcBorders>
                    <w:top w:val="single" w:color="auto" w:sz="12" w:space="0"/>
                    <w:bottom w:val="single" w:color="auto" w:sz="8" w:space="0"/>
                  </w:tcBorders>
                  <w:noWrap w:val="0"/>
                  <w:vAlign w:val="center"/>
                </w:tcPr>
                <w:p w14:paraId="5626FA05">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本项目涂装用低VOC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含量的涂料，使用过程中严格执行VOC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含量限值标准要求。</w:t>
                  </w:r>
                </w:p>
              </w:tc>
              <w:tc>
                <w:tcPr>
                  <w:tcW w:w="903" w:type="dxa"/>
                  <w:tcBorders>
                    <w:top w:val="single" w:color="auto" w:sz="12" w:space="0"/>
                    <w:bottom w:val="single" w:color="auto" w:sz="8" w:space="0"/>
                  </w:tcBorders>
                  <w:noWrap w:val="0"/>
                  <w:vAlign w:val="center"/>
                </w:tcPr>
                <w:p w14:paraId="6C002112">
                  <w:pPr>
                    <w:adjustRightInd w:val="0"/>
                    <w:snapToGrid w:val="0"/>
                    <w:jc w:val="center"/>
                    <w:rPr>
                      <w:rFonts w:hint="eastAsia" w:ascii="宋体" w:hAnsi="宋体" w:cs="宋体"/>
                      <w:color w:val="auto"/>
                      <w:kern w:val="2"/>
                      <w:sz w:val="21"/>
                      <w:szCs w:val="24"/>
                      <w:lang w:val="en-US" w:eastAsia="zh-CN" w:bidi="ar-SA"/>
                    </w:rPr>
                  </w:pPr>
                  <w:r>
                    <w:rPr>
                      <w:rFonts w:hint="eastAsia" w:ascii="宋体" w:hAnsi="宋体" w:eastAsia="宋体" w:cs="宋体"/>
                      <w:color w:val="auto"/>
                      <w:lang w:val="en-US" w:eastAsia="zh-CN"/>
                    </w:rPr>
                    <w:t>符合</w:t>
                  </w:r>
                </w:p>
              </w:tc>
            </w:tr>
            <w:tr w14:paraId="1D7D6F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93" w:hRule="atLeast"/>
              </w:trPr>
              <w:tc>
                <w:tcPr>
                  <w:tcW w:w="643" w:type="dxa"/>
                  <w:tcBorders>
                    <w:top w:val="single" w:color="auto" w:sz="8" w:space="0"/>
                    <w:bottom w:val="single" w:color="auto" w:sz="8" w:space="0"/>
                  </w:tcBorders>
                  <w:noWrap w:val="0"/>
                  <w:vAlign w:val="center"/>
                </w:tcPr>
                <w:p w14:paraId="3218EDF0">
                  <w:pPr>
                    <w:adjustRightInd w:val="0"/>
                    <w:snapToGrid w:val="0"/>
                    <w:jc w:val="center"/>
                    <w:rPr>
                      <w:rFonts w:hint="default"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3</w:t>
                  </w:r>
                </w:p>
              </w:tc>
              <w:tc>
                <w:tcPr>
                  <w:tcW w:w="2979" w:type="dxa"/>
                  <w:tcBorders>
                    <w:top w:val="single" w:color="auto" w:sz="8" w:space="0"/>
                    <w:bottom w:val="single" w:color="auto" w:sz="8" w:space="0"/>
                  </w:tcBorders>
                  <w:noWrap w:val="0"/>
                  <w:vAlign w:val="center"/>
                </w:tcPr>
                <w:p w14:paraId="6826759D">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（八）推动绿色环保产业健康发展。加大政策支持力度，在低（无）VOC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含量原辅材料生产和使用、VOC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污染治理、超低排放</w:t>
                  </w:r>
                  <w:r>
                    <w:rPr>
                      <w:rFonts w:hint="eastAsia" w:ascii="Times New Roman" w:hAnsi="Times New Roman" w:eastAsia="宋体" w:cs="Times New Roman"/>
                      <w:color w:val="auto"/>
                      <w:spacing w:val="-6"/>
                      <w:sz w:val="21"/>
                      <w:szCs w:val="21"/>
                      <w:highlight w:val="none"/>
                      <w:lang w:val="en-US" w:eastAsia="zh-CN"/>
                    </w:rPr>
                    <w:t>、环境和大气成分监测等</w:t>
                  </w:r>
                  <w:r>
                    <w:rPr>
                      <w:rFonts w:hint="eastAsia" w:ascii="Times New Roman" w:hAnsi="Times New Roman" w:eastAsia="宋体" w:cs="Times New Roman"/>
                      <w:color w:val="auto"/>
                      <w:sz w:val="21"/>
                      <w:szCs w:val="21"/>
                      <w:highlight w:val="none"/>
                      <w:lang w:val="en-US" w:eastAsia="zh-CN"/>
                    </w:rPr>
                    <w:t>领域支持培育一批龙头企业。多措并举治理环保领域低价低质中标乱象，营造公平竞争环境，推动产业健康有序发展。</w:t>
                  </w:r>
                </w:p>
              </w:tc>
              <w:tc>
                <w:tcPr>
                  <w:tcW w:w="2588" w:type="dxa"/>
                  <w:tcBorders>
                    <w:top w:val="single" w:color="auto" w:sz="8" w:space="0"/>
                    <w:bottom w:val="single" w:color="auto" w:sz="8" w:space="0"/>
                  </w:tcBorders>
                  <w:noWrap w:val="0"/>
                  <w:vAlign w:val="center"/>
                </w:tcPr>
                <w:p w14:paraId="58CE7127">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本项目涂装工序设密闭喷漆房，涂装废气通过密闭负压收集，采用“干式漆雾过滤模组+活性炭吸附-脱附+催化燃烧装置”处理后通过20m高排气筒达标排放。</w:t>
                  </w:r>
                </w:p>
              </w:tc>
              <w:tc>
                <w:tcPr>
                  <w:tcW w:w="903" w:type="dxa"/>
                  <w:tcBorders>
                    <w:top w:val="single" w:color="auto" w:sz="8" w:space="0"/>
                    <w:bottom w:val="single" w:color="auto" w:sz="8" w:space="0"/>
                  </w:tcBorders>
                  <w:noWrap w:val="0"/>
                  <w:vAlign w:val="center"/>
                </w:tcPr>
                <w:p w14:paraId="2AF5B458">
                  <w:pPr>
                    <w:adjustRightInd w:val="0"/>
                    <w:snapToGrid w:val="0"/>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符合</w:t>
                  </w:r>
                </w:p>
              </w:tc>
            </w:tr>
            <w:tr w14:paraId="27A77D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2" w:hRule="atLeast"/>
              </w:trPr>
              <w:tc>
                <w:tcPr>
                  <w:tcW w:w="643" w:type="dxa"/>
                  <w:tcBorders>
                    <w:top w:val="single" w:color="auto" w:sz="8" w:space="0"/>
                    <w:bottom w:val="single" w:color="auto" w:sz="12" w:space="0"/>
                  </w:tcBorders>
                  <w:noWrap w:val="0"/>
                  <w:vAlign w:val="center"/>
                </w:tcPr>
                <w:p w14:paraId="30D826C7">
                  <w:pPr>
                    <w:adjustRightInd w:val="0"/>
                    <w:snapToGrid w:val="0"/>
                    <w:jc w:val="center"/>
                    <w:rPr>
                      <w:rFonts w:hint="default"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4</w:t>
                  </w:r>
                </w:p>
              </w:tc>
              <w:tc>
                <w:tcPr>
                  <w:tcW w:w="2979" w:type="dxa"/>
                  <w:tcBorders>
                    <w:top w:val="single" w:color="auto" w:sz="8" w:space="0"/>
                    <w:bottom w:val="single" w:color="auto" w:sz="12" w:space="0"/>
                  </w:tcBorders>
                  <w:noWrap w:val="0"/>
                  <w:vAlign w:val="center"/>
                </w:tcPr>
                <w:p w14:paraId="129E30E9">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（二十一）强化VOC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全流程、全环节综合治理。鼓励储罐使用低泄漏的呼吸阀、紧急泄压阀，定期开展密封性检测。汽车罐车推广使用密封式快速接头。污水处理场所高浓度有机废气要单独收集处理；含VOC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有机废水储罐、装置区集水井（池）有机废气要密闭收集处理。重点区域石化、化工行业集中的城市和重点工业园区，2024年年底前建立统一的泄漏检测与修复信息管理平台。企业开停工、检维修期间，及时收集处理退料、清洗、吹扫等作业产生的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废气。企业不得将火炬燃烧装置作为日常大气污染处理设施。</w:t>
                  </w:r>
                </w:p>
              </w:tc>
              <w:tc>
                <w:tcPr>
                  <w:tcW w:w="2588" w:type="dxa"/>
                  <w:tcBorders>
                    <w:top w:val="single" w:color="auto" w:sz="8" w:space="0"/>
                    <w:bottom w:val="single" w:color="auto" w:sz="12" w:space="0"/>
                  </w:tcBorders>
                  <w:noWrap w:val="0"/>
                  <w:vAlign w:val="center"/>
                </w:tcPr>
                <w:p w14:paraId="0FDA40A0">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本项目使用的涂料采用密封桶装在油漆库内储存，VOC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收集、处理系统均为密闭装置，项目不涉及VOC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生产废水，无火炬燃烧装置，项目可实现VOC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从产生源头、使用过程、最终末端全流程治理。</w:t>
                  </w:r>
                </w:p>
              </w:tc>
              <w:tc>
                <w:tcPr>
                  <w:tcW w:w="903" w:type="dxa"/>
                  <w:tcBorders>
                    <w:top w:val="single" w:color="auto" w:sz="8" w:space="0"/>
                    <w:bottom w:val="single" w:color="auto" w:sz="12" w:space="0"/>
                  </w:tcBorders>
                  <w:noWrap w:val="0"/>
                  <w:vAlign w:val="center"/>
                </w:tcPr>
                <w:p w14:paraId="598A0C06">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符合</w:t>
                  </w:r>
                </w:p>
              </w:tc>
            </w:tr>
          </w:tbl>
          <w:p w14:paraId="7538A235">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综上，本项目</w:t>
            </w:r>
            <w:r>
              <w:rPr>
                <w:rFonts w:hint="eastAsia" w:ascii="宋体" w:hAnsi="宋体" w:eastAsia="宋体" w:cs="宋体"/>
                <w:color w:val="auto"/>
                <w:sz w:val="24"/>
                <w:lang w:val="en-US" w:eastAsia="zh-CN"/>
              </w:rPr>
              <w:t>建设</w:t>
            </w:r>
            <w:r>
              <w:rPr>
                <w:rFonts w:hint="eastAsia" w:ascii="宋体" w:hAnsi="宋体" w:eastAsia="宋体" w:cs="宋体"/>
                <w:color w:val="auto"/>
                <w:sz w:val="24"/>
              </w:rPr>
              <w:t>符合《空气质量持续改善行动计划》相关要求。</w:t>
            </w:r>
          </w:p>
          <w:p w14:paraId="7BD5CC5B">
            <w:pPr>
              <w:spacing w:before="120" w:beforeLines="50" w:line="360" w:lineRule="auto"/>
              <w:ind w:firstLine="480" w:firstLineChars="200"/>
              <w:rPr>
                <w:rFonts w:hint="default" w:ascii="宋体" w:hAnsi="宋体" w:cs="宋体"/>
                <w:color w:val="auto"/>
                <w:sz w:val="24"/>
                <w:lang w:val="en-US"/>
              </w:rPr>
            </w:pPr>
            <w:r>
              <w:rPr>
                <w:rFonts w:hint="eastAsia" w:ascii="宋体" w:hAnsi="宋体" w:eastAsia="宋体" w:cs="宋体"/>
                <w:color w:val="auto"/>
                <w:sz w:val="24"/>
                <w:lang w:val="en-US" w:eastAsia="zh-CN"/>
              </w:rPr>
              <w:t>（2）与《重点行业挥发性有机物综合治理方案》</w:t>
            </w:r>
            <w:r>
              <w:rPr>
                <w:rFonts w:hint="eastAsia" w:ascii="宋体" w:hAnsi="宋体" w:cs="宋体"/>
                <w:color w:val="auto"/>
                <w:sz w:val="24"/>
                <w:lang w:val="en-US" w:eastAsia="zh-CN"/>
              </w:rPr>
              <w:t>的通知（环大气〔2019〕53号）</w:t>
            </w:r>
            <w:r>
              <w:rPr>
                <w:rFonts w:hint="eastAsia" w:ascii="宋体" w:hAnsi="宋体" w:eastAsia="宋体" w:cs="宋体"/>
                <w:color w:val="auto"/>
                <w:sz w:val="24"/>
                <w:lang w:val="en-US" w:eastAsia="zh-CN"/>
              </w:rPr>
              <w:t>符合性分析</w:t>
            </w:r>
          </w:p>
          <w:p w14:paraId="08335833">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Times New Roman" w:hAnsi="Times New Roman" w:eastAsia="宋体" w:cs="Times New Roman"/>
                <w:b/>
                <w:bCs/>
                <w:color w:val="auto"/>
              </w:rPr>
            </w:pPr>
            <w:r>
              <w:rPr>
                <w:rFonts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 xml:space="preserve">1-4 </w:t>
            </w:r>
            <w:r>
              <w:rPr>
                <w:rFonts w:hint="eastAsia" w:ascii="Times New Roman" w:hAnsi="Times New Roman" w:eastAsia="宋体" w:cs="Times New Roman"/>
                <w:b/>
                <w:bCs/>
                <w:color w:val="auto"/>
              </w:rPr>
              <w:t>与《重点行业挥发性有机物综合治理方案》</w:t>
            </w:r>
            <w:r>
              <w:rPr>
                <w:rFonts w:ascii="Times New Roman" w:hAnsi="Times New Roman" w:eastAsia="宋体" w:cs="Times New Roman"/>
                <w:b/>
                <w:bCs/>
                <w:color w:val="auto"/>
              </w:rPr>
              <w:t>符合性分析</w:t>
            </w:r>
          </w:p>
          <w:tbl>
            <w:tblPr>
              <w:tblStyle w:val="26"/>
              <w:tblW w:w="7113"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2979"/>
              <w:gridCol w:w="2588"/>
              <w:gridCol w:w="903"/>
            </w:tblGrid>
            <w:tr w14:paraId="421DA4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43" w:type="dxa"/>
                  <w:tcBorders>
                    <w:bottom w:val="single" w:color="auto" w:sz="12" w:space="0"/>
                  </w:tcBorders>
                  <w:noWrap w:val="0"/>
                  <w:vAlign w:val="center"/>
                </w:tcPr>
                <w:p w14:paraId="3A405868">
                  <w:pPr>
                    <w:pStyle w:val="7"/>
                    <w:jc w:val="center"/>
                    <w:outlineLvl w:val="3"/>
                    <w:rPr>
                      <w:rFonts w:ascii="Times New Roman" w:hAnsi="Times New Roman"/>
                      <w:color w:val="auto"/>
                    </w:rPr>
                  </w:pPr>
                  <w:r>
                    <w:rPr>
                      <w:rFonts w:hint="eastAsia" w:ascii="Times New Roman" w:hAnsi="Times New Roman"/>
                      <w:color w:val="auto"/>
                    </w:rPr>
                    <w:t>序号</w:t>
                  </w:r>
                </w:p>
              </w:tc>
              <w:tc>
                <w:tcPr>
                  <w:tcW w:w="2979" w:type="dxa"/>
                  <w:tcBorders>
                    <w:bottom w:val="single" w:color="auto" w:sz="12" w:space="0"/>
                  </w:tcBorders>
                  <w:noWrap w:val="0"/>
                  <w:vAlign w:val="center"/>
                </w:tcPr>
                <w:p w14:paraId="674E6F4B">
                  <w:pPr>
                    <w:pStyle w:val="7"/>
                    <w:jc w:val="center"/>
                    <w:outlineLvl w:val="3"/>
                    <w:rPr>
                      <w:rFonts w:ascii="Times New Roman" w:hAnsi="Times New Roman"/>
                      <w:color w:val="auto"/>
                      <w:szCs w:val="21"/>
                    </w:rPr>
                  </w:pPr>
                  <w:r>
                    <w:rPr>
                      <w:rFonts w:hint="eastAsia" w:ascii="Times New Roman" w:hAnsi="Times New Roman"/>
                      <w:color w:val="auto"/>
                      <w:szCs w:val="21"/>
                      <w:lang w:val="en-US" w:eastAsia="zh-CN"/>
                    </w:rPr>
                    <w:t>方案</w:t>
                  </w:r>
                  <w:r>
                    <w:rPr>
                      <w:rFonts w:hint="eastAsia" w:ascii="Times New Roman" w:hAnsi="Times New Roman"/>
                      <w:color w:val="auto"/>
                      <w:szCs w:val="21"/>
                    </w:rPr>
                    <w:t>要求</w:t>
                  </w:r>
                </w:p>
              </w:tc>
              <w:tc>
                <w:tcPr>
                  <w:tcW w:w="2588" w:type="dxa"/>
                  <w:tcBorders>
                    <w:bottom w:val="single" w:color="auto" w:sz="12" w:space="0"/>
                  </w:tcBorders>
                  <w:noWrap w:val="0"/>
                  <w:vAlign w:val="center"/>
                </w:tcPr>
                <w:p w14:paraId="02CE88E3">
                  <w:pPr>
                    <w:pStyle w:val="7"/>
                    <w:jc w:val="center"/>
                    <w:outlineLvl w:val="3"/>
                    <w:rPr>
                      <w:rFonts w:ascii="Times New Roman" w:hAnsi="Times New Roman"/>
                      <w:color w:val="auto"/>
                      <w:szCs w:val="21"/>
                    </w:rPr>
                  </w:pPr>
                  <w:r>
                    <w:rPr>
                      <w:rFonts w:hint="eastAsia" w:ascii="Times New Roman" w:hAnsi="Times New Roman"/>
                      <w:color w:val="auto"/>
                      <w:szCs w:val="21"/>
                    </w:rPr>
                    <w:t>项目情况</w:t>
                  </w:r>
                </w:p>
              </w:tc>
              <w:tc>
                <w:tcPr>
                  <w:tcW w:w="903" w:type="dxa"/>
                  <w:tcBorders>
                    <w:bottom w:val="single" w:color="auto" w:sz="12" w:space="0"/>
                  </w:tcBorders>
                  <w:noWrap w:val="0"/>
                  <w:vAlign w:val="center"/>
                </w:tcPr>
                <w:p w14:paraId="5C01722E">
                  <w:pPr>
                    <w:pStyle w:val="7"/>
                    <w:jc w:val="center"/>
                    <w:outlineLvl w:val="3"/>
                    <w:rPr>
                      <w:rFonts w:ascii="Times New Roman" w:hAnsi="Times New Roman"/>
                      <w:color w:val="auto"/>
                      <w:szCs w:val="21"/>
                    </w:rPr>
                  </w:pPr>
                  <w:r>
                    <w:rPr>
                      <w:rFonts w:ascii="Times New Roman" w:hAnsi="Times New Roman" w:eastAsia="宋体" w:cs="Times New Roman"/>
                      <w:color w:val="auto"/>
                      <w:szCs w:val="21"/>
                    </w:rPr>
                    <w:t>符合性</w:t>
                  </w:r>
                </w:p>
              </w:tc>
            </w:tr>
            <w:tr w14:paraId="11EDB3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45" w:hRule="atLeast"/>
              </w:trPr>
              <w:tc>
                <w:tcPr>
                  <w:tcW w:w="643" w:type="dxa"/>
                  <w:tcBorders>
                    <w:top w:val="single" w:color="auto" w:sz="12" w:space="0"/>
                    <w:bottom w:val="single" w:color="auto" w:sz="8" w:space="0"/>
                  </w:tcBorders>
                  <w:noWrap w:val="0"/>
                  <w:vAlign w:val="center"/>
                </w:tcPr>
                <w:p w14:paraId="6BD25741">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1</w:t>
                  </w:r>
                </w:p>
              </w:tc>
              <w:tc>
                <w:tcPr>
                  <w:tcW w:w="2979" w:type="dxa"/>
                  <w:tcBorders>
                    <w:top w:val="single" w:color="auto" w:sz="12" w:space="0"/>
                    <w:bottom w:val="single" w:color="auto" w:sz="8" w:space="0"/>
                  </w:tcBorders>
                  <w:noWrap w:val="0"/>
                  <w:vAlign w:val="center"/>
                </w:tcPr>
                <w:p w14:paraId="7D6CC190">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pacing w:val="-6"/>
                      <w:sz w:val="21"/>
                      <w:szCs w:val="21"/>
                      <w:highlight w:val="none"/>
                      <w:lang w:val="en-US" w:eastAsia="zh-CN"/>
                    </w:rPr>
                    <w:t>（一）</w:t>
                  </w:r>
                  <w:r>
                    <w:rPr>
                      <w:rFonts w:hint="default" w:ascii="Times New Roman" w:hAnsi="Times New Roman" w:eastAsia="宋体" w:cs="Times New Roman"/>
                      <w:color w:val="auto"/>
                      <w:spacing w:val="-6"/>
                      <w:sz w:val="21"/>
                      <w:szCs w:val="21"/>
                      <w:highlight w:val="none"/>
                      <w:lang w:val="en-US" w:eastAsia="zh-CN"/>
                    </w:rPr>
                    <w:t>大力推进源头代替。通过使用水性、粉末、高固体分、无溶剂、辐射固化等低</w:t>
                  </w:r>
                  <w:r>
                    <w:rPr>
                      <w:rFonts w:hint="eastAsia" w:ascii="Times New Roman" w:hAnsi="Times New Roman" w:eastAsia="宋体" w:cs="Times New Roman"/>
                      <w:color w:val="auto"/>
                      <w:spacing w:val="-6"/>
                      <w:sz w:val="21"/>
                      <w:szCs w:val="21"/>
                      <w:highlight w:val="none"/>
                      <w:lang w:val="en-US" w:eastAsia="zh-CN"/>
                    </w:rPr>
                    <w:t>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default" w:ascii="Times New Roman" w:hAnsi="Times New Roman" w:eastAsia="宋体" w:cs="Times New Roman"/>
                      <w:color w:val="auto"/>
                      <w:spacing w:val="-6"/>
                      <w:sz w:val="21"/>
                      <w:szCs w:val="21"/>
                      <w:highlight w:val="none"/>
                      <w:lang w:val="en-US" w:eastAsia="zh-CN"/>
                    </w:rPr>
                    <w:t>含量的涂料，水性、辐射固化、植物基等低</w:t>
                  </w:r>
                  <w:r>
                    <w:rPr>
                      <w:rFonts w:hint="eastAsia" w:ascii="Times New Roman" w:hAnsi="Times New Roman" w:eastAsia="宋体" w:cs="Times New Roman"/>
                      <w:color w:val="auto"/>
                      <w:spacing w:val="-6"/>
                      <w:sz w:val="21"/>
                      <w:szCs w:val="21"/>
                      <w:highlight w:val="none"/>
                      <w:lang w:val="en-US" w:eastAsia="zh-CN"/>
                    </w:rPr>
                    <w:t>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default" w:ascii="Times New Roman" w:hAnsi="Times New Roman" w:eastAsia="宋体" w:cs="Times New Roman"/>
                      <w:color w:val="auto"/>
                      <w:spacing w:val="-6"/>
                      <w:sz w:val="21"/>
                      <w:szCs w:val="21"/>
                      <w:highlight w:val="none"/>
                      <w:lang w:val="en-US" w:eastAsia="zh-CN"/>
                    </w:rPr>
                    <w:t>含量的油墨，水基、热熔、无溶剂、辐射固化、改性、生物降解等低</w:t>
                  </w:r>
                  <w:r>
                    <w:rPr>
                      <w:rFonts w:hint="eastAsia" w:ascii="Times New Roman" w:hAnsi="Times New Roman" w:eastAsia="宋体" w:cs="Times New Roman"/>
                      <w:color w:val="auto"/>
                      <w:spacing w:val="-6"/>
                      <w:sz w:val="21"/>
                      <w:szCs w:val="21"/>
                      <w:highlight w:val="none"/>
                      <w:lang w:val="en-US" w:eastAsia="zh-CN"/>
                    </w:rPr>
                    <w:t>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default" w:ascii="Times New Roman" w:hAnsi="Times New Roman" w:eastAsia="宋体" w:cs="Times New Roman"/>
                      <w:color w:val="auto"/>
                      <w:spacing w:val="-6"/>
                      <w:sz w:val="21"/>
                      <w:szCs w:val="21"/>
                      <w:highlight w:val="none"/>
                      <w:lang w:val="en-US" w:eastAsia="zh-CN"/>
                    </w:rPr>
                    <w:t>含量的胶粘剂，以及低</w:t>
                  </w:r>
                  <w:r>
                    <w:rPr>
                      <w:rFonts w:hint="eastAsia" w:ascii="Times New Roman" w:hAnsi="Times New Roman" w:eastAsia="宋体" w:cs="Times New Roman"/>
                      <w:color w:val="auto"/>
                      <w:spacing w:val="-6"/>
                      <w:sz w:val="21"/>
                      <w:szCs w:val="21"/>
                      <w:highlight w:val="none"/>
                      <w:lang w:val="en-US" w:eastAsia="zh-CN"/>
                    </w:rPr>
                    <w:t>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default" w:ascii="Times New Roman" w:hAnsi="Times New Roman" w:eastAsia="宋体" w:cs="Times New Roman"/>
                      <w:color w:val="auto"/>
                      <w:spacing w:val="-6"/>
                      <w:sz w:val="21"/>
                      <w:szCs w:val="21"/>
                      <w:highlight w:val="none"/>
                      <w:lang w:val="en-US" w:eastAsia="zh-CN"/>
                    </w:rPr>
                    <w:t>含量、低反应活性的清洗剂等，替代溶剂型涂料、油墨、胶粘剂、清洗剂等，从源头减少</w:t>
                  </w:r>
                  <w:r>
                    <w:rPr>
                      <w:rFonts w:hint="eastAsia" w:ascii="Times New Roman" w:hAnsi="Times New Roman" w:eastAsia="宋体" w:cs="Times New Roman"/>
                      <w:color w:val="auto"/>
                      <w:spacing w:val="-6"/>
                      <w:sz w:val="21"/>
                      <w:szCs w:val="21"/>
                      <w:highlight w:val="none"/>
                      <w:lang w:val="en-US" w:eastAsia="zh-CN"/>
                    </w:rPr>
                    <w:t>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default" w:ascii="Times New Roman" w:hAnsi="Times New Roman" w:eastAsia="宋体" w:cs="Times New Roman"/>
                      <w:color w:val="auto"/>
                      <w:spacing w:val="-6"/>
                      <w:sz w:val="21"/>
                      <w:szCs w:val="21"/>
                      <w:highlight w:val="none"/>
                      <w:lang w:val="en-US" w:eastAsia="zh-CN"/>
                    </w:rPr>
                    <w:t>产生。工业涂装、包装印刷等行业要加大源头替代力度</w:t>
                  </w:r>
                  <w:r>
                    <w:rPr>
                      <w:rFonts w:hint="eastAsia" w:ascii="Times New Roman" w:hAnsi="Times New Roman" w:eastAsia="宋体" w:cs="Times New Roman"/>
                      <w:color w:val="auto"/>
                      <w:spacing w:val="-6"/>
                      <w:sz w:val="21"/>
                      <w:szCs w:val="21"/>
                      <w:highlight w:val="none"/>
                      <w:lang w:val="en-US" w:eastAsia="zh-CN"/>
                    </w:rPr>
                    <w:t>；</w:t>
                  </w:r>
                  <w:r>
                    <w:rPr>
                      <w:rFonts w:hint="default" w:ascii="Times New Roman" w:hAnsi="Times New Roman" w:eastAsia="宋体" w:cs="Times New Roman"/>
                      <w:color w:val="auto"/>
                      <w:spacing w:val="-6"/>
                      <w:sz w:val="21"/>
                      <w:szCs w:val="21"/>
                      <w:highlight w:val="none"/>
                      <w:lang w:val="en-US" w:eastAsia="zh-CN"/>
                    </w:rPr>
                    <w:t>化工行业要推广使用低（无）</w:t>
                  </w:r>
                  <w:r>
                    <w:rPr>
                      <w:rFonts w:hint="eastAsia" w:ascii="Times New Roman" w:hAnsi="Times New Roman" w:eastAsia="宋体" w:cs="Times New Roman"/>
                      <w:color w:val="auto"/>
                      <w:spacing w:val="-6"/>
                      <w:sz w:val="21"/>
                      <w:szCs w:val="21"/>
                      <w:highlight w:val="none"/>
                      <w:lang w:val="en-US" w:eastAsia="zh-CN"/>
                    </w:rPr>
                    <w:t>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default" w:ascii="Times New Roman" w:hAnsi="Times New Roman" w:eastAsia="宋体" w:cs="Times New Roman"/>
                      <w:color w:val="auto"/>
                      <w:spacing w:val="-6"/>
                      <w:sz w:val="21"/>
                      <w:szCs w:val="21"/>
                      <w:highlight w:val="none"/>
                      <w:lang w:val="en-US" w:eastAsia="zh-CN"/>
                    </w:rPr>
                    <w:t>含量、低反应活性的原辅材料，加快对芳香烃、含卤素有机化合物的绿色替代。企业应大力推广使用低</w:t>
                  </w:r>
                  <w:r>
                    <w:rPr>
                      <w:rFonts w:hint="eastAsia" w:ascii="Times New Roman" w:hAnsi="Times New Roman" w:eastAsia="宋体" w:cs="Times New Roman"/>
                      <w:color w:val="auto"/>
                      <w:spacing w:val="-6"/>
                      <w:sz w:val="21"/>
                      <w:szCs w:val="21"/>
                      <w:highlight w:val="none"/>
                      <w:lang w:val="en-US" w:eastAsia="zh-CN"/>
                    </w:rPr>
                    <w:t>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default" w:ascii="Times New Roman" w:hAnsi="Times New Roman" w:eastAsia="宋体" w:cs="Times New Roman"/>
                      <w:color w:val="auto"/>
                      <w:spacing w:val="-6"/>
                      <w:sz w:val="21"/>
                      <w:szCs w:val="21"/>
                      <w:highlight w:val="none"/>
                      <w:lang w:val="en-US" w:eastAsia="zh-CN"/>
                    </w:rPr>
                    <w:t>含量木器涂料、车辆涂料、机械设备涂料、集装箱涂料以及建筑物和构筑物防护涂料等，</w:t>
                  </w:r>
                  <w:r>
                    <w:rPr>
                      <w:rFonts w:hint="default" w:ascii="Times New Roman" w:hAnsi="Times New Roman" w:eastAsia="宋体" w:cs="Times New Roman"/>
                      <w:color w:val="auto"/>
                      <w:spacing w:val="0"/>
                      <w:sz w:val="21"/>
                      <w:szCs w:val="21"/>
                      <w:highlight w:val="none"/>
                      <w:lang w:val="en-US" w:eastAsia="zh-CN"/>
                    </w:rPr>
                    <w:t>在技术成熟的行业，推广使用低</w:t>
                  </w:r>
                  <w:r>
                    <w:rPr>
                      <w:rFonts w:hint="eastAsia" w:ascii="Times New Roman" w:hAnsi="Times New Roman" w:eastAsia="宋体" w:cs="Times New Roman"/>
                      <w:color w:val="auto"/>
                      <w:spacing w:val="0"/>
                      <w:sz w:val="21"/>
                      <w:szCs w:val="21"/>
                      <w:highlight w:val="none"/>
                      <w:lang w:val="en-US" w:eastAsia="zh-CN"/>
                    </w:rPr>
                    <w:t>VOC</w:t>
                  </w:r>
                  <w:r>
                    <w:rPr>
                      <w:rFonts w:hint="eastAsia" w:ascii="Times New Roman" w:hAnsi="Times New Roman" w:eastAsia="宋体" w:cs="Times New Roman"/>
                      <w:color w:val="auto"/>
                      <w:spacing w:val="0"/>
                      <w:sz w:val="21"/>
                      <w:szCs w:val="21"/>
                      <w:highlight w:val="none"/>
                      <w:vertAlign w:val="subscript"/>
                      <w:lang w:val="en-US" w:eastAsia="zh-CN"/>
                    </w:rPr>
                    <w:t>S</w:t>
                  </w:r>
                  <w:r>
                    <w:rPr>
                      <w:rFonts w:hint="default" w:ascii="Times New Roman" w:hAnsi="Times New Roman" w:eastAsia="宋体" w:cs="Times New Roman"/>
                      <w:color w:val="auto"/>
                      <w:spacing w:val="0"/>
                      <w:sz w:val="21"/>
                      <w:szCs w:val="21"/>
                      <w:highlight w:val="none"/>
                      <w:lang w:val="en-US" w:eastAsia="zh-CN"/>
                    </w:rPr>
                    <w:t>含量油墨和胶粘剂</w:t>
                  </w:r>
                  <w:r>
                    <w:rPr>
                      <w:rFonts w:hint="default" w:ascii="Times New Roman" w:hAnsi="Times New Roman" w:eastAsia="宋体" w:cs="Times New Roman"/>
                      <w:color w:val="auto"/>
                      <w:spacing w:val="-6"/>
                      <w:sz w:val="21"/>
                      <w:szCs w:val="21"/>
                      <w:highlight w:val="none"/>
                      <w:lang w:val="en-US" w:eastAsia="zh-CN"/>
                    </w:rPr>
                    <w:t>，</w:t>
                  </w:r>
                  <w:r>
                    <w:rPr>
                      <w:rFonts w:hint="default" w:ascii="Times New Roman" w:hAnsi="Times New Roman" w:eastAsia="宋体" w:cs="Times New Roman"/>
                      <w:color w:val="auto"/>
                      <w:spacing w:val="0"/>
                      <w:sz w:val="21"/>
                      <w:szCs w:val="21"/>
                      <w:highlight w:val="none"/>
                      <w:lang w:val="en-US" w:eastAsia="zh-CN"/>
                    </w:rPr>
                    <w:t>重点区域到2020年年底前基本完成。鼓励加快低</w:t>
                  </w:r>
                  <w:r>
                    <w:rPr>
                      <w:rFonts w:hint="eastAsia" w:ascii="Times New Roman" w:hAnsi="Times New Roman" w:eastAsia="宋体" w:cs="Times New Roman"/>
                      <w:color w:val="auto"/>
                      <w:spacing w:val="0"/>
                      <w:sz w:val="21"/>
                      <w:szCs w:val="21"/>
                      <w:highlight w:val="none"/>
                      <w:lang w:val="en-US" w:eastAsia="zh-CN"/>
                    </w:rPr>
                    <w:t>VOC</w:t>
                  </w:r>
                  <w:r>
                    <w:rPr>
                      <w:rFonts w:hint="eastAsia" w:ascii="Times New Roman" w:hAnsi="Times New Roman" w:eastAsia="宋体" w:cs="Times New Roman"/>
                      <w:color w:val="auto"/>
                      <w:spacing w:val="0"/>
                      <w:sz w:val="21"/>
                      <w:szCs w:val="21"/>
                      <w:highlight w:val="none"/>
                      <w:vertAlign w:val="subscript"/>
                      <w:lang w:val="en-US" w:eastAsia="zh-CN"/>
                    </w:rPr>
                    <w:t>S</w:t>
                  </w:r>
                  <w:r>
                    <w:rPr>
                      <w:rFonts w:hint="default" w:ascii="Times New Roman" w:hAnsi="Times New Roman" w:eastAsia="宋体" w:cs="Times New Roman"/>
                      <w:color w:val="auto"/>
                      <w:spacing w:val="0"/>
                      <w:sz w:val="21"/>
                      <w:szCs w:val="21"/>
                      <w:highlight w:val="none"/>
                      <w:lang w:val="en-US" w:eastAsia="zh-CN"/>
                    </w:rPr>
                    <w:t>含量涂料、油墨、胶粘剂等研发和生产。</w:t>
                  </w:r>
                </w:p>
              </w:tc>
              <w:tc>
                <w:tcPr>
                  <w:tcW w:w="2588" w:type="dxa"/>
                  <w:tcBorders>
                    <w:top w:val="single" w:color="auto" w:sz="12" w:space="0"/>
                    <w:bottom w:val="single" w:color="auto" w:sz="8" w:space="0"/>
                  </w:tcBorders>
                  <w:noWrap w:val="0"/>
                  <w:vAlign w:val="center"/>
                </w:tcPr>
                <w:p w14:paraId="5E62D9FE">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pacing w:val="-6"/>
                      <w:sz w:val="21"/>
                      <w:szCs w:val="21"/>
                      <w:highlight w:val="none"/>
                      <w:lang w:val="en-US" w:eastAsia="zh-CN"/>
                    </w:rPr>
                    <w:t>本项目使用环保水性漆和</w:t>
                  </w:r>
                  <w:r>
                    <w:rPr>
                      <w:rFonts w:hint="eastAsia" w:cs="Times New Roman"/>
                      <w:color w:val="auto"/>
                      <w:spacing w:val="-6"/>
                      <w:sz w:val="21"/>
                      <w:szCs w:val="21"/>
                      <w:highlight w:val="none"/>
                      <w:lang w:val="en-US" w:eastAsia="zh-CN"/>
                    </w:rPr>
                    <w:t>油性漆</w:t>
                  </w:r>
                  <w:r>
                    <w:rPr>
                      <w:rFonts w:hint="eastAsia" w:ascii="Times New Roman" w:hAnsi="Times New Roman" w:eastAsia="宋体" w:cs="Times New Roman"/>
                      <w:color w:val="auto"/>
                      <w:spacing w:val="-6"/>
                      <w:sz w:val="21"/>
                      <w:szCs w:val="21"/>
                      <w:highlight w:val="none"/>
                      <w:lang w:val="en-US" w:eastAsia="zh-CN"/>
                    </w:rPr>
                    <w:t>作为涂料，</w:t>
                  </w:r>
                  <w:r>
                    <w:rPr>
                      <w:rFonts w:hint="default" w:ascii="Times New Roman" w:hAnsi="Times New Roman" w:eastAsia="宋体" w:cs="Times New Roman"/>
                      <w:color w:val="auto"/>
                      <w:spacing w:val="-6"/>
                      <w:sz w:val="21"/>
                      <w:szCs w:val="21"/>
                      <w:highlight w:val="none"/>
                      <w:lang w:val="en-US" w:eastAsia="zh-CN"/>
                    </w:rPr>
                    <w:t>根据</w:t>
                  </w:r>
                  <w:r>
                    <w:rPr>
                      <w:rFonts w:hint="eastAsia" w:ascii="Times New Roman" w:hAnsi="Times New Roman" w:eastAsia="宋体" w:cs="Times New Roman"/>
                      <w:color w:val="auto"/>
                      <w:spacing w:val="-6"/>
                      <w:sz w:val="21"/>
                      <w:szCs w:val="21"/>
                      <w:highlight w:val="none"/>
                      <w:lang w:val="en-US" w:eastAsia="zh-CN"/>
                    </w:rPr>
                    <w:t>建设单位提供的</w:t>
                  </w:r>
                  <w:r>
                    <w:rPr>
                      <w:rFonts w:hint="eastAsia" w:cs="Times New Roman"/>
                      <w:color w:val="auto"/>
                      <w:spacing w:val="-6"/>
                      <w:sz w:val="21"/>
                      <w:szCs w:val="21"/>
                      <w:highlight w:val="none"/>
                      <w:lang w:val="en-US" w:eastAsia="zh-CN"/>
                    </w:rPr>
                    <w:t>油性漆</w:t>
                  </w:r>
                  <w:r>
                    <w:rPr>
                      <w:rFonts w:hint="default" w:ascii="Times New Roman" w:hAnsi="Times New Roman" w:eastAsia="宋体" w:cs="Times New Roman"/>
                      <w:color w:val="auto"/>
                      <w:spacing w:val="-6"/>
                      <w:sz w:val="21"/>
                      <w:szCs w:val="21"/>
                      <w:highlight w:val="none"/>
                      <w:lang w:val="en-US" w:eastAsia="zh-CN"/>
                    </w:rPr>
                    <w:t>化学品安全技术说明书（MSDS），</w:t>
                  </w:r>
                  <w:r>
                    <w:rPr>
                      <w:rFonts w:hint="eastAsia" w:cs="Times New Roman"/>
                      <w:color w:val="auto"/>
                      <w:spacing w:val="-6"/>
                      <w:sz w:val="21"/>
                      <w:szCs w:val="21"/>
                      <w:highlight w:val="none"/>
                      <w:lang w:val="en-US" w:eastAsia="zh-CN"/>
                    </w:rPr>
                    <w:t>油性漆</w:t>
                  </w:r>
                  <w:r>
                    <w:rPr>
                      <w:rFonts w:hint="eastAsia" w:ascii="Times New Roman" w:hAnsi="Times New Roman" w:eastAsia="宋体" w:cs="Times New Roman"/>
                      <w:color w:val="auto"/>
                      <w:spacing w:val="-6"/>
                      <w:sz w:val="21"/>
                      <w:szCs w:val="21"/>
                      <w:highlight w:val="none"/>
                      <w:lang w:val="en-US" w:eastAsia="zh-CN"/>
                    </w:rPr>
                    <w:t>的VOC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default" w:ascii="Times New Roman" w:hAnsi="Times New Roman" w:eastAsia="宋体" w:cs="Times New Roman"/>
                      <w:color w:val="auto"/>
                      <w:spacing w:val="-6"/>
                      <w:sz w:val="21"/>
                      <w:szCs w:val="21"/>
                      <w:highlight w:val="none"/>
                      <w:lang w:val="en-US" w:eastAsia="zh-CN"/>
                    </w:rPr>
                    <w:t>含量</w:t>
                  </w:r>
                  <w:r>
                    <w:rPr>
                      <w:rFonts w:hint="eastAsia" w:ascii="Times New Roman" w:hAnsi="Times New Roman" w:eastAsia="宋体" w:cs="Times New Roman"/>
                      <w:color w:val="auto"/>
                      <w:spacing w:val="-6"/>
                      <w:sz w:val="21"/>
                      <w:szCs w:val="21"/>
                      <w:highlight w:val="none"/>
                      <w:lang w:val="en-US" w:eastAsia="zh-CN"/>
                    </w:rPr>
                    <w:t>均</w:t>
                  </w:r>
                  <w:r>
                    <w:rPr>
                      <w:rFonts w:hint="default" w:ascii="Times New Roman" w:hAnsi="Times New Roman" w:eastAsia="宋体" w:cs="Times New Roman"/>
                      <w:color w:val="auto"/>
                      <w:spacing w:val="-6"/>
                      <w:sz w:val="21"/>
                      <w:szCs w:val="21"/>
                      <w:highlight w:val="none"/>
                      <w:lang w:val="en-US" w:eastAsia="zh-CN"/>
                    </w:rPr>
                    <w:t>小于420g/L，满足《低挥发性有机化合物含量涂料产品技术要求》（GB/T38597-2020</w:t>
                  </w:r>
                  <w:r>
                    <w:rPr>
                      <w:rFonts w:hint="default" w:ascii="Times New Roman" w:hAnsi="Times New Roman" w:eastAsia="宋体" w:cs="Times New Roman"/>
                      <w:color w:val="auto"/>
                      <w:sz w:val="21"/>
                      <w:szCs w:val="21"/>
                      <w:highlight w:val="none"/>
                      <w:lang w:val="en-US" w:eastAsia="zh-CN"/>
                    </w:rPr>
                    <w:t>）表2中工业防护涂料</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机械设备涂料</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工程机械和农业机械涂料底漆、中涂和面漆的</w:t>
                  </w:r>
                  <w:r>
                    <w:rPr>
                      <w:rFonts w:hint="eastAsia" w:ascii="Times New Roman" w:hAnsi="Times New Roman" w:eastAsia="宋体" w:cs="Times New Roman"/>
                      <w:color w:val="auto"/>
                      <w:sz w:val="21"/>
                      <w:szCs w:val="21"/>
                      <w:highlight w:val="none"/>
                      <w:lang w:val="en-US" w:eastAsia="zh-CN"/>
                    </w:rPr>
                    <w:t>VOC</w:t>
                  </w:r>
                  <w:r>
                    <w:rPr>
                      <w:rFonts w:hint="eastAsia" w:ascii="Times New Roman" w:hAnsi="Times New Roman" w:eastAsia="宋体" w:cs="Times New Roman"/>
                      <w:color w:val="auto"/>
                      <w:sz w:val="21"/>
                      <w:szCs w:val="21"/>
                      <w:highlight w:val="none"/>
                      <w:vertAlign w:val="subscript"/>
                      <w:lang w:val="en-US" w:eastAsia="zh-CN"/>
                    </w:rPr>
                    <w:t>S</w:t>
                  </w:r>
                  <w:r>
                    <w:rPr>
                      <w:rFonts w:hint="default" w:ascii="Times New Roman" w:hAnsi="Times New Roman" w:eastAsia="宋体" w:cs="Times New Roman"/>
                      <w:color w:val="auto"/>
                      <w:sz w:val="21"/>
                      <w:szCs w:val="21"/>
                      <w:highlight w:val="none"/>
                      <w:lang w:val="en-US" w:eastAsia="zh-CN"/>
                    </w:rPr>
                    <w:t>限值要求</w:t>
                  </w:r>
                  <w:r>
                    <w:rPr>
                      <w:rFonts w:hint="eastAsia" w:ascii="Times New Roman" w:hAnsi="Times New Roman" w:eastAsia="宋体" w:cs="Times New Roman"/>
                      <w:color w:val="auto"/>
                      <w:sz w:val="21"/>
                      <w:szCs w:val="21"/>
                      <w:highlight w:val="none"/>
                      <w:lang w:val="en-US" w:eastAsia="zh-CN"/>
                    </w:rPr>
                    <w:t>。</w:t>
                  </w:r>
                </w:p>
              </w:tc>
              <w:tc>
                <w:tcPr>
                  <w:tcW w:w="903" w:type="dxa"/>
                  <w:tcBorders>
                    <w:top w:val="single" w:color="auto" w:sz="12" w:space="0"/>
                    <w:bottom w:val="single" w:color="auto" w:sz="8" w:space="0"/>
                  </w:tcBorders>
                  <w:noWrap w:val="0"/>
                  <w:vAlign w:val="center"/>
                </w:tcPr>
                <w:p w14:paraId="39E46F5E">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符合</w:t>
                  </w:r>
                </w:p>
              </w:tc>
            </w:tr>
            <w:tr w14:paraId="10189F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35" w:hRule="atLeast"/>
              </w:trPr>
              <w:tc>
                <w:tcPr>
                  <w:tcW w:w="643" w:type="dxa"/>
                  <w:tcBorders>
                    <w:top w:val="single" w:color="auto" w:sz="8" w:space="0"/>
                    <w:bottom w:val="single" w:color="auto" w:sz="12" w:space="0"/>
                  </w:tcBorders>
                  <w:noWrap w:val="0"/>
                  <w:vAlign w:val="center"/>
                </w:tcPr>
                <w:p w14:paraId="443DA2E6">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2</w:t>
                  </w:r>
                </w:p>
              </w:tc>
              <w:tc>
                <w:tcPr>
                  <w:tcW w:w="2979" w:type="dxa"/>
                  <w:tcBorders>
                    <w:top w:val="single" w:color="auto" w:sz="8" w:space="0"/>
                    <w:bottom w:val="single" w:color="auto" w:sz="12" w:space="0"/>
                  </w:tcBorders>
                  <w:noWrap w:val="0"/>
                  <w:vAlign w:val="center"/>
                </w:tcPr>
                <w:p w14:paraId="7890C4EB">
                  <w:pPr>
                    <w:spacing w:line="240" w:lineRule="auto"/>
                    <w:ind w:firstLine="0" w:firstLineChars="0"/>
                    <w:jc w:val="both"/>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（二）全面加强无组织排放控制。重点对含</w:t>
                  </w:r>
                  <w:r>
                    <w:rPr>
                      <w:rFonts w:hint="eastAsia" w:ascii="Times New Roman" w:hAnsi="Times New Roman" w:eastAsia="宋体" w:cs="Times New Roman"/>
                      <w:color w:val="auto"/>
                      <w:spacing w:val="-6"/>
                      <w:sz w:val="21"/>
                      <w:szCs w:val="21"/>
                      <w:highlight w:val="none"/>
                      <w:lang w:val="en-US" w:eastAsia="zh-CN"/>
                    </w:rPr>
                    <w:t>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物料（包括含</w:t>
                  </w:r>
                  <w:r>
                    <w:rPr>
                      <w:rFonts w:hint="eastAsia" w:ascii="Times New Roman" w:hAnsi="Times New Roman" w:eastAsia="宋体" w:cs="Times New Roman"/>
                      <w:color w:val="auto"/>
                      <w:spacing w:val="-6"/>
                      <w:sz w:val="21"/>
                      <w:szCs w:val="21"/>
                      <w:highlight w:val="none"/>
                      <w:lang w:val="en-US" w:eastAsia="zh-CN"/>
                    </w:rPr>
                    <w:t>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原辅材料、含</w:t>
                  </w:r>
                  <w:r>
                    <w:rPr>
                      <w:rFonts w:hint="eastAsia" w:ascii="Times New Roman" w:hAnsi="Times New Roman" w:eastAsia="宋体" w:cs="Times New Roman"/>
                      <w:color w:val="auto"/>
                      <w:spacing w:val="-6"/>
                      <w:sz w:val="21"/>
                      <w:szCs w:val="21"/>
                      <w:highlight w:val="none"/>
                      <w:lang w:val="en-US" w:eastAsia="zh-CN"/>
                    </w:rPr>
                    <w:t>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产品、含</w:t>
                  </w:r>
                  <w:r>
                    <w:rPr>
                      <w:rFonts w:hint="eastAsia" w:ascii="Times New Roman" w:hAnsi="Times New Roman" w:eastAsia="宋体" w:cs="Times New Roman"/>
                      <w:color w:val="auto"/>
                      <w:spacing w:val="-6"/>
                      <w:sz w:val="21"/>
                      <w:szCs w:val="21"/>
                      <w:highlight w:val="none"/>
                      <w:lang w:val="en-US" w:eastAsia="zh-CN"/>
                    </w:rPr>
                    <w:t>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废料以及有机聚合物材料等）储存、转移和输送、设备与管线组件泄漏、敞开液面逸散以及工艺过程等五类排放源实施管控，通过采取设备与场所密闭、工艺改进、废气有效收集等措施，削减</w:t>
                  </w:r>
                  <w:r>
                    <w:rPr>
                      <w:rFonts w:hint="eastAsia" w:ascii="Times New Roman" w:hAnsi="Times New Roman" w:eastAsia="宋体" w:cs="Times New Roman"/>
                      <w:color w:val="auto"/>
                      <w:spacing w:val="-6"/>
                      <w:sz w:val="21"/>
                      <w:szCs w:val="21"/>
                      <w:highlight w:val="none"/>
                      <w:lang w:val="en-US" w:eastAsia="zh-CN"/>
                    </w:rPr>
                    <w:t>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eastAsia" w:ascii="Times New Roman" w:hAnsi="Times New Roman" w:eastAsia="宋体" w:cs="Times New Roman"/>
                      <w:color w:val="auto"/>
                      <w:spacing w:val="0"/>
                      <w:sz w:val="21"/>
                      <w:szCs w:val="21"/>
                      <w:highlight w:val="none"/>
                      <w:lang w:val="en-US" w:eastAsia="zh-CN"/>
                    </w:rPr>
                    <w:t>无组织排放。……</w:t>
                  </w:r>
                </w:p>
                <w:p w14:paraId="3EAB4B76">
                  <w:pPr>
                    <w:spacing w:line="240" w:lineRule="auto"/>
                    <w:ind w:firstLine="0" w:firstLineChars="0"/>
                    <w:jc w:val="both"/>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pacing w:val="0"/>
                      <w:sz w:val="21"/>
                      <w:szCs w:val="21"/>
                      <w:highlight w:val="none"/>
                      <w:lang w:val="en-US" w:eastAsia="zh-CN"/>
                    </w:rPr>
                    <w:t>提高废气收集率。遵循“应收尽收、分质收集”的原则，科学设计废气收集系统，将无组织排放转变为有组织排放进行控制。……</w:t>
                  </w:r>
                </w:p>
              </w:tc>
              <w:tc>
                <w:tcPr>
                  <w:tcW w:w="2588" w:type="dxa"/>
                  <w:tcBorders>
                    <w:top w:val="single" w:color="auto" w:sz="8" w:space="0"/>
                    <w:bottom w:val="single" w:color="auto" w:sz="12" w:space="0"/>
                  </w:tcBorders>
                  <w:noWrap w:val="0"/>
                  <w:vAlign w:val="center"/>
                </w:tcPr>
                <w:p w14:paraId="69A3AF3B">
                  <w:pPr>
                    <w:spacing w:line="240" w:lineRule="auto"/>
                    <w:ind w:firstLine="0" w:firstLineChars="0"/>
                    <w:jc w:val="both"/>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本项目使用的涂料采用密封桶装在油漆库内储存；项目涂装工序设密闭喷漆房，涂装废气通过密闭负压收集，采用</w:t>
                  </w:r>
                  <w:r>
                    <w:rPr>
                      <w:rFonts w:hint="eastAsia" w:ascii="Times New Roman" w:hAnsi="Times New Roman" w:eastAsia="宋体" w:cs="Times New Roman"/>
                      <w:color w:val="auto"/>
                      <w:spacing w:val="-6"/>
                      <w:sz w:val="21"/>
                      <w:szCs w:val="21"/>
                      <w:highlight w:val="none"/>
                      <w:lang w:val="en-US" w:eastAsia="zh-CN"/>
                    </w:rPr>
                    <w:t>“干式漆雾过滤模组+活性炭吸附-脱附+催化燃烧装置”</w:t>
                  </w:r>
                  <w:r>
                    <w:rPr>
                      <w:rFonts w:hint="eastAsia" w:ascii="Times New Roman" w:hAnsi="Times New Roman" w:eastAsia="宋体" w:cs="Times New Roman"/>
                      <w:color w:val="auto"/>
                      <w:sz w:val="21"/>
                      <w:szCs w:val="21"/>
                      <w:highlight w:val="none"/>
                      <w:lang w:val="en-US" w:eastAsia="zh-CN"/>
                    </w:rPr>
                    <w:t>处理后排放</w:t>
                  </w:r>
                  <w:r>
                    <w:rPr>
                      <w:rFonts w:hint="eastAsia" w:ascii="Times New Roman" w:hAnsi="Times New Roman" w:eastAsia="宋体" w:cs="Times New Roman"/>
                      <w:color w:val="auto"/>
                      <w:spacing w:val="-6"/>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削减了VOC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无组织排放</w:t>
                  </w:r>
                  <w:r>
                    <w:rPr>
                      <w:rFonts w:hint="eastAsia" w:ascii="Times New Roman" w:hAnsi="Times New Roman" w:eastAsia="宋体" w:cs="Times New Roman"/>
                      <w:color w:val="auto"/>
                      <w:spacing w:val="-6"/>
                      <w:sz w:val="21"/>
                      <w:szCs w:val="21"/>
                      <w:highlight w:val="none"/>
                      <w:lang w:val="en-US" w:eastAsia="zh-CN"/>
                    </w:rPr>
                    <w:t>。</w:t>
                  </w:r>
                </w:p>
              </w:tc>
              <w:tc>
                <w:tcPr>
                  <w:tcW w:w="903" w:type="dxa"/>
                  <w:tcBorders>
                    <w:top w:val="single" w:color="auto" w:sz="8" w:space="0"/>
                    <w:bottom w:val="single" w:color="auto" w:sz="12" w:space="0"/>
                  </w:tcBorders>
                  <w:noWrap w:val="0"/>
                  <w:vAlign w:val="center"/>
                </w:tcPr>
                <w:p w14:paraId="5799495F">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符合</w:t>
                  </w:r>
                </w:p>
              </w:tc>
            </w:tr>
          </w:tbl>
          <w:p w14:paraId="7DED96D4">
            <w:pPr>
              <w:keepNext w:val="0"/>
              <w:keepLines w:val="0"/>
              <w:pageBreakBefore w:val="0"/>
              <w:widowControl w:val="0"/>
              <w:kinsoku/>
              <w:wordWrap/>
              <w:overflowPunct/>
              <w:topLinePunct w:val="0"/>
              <w:autoSpaceDE/>
              <w:autoSpaceDN/>
              <w:bidi w:val="0"/>
              <w:adjustRightInd/>
              <w:snapToGrid/>
              <w:spacing w:before="157" w:beforeLines="50" w:line="300" w:lineRule="auto"/>
              <w:jc w:val="right"/>
              <w:textAlignment w:val="auto"/>
              <w:rPr>
                <w:rFonts w:ascii="Times New Roman" w:hAnsi="Times New Roman" w:eastAsia="宋体" w:cs="Times New Roman"/>
                <w:b/>
                <w:bCs/>
                <w:color w:val="auto"/>
              </w:rPr>
            </w:pPr>
            <w:r>
              <w:rPr>
                <w:rFonts w:hint="eastAsia" w:ascii="Times New Roman" w:hAnsi="Times New Roman" w:eastAsia="宋体" w:cs="Times New Roman"/>
                <w:b/>
                <w:bCs/>
                <w:color w:val="auto"/>
                <w:lang w:val="en-US" w:eastAsia="zh-CN"/>
              </w:rPr>
              <w:t>续</w:t>
            </w:r>
            <w:r>
              <w:rPr>
                <w:rFonts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 xml:space="preserve">1-4 </w:t>
            </w:r>
          </w:p>
          <w:tbl>
            <w:tblPr>
              <w:tblStyle w:val="26"/>
              <w:tblW w:w="7113"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2979"/>
              <w:gridCol w:w="2588"/>
              <w:gridCol w:w="903"/>
            </w:tblGrid>
            <w:tr w14:paraId="4865AA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43" w:type="dxa"/>
                  <w:tcBorders>
                    <w:bottom w:val="single" w:color="auto" w:sz="12" w:space="0"/>
                  </w:tcBorders>
                  <w:noWrap w:val="0"/>
                  <w:vAlign w:val="center"/>
                </w:tcPr>
                <w:p w14:paraId="10481BE5">
                  <w:pPr>
                    <w:pStyle w:val="7"/>
                    <w:jc w:val="center"/>
                    <w:outlineLvl w:val="3"/>
                    <w:rPr>
                      <w:rFonts w:ascii="Times New Roman" w:hAnsi="Times New Roman"/>
                      <w:color w:val="auto"/>
                    </w:rPr>
                  </w:pPr>
                  <w:r>
                    <w:rPr>
                      <w:rFonts w:hint="eastAsia" w:ascii="Times New Roman" w:hAnsi="Times New Roman"/>
                      <w:color w:val="auto"/>
                    </w:rPr>
                    <w:t>序号</w:t>
                  </w:r>
                </w:p>
              </w:tc>
              <w:tc>
                <w:tcPr>
                  <w:tcW w:w="2979" w:type="dxa"/>
                  <w:tcBorders>
                    <w:bottom w:val="single" w:color="auto" w:sz="12" w:space="0"/>
                  </w:tcBorders>
                  <w:noWrap w:val="0"/>
                  <w:vAlign w:val="center"/>
                </w:tcPr>
                <w:p w14:paraId="363559F7">
                  <w:pPr>
                    <w:pStyle w:val="7"/>
                    <w:jc w:val="center"/>
                    <w:outlineLvl w:val="3"/>
                    <w:rPr>
                      <w:rFonts w:ascii="Times New Roman" w:hAnsi="Times New Roman"/>
                      <w:color w:val="auto"/>
                      <w:szCs w:val="21"/>
                    </w:rPr>
                  </w:pPr>
                  <w:r>
                    <w:rPr>
                      <w:rFonts w:hint="eastAsia" w:ascii="Times New Roman" w:hAnsi="Times New Roman"/>
                      <w:color w:val="auto"/>
                      <w:szCs w:val="21"/>
                      <w:lang w:val="en-US" w:eastAsia="zh-CN"/>
                    </w:rPr>
                    <w:t>方案</w:t>
                  </w:r>
                  <w:r>
                    <w:rPr>
                      <w:rFonts w:hint="eastAsia" w:ascii="Times New Roman" w:hAnsi="Times New Roman"/>
                      <w:color w:val="auto"/>
                      <w:szCs w:val="21"/>
                    </w:rPr>
                    <w:t>要求</w:t>
                  </w:r>
                </w:p>
              </w:tc>
              <w:tc>
                <w:tcPr>
                  <w:tcW w:w="2588" w:type="dxa"/>
                  <w:tcBorders>
                    <w:bottom w:val="single" w:color="auto" w:sz="12" w:space="0"/>
                  </w:tcBorders>
                  <w:noWrap w:val="0"/>
                  <w:vAlign w:val="center"/>
                </w:tcPr>
                <w:p w14:paraId="0F0F475B">
                  <w:pPr>
                    <w:pStyle w:val="7"/>
                    <w:jc w:val="center"/>
                    <w:outlineLvl w:val="3"/>
                    <w:rPr>
                      <w:rFonts w:ascii="Times New Roman" w:hAnsi="Times New Roman"/>
                      <w:color w:val="auto"/>
                      <w:szCs w:val="21"/>
                    </w:rPr>
                  </w:pPr>
                  <w:r>
                    <w:rPr>
                      <w:rFonts w:hint="eastAsia" w:ascii="Times New Roman" w:hAnsi="Times New Roman"/>
                      <w:color w:val="auto"/>
                      <w:szCs w:val="21"/>
                    </w:rPr>
                    <w:t>项目情况</w:t>
                  </w:r>
                </w:p>
              </w:tc>
              <w:tc>
                <w:tcPr>
                  <w:tcW w:w="903" w:type="dxa"/>
                  <w:tcBorders>
                    <w:bottom w:val="single" w:color="auto" w:sz="12" w:space="0"/>
                  </w:tcBorders>
                  <w:noWrap w:val="0"/>
                  <w:vAlign w:val="center"/>
                </w:tcPr>
                <w:p w14:paraId="5A9718EA">
                  <w:pPr>
                    <w:pStyle w:val="7"/>
                    <w:jc w:val="center"/>
                    <w:outlineLvl w:val="3"/>
                    <w:rPr>
                      <w:rFonts w:ascii="Times New Roman" w:hAnsi="Times New Roman"/>
                      <w:color w:val="auto"/>
                      <w:szCs w:val="21"/>
                    </w:rPr>
                  </w:pPr>
                  <w:r>
                    <w:rPr>
                      <w:rFonts w:ascii="Times New Roman" w:hAnsi="Times New Roman" w:eastAsia="宋体" w:cs="Times New Roman"/>
                      <w:color w:val="auto"/>
                      <w:szCs w:val="21"/>
                    </w:rPr>
                    <w:t>符合性</w:t>
                  </w:r>
                </w:p>
              </w:tc>
            </w:tr>
            <w:tr w14:paraId="74F13D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991" w:hRule="atLeast"/>
              </w:trPr>
              <w:tc>
                <w:tcPr>
                  <w:tcW w:w="643" w:type="dxa"/>
                  <w:tcBorders>
                    <w:top w:val="single" w:color="auto" w:sz="12" w:space="0"/>
                    <w:bottom w:val="single" w:color="auto" w:sz="12" w:space="0"/>
                  </w:tcBorders>
                  <w:noWrap w:val="0"/>
                  <w:vAlign w:val="center"/>
                </w:tcPr>
                <w:p w14:paraId="1072DE2A">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3</w:t>
                  </w:r>
                </w:p>
              </w:tc>
              <w:tc>
                <w:tcPr>
                  <w:tcW w:w="2979" w:type="dxa"/>
                  <w:tcBorders>
                    <w:top w:val="single" w:color="auto" w:sz="12" w:space="0"/>
                    <w:bottom w:val="single" w:color="auto" w:sz="12" w:space="0"/>
                  </w:tcBorders>
                  <w:noWrap w:val="0"/>
                  <w:vAlign w:val="center"/>
                </w:tcPr>
                <w:p w14:paraId="1E645A26">
                  <w:pPr>
                    <w:numPr>
                      <w:ilvl w:val="0"/>
                      <w:numId w:val="0"/>
                    </w:numPr>
                    <w:spacing w:line="240" w:lineRule="auto"/>
                    <w:jc w:val="both"/>
                    <w:rPr>
                      <w:rFonts w:hint="default" w:ascii="Times New Roman" w:hAnsi="Times New Roman" w:eastAsia="宋体" w:cs="Times New Roman"/>
                      <w:color w:val="auto"/>
                      <w:spacing w:val="-6"/>
                      <w:sz w:val="21"/>
                      <w:szCs w:val="21"/>
                      <w:highlight w:val="none"/>
                      <w:lang w:val="en-US" w:eastAsia="zh-CN"/>
                    </w:rPr>
                  </w:pPr>
                  <w:r>
                    <w:rPr>
                      <w:rFonts w:hint="eastAsia" w:ascii="Times New Roman" w:hAnsi="Times New Roman" w:eastAsia="宋体" w:cs="Times New Roman"/>
                      <w:color w:val="auto"/>
                      <w:spacing w:val="-6"/>
                      <w:sz w:val="21"/>
                      <w:szCs w:val="21"/>
                      <w:highlight w:val="none"/>
                      <w:lang w:val="en-US" w:eastAsia="zh-CN"/>
                    </w:rPr>
                    <w:t>（三）</w:t>
                  </w:r>
                  <w:r>
                    <w:rPr>
                      <w:rFonts w:hint="default" w:ascii="Times New Roman" w:hAnsi="Times New Roman" w:eastAsia="宋体" w:cs="Times New Roman"/>
                      <w:color w:val="auto"/>
                      <w:spacing w:val="-6"/>
                      <w:sz w:val="21"/>
                      <w:szCs w:val="21"/>
                      <w:highlight w:val="none"/>
                      <w:lang w:val="en-US" w:eastAsia="zh-CN"/>
                    </w:rPr>
                    <w:t>推进建设适宜高效的治污设施。企业新建治污设施或对现有治污设施实施改造，应依据排放废气的浓度、组分、风量，温度、湿度、压力，以及生产工况等，合理选择治理技术。鼓励企业采用多种技术的组合工艺，提高</w:t>
                  </w:r>
                  <w:r>
                    <w:rPr>
                      <w:rFonts w:hint="eastAsia" w:ascii="Times New Roman" w:hAnsi="Times New Roman" w:eastAsia="宋体" w:cs="Times New Roman"/>
                      <w:color w:val="auto"/>
                      <w:spacing w:val="-6"/>
                      <w:sz w:val="21"/>
                      <w:szCs w:val="21"/>
                      <w:highlight w:val="none"/>
                      <w:lang w:val="en-US" w:eastAsia="zh-CN"/>
                    </w:rPr>
                    <w:t>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default" w:ascii="Times New Roman" w:hAnsi="Times New Roman" w:eastAsia="宋体" w:cs="Times New Roman"/>
                      <w:color w:val="auto"/>
                      <w:spacing w:val="-6"/>
                      <w:sz w:val="21"/>
                      <w:szCs w:val="21"/>
                      <w:highlight w:val="none"/>
                      <w:lang w:val="en-US" w:eastAsia="zh-CN"/>
                    </w:rPr>
                    <w:t>治理效率。低浓度、大风量废气，宜采用沸石转轮吸附、活性炭吸附、减风增浓等浓缩技术，提高</w:t>
                  </w:r>
                  <w:r>
                    <w:rPr>
                      <w:rFonts w:hint="eastAsia" w:ascii="Times New Roman" w:hAnsi="Times New Roman" w:eastAsia="宋体" w:cs="Times New Roman"/>
                      <w:color w:val="auto"/>
                      <w:spacing w:val="-6"/>
                      <w:sz w:val="21"/>
                      <w:szCs w:val="21"/>
                      <w:highlight w:val="none"/>
                      <w:lang w:val="en-US" w:eastAsia="zh-CN"/>
                    </w:rPr>
                    <w:t>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default" w:ascii="Times New Roman" w:hAnsi="Times New Roman" w:eastAsia="宋体" w:cs="Times New Roman"/>
                      <w:color w:val="auto"/>
                      <w:spacing w:val="-6"/>
                      <w:sz w:val="21"/>
                      <w:szCs w:val="21"/>
                      <w:highlight w:val="none"/>
                      <w:lang w:val="en-US" w:eastAsia="zh-CN"/>
                    </w:rPr>
                    <w:t>浓度后净化处理；高浓度废气，优先进行溶剂回收，难以回收的，宜采用高温焚烧、催化燃烧等技术。油气（溶剂）回收宜采用冷凝+吸附、吸附+吸收、膜分离+吸附等技术。低温等离子、光催化、光氧化技术主要适用于恶臭异味等治理；生物法主要适用于低浓度</w:t>
                  </w:r>
                  <w:r>
                    <w:rPr>
                      <w:rFonts w:hint="eastAsia" w:ascii="Times New Roman" w:hAnsi="Times New Roman" w:eastAsia="宋体" w:cs="Times New Roman"/>
                      <w:color w:val="auto"/>
                      <w:spacing w:val="-6"/>
                      <w:sz w:val="21"/>
                      <w:szCs w:val="21"/>
                      <w:highlight w:val="none"/>
                      <w:lang w:val="en-US" w:eastAsia="zh-CN"/>
                    </w:rPr>
                    <w:t>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default" w:ascii="Times New Roman" w:hAnsi="Times New Roman" w:eastAsia="宋体" w:cs="Times New Roman"/>
                      <w:color w:val="auto"/>
                      <w:spacing w:val="-6"/>
                      <w:sz w:val="21"/>
                      <w:szCs w:val="21"/>
                      <w:highlight w:val="none"/>
                      <w:lang w:val="en-US" w:eastAsia="zh-CN"/>
                    </w:rPr>
                    <w:t>废气治理和恶臭异味治理。非水溶性的</w:t>
                  </w:r>
                  <w:r>
                    <w:rPr>
                      <w:rFonts w:hint="eastAsia" w:ascii="Times New Roman" w:hAnsi="Times New Roman" w:eastAsia="宋体" w:cs="Times New Roman"/>
                      <w:color w:val="auto"/>
                      <w:spacing w:val="-6"/>
                      <w:sz w:val="21"/>
                      <w:szCs w:val="21"/>
                      <w:highlight w:val="none"/>
                      <w:lang w:val="en-US" w:eastAsia="zh-CN"/>
                    </w:rPr>
                    <w:t>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default" w:ascii="Times New Roman" w:hAnsi="Times New Roman" w:eastAsia="宋体" w:cs="Times New Roman"/>
                      <w:color w:val="auto"/>
                      <w:spacing w:val="-6"/>
                      <w:sz w:val="21"/>
                      <w:szCs w:val="21"/>
                      <w:highlight w:val="none"/>
                      <w:lang w:val="en-US" w:eastAsia="zh-CN"/>
                    </w:rPr>
                    <w:t>废气禁止采用水或水溶液喷淋吸收处理。采用一次性活性炭吸附技术的，应定期更换活性炭，废旧活性炭应再生或处理处置。有条件的工业园区和产业集群等，推广集中喷涂、溶剂集中回收、活性炭集中再生等，加强资源共享，提高</w:t>
                  </w:r>
                  <w:r>
                    <w:rPr>
                      <w:rFonts w:hint="eastAsia" w:ascii="Times New Roman" w:hAnsi="Times New Roman" w:eastAsia="宋体" w:cs="Times New Roman"/>
                      <w:color w:val="auto"/>
                      <w:spacing w:val="-6"/>
                      <w:sz w:val="21"/>
                      <w:szCs w:val="21"/>
                      <w:highlight w:val="none"/>
                      <w:lang w:val="en-US" w:eastAsia="zh-CN"/>
                    </w:rPr>
                    <w:t>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default" w:ascii="Times New Roman" w:hAnsi="Times New Roman" w:eastAsia="宋体" w:cs="Times New Roman"/>
                      <w:color w:val="auto"/>
                      <w:spacing w:val="-6"/>
                      <w:sz w:val="21"/>
                      <w:szCs w:val="21"/>
                      <w:highlight w:val="none"/>
                      <w:lang w:val="en-US" w:eastAsia="zh-CN"/>
                    </w:rPr>
                    <w:t>治理效率。</w:t>
                  </w:r>
                </w:p>
                <w:p w14:paraId="091277C6">
                  <w:pPr>
                    <w:numPr>
                      <w:ilvl w:val="0"/>
                      <w:numId w:val="0"/>
                    </w:numPr>
                    <w:spacing w:line="240" w:lineRule="auto"/>
                    <w:jc w:val="both"/>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规范工程设计。采用吸附处理工艺的，应满足《吸附法工业有机废气治理工程技术规范》要求。采用催化燃烧工艺的，应满足《催化燃烧法工业有机废气治理工程技术规范》要求。采用蓄热燃烧等其他处理工艺的，应按相关技术规范要求设计。</w:t>
                  </w:r>
                </w:p>
                <w:p w14:paraId="00A08D42">
                  <w:pPr>
                    <w:numPr>
                      <w:ilvl w:val="0"/>
                      <w:numId w:val="0"/>
                    </w:numPr>
                    <w:spacing w:line="240" w:lineRule="auto"/>
                    <w:jc w:val="both"/>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实行重点排放源排放浓度与去除效率双重控制。</w:t>
                  </w:r>
                  <w:r>
                    <w:rPr>
                      <w:rFonts w:hint="eastAsia" w:ascii="Times New Roman" w:hAnsi="Times New Roman" w:eastAsia="宋体" w:cs="Times New Roman"/>
                      <w:color w:val="auto"/>
                      <w:spacing w:val="0"/>
                      <w:sz w:val="21"/>
                      <w:szCs w:val="21"/>
                      <w:highlight w:val="none"/>
                      <w:lang w:val="en-US" w:eastAsia="zh-CN"/>
                    </w:rPr>
                    <w:t>……</w:t>
                  </w:r>
                </w:p>
              </w:tc>
              <w:tc>
                <w:tcPr>
                  <w:tcW w:w="2588" w:type="dxa"/>
                  <w:tcBorders>
                    <w:top w:val="single" w:color="auto" w:sz="12" w:space="0"/>
                    <w:bottom w:val="single" w:color="auto" w:sz="12" w:space="0"/>
                  </w:tcBorders>
                  <w:noWrap w:val="0"/>
                  <w:vAlign w:val="center"/>
                </w:tcPr>
                <w:p w14:paraId="6F5197C1">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w:t>
                  </w:r>
                  <w:r>
                    <w:rPr>
                      <w:rFonts w:hint="eastAsia" w:ascii="Times New Roman" w:hAnsi="Times New Roman" w:eastAsia="宋体" w:cs="Times New Roman"/>
                      <w:color w:val="auto"/>
                      <w:sz w:val="21"/>
                      <w:szCs w:val="21"/>
                      <w:highlight w:val="none"/>
                      <w:lang w:val="en-US" w:eastAsia="zh-CN"/>
                    </w:rPr>
                    <w:t>涂装工序产生的</w:t>
                  </w:r>
                  <w:r>
                    <w:rPr>
                      <w:rFonts w:hint="default" w:ascii="Times New Roman" w:hAnsi="Times New Roman" w:eastAsia="宋体" w:cs="Times New Roman"/>
                      <w:color w:val="auto"/>
                      <w:sz w:val="21"/>
                      <w:szCs w:val="21"/>
                      <w:highlight w:val="none"/>
                      <w:lang w:val="en-US" w:eastAsia="zh-CN"/>
                    </w:rPr>
                    <w:t>废气为低浓度、大风量废气，吸附浓缩+催化燃烧法适用于低浓度、大风量不含尘的干燥常温废气，投资中等，且具有使用寿命长、处理效果好、无二次污染、运行稳定</w:t>
                  </w:r>
                  <w:r>
                    <w:rPr>
                      <w:rFonts w:hint="eastAsia" w:ascii="Times New Roman" w:hAnsi="Times New Roman" w:eastAsia="宋体" w:cs="Times New Roman"/>
                      <w:color w:val="auto"/>
                      <w:sz w:val="21"/>
                      <w:szCs w:val="21"/>
                      <w:highlight w:val="none"/>
                      <w:lang w:val="en-US" w:eastAsia="zh-CN"/>
                    </w:rPr>
                    <w:t>及</w:t>
                  </w:r>
                  <w:r>
                    <w:rPr>
                      <w:rFonts w:hint="default" w:ascii="Times New Roman" w:hAnsi="Times New Roman" w:eastAsia="宋体" w:cs="Times New Roman"/>
                      <w:color w:val="auto"/>
                      <w:sz w:val="21"/>
                      <w:szCs w:val="21"/>
                      <w:highlight w:val="none"/>
                      <w:lang w:val="en-US" w:eastAsia="zh-CN"/>
                    </w:rPr>
                    <w:t>费用低等优点</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本项目涂装废气通过密闭负压收集，采用</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干式漆雾过滤模组+活性炭吸附-脱附+催化燃烧装置</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处理后</w:t>
                  </w:r>
                  <w:r>
                    <w:rPr>
                      <w:rFonts w:hint="eastAsia" w:ascii="Times New Roman" w:hAnsi="Times New Roman" w:eastAsia="宋体" w:cs="Times New Roman"/>
                      <w:color w:val="auto"/>
                      <w:sz w:val="21"/>
                      <w:szCs w:val="21"/>
                      <w:highlight w:val="none"/>
                      <w:lang w:val="en-US" w:eastAsia="zh-CN"/>
                    </w:rPr>
                    <w:t>通过20m高排气筒</w:t>
                  </w:r>
                  <w:r>
                    <w:rPr>
                      <w:rFonts w:hint="default" w:ascii="Times New Roman" w:hAnsi="Times New Roman" w:eastAsia="宋体" w:cs="Times New Roman"/>
                      <w:color w:val="auto"/>
                      <w:sz w:val="21"/>
                      <w:szCs w:val="21"/>
                      <w:highlight w:val="none"/>
                      <w:lang w:val="en-US" w:eastAsia="zh-CN"/>
                    </w:rPr>
                    <w:t>达标排放。</w:t>
                  </w:r>
                </w:p>
              </w:tc>
              <w:tc>
                <w:tcPr>
                  <w:tcW w:w="903" w:type="dxa"/>
                  <w:tcBorders>
                    <w:top w:val="single" w:color="auto" w:sz="12" w:space="0"/>
                    <w:bottom w:val="single" w:color="auto" w:sz="12" w:space="0"/>
                  </w:tcBorders>
                  <w:noWrap w:val="0"/>
                  <w:vAlign w:val="center"/>
                </w:tcPr>
                <w:p w14:paraId="3311137F">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符合</w:t>
                  </w:r>
                </w:p>
              </w:tc>
            </w:tr>
          </w:tbl>
          <w:p w14:paraId="7FF91E3D">
            <w:pPr>
              <w:spacing w:before="120" w:beforeLines="50" w:line="360" w:lineRule="auto"/>
              <w:ind w:firstLine="480" w:firstLineChars="200"/>
              <w:rPr>
                <w:rFonts w:hint="eastAsia" w:ascii="宋体" w:hAnsi="宋体" w:cs="宋体"/>
                <w:color w:val="auto"/>
                <w:sz w:val="24"/>
              </w:rPr>
            </w:pPr>
            <w:r>
              <w:rPr>
                <w:rFonts w:hint="eastAsia" w:ascii="宋体" w:hAnsi="宋体" w:eastAsia="宋体" w:cs="宋体"/>
                <w:color w:val="auto"/>
                <w:sz w:val="24"/>
              </w:rPr>
              <w:t>综上，本项目</w:t>
            </w:r>
            <w:r>
              <w:rPr>
                <w:rFonts w:hint="eastAsia" w:ascii="宋体" w:hAnsi="宋体" w:eastAsia="宋体" w:cs="宋体"/>
                <w:color w:val="auto"/>
                <w:sz w:val="24"/>
                <w:lang w:val="en-US" w:eastAsia="zh-CN"/>
              </w:rPr>
              <w:t>建设</w:t>
            </w:r>
            <w:r>
              <w:rPr>
                <w:rFonts w:hint="eastAsia" w:ascii="宋体" w:hAnsi="宋体" w:eastAsia="宋体" w:cs="宋体"/>
                <w:color w:val="auto"/>
                <w:sz w:val="24"/>
              </w:rPr>
              <w:t>符合《重点行业挥发性有机物综合治理方案》相关要求。</w:t>
            </w:r>
          </w:p>
          <w:p w14:paraId="284DE297">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（3）与《关于加快解决当前挥发性有机物治理突出问题的通知》</w:t>
            </w:r>
            <w:r>
              <w:rPr>
                <w:rFonts w:hint="eastAsia" w:ascii="宋体" w:hAnsi="宋体" w:cs="宋体"/>
                <w:color w:val="auto"/>
                <w:sz w:val="24"/>
                <w:lang w:val="en-US" w:eastAsia="zh-CN"/>
              </w:rPr>
              <w:t>（环大气〔2021〕65号）</w:t>
            </w:r>
            <w:r>
              <w:rPr>
                <w:rFonts w:hint="eastAsia" w:ascii="宋体" w:hAnsi="宋体" w:eastAsia="宋体" w:cs="宋体"/>
                <w:color w:val="auto"/>
                <w:sz w:val="24"/>
                <w:lang w:val="en-US" w:eastAsia="zh-CN"/>
              </w:rPr>
              <w:t>符合性分析</w:t>
            </w:r>
          </w:p>
          <w:p w14:paraId="73E8766F">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Times New Roman" w:hAnsi="Times New Roman" w:eastAsia="宋体" w:cs="Times New Roman"/>
                <w:b/>
                <w:bCs/>
                <w:color w:val="auto"/>
              </w:rPr>
            </w:pPr>
            <w:r>
              <w:rPr>
                <w:rFonts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 xml:space="preserve">1-5 </w:t>
            </w:r>
            <w:r>
              <w:rPr>
                <w:rFonts w:hint="eastAsia" w:ascii="Times New Roman" w:hAnsi="Times New Roman" w:eastAsia="宋体" w:cs="Times New Roman"/>
                <w:b/>
                <w:bCs/>
                <w:color w:val="auto"/>
              </w:rPr>
              <w:t>与《关于加快解决当前挥发性有机物治理突出问题的通知》</w:t>
            </w:r>
            <w:r>
              <w:rPr>
                <w:rFonts w:ascii="Times New Roman" w:hAnsi="Times New Roman" w:eastAsia="宋体" w:cs="Times New Roman"/>
                <w:b/>
                <w:bCs/>
                <w:color w:val="auto"/>
              </w:rPr>
              <w:t>符合性分析</w:t>
            </w:r>
          </w:p>
          <w:tbl>
            <w:tblPr>
              <w:tblStyle w:val="26"/>
              <w:tblW w:w="7113"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3444"/>
              <w:gridCol w:w="2123"/>
              <w:gridCol w:w="903"/>
            </w:tblGrid>
            <w:tr w14:paraId="291D1D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43" w:type="dxa"/>
                  <w:tcBorders>
                    <w:bottom w:val="single" w:color="auto" w:sz="12" w:space="0"/>
                  </w:tcBorders>
                  <w:noWrap w:val="0"/>
                  <w:vAlign w:val="center"/>
                </w:tcPr>
                <w:p w14:paraId="4C6BCE84">
                  <w:pPr>
                    <w:pStyle w:val="7"/>
                    <w:jc w:val="center"/>
                    <w:outlineLvl w:val="3"/>
                    <w:rPr>
                      <w:rFonts w:ascii="Times New Roman" w:hAnsi="Times New Roman"/>
                      <w:color w:val="auto"/>
                    </w:rPr>
                  </w:pPr>
                  <w:r>
                    <w:rPr>
                      <w:rFonts w:hint="eastAsia" w:ascii="Times New Roman" w:hAnsi="Times New Roman"/>
                      <w:color w:val="auto"/>
                    </w:rPr>
                    <w:t>序号</w:t>
                  </w:r>
                </w:p>
              </w:tc>
              <w:tc>
                <w:tcPr>
                  <w:tcW w:w="3444" w:type="dxa"/>
                  <w:tcBorders>
                    <w:bottom w:val="single" w:color="auto" w:sz="12" w:space="0"/>
                  </w:tcBorders>
                  <w:noWrap w:val="0"/>
                  <w:vAlign w:val="center"/>
                </w:tcPr>
                <w:p w14:paraId="4A1E2C2D">
                  <w:pPr>
                    <w:pStyle w:val="7"/>
                    <w:jc w:val="center"/>
                    <w:outlineLvl w:val="3"/>
                    <w:rPr>
                      <w:rFonts w:ascii="Times New Roman" w:hAnsi="Times New Roman"/>
                      <w:color w:val="auto"/>
                      <w:szCs w:val="21"/>
                    </w:rPr>
                  </w:pPr>
                  <w:r>
                    <w:rPr>
                      <w:rFonts w:hint="eastAsia" w:ascii="Times New Roman" w:hAnsi="Times New Roman"/>
                      <w:color w:val="auto"/>
                      <w:szCs w:val="21"/>
                      <w:lang w:val="en-US" w:eastAsia="zh-CN"/>
                    </w:rPr>
                    <w:t>通知</w:t>
                  </w:r>
                  <w:r>
                    <w:rPr>
                      <w:rFonts w:hint="eastAsia" w:ascii="Times New Roman" w:hAnsi="Times New Roman"/>
                      <w:color w:val="auto"/>
                      <w:szCs w:val="21"/>
                    </w:rPr>
                    <w:t>要求</w:t>
                  </w:r>
                </w:p>
              </w:tc>
              <w:tc>
                <w:tcPr>
                  <w:tcW w:w="2123" w:type="dxa"/>
                  <w:tcBorders>
                    <w:bottom w:val="single" w:color="auto" w:sz="12" w:space="0"/>
                  </w:tcBorders>
                  <w:noWrap w:val="0"/>
                  <w:vAlign w:val="center"/>
                </w:tcPr>
                <w:p w14:paraId="369937B9">
                  <w:pPr>
                    <w:pStyle w:val="7"/>
                    <w:jc w:val="center"/>
                    <w:outlineLvl w:val="3"/>
                    <w:rPr>
                      <w:rFonts w:ascii="Times New Roman" w:hAnsi="Times New Roman"/>
                      <w:color w:val="auto"/>
                      <w:szCs w:val="21"/>
                    </w:rPr>
                  </w:pPr>
                  <w:r>
                    <w:rPr>
                      <w:rFonts w:hint="eastAsia" w:ascii="Times New Roman" w:hAnsi="Times New Roman"/>
                      <w:color w:val="auto"/>
                      <w:szCs w:val="21"/>
                    </w:rPr>
                    <w:t>项目情况</w:t>
                  </w:r>
                </w:p>
              </w:tc>
              <w:tc>
                <w:tcPr>
                  <w:tcW w:w="903" w:type="dxa"/>
                  <w:tcBorders>
                    <w:bottom w:val="single" w:color="auto" w:sz="12" w:space="0"/>
                  </w:tcBorders>
                  <w:noWrap w:val="0"/>
                  <w:vAlign w:val="center"/>
                </w:tcPr>
                <w:p w14:paraId="2D3FFD06">
                  <w:pPr>
                    <w:pStyle w:val="7"/>
                    <w:jc w:val="center"/>
                    <w:outlineLvl w:val="3"/>
                    <w:rPr>
                      <w:rFonts w:ascii="Times New Roman" w:hAnsi="Times New Roman"/>
                      <w:color w:val="auto"/>
                      <w:szCs w:val="21"/>
                    </w:rPr>
                  </w:pPr>
                  <w:r>
                    <w:rPr>
                      <w:rFonts w:ascii="Times New Roman" w:hAnsi="Times New Roman" w:eastAsia="宋体" w:cs="Times New Roman"/>
                      <w:color w:val="auto"/>
                      <w:szCs w:val="21"/>
                    </w:rPr>
                    <w:t>符合性</w:t>
                  </w:r>
                </w:p>
              </w:tc>
            </w:tr>
            <w:tr w14:paraId="1DD2C4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565" w:hRule="atLeast"/>
              </w:trPr>
              <w:tc>
                <w:tcPr>
                  <w:tcW w:w="643" w:type="dxa"/>
                  <w:tcBorders>
                    <w:top w:val="single" w:color="auto" w:sz="12" w:space="0"/>
                    <w:bottom w:val="single" w:color="auto" w:sz="8" w:space="0"/>
                  </w:tcBorders>
                  <w:noWrap w:val="0"/>
                  <w:vAlign w:val="center"/>
                </w:tcPr>
                <w:p w14:paraId="6845A693">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1</w:t>
                  </w:r>
                </w:p>
              </w:tc>
              <w:tc>
                <w:tcPr>
                  <w:tcW w:w="3444" w:type="dxa"/>
                  <w:tcBorders>
                    <w:top w:val="single" w:color="auto" w:sz="12" w:space="0"/>
                    <w:bottom w:val="single" w:color="auto" w:sz="8" w:space="0"/>
                  </w:tcBorders>
                  <w:noWrap w:val="0"/>
                  <w:vAlign w:val="center"/>
                </w:tcPr>
                <w:p w14:paraId="5FFF0C2F">
                  <w:pPr>
                    <w:numPr>
                      <w:ilvl w:val="0"/>
                      <w:numId w:val="0"/>
                    </w:numPr>
                    <w:spacing w:line="240" w:lineRule="auto"/>
                    <w:jc w:val="both"/>
                    <w:rPr>
                      <w:rFonts w:hint="eastAsia" w:ascii="Times New Roman" w:hAnsi="Times New Roman" w:eastAsia="宋体" w:cs="Times New Roman"/>
                      <w:color w:val="auto"/>
                      <w:spacing w:val="-6"/>
                      <w:sz w:val="21"/>
                      <w:szCs w:val="21"/>
                      <w:highlight w:val="none"/>
                      <w:lang w:val="en-US" w:eastAsia="zh-CN"/>
                    </w:rPr>
                  </w:pPr>
                  <w:r>
                    <w:rPr>
                      <w:rFonts w:hint="eastAsia" w:ascii="Times New Roman" w:hAnsi="Times New Roman" w:eastAsia="宋体" w:cs="Times New Roman"/>
                      <w:color w:val="auto"/>
                      <w:spacing w:val="-6"/>
                      <w:sz w:val="21"/>
                      <w:szCs w:val="21"/>
                      <w:highlight w:val="none"/>
                      <w:lang w:val="en-US" w:eastAsia="zh-CN"/>
                    </w:rPr>
                    <w:t>五、废气收集设施</w:t>
                  </w:r>
                </w:p>
                <w:p w14:paraId="10FD31E4">
                  <w:pPr>
                    <w:numPr>
                      <w:ilvl w:val="0"/>
                      <w:numId w:val="0"/>
                    </w:numPr>
                    <w:spacing w:line="240" w:lineRule="auto"/>
                    <w:jc w:val="both"/>
                    <w:rPr>
                      <w:rFonts w:hint="default" w:ascii="Times New Roman" w:hAnsi="Times New Roman" w:eastAsia="宋体" w:cs="Times New Roman"/>
                      <w:color w:val="auto"/>
                      <w:spacing w:val="-6"/>
                      <w:sz w:val="21"/>
                      <w:szCs w:val="21"/>
                      <w:highlight w:val="none"/>
                      <w:lang w:val="en-US" w:eastAsia="zh-CN"/>
                    </w:rPr>
                  </w:pPr>
                  <w:r>
                    <w:rPr>
                      <w:rFonts w:hint="eastAsia" w:ascii="Times New Roman" w:hAnsi="Times New Roman" w:eastAsia="宋体" w:cs="Times New Roman"/>
                      <w:color w:val="auto"/>
                      <w:spacing w:val="-6"/>
                      <w:sz w:val="21"/>
                      <w:szCs w:val="21"/>
                      <w:highlight w:val="none"/>
                      <w:lang w:val="en-US" w:eastAsia="zh-CN"/>
                    </w:rPr>
                    <w:t>治理要求。产生VOC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eastAsia" w:ascii="Times New Roman" w:hAnsi="Times New Roman" w:eastAsia="宋体" w:cs="Times New Roman"/>
                      <w:color w:val="auto"/>
                      <w:spacing w:val="-6"/>
                      <w:sz w:val="21"/>
                      <w:szCs w:val="21"/>
                      <w:highlight w:val="none"/>
                      <w:lang w:val="en-US" w:eastAsia="zh-CN"/>
                    </w:rPr>
                    <w:t>的生产环节优先采用密闭设备、在密闭空间中操作或采用全密闭集气罩收集方式，并保持负压运行。无尘等级要求车间需设置成正压的，宜建设内层正压、外层微负压的双层整体密闭收集空间。对采用局部收集方式的企业，距废气收集系统排风罩开口面最远处的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eastAsia" w:ascii="Times New Roman" w:hAnsi="Times New Roman" w:eastAsia="宋体" w:cs="Times New Roman"/>
                      <w:color w:val="auto"/>
                      <w:spacing w:val="-6"/>
                      <w:sz w:val="21"/>
                      <w:szCs w:val="21"/>
                      <w:highlight w:val="none"/>
                      <w:lang w:val="en-US" w:eastAsia="zh-CN"/>
                    </w:rPr>
                    <w:t>无组织排放位置控制风速不低于0.3m/s；推广以生产线或设备为单位设置隔间，收集风量应确保隔间保持微负压。当废气产生点较多、彼此距离较远时，在满足设计规范、风压平衡的基础上，适当分设多套收集系统或中继风机。废气收集系统的输送管道应密闭、无破损。焦化行业加强焦炉密封性检查，对于变形炉门、炉顶炉盖及时修复更换；加强焦炉工况监督，对焦炉墙串漏及时修缮。制药、农药、涂料、油墨、胶粘剂等间歇性生产工序较多的行业应对进出料、物料输送、搅拌、固液分离、干燥、灌装、取样等过程采取密闭化措施，提升工艺装备水平；含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eastAsia" w:ascii="Times New Roman" w:hAnsi="Times New Roman" w:eastAsia="宋体" w:cs="Times New Roman"/>
                      <w:color w:val="auto"/>
                      <w:spacing w:val="-6"/>
                      <w:sz w:val="21"/>
                      <w:szCs w:val="21"/>
                      <w:highlight w:val="none"/>
                      <w:lang w:val="en-US" w:eastAsia="zh-CN"/>
                    </w:rPr>
                    <w:t>物料输送原则上采用重力流或泵送方式；有机液体进料鼓励采用底部、浸入管给料方式；固体物料投加逐步推进采用密闭式投料装置。工业涂装行业建设密闭喷漆房，对于大型构件（船舶、钢结构）实施分段涂装，废气进行收集治理；对于确需露天涂装的，应采用符合国家或地方标准要求的低（无）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eastAsia" w:ascii="Times New Roman" w:hAnsi="Times New Roman" w:eastAsia="宋体" w:cs="Times New Roman"/>
                      <w:color w:val="auto"/>
                      <w:spacing w:val="-6"/>
                      <w:sz w:val="21"/>
                      <w:szCs w:val="21"/>
                      <w:highlight w:val="none"/>
                      <w:lang w:val="en-US" w:eastAsia="zh-CN"/>
                    </w:rPr>
                    <w:t>含量涂料，或使用移动式废气收集治理设施。包装印刷行业的印刷、复合、涂布工序实施密闭化改造，全面采用VOC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eastAsia" w:ascii="Times New Roman" w:hAnsi="Times New Roman" w:eastAsia="宋体" w:cs="Times New Roman"/>
                      <w:color w:val="auto"/>
                      <w:spacing w:val="-6"/>
                      <w:sz w:val="21"/>
                      <w:szCs w:val="21"/>
                      <w:highlight w:val="none"/>
                      <w:lang w:val="en-US" w:eastAsia="zh-CN"/>
                    </w:rPr>
                    <w:t>质量占比小于10%的原辅材料的除外。鼓励石油炼制企业开展冷焦水、切焦水等废气收集治理。使用VOC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eastAsia" w:ascii="Times New Roman" w:hAnsi="Times New Roman" w:eastAsia="宋体" w:cs="Times New Roman"/>
                      <w:color w:val="auto"/>
                      <w:spacing w:val="-6"/>
                      <w:sz w:val="21"/>
                      <w:szCs w:val="21"/>
                      <w:highlight w:val="none"/>
                      <w:lang w:val="en-US" w:eastAsia="zh-CN"/>
                    </w:rPr>
                    <w:t>质量占比大于等于10%的涂料、油墨、胶粘剂、稀释剂、清洗剂等物料存储、调配、转移、输送等环节应密闭。</w:t>
                  </w:r>
                </w:p>
              </w:tc>
              <w:tc>
                <w:tcPr>
                  <w:tcW w:w="2123" w:type="dxa"/>
                  <w:tcBorders>
                    <w:top w:val="single" w:color="auto" w:sz="12" w:space="0"/>
                    <w:bottom w:val="single" w:color="auto" w:sz="8" w:space="0"/>
                  </w:tcBorders>
                  <w:noWrap w:val="0"/>
                  <w:vAlign w:val="center"/>
                </w:tcPr>
                <w:p w14:paraId="4416AB9C">
                  <w:pPr>
                    <w:numPr>
                      <w:ilvl w:val="0"/>
                      <w:numId w:val="0"/>
                    </w:numPr>
                    <w:spacing w:line="240" w:lineRule="auto"/>
                    <w:jc w:val="both"/>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本项目涂装工序设密闭喷漆房，涂装废气通过密闭负压收集，废气收集系统的输送管道密闭、无破损。</w:t>
                  </w:r>
                  <w:r>
                    <w:rPr>
                      <w:rFonts w:hint="eastAsia" w:ascii="Times New Roman" w:hAnsi="Times New Roman" w:eastAsia="宋体" w:cs="Times New Roman"/>
                      <w:color w:val="auto"/>
                      <w:spacing w:val="0"/>
                      <w:sz w:val="21"/>
                      <w:szCs w:val="21"/>
                      <w:highlight w:val="none"/>
                      <w:lang w:val="en-US" w:eastAsia="zh-CN"/>
                    </w:rPr>
                    <w:t>涂装</w:t>
                  </w:r>
                  <w:r>
                    <w:rPr>
                      <w:rFonts w:hint="default" w:ascii="Times New Roman" w:hAnsi="Times New Roman" w:eastAsia="宋体" w:cs="Times New Roman"/>
                      <w:color w:val="auto"/>
                      <w:spacing w:val="0"/>
                      <w:sz w:val="21"/>
                      <w:szCs w:val="21"/>
                      <w:highlight w:val="none"/>
                      <w:lang w:val="en-US" w:eastAsia="zh-CN"/>
                    </w:rPr>
                    <w:t>废气</w:t>
                  </w:r>
                  <w:r>
                    <w:rPr>
                      <w:rFonts w:hint="eastAsia" w:ascii="Times New Roman" w:hAnsi="Times New Roman" w:eastAsia="宋体" w:cs="Times New Roman"/>
                      <w:color w:val="auto"/>
                      <w:spacing w:val="0"/>
                      <w:sz w:val="21"/>
                      <w:szCs w:val="21"/>
                      <w:highlight w:val="none"/>
                      <w:lang w:val="en-US" w:eastAsia="zh-CN"/>
                    </w:rPr>
                    <w:t>采用“</w:t>
                  </w:r>
                  <w:r>
                    <w:rPr>
                      <w:rFonts w:hint="default" w:ascii="Times New Roman" w:hAnsi="Times New Roman" w:eastAsia="宋体" w:cs="Times New Roman"/>
                      <w:color w:val="auto"/>
                      <w:spacing w:val="0"/>
                      <w:sz w:val="21"/>
                      <w:szCs w:val="21"/>
                      <w:highlight w:val="none"/>
                      <w:lang w:val="en-US" w:eastAsia="zh-CN"/>
                    </w:rPr>
                    <w:t>干式漆雾过滤模组+活性炭吸附-脱附+催化燃烧装置</w:t>
                  </w:r>
                  <w:r>
                    <w:rPr>
                      <w:rFonts w:hint="eastAsia" w:ascii="Times New Roman" w:hAnsi="Times New Roman" w:eastAsia="宋体" w:cs="Times New Roman"/>
                      <w:color w:val="auto"/>
                      <w:spacing w:val="0"/>
                      <w:sz w:val="21"/>
                      <w:szCs w:val="21"/>
                      <w:highlight w:val="none"/>
                      <w:lang w:val="en-US" w:eastAsia="zh-CN"/>
                    </w:rPr>
                    <w:t>”</w:t>
                  </w:r>
                  <w:r>
                    <w:rPr>
                      <w:rFonts w:hint="default" w:ascii="Times New Roman" w:hAnsi="Times New Roman" w:eastAsia="宋体" w:cs="Times New Roman"/>
                      <w:color w:val="auto"/>
                      <w:spacing w:val="0"/>
                      <w:sz w:val="21"/>
                      <w:szCs w:val="21"/>
                      <w:highlight w:val="none"/>
                      <w:lang w:val="en-US" w:eastAsia="zh-CN"/>
                    </w:rPr>
                    <w:t>处理后</w:t>
                  </w:r>
                  <w:r>
                    <w:rPr>
                      <w:rFonts w:hint="eastAsia" w:ascii="Times New Roman" w:hAnsi="Times New Roman" w:eastAsia="宋体" w:cs="Times New Roman"/>
                      <w:color w:val="auto"/>
                      <w:sz w:val="21"/>
                      <w:szCs w:val="21"/>
                      <w:highlight w:val="none"/>
                      <w:lang w:val="en-US" w:eastAsia="zh-CN"/>
                    </w:rPr>
                    <w:t>通过20m高排气筒</w:t>
                  </w:r>
                  <w:r>
                    <w:rPr>
                      <w:rFonts w:hint="default" w:ascii="Times New Roman" w:hAnsi="Times New Roman" w:eastAsia="宋体" w:cs="Times New Roman"/>
                      <w:color w:val="auto"/>
                      <w:spacing w:val="0"/>
                      <w:sz w:val="21"/>
                      <w:szCs w:val="21"/>
                      <w:highlight w:val="none"/>
                      <w:lang w:val="en-US" w:eastAsia="zh-CN"/>
                    </w:rPr>
                    <w:t>达标排放</w:t>
                  </w:r>
                  <w:r>
                    <w:rPr>
                      <w:rFonts w:hint="eastAsia" w:ascii="Times New Roman" w:hAnsi="Times New Roman" w:eastAsia="宋体" w:cs="Times New Roman"/>
                      <w:color w:val="auto"/>
                      <w:spacing w:val="0"/>
                      <w:sz w:val="21"/>
                      <w:szCs w:val="21"/>
                      <w:highlight w:val="none"/>
                      <w:lang w:val="en-US" w:eastAsia="zh-CN"/>
                    </w:rPr>
                    <w:t>，</w:t>
                  </w:r>
                  <w:r>
                    <w:rPr>
                      <w:rFonts w:hint="default" w:ascii="Times New Roman" w:hAnsi="Times New Roman" w:eastAsia="宋体" w:cs="Times New Roman"/>
                      <w:color w:val="auto"/>
                      <w:spacing w:val="0"/>
                      <w:sz w:val="21"/>
                      <w:szCs w:val="21"/>
                      <w:highlight w:val="none"/>
                      <w:lang w:val="en-US" w:eastAsia="zh-CN"/>
                    </w:rPr>
                    <w:t>项目废气收集设施符合</w:t>
                  </w:r>
                  <w:r>
                    <w:rPr>
                      <w:rFonts w:hint="eastAsia" w:ascii="Times New Roman" w:hAnsi="Times New Roman" w:eastAsia="宋体" w:cs="Times New Roman"/>
                      <w:color w:val="auto"/>
                      <w:spacing w:val="0"/>
                      <w:sz w:val="21"/>
                      <w:szCs w:val="21"/>
                      <w:highlight w:val="none"/>
                      <w:lang w:val="en-US" w:eastAsia="zh-CN"/>
                    </w:rPr>
                    <w:t>治理</w:t>
                  </w:r>
                  <w:r>
                    <w:rPr>
                      <w:rFonts w:hint="default" w:ascii="Times New Roman" w:hAnsi="Times New Roman" w:eastAsia="宋体" w:cs="Times New Roman"/>
                      <w:color w:val="auto"/>
                      <w:spacing w:val="0"/>
                      <w:sz w:val="21"/>
                      <w:szCs w:val="21"/>
                      <w:highlight w:val="none"/>
                      <w:lang w:val="en-US" w:eastAsia="zh-CN"/>
                    </w:rPr>
                    <w:t>要求。</w:t>
                  </w:r>
                </w:p>
              </w:tc>
              <w:tc>
                <w:tcPr>
                  <w:tcW w:w="903" w:type="dxa"/>
                  <w:tcBorders>
                    <w:top w:val="single" w:color="auto" w:sz="12" w:space="0"/>
                    <w:bottom w:val="single" w:color="auto" w:sz="8" w:space="0"/>
                  </w:tcBorders>
                  <w:noWrap w:val="0"/>
                  <w:vAlign w:val="center"/>
                </w:tcPr>
                <w:p w14:paraId="34758796">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符合</w:t>
                  </w:r>
                </w:p>
              </w:tc>
            </w:tr>
          </w:tbl>
          <w:p w14:paraId="21F45AF3">
            <w:pPr>
              <w:keepNext w:val="0"/>
              <w:keepLines w:val="0"/>
              <w:pageBreakBefore w:val="0"/>
              <w:widowControl w:val="0"/>
              <w:kinsoku/>
              <w:wordWrap/>
              <w:overflowPunct/>
              <w:topLinePunct w:val="0"/>
              <w:autoSpaceDE/>
              <w:autoSpaceDN/>
              <w:bidi w:val="0"/>
              <w:adjustRightInd/>
              <w:snapToGrid/>
              <w:spacing w:before="157" w:beforeLines="50" w:line="300" w:lineRule="auto"/>
              <w:jc w:val="right"/>
              <w:textAlignment w:val="auto"/>
              <w:rPr>
                <w:rFonts w:ascii="Times New Roman" w:hAnsi="Times New Roman" w:eastAsia="宋体" w:cs="Times New Roman"/>
                <w:b/>
                <w:bCs/>
                <w:color w:val="auto"/>
              </w:rPr>
            </w:pPr>
            <w:r>
              <w:rPr>
                <w:rFonts w:hint="eastAsia" w:ascii="Times New Roman" w:hAnsi="Times New Roman" w:eastAsia="宋体" w:cs="Times New Roman"/>
                <w:b/>
                <w:bCs/>
                <w:color w:val="auto"/>
                <w:lang w:val="en-US" w:eastAsia="zh-CN"/>
              </w:rPr>
              <w:t>续</w:t>
            </w:r>
            <w:r>
              <w:rPr>
                <w:rFonts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 xml:space="preserve">1-5 </w:t>
            </w:r>
          </w:p>
          <w:tbl>
            <w:tblPr>
              <w:tblStyle w:val="26"/>
              <w:tblW w:w="7113"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3444"/>
              <w:gridCol w:w="2123"/>
              <w:gridCol w:w="903"/>
            </w:tblGrid>
            <w:tr w14:paraId="1AEBE1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43" w:type="dxa"/>
                  <w:tcBorders>
                    <w:bottom w:val="single" w:color="auto" w:sz="12" w:space="0"/>
                  </w:tcBorders>
                  <w:noWrap w:val="0"/>
                  <w:vAlign w:val="center"/>
                </w:tcPr>
                <w:p w14:paraId="057E0FD7">
                  <w:pPr>
                    <w:pStyle w:val="7"/>
                    <w:jc w:val="center"/>
                    <w:outlineLvl w:val="3"/>
                    <w:rPr>
                      <w:rFonts w:ascii="Times New Roman" w:hAnsi="Times New Roman"/>
                      <w:color w:val="auto"/>
                    </w:rPr>
                  </w:pPr>
                  <w:r>
                    <w:rPr>
                      <w:rFonts w:hint="eastAsia" w:ascii="Times New Roman" w:hAnsi="Times New Roman"/>
                      <w:color w:val="auto"/>
                    </w:rPr>
                    <w:t>序号</w:t>
                  </w:r>
                </w:p>
              </w:tc>
              <w:tc>
                <w:tcPr>
                  <w:tcW w:w="3444" w:type="dxa"/>
                  <w:tcBorders>
                    <w:bottom w:val="single" w:color="auto" w:sz="12" w:space="0"/>
                  </w:tcBorders>
                  <w:noWrap w:val="0"/>
                  <w:vAlign w:val="center"/>
                </w:tcPr>
                <w:p w14:paraId="4143B19A">
                  <w:pPr>
                    <w:pStyle w:val="7"/>
                    <w:jc w:val="center"/>
                    <w:outlineLvl w:val="3"/>
                    <w:rPr>
                      <w:rFonts w:ascii="Times New Roman" w:hAnsi="Times New Roman"/>
                      <w:color w:val="auto"/>
                      <w:szCs w:val="21"/>
                    </w:rPr>
                  </w:pPr>
                  <w:r>
                    <w:rPr>
                      <w:rFonts w:hint="eastAsia" w:ascii="Times New Roman" w:hAnsi="Times New Roman"/>
                      <w:color w:val="auto"/>
                      <w:szCs w:val="21"/>
                      <w:lang w:val="en-US" w:eastAsia="zh-CN"/>
                    </w:rPr>
                    <w:t>通知</w:t>
                  </w:r>
                  <w:r>
                    <w:rPr>
                      <w:rFonts w:hint="eastAsia" w:ascii="Times New Roman" w:hAnsi="Times New Roman"/>
                      <w:color w:val="auto"/>
                      <w:szCs w:val="21"/>
                    </w:rPr>
                    <w:t>要求</w:t>
                  </w:r>
                </w:p>
              </w:tc>
              <w:tc>
                <w:tcPr>
                  <w:tcW w:w="2123" w:type="dxa"/>
                  <w:tcBorders>
                    <w:bottom w:val="single" w:color="auto" w:sz="12" w:space="0"/>
                  </w:tcBorders>
                  <w:noWrap w:val="0"/>
                  <w:vAlign w:val="center"/>
                </w:tcPr>
                <w:p w14:paraId="3E80F13F">
                  <w:pPr>
                    <w:pStyle w:val="7"/>
                    <w:jc w:val="center"/>
                    <w:outlineLvl w:val="3"/>
                    <w:rPr>
                      <w:rFonts w:ascii="Times New Roman" w:hAnsi="Times New Roman"/>
                      <w:color w:val="auto"/>
                      <w:szCs w:val="21"/>
                    </w:rPr>
                  </w:pPr>
                  <w:r>
                    <w:rPr>
                      <w:rFonts w:hint="eastAsia" w:ascii="Times New Roman" w:hAnsi="Times New Roman"/>
                      <w:color w:val="auto"/>
                      <w:szCs w:val="21"/>
                    </w:rPr>
                    <w:t>项目情况</w:t>
                  </w:r>
                </w:p>
              </w:tc>
              <w:tc>
                <w:tcPr>
                  <w:tcW w:w="903" w:type="dxa"/>
                  <w:tcBorders>
                    <w:bottom w:val="single" w:color="auto" w:sz="12" w:space="0"/>
                  </w:tcBorders>
                  <w:noWrap w:val="0"/>
                  <w:vAlign w:val="center"/>
                </w:tcPr>
                <w:p w14:paraId="1BBE4021">
                  <w:pPr>
                    <w:pStyle w:val="7"/>
                    <w:jc w:val="center"/>
                    <w:outlineLvl w:val="3"/>
                    <w:rPr>
                      <w:rFonts w:ascii="Times New Roman" w:hAnsi="Times New Roman"/>
                      <w:color w:val="auto"/>
                      <w:szCs w:val="21"/>
                    </w:rPr>
                  </w:pPr>
                  <w:r>
                    <w:rPr>
                      <w:rFonts w:ascii="Times New Roman" w:hAnsi="Times New Roman" w:eastAsia="宋体" w:cs="Times New Roman"/>
                      <w:color w:val="auto"/>
                      <w:szCs w:val="21"/>
                    </w:rPr>
                    <w:t>符合性</w:t>
                  </w:r>
                </w:p>
              </w:tc>
            </w:tr>
            <w:tr w14:paraId="3360E7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26" w:hRule="atLeast"/>
              </w:trPr>
              <w:tc>
                <w:tcPr>
                  <w:tcW w:w="643" w:type="dxa"/>
                  <w:tcBorders>
                    <w:top w:val="single" w:color="auto" w:sz="12" w:space="0"/>
                    <w:bottom w:val="single" w:color="auto" w:sz="12" w:space="0"/>
                  </w:tcBorders>
                  <w:noWrap w:val="0"/>
                  <w:vAlign w:val="center"/>
                </w:tcPr>
                <w:p w14:paraId="103BAEB6">
                  <w:pPr>
                    <w:adjustRightInd w:val="0"/>
                    <w:snapToGrid w:val="0"/>
                    <w:jc w:val="center"/>
                    <w:rPr>
                      <w:rFonts w:hint="eastAsia" w:ascii="宋体" w:hAnsi="宋体" w:eastAsia="宋体" w:cs="宋体"/>
                      <w:color w:val="auto"/>
                      <w:spacing w:val="0"/>
                      <w:sz w:val="21"/>
                      <w:lang w:val="en-US" w:eastAsia="zh-CN"/>
                    </w:rPr>
                  </w:pPr>
                  <w:r>
                    <w:rPr>
                      <w:rFonts w:hint="eastAsia" w:ascii="宋体" w:hAnsi="宋体" w:cs="宋体"/>
                      <w:color w:val="auto"/>
                      <w:spacing w:val="0"/>
                      <w:sz w:val="21"/>
                      <w:lang w:val="en-US" w:eastAsia="zh-CN"/>
                    </w:rPr>
                    <w:t>2</w:t>
                  </w:r>
                </w:p>
              </w:tc>
              <w:tc>
                <w:tcPr>
                  <w:tcW w:w="3444" w:type="dxa"/>
                  <w:tcBorders>
                    <w:top w:val="single" w:color="auto" w:sz="12" w:space="0"/>
                    <w:bottom w:val="single" w:color="auto" w:sz="12" w:space="0"/>
                  </w:tcBorders>
                  <w:noWrap w:val="0"/>
                  <w:vAlign w:val="center"/>
                </w:tcPr>
                <w:p w14:paraId="38139299">
                  <w:pPr>
                    <w:numPr>
                      <w:ilvl w:val="0"/>
                      <w:numId w:val="0"/>
                    </w:numPr>
                    <w:spacing w:line="240" w:lineRule="auto"/>
                    <w:jc w:val="both"/>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七、有机废气治理设施</w:t>
                  </w:r>
                </w:p>
                <w:p w14:paraId="20AFD00A">
                  <w:pPr>
                    <w:numPr>
                      <w:ilvl w:val="0"/>
                      <w:numId w:val="0"/>
                    </w:numPr>
                    <w:spacing w:line="240" w:lineRule="auto"/>
                    <w:jc w:val="both"/>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治理要求。新建治理设施或对现有治理设施实施改造，应依据排放废气特征、VOC</w:t>
                  </w:r>
                  <w:r>
                    <w:rPr>
                      <w:rFonts w:hint="eastAsia" w:ascii="Times New Roman" w:hAnsi="Times New Roman" w:eastAsia="宋体" w:cs="Times New Roman"/>
                      <w:color w:val="auto"/>
                      <w:spacing w:val="0"/>
                      <w:sz w:val="21"/>
                      <w:szCs w:val="21"/>
                      <w:highlight w:val="none"/>
                      <w:vertAlign w:val="subscript"/>
                      <w:lang w:val="en-US" w:eastAsia="zh-CN"/>
                    </w:rPr>
                    <w:t>S</w:t>
                  </w:r>
                  <w:r>
                    <w:rPr>
                      <w:rFonts w:hint="eastAsia" w:ascii="Times New Roman" w:hAnsi="Times New Roman" w:eastAsia="宋体" w:cs="Times New Roman"/>
                      <w:color w:val="auto"/>
                      <w:spacing w:val="0"/>
                      <w:sz w:val="21"/>
                      <w:szCs w:val="21"/>
                      <w:highlight w:val="none"/>
                      <w:lang w:val="en-US" w:eastAsia="zh-CN"/>
                    </w:rPr>
                    <w:t>组分及浓度、生产工况等，合理选择治理技术；对治理难度大、单一治理工艺难以稳定达标的，宜采用多种技术的组合工艺；除恶臭异味治理外，一般不使用低温等离子、光催化、光氧化等技术。</w:t>
                  </w:r>
                </w:p>
                <w:p w14:paraId="5DA23570">
                  <w:pPr>
                    <w:numPr>
                      <w:ilvl w:val="0"/>
                      <w:numId w:val="0"/>
                    </w:numPr>
                    <w:spacing w:line="240" w:lineRule="auto"/>
                    <w:jc w:val="both"/>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加强运行维护管理，做到治理设施较生产设备“先启后停”，在治理设施达到正常运行条件后方可启动生产设备，在生产设备停止、残留VOC</w:t>
                  </w:r>
                  <w:r>
                    <w:rPr>
                      <w:rFonts w:hint="eastAsia" w:ascii="Times New Roman" w:hAnsi="Times New Roman" w:eastAsia="宋体" w:cs="Times New Roman"/>
                      <w:color w:val="auto"/>
                      <w:spacing w:val="0"/>
                      <w:sz w:val="21"/>
                      <w:szCs w:val="21"/>
                      <w:highlight w:val="none"/>
                      <w:vertAlign w:val="subscript"/>
                      <w:lang w:val="en-US" w:eastAsia="zh-CN"/>
                    </w:rPr>
                    <w:t>S</w:t>
                  </w:r>
                  <w:r>
                    <w:rPr>
                      <w:rFonts w:hint="eastAsia" w:ascii="Times New Roman" w:hAnsi="Times New Roman" w:eastAsia="宋体" w:cs="Times New Roman"/>
                      <w:color w:val="auto"/>
                      <w:spacing w:val="0"/>
                      <w:sz w:val="21"/>
                      <w:szCs w:val="21"/>
                      <w:highlight w:val="none"/>
                      <w:lang w:val="en-US" w:eastAsia="zh-CN"/>
                    </w:rPr>
                    <w:t>废气收集处理完毕后，方可停运治理设施；及时清理、更换吸附剂、吸收剂、催化剂、蓄热体、过滤棉、灯管、电器元件等治理设施耗材，确保设施能够稳定高效运行；做好生产设备和治理设施启停机时间、检维修情况、治理设施耗材维护更换、处置情况等台账记录</w:t>
                  </w:r>
                  <w:r>
                    <w:rPr>
                      <w:rFonts w:hint="eastAsia" w:ascii="Times New Roman" w:hAnsi="Times New Roman" w:eastAsia="宋体" w:cs="Times New Roman"/>
                      <w:color w:val="auto"/>
                      <w:spacing w:val="-6"/>
                      <w:sz w:val="21"/>
                      <w:szCs w:val="21"/>
                      <w:highlight w:val="none"/>
                      <w:lang w:val="en-US" w:eastAsia="zh-CN"/>
                    </w:rPr>
                    <w:t>；对于VOC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eastAsia" w:ascii="Times New Roman" w:hAnsi="Times New Roman" w:eastAsia="宋体" w:cs="Times New Roman"/>
                      <w:color w:val="auto"/>
                      <w:spacing w:val="-6"/>
                      <w:sz w:val="21"/>
                      <w:szCs w:val="21"/>
                      <w:highlight w:val="none"/>
                      <w:lang w:val="en-US" w:eastAsia="zh-CN"/>
                    </w:rPr>
                    <w:t>治理设施产生的废过滤棉、废催化剂、废吸附剂、废吸收剂、</w:t>
                  </w:r>
                  <w:r>
                    <w:rPr>
                      <w:rFonts w:hint="eastAsia" w:ascii="Times New Roman" w:hAnsi="Times New Roman" w:eastAsia="宋体" w:cs="Times New Roman"/>
                      <w:color w:val="auto"/>
                      <w:spacing w:val="0"/>
                      <w:sz w:val="21"/>
                      <w:szCs w:val="21"/>
                      <w:highlight w:val="none"/>
                      <w:lang w:val="en-US" w:eastAsia="zh-CN"/>
                    </w:rPr>
                    <w:t>废有机溶剂等，应及时清运，属于危险废物的应交有资质的单位处理处置。</w:t>
                  </w:r>
                </w:p>
                <w:p w14:paraId="12C8FF3F">
                  <w:pPr>
                    <w:numPr>
                      <w:ilvl w:val="0"/>
                      <w:numId w:val="0"/>
                    </w:numPr>
                    <w:spacing w:line="240" w:lineRule="auto"/>
                    <w:jc w:val="both"/>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采用活性炭吸附工艺的企业，应根据废气排放特征，按照相关工程技术规范设计净化工艺和设备，使废气在吸附装置中有足够的停留时间，选择符合相关产品质量标准的活性炭</w:t>
                  </w:r>
                  <w:r>
                    <w:rPr>
                      <w:rFonts w:hint="eastAsia" w:ascii="Times New Roman" w:hAnsi="Times New Roman" w:eastAsia="宋体" w:cs="Times New Roman"/>
                      <w:color w:val="auto"/>
                      <w:spacing w:val="-6"/>
                      <w:sz w:val="21"/>
                      <w:szCs w:val="21"/>
                      <w:highlight w:val="none"/>
                      <w:lang w:val="en-US" w:eastAsia="zh-CN"/>
                    </w:rPr>
                    <w:t>，并足额充填、及时更换。……</w:t>
                  </w:r>
                </w:p>
                <w:p w14:paraId="16F4D253">
                  <w:pPr>
                    <w:numPr>
                      <w:ilvl w:val="0"/>
                      <w:numId w:val="0"/>
                    </w:numPr>
                    <w:spacing w:line="240" w:lineRule="auto"/>
                    <w:jc w:val="both"/>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6"/>
                      <w:sz w:val="21"/>
                      <w:szCs w:val="21"/>
                      <w:highlight w:val="none"/>
                      <w:lang w:val="en-US" w:eastAsia="zh-CN"/>
                    </w:rPr>
                    <w:t>采用催化燃烧工艺的企业应使用合格的催化剂并足额添加，催化剂床层的设计空速宜低于40000h</w:t>
                  </w:r>
                  <w:r>
                    <w:rPr>
                      <w:rFonts w:hint="eastAsia" w:ascii="Times New Roman" w:hAnsi="Times New Roman" w:eastAsia="宋体" w:cs="Times New Roman"/>
                      <w:color w:val="auto"/>
                      <w:spacing w:val="-6"/>
                      <w:sz w:val="21"/>
                      <w:szCs w:val="21"/>
                      <w:highlight w:val="none"/>
                      <w:vertAlign w:val="superscript"/>
                      <w:lang w:val="en-US" w:eastAsia="zh-CN"/>
                    </w:rPr>
                    <w:t>-1</w:t>
                  </w:r>
                  <w:r>
                    <w:rPr>
                      <w:rFonts w:hint="eastAsia" w:ascii="Times New Roman" w:hAnsi="Times New Roman" w:eastAsia="宋体" w:cs="Times New Roman"/>
                      <w:color w:val="auto"/>
                      <w:spacing w:val="-6"/>
                      <w:sz w:val="21"/>
                      <w:szCs w:val="21"/>
                      <w:highlight w:val="none"/>
                      <w:lang w:val="en-US" w:eastAsia="zh-CN"/>
                    </w:rPr>
                    <w:t>。采用非连续吸脱附治理工艺的，应按设计要求及时解吸吸附的VOC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eastAsia" w:ascii="Times New Roman" w:hAnsi="Times New Roman" w:eastAsia="宋体" w:cs="Times New Roman"/>
                      <w:color w:val="auto"/>
                      <w:spacing w:val="-6"/>
                      <w:sz w:val="21"/>
                      <w:szCs w:val="21"/>
                      <w:highlight w:val="none"/>
                      <w:lang w:val="en-US" w:eastAsia="zh-CN"/>
                    </w:rPr>
                    <w:t>，</w:t>
                  </w:r>
                  <w:r>
                    <w:rPr>
                      <w:rFonts w:hint="eastAsia" w:ascii="Times New Roman" w:hAnsi="Times New Roman" w:eastAsia="宋体" w:cs="Times New Roman"/>
                      <w:color w:val="auto"/>
                      <w:spacing w:val="0"/>
                      <w:sz w:val="21"/>
                      <w:szCs w:val="21"/>
                      <w:highlight w:val="none"/>
                      <w:lang w:val="en-US" w:eastAsia="zh-CN"/>
                    </w:rPr>
                    <w:t>解吸气体应保证采用高效处理工艺处理后达标排放</w:t>
                  </w:r>
                  <w:r>
                    <w:rPr>
                      <w:rFonts w:hint="eastAsia" w:ascii="Times New Roman" w:hAnsi="Times New Roman" w:eastAsia="宋体" w:cs="Times New Roman"/>
                      <w:color w:val="auto"/>
                      <w:spacing w:val="-6"/>
                      <w:sz w:val="21"/>
                      <w:szCs w:val="21"/>
                      <w:highlight w:val="none"/>
                      <w:lang w:val="en-US" w:eastAsia="zh-CN"/>
                    </w:rPr>
                    <w:t>。蓄热式燃烧装置（RTO）燃烧温度一般不低于760℃，催化燃烧装置（CO）燃烧温度一般不低于300℃，相关温度参数应自动记录存储。……</w:t>
                  </w:r>
                </w:p>
              </w:tc>
              <w:tc>
                <w:tcPr>
                  <w:tcW w:w="2123" w:type="dxa"/>
                  <w:tcBorders>
                    <w:top w:val="single" w:color="auto" w:sz="12" w:space="0"/>
                    <w:bottom w:val="single" w:color="auto" w:sz="12" w:space="0"/>
                  </w:tcBorders>
                  <w:noWrap w:val="0"/>
                  <w:vAlign w:val="center"/>
                </w:tcPr>
                <w:p w14:paraId="0C9F04B9">
                  <w:pPr>
                    <w:numPr>
                      <w:ilvl w:val="0"/>
                      <w:numId w:val="0"/>
                    </w:numPr>
                    <w:spacing w:line="240" w:lineRule="auto"/>
                    <w:jc w:val="both"/>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本项目遵循</w:t>
                  </w:r>
                  <w:r>
                    <w:rPr>
                      <w:rFonts w:hint="eastAsia" w:ascii="Times New Roman" w:hAnsi="Times New Roman" w:eastAsia="宋体" w:cs="Times New Roman"/>
                      <w:color w:val="auto"/>
                      <w:spacing w:val="-6"/>
                      <w:sz w:val="21"/>
                      <w:szCs w:val="21"/>
                      <w:highlight w:val="none"/>
                      <w:lang w:val="en-US" w:eastAsia="zh-CN"/>
                    </w:rPr>
                    <w:t>“</w:t>
                  </w:r>
                  <w:r>
                    <w:rPr>
                      <w:rFonts w:hint="default" w:ascii="Times New Roman" w:hAnsi="Times New Roman" w:eastAsia="宋体" w:cs="Times New Roman"/>
                      <w:color w:val="auto"/>
                      <w:spacing w:val="-6"/>
                      <w:sz w:val="21"/>
                      <w:szCs w:val="21"/>
                      <w:highlight w:val="none"/>
                      <w:lang w:val="en-US" w:eastAsia="zh-CN"/>
                    </w:rPr>
                    <w:t>应收尽收、分质收集</w:t>
                  </w:r>
                  <w:r>
                    <w:rPr>
                      <w:rFonts w:hint="eastAsia" w:ascii="Times New Roman" w:hAnsi="Times New Roman" w:eastAsia="宋体" w:cs="Times New Roman"/>
                      <w:color w:val="auto"/>
                      <w:spacing w:val="-6"/>
                      <w:sz w:val="21"/>
                      <w:szCs w:val="21"/>
                      <w:highlight w:val="none"/>
                      <w:lang w:val="en-US" w:eastAsia="zh-CN"/>
                    </w:rPr>
                    <w:t>”</w:t>
                  </w:r>
                  <w:r>
                    <w:rPr>
                      <w:rFonts w:hint="default" w:ascii="Times New Roman" w:hAnsi="Times New Roman" w:eastAsia="宋体" w:cs="Times New Roman"/>
                      <w:color w:val="auto"/>
                      <w:spacing w:val="-6"/>
                      <w:sz w:val="21"/>
                      <w:szCs w:val="21"/>
                      <w:highlight w:val="none"/>
                      <w:lang w:val="en-US" w:eastAsia="zh-CN"/>
                    </w:rPr>
                    <w:t>的原则，</w:t>
                  </w:r>
                  <w:r>
                    <w:rPr>
                      <w:rFonts w:hint="eastAsia" w:ascii="Times New Roman" w:hAnsi="Times New Roman" w:eastAsia="宋体" w:cs="Times New Roman"/>
                      <w:color w:val="auto"/>
                      <w:spacing w:val="-6"/>
                      <w:sz w:val="21"/>
                      <w:szCs w:val="21"/>
                      <w:highlight w:val="none"/>
                      <w:lang w:val="en-US" w:eastAsia="zh-CN"/>
                    </w:rPr>
                    <w:t>涂装工序</w:t>
                  </w:r>
                  <w:r>
                    <w:rPr>
                      <w:rFonts w:hint="default" w:ascii="Times New Roman" w:hAnsi="Times New Roman" w:eastAsia="宋体" w:cs="Times New Roman"/>
                      <w:color w:val="auto"/>
                      <w:spacing w:val="-6"/>
                      <w:sz w:val="21"/>
                      <w:szCs w:val="21"/>
                      <w:highlight w:val="none"/>
                      <w:lang w:val="en-US" w:eastAsia="zh-CN"/>
                    </w:rPr>
                    <w:t>设废气</w:t>
                  </w:r>
                  <w:r>
                    <w:rPr>
                      <w:rFonts w:hint="eastAsia" w:ascii="Times New Roman" w:hAnsi="Times New Roman" w:eastAsia="宋体" w:cs="Times New Roman"/>
                      <w:color w:val="auto"/>
                      <w:spacing w:val="-6"/>
                      <w:sz w:val="21"/>
                      <w:szCs w:val="21"/>
                      <w:highlight w:val="none"/>
                      <w:lang w:val="en-US" w:eastAsia="zh-CN"/>
                    </w:rPr>
                    <w:t>收集装置和净化设施</w:t>
                  </w:r>
                  <w:r>
                    <w:rPr>
                      <w:rFonts w:hint="default" w:ascii="Times New Roman" w:hAnsi="Times New Roman" w:eastAsia="宋体" w:cs="Times New Roman"/>
                      <w:color w:val="auto"/>
                      <w:spacing w:val="-6"/>
                      <w:sz w:val="21"/>
                      <w:szCs w:val="21"/>
                      <w:highlight w:val="none"/>
                      <w:lang w:val="en-US" w:eastAsia="zh-CN"/>
                    </w:rPr>
                    <w:t>，采用</w:t>
                  </w:r>
                  <w:r>
                    <w:rPr>
                      <w:rFonts w:hint="eastAsia" w:ascii="Times New Roman" w:hAnsi="Times New Roman" w:eastAsia="宋体" w:cs="Times New Roman"/>
                      <w:color w:val="auto"/>
                      <w:spacing w:val="-6"/>
                      <w:sz w:val="21"/>
                      <w:szCs w:val="21"/>
                      <w:highlight w:val="none"/>
                      <w:lang w:val="en-US" w:eastAsia="zh-CN"/>
                    </w:rPr>
                    <w:t>“</w:t>
                  </w:r>
                  <w:r>
                    <w:rPr>
                      <w:rFonts w:hint="default" w:ascii="Times New Roman" w:hAnsi="Times New Roman" w:eastAsia="宋体" w:cs="Times New Roman"/>
                      <w:color w:val="auto"/>
                      <w:spacing w:val="-6"/>
                      <w:sz w:val="21"/>
                      <w:szCs w:val="21"/>
                      <w:highlight w:val="none"/>
                      <w:lang w:val="en-US" w:eastAsia="zh-CN"/>
                    </w:rPr>
                    <w:t>干式漆雾过滤模组+活性炭吸附-脱附+催化燃烧装置</w:t>
                  </w:r>
                  <w:r>
                    <w:rPr>
                      <w:rFonts w:hint="eastAsia" w:ascii="Times New Roman" w:hAnsi="Times New Roman" w:eastAsia="宋体" w:cs="Times New Roman"/>
                      <w:color w:val="auto"/>
                      <w:spacing w:val="-6"/>
                      <w:sz w:val="21"/>
                      <w:szCs w:val="21"/>
                      <w:highlight w:val="none"/>
                      <w:lang w:val="en-US" w:eastAsia="zh-CN"/>
                    </w:rPr>
                    <w:t>”多种技术组合工艺；</w:t>
                  </w:r>
                  <w:r>
                    <w:rPr>
                      <w:rFonts w:hint="default" w:ascii="Times New Roman" w:hAnsi="Times New Roman" w:eastAsia="宋体" w:cs="Times New Roman"/>
                      <w:color w:val="auto"/>
                      <w:spacing w:val="-6"/>
                      <w:sz w:val="21"/>
                      <w:szCs w:val="21"/>
                      <w:highlight w:val="none"/>
                      <w:lang w:val="en-US" w:eastAsia="zh-CN"/>
                    </w:rPr>
                    <w:t>加强运行维护管理，做到治理设施较生产设备</w:t>
                  </w:r>
                  <w:r>
                    <w:rPr>
                      <w:rFonts w:hint="eastAsia" w:ascii="Times New Roman" w:hAnsi="Times New Roman" w:eastAsia="宋体" w:cs="Times New Roman"/>
                      <w:color w:val="auto"/>
                      <w:spacing w:val="-6"/>
                      <w:sz w:val="21"/>
                      <w:szCs w:val="21"/>
                      <w:highlight w:val="none"/>
                      <w:lang w:val="en-US" w:eastAsia="zh-CN"/>
                    </w:rPr>
                    <w:t>“</w:t>
                  </w:r>
                  <w:r>
                    <w:rPr>
                      <w:rFonts w:hint="default" w:ascii="Times New Roman" w:hAnsi="Times New Roman" w:eastAsia="宋体" w:cs="Times New Roman"/>
                      <w:color w:val="auto"/>
                      <w:spacing w:val="-6"/>
                      <w:sz w:val="21"/>
                      <w:szCs w:val="21"/>
                      <w:highlight w:val="none"/>
                      <w:lang w:val="en-US" w:eastAsia="zh-CN"/>
                    </w:rPr>
                    <w:t>先启后停</w:t>
                  </w:r>
                  <w:r>
                    <w:rPr>
                      <w:rFonts w:hint="eastAsia" w:ascii="Times New Roman" w:hAnsi="Times New Roman" w:eastAsia="宋体" w:cs="Times New Roman"/>
                      <w:color w:val="auto"/>
                      <w:spacing w:val="-6"/>
                      <w:sz w:val="21"/>
                      <w:szCs w:val="21"/>
                      <w:highlight w:val="none"/>
                      <w:lang w:val="en-US" w:eastAsia="zh-CN"/>
                    </w:rPr>
                    <w:t>”</w:t>
                  </w:r>
                  <w:r>
                    <w:rPr>
                      <w:rFonts w:hint="default" w:ascii="Times New Roman" w:hAnsi="Times New Roman" w:eastAsia="宋体" w:cs="Times New Roman"/>
                      <w:color w:val="auto"/>
                      <w:spacing w:val="-6"/>
                      <w:sz w:val="21"/>
                      <w:szCs w:val="21"/>
                      <w:highlight w:val="none"/>
                      <w:lang w:val="en-US" w:eastAsia="zh-CN"/>
                    </w:rPr>
                    <w:t>，及时清理、更换吸附剂、催化剂、过滤棉等治理设施耗材，确保设施能够稳定高效运行；</w:t>
                  </w:r>
                  <w:r>
                    <w:rPr>
                      <w:rFonts w:hint="eastAsia" w:ascii="Times New Roman" w:hAnsi="Times New Roman" w:eastAsia="宋体" w:cs="Times New Roman"/>
                      <w:color w:val="auto"/>
                      <w:spacing w:val="-6"/>
                      <w:sz w:val="21"/>
                      <w:szCs w:val="21"/>
                      <w:highlight w:val="none"/>
                      <w:lang w:val="en-US" w:eastAsia="zh-CN"/>
                    </w:rPr>
                    <w:t>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eastAsia" w:ascii="Times New Roman" w:hAnsi="Times New Roman" w:eastAsia="宋体" w:cs="Times New Roman"/>
                      <w:color w:val="auto"/>
                      <w:spacing w:val="-6"/>
                      <w:sz w:val="21"/>
                      <w:szCs w:val="21"/>
                      <w:highlight w:val="none"/>
                      <w:lang w:val="en-US" w:eastAsia="zh-CN"/>
                    </w:rPr>
                    <w:t>治理设施</w:t>
                  </w:r>
                  <w:r>
                    <w:rPr>
                      <w:rFonts w:hint="default" w:ascii="Times New Roman" w:hAnsi="Times New Roman" w:eastAsia="宋体" w:cs="Times New Roman"/>
                      <w:color w:val="auto"/>
                      <w:spacing w:val="-6"/>
                      <w:sz w:val="21"/>
                      <w:szCs w:val="21"/>
                      <w:highlight w:val="none"/>
                      <w:lang w:val="en-US" w:eastAsia="zh-CN"/>
                    </w:rPr>
                    <w:t>产生的</w:t>
                  </w:r>
                  <w:r>
                    <w:rPr>
                      <w:rFonts w:hint="eastAsia" w:ascii="Times New Roman" w:hAnsi="Times New Roman" w:eastAsia="宋体" w:cs="Times New Roman"/>
                      <w:color w:val="auto"/>
                      <w:spacing w:val="-6"/>
                      <w:sz w:val="21"/>
                      <w:szCs w:val="21"/>
                      <w:highlight w:val="none"/>
                      <w:lang w:val="en-US" w:eastAsia="zh-CN"/>
                    </w:rPr>
                    <w:t>固体废物均能够按要求妥善处理，</w:t>
                  </w:r>
                  <w:r>
                    <w:rPr>
                      <w:rFonts w:hint="default" w:ascii="Times New Roman" w:hAnsi="Times New Roman" w:eastAsia="宋体" w:cs="Times New Roman"/>
                      <w:color w:val="auto"/>
                      <w:spacing w:val="-6"/>
                      <w:sz w:val="21"/>
                      <w:szCs w:val="21"/>
                      <w:highlight w:val="none"/>
                      <w:lang w:val="en-US" w:eastAsia="zh-CN"/>
                    </w:rPr>
                    <w:t>项目有机废气治理设施符合</w:t>
                  </w:r>
                  <w:r>
                    <w:rPr>
                      <w:rFonts w:hint="eastAsia" w:ascii="Times New Roman" w:hAnsi="Times New Roman" w:eastAsia="宋体" w:cs="Times New Roman"/>
                      <w:color w:val="auto"/>
                      <w:spacing w:val="-6"/>
                      <w:sz w:val="21"/>
                      <w:szCs w:val="21"/>
                      <w:highlight w:val="none"/>
                      <w:lang w:val="en-US" w:eastAsia="zh-CN"/>
                    </w:rPr>
                    <w:t>治理</w:t>
                  </w:r>
                  <w:r>
                    <w:rPr>
                      <w:rFonts w:hint="default" w:ascii="Times New Roman" w:hAnsi="Times New Roman" w:eastAsia="宋体" w:cs="Times New Roman"/>
                      <w:color w:val="auto"/>
                      <w:spacing w:val="-6"/>
                      <w:sz w:val="21"/>
                      <w:szCs w:val="21"/>
                      <w:highlight w:val="none"/>
                      <w:lang w:val="en-US" w:eastAsia="zh-CN"/>
                    </w:rPr>
                    <w:t>要求。</w:t>
                  </w:r>
                </w:p>
              </w:tc>
              <w:tc>
                <w:tcPr>
                  <w:tcW w:w="903" w:type="dxa"/>
                  <w:tcBorders>
                    <w:top w:val="single" w:color="auto" w:sz="12" w:space="0"/>
                    <w:bottom w:val="single" w:color="auto" w:sz="12" w:space="0"/>
                  </w:tcBorders>
                  <w:noWrap w:val="0"/>
                  <w:vAlign w:val="center"/>
                </w:tcPr>
                <w:p w14:paraId="25AFB551">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符合</w:t>
                  </w:r>
                </w:p>
              </w:tc>
            </w:tr>
          </w:tbl>
          <w:p w14:paraId="24D74B16">
            <w:pPr>
              <w:spacing w:before="120" w:beforeLines="50" w:line="360" w:lineRule="auto"/>
              <w:ind w:firstLine="480" w:firstLineChars="200"/>
              <w:rPr>
                <w:rFonts w:hint="eastAsia" w:ascii="宋体" w:hAnsi="宋体" w:cs="宋体"/>
                <w:color w:val="auto"/>
                <w:sz w:val="24"/>
              </w:rPr>
            </w:pPr>
            <w:r>
              <w:rPr>
                <w:rFonts w:hint="eastAsia" w:ascii="宋体" w:hAnsi="宋体" w:eastAsia="宋体" w:cs="宋体"/>
                <w:color w:val="auto"/>
                <w:sz w:val="24"/>
              </w:rPr>
              <w:t>综上，本项目</w:t>
            </w:r>
            <w:r>
              <w:rPr>
                <w:rFonts w:hint="eastAsia" w:ascii="宋体" w:hAnsi="宋体" w:eastAsia="宋体" w:cs="宋体"/>
                <w:color w:val="auto"/>
                <w:sz w:val="24"/>
                <w:lang w:val="en-US" w:eastAsia="zh-CN"/>
              </w:rPr>
              <w:t>建设</w:t>
            </w:r>
            <w:r>
              <w:rPr>
                <w:rFonts w:hint="eastAsia" w:ascii="宋体" w:hAnsi="宋体" w:eastAsia="宋体" w:cs="宋体"/>
                <w:color w:val="auto"/>
                <w:sz w:val="24"/>
              </w:rPr>
              <w:t>符合《关于加快解决当前挥发性有机物治理突出问题的通知》相关要求。</w:t>
            </w:r>
          </w:p>
          <w:p w14:paraId="3BFDAD52">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（4）与《新疆维吾尔自治区大气污染防治条例》符合性分析</w:t>
            </w:r>
          </w:p>
          <w:p w14:paraId="0BBABABB">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Times New Roman" w:hAnsi="Times New Roman" w:eastAsia="宋体" w:cs="Times New Roman"/>
                <w:b/>
                <w:bCs/>
                <w:color w:val="auto"/>
              </w:rPr>
            </w:pPr>
            <w:r>
              <w:rPr>
                <w:rFonts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 xml:space="preserve">1-6 </w:t>
            </w:r>
            <w:r>
              <w:rPr>
                <w:rFonts w:hint="eastAsia" w:ascii="Times New Roman" w:hAnsi="Times New Roman" w:eastAsia="宋体" w:cs="Times New Roman"/>
                <w:b/>
                <w:bCs/>
                <w:color w:val="auto"/>
              </w:rPr>
              <w:t>与《新疆维吾尔自治区大气污染防治条例》</w:t>
            </w:r>
            <w:r>
              <w:rPr>
                <w:rFonts w:ascii="Times New Roman" w:hAnsi="Times New Roman" w:eastAsia="宋体" w:cs="Times New Roman"/>
                <w:b/>
                <w:bCs/>
                <w:color w:val="auto"/>
              </w:rPr>
              <w:t>符合性分析</w:t>
            </w:r>
          </w:p>
          <w:tbl>
            <w:tblPr>
              <w:tblStyle w:val="26"/>
              <w:tblW w:w="7113"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2979"/>
              <w:gridCol w:w="2588"/>
              <w:gridCol w:w="903"/>
            </w:tblGrid>
            <w:tr w14:paraId="163712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43" w:type="dxa"/>
                  <w:tcBorders>
                    <w:bottom w:val="single" w:color="auto" w:sz="12" w:space="0"/>
                  </w:tcBorders>
                  <w:noWrap w:val="0"/>
                  <w:vAlign w:val="center"/>
                </w:tcPr>
                <w:p w14:paraId="5D1D57B7">
                  <w:pPr>
                    <w:pStyle w:val="7"/>
                    <w:jc w:val="center"/>
                    <w:outlineLvl w:val="3"/>
                    <w:rPr>
                      <w:rFonts w:ascii="Times New Roman" w:hAnsi="Times New Roman"/>
                      <w:color w:val="auto"/>
                    </w:rPr>
                  </w:pPr>
                  <w:r>
                    <w:rPr>
                      <w:rFonts w:hint="eastAsia" w:ascii="Times New Roman" w:hAnsi="Times New Roman"/>
                      <w:color w:val="auto"/>
                    </w:rPr>
                    <w:t>序号</w:t>
                  </w:r>
                </w:p>
              </w:tc>
              <w:tc>
                <w:tcPr>
                  <w:tcW w:w="2979" w:type="dxa"/>
                  <w:tcBorders>
                    <w:bottom w:val="single" w:color="auto" w:sz="12" w:space="0"/>
                  </w:tcBorders>
                  <w:noWrap w:val="0"/>
                  <w:vAlign w:val="center"/>
                </w:tcPr>
                <w:p w14:paraId="7B480178">
                  <w:pPr>
                    <w:pStyle w:val="7"/>
                    <w:jc w:val="center"/>
                    <w:outlineLvl w:val="3"/>
                    <w:rPr>
                      <w:rFonts w:ascii="Times New Roman" w:hAnsi="Times New Roman"/>
                      <w:color w:val="auto"/>
                      <w:szCs w:val="21"/>
                    </w:rPr>
                  </w:pPr>
                  <w:r>
                    <w:rPr>
                      <w:rFonts w:hint="eastAsia" w:ascii="Times New Roman" w:hAnsi="Times New Roman"/>
                      <w:color w:val="auto"/>
                      <w:szCs w:val="21"/>
                      <w:lang w:val="en-US" w:eastAsia="zh-CN"/>
                    </w:rPr>
                    <w:t>条例</w:t>
                  </w:r>
                  <w:r>
                    <w:rPr>
                      <w:rFonts w:hint="eastAsia" w:ascii="Times New Roman" w:hAnsi="Times New Roman"/>
                      <w:color w:val="auto"/>
                      <w:szCs w:val="21"/>
                    </w:rPr>
                    <w:t>要求</w:t>
                  </w:r>
                </w:p>
              </w:tc>
              <w:tc>
                <w:tcPr>
                  <w:tcW w:w="2588" w:type="dxa"/>
                  <w:tcBorders>
                    <w:bottom w:val="single" w:color="auto" w:sz="12" w:space="0"/>
                  </w:tcBorders>
                  <w:noWrap w:val="0"/>
                  <w:vAlign w:val="center"/>
                </w:tcPr>
                <w:p w14:paraId="4027EAAD">
                  <w:pPr>
                    <w:pStyle w:val="7"/>
                    <w:jc w:val="center"/>
                    <w:outlineLvl w:val="3"/>
                    <w:rPr>
                      <w:rFonts w:ascii="Times New Roman" w:hAnsi="Times New Roman"/>
                      <w:color w:val="auto"/>
                      <w:szCs w:val="21"/>
                    </w:rPr>
                  </w:pPr>
                  <w:r>
                    <w:rPr>
                      <w:rFonts w:hint="eastAsia" w:ascii="Times New Roman" w:hAnsi="Times New Roman"/>
                      <w:color w:val="auto"/>
                      <w:szCs w:val="21"/>
                    </w:rPr>
                    <w:t>项目情况</w:t>
                  </w:r>
                </w:p>
              </w:tc>
              <w:tc>
                <w:tcPr>
                  <w:tcW w:w="903" w:type="dxa"/>
                  <w:tcBorders>
                    <w:bottom w:val="single" w:color="auto" w:sz="12" w:space="0"/>
                  </w:tcBorders>
                  <w:noWrap w:val="0"/>
                  <w:vAlign w:val="center"/>
                </w:tcPr>
                <w:p w14:paraId="3A6EC6CA">
                  <w:pPr>
                    <w:pStyle w:val="7"/>
                    <w:jc w:val="center"/>
                    <w:outlineLvl w:val="3"/>
                    <w:rPr>
                      <w:rFonts w:ascii="Times New Roman" w:hAnsi="Times New Roman"/>
                      <w:color w:val="auto"/>
                      <w:szCs w:val="21"/>
                    </w:rPr>
                  </w:pPr>
                  <w:r>
                    <w:rPr>
                      <w:rFonts w:ascii="Times New Roman" w:hAnsi="Times New Roman" w:eastAsia="宋体" w:cs="Times New Roman"/>
                      <w:color w:val="auto"/>
                      <w:szCs w:val="21"/>
                    </w:rPr>
                    <w:t>符合性</w:t>
                  </w:r>
                </w:p>
              </w:tc>
            </w:tr>
            <w:tr w14:paraId="652AA6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53" w:hRule="atLeast"/>
              </w:trPr>
              <w:tc>
                <w:tcPr>
                  <w:tcW w:w="643" w:type="dxa"/>
                  <w:tcBorders>
                    <w:top w:val="single" w:color="auto" w:sz="12" w:space="0"/>
                    <w:bottom w:val="single" w:color="auto" w:sz="8" w:space="0"/>
                  </w:tcBorders>
                  <w:noWrap w:val="0"/>
                  <w:vAlign w:val="center"/>
                </w:tcPr>
                <w:p w14:paraId="71041208">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1</w:t>
                  </w:r>
                </w:p>
              </w:tc>
              <w:tc>
                <w:tcPr>
                  <w:tcW w:w="2979" w:type="dxa"/>
                  <w:tcBorders>
                    <w:top w:val="single" w:color="auto" w:sz="12" w:space="0"/>
                    <w:bottom w:val="single" w:color="auto" w:sz="8" w:space="0"/>
                  </w:tcBorders>
                  <w:noWrap w:val="0"/>
                  <w:vAlign w:val="center"/>
                </w:tcPr>
                <w:p w14:paraId="62F7CB67">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第二十七条 禁止在自治区行政区域内引进能（水）耗不符合相关国家标准中准入值要求且污染物排放和环境风险防控不符合国家（地方）标准及有关产业准入条件的高污染（排放）、高能（水）耗、高环境风险的工业项目。</w:t>
                  </w:r>
                </w:p>
              </w:tc>
              <w:tc>
                <w:tcPr>
                  <w:tcW w:w="2588" w:type="dxa"/>
                  <w:tcBorders>
                    <w:top w:val="single" w:color="auto" w:sz="12" w:space="0"/>
                    <w:bottom w:val="single" w:color="auto" w:sz="8" w:space="0"/>
                  </w:tcBorders>
                  <w:noWrap w:val="0"/>
                  <w:vAlign w:val="center"/>
                </w:tcPr>
                <w:p w14:paraId="5824C54B">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本项目符合相关产业政策要求，不属于高污染（排放）、高能（水）耗、高环境风险的工业项目。</w:t>
                  </w:r>
                </w:p>
              </w:tc>
              <w:tc>
                <w:tcPr>
                  <w:tcW w:w="903" w:type="dxa"/>
                  <w:tcBorders>
                    <w:top w:val="single" w:color="auto" w:sz="12" w:space="0"/>
                    <w:bottom w:val="single" w:color="auto" w:sz="8" w:space="0"/>
                  </w:tcBorders>
                  <w:noWrap w:val="0"/>
                  <w:vAlign w:val="center"/>
                </w:tcPr>
                <w:p w14:paraId="5FBE58C8">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符合</w:t>
                  </w:r>
                </w:p>
              </w:tc>
            </w:tr>
            <w:tr w14:paraId="3F1F81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32" w:hRule="atLeast"/>
              </w:trPr>
              <w:tc>
                <w:tcPr>
                  <w:tcW w:w="643" w:type="dxa"/>
                  <w:tcBorders>
                    <w:top w:val="single" w:color="auto" w:sz="8" w:space="0"/>
                    <w:bottom w:val="single" w:color="auto" w:sz="8" w:space="0"/>
                  </w:tcBorders>
                  <w:noWrap w:val="0"/>
                  <w:vAlign w:val="center"/>
                </w:tcPr>
                <w:p w14:paraId="2FF0F8DE">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2</w:t>
                  </w:r>
                </w:p>
              </w:tc>
              <w:tc>
                <w:tcPr>
                  <w:tcW w:w="2979" w:type="dxa"/>
                  <w:tcBorders>
                    <w:top w:val="single" w:color="auto" w:sz="8" w:space="0"/>
                    <w:bottom w:val="single" w:color="auto" w:sz="8" w:space="0"/>
                  </w:tcBorders>
                  <w:noWrap w:val="0"/>
                  <w:vAlign w:val="center"/>
                </w:tcPr>
                <w:p w14:paraId="583B7304">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第二十八条 禁止新建、改建、扩建列入淘汰类目录的高污染工业项目。禁止使用列入淘汰类目录的工艺、设备、产品。</w:t>
                  </w:r>
                </w:p>
              </w:tc>
              <w:tc>
                <w:tcPr>
                  <w:tcW w:w="2588" w:type="dxa"/>
                  <w:tcBorders>
                    <w:top w:val="single" w:color="auto" w:sz="8" w:space="0"/>
                    <w:bottom w:val="single" w:color="auto" w:sz="8" w:space="0"/>
                  </w:tcBorders>
                  <w:noWrap w:val="0"/>
                  <w:vAlign w:val="center"/>
                </w:tcPr>
                <w:p w14:paraId="17A7A477">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本项目不属于列入淘汰类目录的高污染工业项目，不使用列入淘汰类目录的工艺、设备、产品。</w:t>
                  </w:r>
                </w:p>
              </w:tc>
              <w:tc>
                <w:tcPr>
                  <w:tcW w:w="903" w:type="dxa"/>
                  <w:tcBorders>
                    <w:top w:val="single" w:color="auto" w:sz="8" w:space="0"/>
                    <w:bottom w:val="single" w:color="auto" w:sz="8" w:space="0"/>
                  </w:tcBorders>
                  <w:noWrap w:val="0"/>
                  <w:vAlign w:val="center"/>
                </w:tcPr>
                <w:p w14:paraId="21ABE499">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符合</w:t>
                  </w:r>
                </w:p>
              </w:tc>
            </w:tr>
            <w:tr w14:paraId="50FE6A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75" w:hRule="atLeast"/>
              </w:trPr>
              <w:tc>
                <w:tcPr>
                  <w:tcW w:w="643" w:type="dxa"/>
                  <w:tcBorders>
                    <w:top w:val="single" w:color="auto" w:sz="8" w:space="0"/>
                    <w:bottom w:val="single" w:color="auto" w:sz="12" w:space="0"/>
                  </w:tcBorders>
                  <w:noWrap w:val="0"/>
                  <w:vAlign w:val="center"/>
                </w:tcPr>
                <w:p w14:paraId="5DFCA49A">
                  <w:pPr>
                    <w:adjustRightInd w:val="0"/>
                    <w:snapToGrid w:val="0"/>
                    <w:jc w:val="center"/>
                    <w:rPr>
                      <w:rFonts w:hint="eastAsia" w:ascii="宋体" w:hAnsi="宋体" w:eastAsia="宋体" w:cs="宋体"/>
                      <w:color w:val="auto"/>
                      <w:kern w:val="2"/>
                      <w:sz w:val="21"/>
                      <w:szCs w:val="24"/>
                      <w:lang w:val="en-US" w:eastAsia="zh-CN" w:bidi="ar-SA"/>
                    </w:rPr>
                  </w:pPr>
                  <w:r>
                    <w:rPr>
                      <w:rFonts w:hint="eastAsia" w:ascii="宋体" w:hAnsi="宋体" w:cs="宋体"/>
                      <w:color w:val="auto"/>
                      <w:lang w:val="en-US" w:eastAsia="zh-CN"/>
                    </w:rPr>
                    <w:t>3</w:t>
                  </w:r>
                </w:p>
              </w:tc>
              <w:tc>
                <w:tcPr>
                  <w:tcW w:w="2979" w:type="dxa"/>
                  <w:tcBorders>
                    <w:top w:val="single" w:color="auto" w:sz="8" w:space="0"/>
                    <w:bottom w:val="single" w:color="auto" w:sz="12" w:space="0"/>
                  </w:tcBorders>
                  <w:noWrap w:val="0"/>
                  <w:vAlign w:val="center"/>
                </w:tcPr>
                <w:p w14:paraId="2ABD41D3">
                  <w:pPr>
                    <w:adjustRightInd w:val="0"/>
                    <w:snapToGrid w:val="0"/>
                    <w:rPr>
                      <w:rFonts w:hint="eastAsia" w:ascii="宋体" w:hAnsi="宋体" w:cs="宋体"/>
                      <w:color w:val="auto"/>
                    </w:rPr>
                  </w:pPr>
                  <w:r>
                    <w:rPr>
                      <w:rFonts w:hint="eastAsia" w:ascii="宋体" w:hAnsi="宋体" w:cs="宋体"/>
                      <w:color w:val="auto"/>
                      <w:lang w:val="en-US" w:eastAsia="zh-CN"/>
                    </w:rPr>
                    <w:t xml:space="preserve">第三十条 </w:t>
                  </w:r>
                  <w:r>
                    <w:rPr>
                      <w:rFonts w:hint="eastAsia" w:ascii="宋体" w:hAnsi="宋体" w:eastAsia="宋体" w:cs="宋体"/>
                      <w:color w:val="auto"/>
                      <w:spacing w:val="-6"/>
                      <w:sz w:val="21"/>
                    </w:rPr>
                    <w:t>下列产生含挥发性有</w:t>
                  </w:r>
                  <w:r>
                    <w:rPr>
                      <w:rFonts w:hint="eastAsia" w:ascii="宋体" w:hAnsi="宋体" w:eastAsia="宋体" w:cs="宋体"/>
                      <w:color w:val="auto"/>
                    </w:rPr>
                    <w:t>机物废气的生产和服务活动，应当按照国家规定在密闭空间或者设备中进行，并安装、使用污染防治设施；无法密闭的，应当采取措施减少废气排放：</w:t>
                  </w:r>
                </w:p>
                <w:p w14:paraId="482768A9">
                  <w:pPr>
                    <w:numPr>
                      <w:ilvl w:val="0"/>
                      <w:numId w:val="1"/>
                    </w:numPr>
                    <w:adjustRightInd w:val="0"/>
                    <w:snapToGrid w:val="0"/>
                    <w:rPr>
                      <w:rFonts w:hint="eastAsia" w:ascii="宋体" w:hAnsi="宋体" w:cs="宋体"/>
                      <w:color w:val="auto"/>
                    </w:rPr>
                  </w:pPr>
                  <w:r>
                    <w:rPr>
                      <w:rFonts w:hint="eastAsia" w:ascii="宋体" w:hAnsi="宋体" w:cs="宋体"/>
                      <w:color w:val="auto"/>
                    </w:rPr>
                    <w:t>石油、化工等含挥发性有机物原料的生产；</w:t>
                  </w:r>
                </w:p>
                <w:p w14:paraId="5B6DECC1">
                  <w:pPr>
                    <w:numPr>
                      <w:ilvl w:val="0"/>
                      <w:numId w:val="1"/>
                    </w:numPr>
                    <w:adjustRightInd w:val="0"/>
                    <w:snapToGrid w:val="0"/>
                    <w:rPr>
                      <w:rFonts w:ascii="宋体" w:hAnsi="宋体" w:cs="宋体"/>
                      <w:color w:val="auto"/>
                    </w:rPr>
                  </w:pPr>
                  <w:r>
                    <w:rPr>
                      <w:rFonts w:hint="eastAsia" w:ascii="宋体" w:hAnsi="宋体" w:cs="宋体"/>
                      <w:color w:val="auto"/>
                    </w:rPr>
                    <w:t xml:space="preserve">燃油、溶剂的储存、运输和销售； </w:t>
                  </w:r>
                </w:p>
                <w:p w14:paraId="35C8080D">
                  <w:pPr>
                    <w:numPr>
                      <w:ilvl w:val="0"/>
                      <w:numId w:val="1"/>
                    </w:numPr>
                    <w:adjustRightInd w:val="0"/>
                    <w:snapToGrid w:val="0"/>
                    <w:rPr>
                      <w:rFonts w:ascii="宋体" w:hAnsi="宋体" w:cs="宋体"/>
                      <w:color w:val="auto"/>
                    </w:rPr>
                  </w:pPr>
                  <w:r>
                    <w:rPr>
                      <w:rFonts w:hint="eastAsia" w:ascii="宋体" w:hAnsi="宋体" w:cs="宋体"/>
                      <w:color w:val="auto"/>
                    </w:rPr>
                    <w:t>涂料、油墨、胶粘剂、农药等以挥发性有机物为原料的生产；</w:t>
                  </w:r>
                </w:p>
                <w:p w14:paraId="4FCC0472">
                  <w:pPr>
                    <w:numPr>
                      <w:ilvl w:val="0"/>
                      <w:numId w:val="1"/>
                    </w:numPr>
                    <w:adjustRightInd w:val="0"/>
                    <w:snapToGrid w:val="0"/>
                    <w:rPr>
                      <w:rFonts w:ascii="宋体" w:hAnsi="宋体" w:cs="宋体"/>
                      <w:color w:val="auto"/>
                    </w:rPr>
                  </w:pPr>
                  <w:r>
                    <w:rPr>
                      <w:rFonts w:hint="eastAsia" w:ascii="宋体" w:hAnsi="宋体" w:cs="宋体"/>
                      <w:color w:val="auto"/>
                    </w:rPr>
                    <w:t>涂装、印刷、粘合、工业清洗等含挥发性有机物的产品使用；</w:t>
                  </w:r>
                </w:p>
                <w:p w14:paraId="033413F9">
                  <w:pPr>
                    <w:numPr>
                      <w:ilvl w:val="0"/>
                      <w:numId w:val="1"/>
                    </w:numPr>
                    <w:adjustRightInd w:val="0"/>
                    <w:snapToGrid w:val="0"/>
                    <w:rPr>
                      <w:rFonts w:ascii="宋体" w:hAnsi="宋体" w:cs="宋体"/>
                      <w:color w:val="auto"/>
                    </w:rPr>
                  </w:pPr>
                  <w:r>
                    <w:rPr>
                      <w:rFonts w:hint="eastAsia" w:ascii="宋体" w:hAnsi="宋体" w:cs="宋体"/>
                      <w:color w:val="auto"/>
                    </w:rPr>
                    <w:t>其他产生挥发性有机物的生产和服务活动。</w:t>
                  </w:r>
                </w:p>
                <w:p w14:paraId="7012792E">
                  <w:pPr>
                    <w:numPr>
                      <w:ilvl w:val="0"/>
                      <w:numId w:val="0"/>
                    </w:numPr>
                    <w:adjustRightInd w:val="0"/>
                    <w:snapToGrid w:val="0"/>
                    <w:ind w:left="0" w:leftChars="0" w:firstLine="0" w:firstLineChars="0"/>
                    <w:rPr>
                      <w:rFonts w:hint="eastAsia" w:ascii="宋体" w:hAnsi="宋体" w:cs="宋体"/>
                      <w:color w:val="auto"/>
                      <w:kern w:val="2"/>
                      <w:sz w:val="21"/>
                      <w:szCs w:val="24"/>
                      <w:lang w:val="en-US" w:eastAsia="zh-CN" w:bidi="ar-SA"/>
                    </w:rPr>
                  </w:pPr>
                  <w:r>
                    <w:rPr>
                      <w:rFonts w:hint="eastAsia" w:ascii="宋体" w:hAnsi="宋体" w:cs="宋体"/>
                      <w:color w:val="auto"/>
                    </w:rPr>
                    <w:t>石油、化工等排放挥发性有机物的企业事业单位和其他生产经营者在维修、检修时，应当按照技术规范，对生产装置系统的停运、倒空、清洗等环节实施挥发性有机物排放控制。</w:t>
                  </w:r>
                </w:p>
              </w:tc>
              <w:tc>
                <w:tcPr>
                  <w:tcW w:w="2588" w:type="dxa"/>
                  <w:tcBorders>
                    <w:top w:val="single" w:color="auto" w:sz="8" w:space="0"/>
                    <w:bottom w:val="single" w:color="auto" w:sz="12" w:space="0"/>
                  </w:tcBorders>
                  <w:noWrap w:val="0"/>
                  <w:vAlign w:val="center"/>
                </w:tcPr>
                <w:p w14:paraId="6CB14CD7">
                  <w:pPr>
                    <w:adjustRightInd w:val="0"/>
                    <w:snapToGrid w:val="0"/>
                    <w:rPr>
                      <w:rFonts w:hint="eastAsia" w:ascii="宋体" w:hAnsi="宋体" w:cs="宋体"/>
                      <w:color w:val="auto"/>
                      <w:kern w:val="2"/>
                      <w:sz w:val="21"/>
                      <w:szCs w:val="24"/>
                      <w:lang w:val="en-US" w:eastAsia="zh-CN" w:bidi="ar-SA"/>
                    </w:rPr>
                  </w:pPr>
                  <w:r>
                    <w:rPr>
                      <w:rFonts w:hint="eastAsia" w:ascii="宋体" w:hAnsi="宋体" w:eastAsia="宋体" w:cs="宋体"/>
                      <w:color w:val="auto"/>
                      <w:lang w:val="en-US" w:eastAsia="zh-CN"/>
                    </w:rPr>
                    <w:t>本</w:t>
                  </w:r>
                  <w:r>
                    <w:rPr>
                      <w:rFonts w:hint="eastAsia" w:ascii="宋体" w:hAnsi="宋体" w:eastAsia="宋体" w:cs="宋体"/>
                      <w:color w:val="auto"/>
                    </w:rPr>
                    <w:t>项目</w:t>
                  </w:r>
                  <w:r>
                    <w:rPr>
                      <w:rFonts w:hint="eastAsia" w:ascii="宋体" w:hAnsi="宋体" w:eastAsia="宋体" w:cs="宋体"/>
                      <w:color w:val="auto"/>
                      <w:lang w:val="en-US" w:eastAsia="zh-CN"/>
                    </w:rPr>
                    <w:t>为</w:t>
                  </w:r>
                  <w:r>
                    <w:rPr>
                      <w:rFonts w:hint="eastAsia" w:ascii="宋体" w:hAnsi="宋体" w:eastAsia="宋体" w:cs="宋体"/>
                      <w:color w:val="auto"/>
                    </w:rPr>
                    <w:t>金属结构制造项目，</w:t>
                  </w:r>
                  <w:r>
                    <w:rPr>
                      <w:rFonts w:hint="eastAsia" w:ascii="宋体" w:hAnsi="宋体" w:eastAsia="宋体" w:cs="宋体"/>
                      <w:color w:val="auto"/>
                      <w:lang w:val="en-US" w:eastAsia="zh-CN"/>
                    </w:rPr>
                    <w:t>涂装工序设密闭喷漆房，通过密闭负压收集，并对产生的有机废气进行有效处理，</w:t>
                  </w:r>
                  <w:r>
                    <w:rPr>
                      <w:rFonts w:hint="eastAsia" w:ascii="宋体" w:hAnsi="宋体" w:eastAsia="宋体" w:cs="宋体"/>
                      <w:color w:val="auto"/>
                    </w:rPr>
                    <w:t>减少</w:t>
                  </w:r>
                  <w:r>
                    <w:rPr>
                      <w:rFonts w:hint="eastAsia" w:ascii="宋体" w:hAnsi="宋体" w:eastAsia="宋体" w:cs="宋体"/>
                      <w:color w:val="auto"/>
                      <w:lang w:eastAsia="zh-CN"/>
                    </w:rPr>
                    <w:t>了</w:t>
                  </w:r>
                  <w:r>
                    <w:rPr>
                      <w:rFonts w:hint="eastAsia" w:ascii="宋体" w:hAnsi="宋体" w:eastAsia="宋体" w:cs="宋体"/>
                      <w:color w:val="auto"/>
                    </w:rPr>
                    <w:t>废气的排放</w:t>
                  </w:r>
                  <w:r>
                    <w:rPr>
                      <w:rFonts w:hint="eastAsia" w:ascii="宋体" w:hAnsi="宋体" w:eastAsia="宋体" w:cs="宋体"/>
                      <w:color w:val="auto"/>
                      <w:lang w:eastAsia="zh-CN"/>
                    </w:rPr>
                    <w:t>。</w:t>
                  </w:r>
                </w:p>
              </w:tc>
              <w:tc>
                <w:tcPr>
                  <w:tcW w:w="903" w:type="dxa"/>
                  <w:tcBorders>
                    <w:top w:val="single" w:color="auto" w:sz="8" w:space="0"/>
                    <w:bottom w:val="single" w:color="auto" w:sz="12" w:space="0"/>
                  </w:tcBorders>
                  <w:noWrap w:val="0"/>
                  <w:vAlign w:val="center"/>
                </w:tcPr>
                <w:p w14:paraId="2EFF2373">
                  <w:pPr>
                    <w:adjustRightInd w:val="0"/>
                    <w:snapToGrid w:val="0"/>
                    <w:jc w:val="center"/>
                    <w:rPr>
                      <w:rFonts w:hint="eastAsia" w:ascii="宋体" w:hAnsi="宋体" w:cs="宋体"/>
                      <w:color w:val="auto"/>
                      <w:kern w:val="2"/>
                      <w:sz w:val="21"/>
                      <w:szCs w:val="24"/>
                      <w:lang w:val="en-US" w:eastAsia="zh-CN" w:bidi="ar-SA"/>
                    </w:rPr>
                  </w:pPr>
                  <w:r>
                    <w:rPr>
                      <w:rFonts w:hint="eastAsia" w:ascii="宋体" w:hAnsi="宋体" w:cs="宋体"/>
                      <w:color w:val="auto"/>
                    </w:rPr>
                    <w:t>符合</w:t>
                  </w:r>
                </w:p>
              </w:tc>
            </w:tr>
          </w:tbl>
          <w:p w14:paraId="1D1D0568">
            <w:pPr>
              <w:spacing w:before="120" w:beforeLines="50" w:line="360" w:lineRule="auto"/>
              <w:ind w:firstLine="480" w:firstLineChars="200"/>
              <w:rPr>
                <w:rFonts w:hint="eastAsia" w:ascii="宋体" w:hAnsi="宋体" w:cs="宋体"/>
                <w:color w:val="auto"/>
                <w:sz w:val="24"/>
              </w:rPr>
            </w:pPr>
            <w:r>
              <w:rPr>
                <w:rFonts w:hint="eastAsia" w:ascii="宋体" w:hAnsi="宋体" w:eastAsia="宋体" w:cs="宋体"/>
                <w:color w:val="auto"/>
                <w:sz w:val="24"/>
              </w:rPr>
              <w:t>综上，本项目</w:t>
            </w:r>
            <w:r>
              <w:rPr>
                <w:rFonts w:hint="eastAsia" w:ascii="宋体" w:hAnsi="宋体" w:eastAsia="宋体" w:cs="宋体"/>
                <w:color w:val="auto"/>
                <w:sz w:val="24"/>
                <w:lang w:val="en-US" w:eastAsia="zh-CN"/>
              </w:rPr>
              <w:t>建设</w:t>
            </w:r>
            <w:r>
              <w:rPr>
                <w:rFonts w:hint="eastAsia" w:ascii="宋体" w:hAnsi="宋体" w:eastAsia="宋体" w:cs="宋体"/>
                <w:color w:val="auto"/>
                <w:sz w:val="24"/>
              </w:rPr>
              <w:t>符合《新疆维吾尔自治区大气污染防治条例》相关要求。</w:t>
            </w:r>
          </w:p>
          <w:p w14:paraId="6C2B2391">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w:t>
            </w:r>
            <w:r>
              <w:rPr>
                <w:rFonts w:hint="eastAsia" w:ascii="宋体" w:hAnsi="宋体" w:cs="宋体"/>
                <w:color w:val="auto"/>
                <w:sz w:val="24"/>
                <w:lang w:val="en-US" w:eastAsia="zh-CN"/>
              </w:rPr>
              <w:t>5</w:t>
            </w:r>
            <w:r>
              <w:rPr>
                <w:rFonts w:hint="eastAsia" w:ascii="宋体" w:hAnsi="宋体" w:eastAsia="宋体" w:cs="宋体"/>
                <w:color w:val="auto"/>
                <w:sz w:val="24"/>
                <w:lang w:val="en-US" w:eastAsia="zh-CN"/>
              </w:rPr>
              <w:t>）与《新疆维吾尔自治区2025年空气质量持续改善行动实施方案》</w:t>
            </w:r>
            <w:r>
              <w:rPr>
                <w:rFonts w:hint="eastAsia" w:ascii="宋体" w:hAnsi="宋体" w:cs="宋体"/>
                <w:color w:val="auto"/>
                <w:sz w:val="24"/>
                <w:lang w:val="en-US" w:eastAsia="zh-CN"/>
              </w:rPr>
              <w:t>的通知（新政办发〔2024〕58号）</w:t>
            </w:r>
            <w:r>
              <w:rPr>
                <w:rFonts w:hint="eastAsia" w:ascii="宋体" w:hAnsi="宋体" w:eastAsia="宋体" w:cs="宋体"/>
                <w:color w:val="auto"/>
                <w:sz w:val="24"/>
                <w:lang w:val="en-US" w:eastAsia="zh-CN"/>
              </w:rPr>
              <w:t>符合性分析</w:t>
            </w:r>
          </w:p>
          <w:p w14:paraId="755CB8D5">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imes New Roman" w:hAnsi="Times New Roman" w:eastAsia="宋体" w:cs="Times New Roman"/>
                <w:b/>
                <w:bCs/>
                <w:color w:val="auto"/>
                <w:sz w:val="21"/>
              </w:rPr>
            </w:pPr>
            <w:r>
              <w:rPr>
                <w:rFonts w:ascii="Times New Roman" w:hAnsi="Times New Roman" w:eastAsia="宋体" w:cs="Times New Roman"/>
                <w:b/>
                <w:bCs/>
                <w:color w:val="auto"/>
                <w:sz w:val="21"/>
              </w:rPr>
              <w:t>表</w:t>
            </w:r>
            <w:r>
              <w:rPr>
                <w:rFonts w:hint="eastAsia" w:ascii="Times New Roman" w:hAnsi="Times New Roman" w:eastAsia="宋体" w:cs="Times New Roman"/>
                <w:b/>
                <w:bCs/>
                <w:color w:val="auto"/>
                <w:sz w:val="21"/>
                <w:lang w:val="en-US" w:eastAsia="zh-CN"/>
              </w:rPr>
              <w:t>1-</w:t>
            </w:r>
            <w:r>
              <w:rPr>
                <w:rFonts w:hint="eastAsia" w:cs="Times New Roman"/>
                <w:b/>
                <w:bCs/>
                <w:color w:val="auto"/>
                <w:sz w:val="21"/>
                <w:lang w:val="en-US" w:eastAsia="zh-CN"/>
              </w:rPr>
              <w:t>7</w:t>
            </w:r>
            <w:r>
              <w:rPr>
                <w:rFonts w:hint="eastAsia" w:ascii="Times New Roman" w:hAnsi="Times New Roman" w:eastAsia="宋体" w:cs="Times New Roman"/>
                <w:b/>
                <w:bCs/>
                <w:color w:val="auto"/>
                <w:sz w:val="21"/>
                <w:lang w:val="en-US" w:eastAsia="zh-CN"/>
              </w:rPr>
              <w:t xml:space="preserve"> </w:t>
            </w:r>
            <w:r>
              <w:rPr>
                <w:rFonts w:hint="eastAsia" w:ascii="Times New Roman" w:hAnsi="Times New Roman" w:eastAsia="宋体" w:cs="Times New Roman"/>
                <w:b/>
                <w:bCs/>
                <w:color w:val="auto"/>
                <w:sz w:val="21"/>
              </w:rPr>
              <w:t>与《新疆维吾尔自治区2025年空气质量持续改善行动实施方案》</w:t>
            </w:r>
          </w:p>
          <w:p w14:paraId="3EB9BD33">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Times New Roman" w:hAnsi="Times New Roman" w:eastAsia="宋体" w:cs="Times New Roman"/>
                <w:b/>
                <w:bCs/>
                <w:color w:val="auto"/>
                <w:sz w:val="21"/>
              </w:rPr>
            </w:pPr>
            <w:r>
              <w:rPr>
                <w:rFonts w:ascii="Times New Roman" w:hAnsi="Times New Roman" w:eastAsia="宋体" w:cs="Times New Roman"/>
                <w:b/>
                <w:bCs/>
                <w:color w:val="auto"/>
                <w:sz w:val="21"/>
              </w:rPr>
              <w:t>符合性分析</w:t>
            </w:r>
          </w:p>
          <w:tbl>
            <w:tblPr>
              <w:tblStyle w:val="26"/>
              <w:tblW w:w="7113"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3198"/>
              <w:gridCol w:w="2369"/>
              <w:gridCol w:w="903"/>
            </w:tblGrid>
            <w:tr w14:paraId="623A04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43" w:type="dxa"/>
                  <w:tcBorders>
                    <w:bottom w:val="single" w:color="auto" w:sz="12" w:space="0"/>
                  </w:tcBorders>
                  <w:noWrap w:val="0"/>
                  <w:vAlign w:val="center"/>
                </w:tcPr>
                <w:p w14:paraId="1BECB421">
                  <w:pPr>
                    <w:pStyle w:val="7"/>
                    <w:jc w:val="center"/>
                    <w:outlineLvl w:val="3"/>
                    <w:rPr>
                      <w:rFonts w:ascii="Times New Roman" w:hAnsi="Times New Roman"/>
                      <w:color w:val="auto"/>
                    </w:rPr>
                  </w:pPr>
                  <w:r>
                    <w:rPr>
                      <w:rFonts w:hint="eastAsia" w:ascii="Times New Roman" w:hAnsi="Times New Roman"/>
                      <w:color w:val="auto"/>
                    </w:rPr>
                    <w:t>序号</w:t>
                  </w:r>
                </w:p>
              </w:tc>
              <w:tc>
                <w:tcPr>
                  <w:tcW w:w="3198" w:type="dxa"/>
                  <w:tcBorders>
                    <w:bottom w:val="single" w:color="auto" w:sz="12" w:space="0"/>
                  </w:tcBorders>
                  <w:noWrap w:val="0"/>
                  <w:vAlign w:val="center"/>
                </w:tcPr>
                <w:p w14:paraId="6E57CDF0">
                  <w:pPr>
                    <w:pStyle w:val="7"/>
                    <w:jc w:val="center"/>
                    <w:outlineLvl w:val="3"/>
                    <w:rPr>
                      <w:rFonts w:ascii="Times New Roman" w:hAnsi="Times New Roman"/>
                      <w:color w:val="auto"/>
                      <w:szCs w:val="21"/>
                    </w:rPr>
                  </w:pPr>
                  <w:r>
                    <w:rPr>
                      <w:rFonts w:hint="eastAsia" w:ascii="Times New Roman" w:hAnsi="Times New Roman"/>
                      <w:color w:val="auto"/>
                      <w:szCs w:val="21"/>
                      <w:lang w:val="en-US" w:eastAsia="zh-CN"/>
                    </w:rPr>
                    <w:t>方案</w:t>
                  </w:r>
                  <w:r>
                    <w:rPr>
                      <w:rFonts w:hint="eastAsia" w:ascii="Times New Roman" w:hAnsi="Times New Roman"/>
                      <w:color w:val="auto"/>
                      <w:szCs w:val="21"/>
                    </w:rPr>
                    <w:t>要求</w:t>
                  </w:r>
                </w:p>
              </w:tc>
              <w:tc>
                <w:tcPr>
                  <w:tcW w:w="2369" w:type="dxa"/>
                  <w:tcBorders>
                    <w:bottom w:val="single" w:color="auto" w:sz="12" w:space="0"/>
                  </w:tcBorders>
                  <w:noWrap w:val="0"/>
                  <w:vAlign w:val="center"/>
                </w:tcPr>
                <w:p w14:paraId="6E9D890E">
                  <w:pPr>
                    <w:pStyle w:val="7"/>
                    <w:jc w:val="center"/>
                    <w:outlineLvl w:val="3"/>
                    <w:rPr>
                      <w:rFonts w:ascii="Times New Roman" w:hAnsi="Times New Roman"/>
                      <w:color w:val="auto"/>
                      <w:szCs w:val="21"/>
                    </w:rPr>
                  </w:pPr>
                  <w:r>
                    <w:rPr>
                      <w:rFonts w:hint="eastAsia" w:ascii="Times New Roman" w:hAnsi="Times New Roman"/>
                      <w:color w:val="auto"/>
                      <w:szCs w:val="21"/>
                    </w:rPr>
                    <w:t>项目情况</w:t>
                  </w:r>
                </w:p>
              </w:tc>
              <w:tc>
                <w:tcPr>
                  <w:tcW w:w="903" w:type="dxa"/>
                  <w:tcBorders>
                    <w:bottom w:val="single" w:color="auto" w:sz="12" w:space="0"/>
                  </w:tcBorders>
                  <w:noWrap w:val="0"/>
                  <w:vAlign w:val="center"/>
                </w:tcPr>
                <w:p w14:paraId="3EF97D38">
                  <w:pPr>
                    <w:pStyle w:val="7"/>
                    <w:jc w:val="center"/>
                    <w:outlineLvl w:val="3"/>
                    <w:rPr>
                      <w:rFonts w:ascii="Times New Roman" w:hAnsi="Times New Roman"/>
                      <w:color w:val="auto"/>
                      <w:szCs w:val="21"/>
                    </w:rPr>
                  </w:pPr>
                  <w:r>
                    <w:rPr>
                      <w:rFonts w:ascii="Times New Roman" w:hAnsi="Times New Roman" w:eastAsia="宋体" w:cs="Times New Roman"/>
                      <w:color w:val="auto"/>
                      <w:szCs w:val="21"/>
                    </w:rPr>
                    <w:t>符合性</w:t>
                  </w:r>
                </w:p>
              </w:tc>
            </w:tr>
            <w:tr w14:paraId="4C91C7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57" w:hRule="atLeast"/>
              </w:trPr>
              <w:tc>
                <w:tcPr>
                  <w:tcW w:w="643" w:type="dxa"/>
                  <w:tcBorders>
                    <w:top w:val="single" w:color="auto" w:sz="12" w:space="0"/>
                    <w:bottom w:val="single" w:color="auto" w:sz="8" w:space="0"/>
                  </w:tcBorders>
                  <w:noWrap w:val="0"/>
                  <w:vAlign w:val="center"/>
                </w:tcPr>
                <w:p w14:paraId="34E98560">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1</w:t>
                  </w:r>
                </w:p>
              </w:tc>
              <w:tc>
                <w:tcPr>
                  <w:tcW w:w="3198" w:type="dxa"/>
                  <w:tcBorders>
                    <w:top w:val="single" w:color="auto" w:sz="12" w:space="0"/>
                    <w:bottom w:val="single" w:color="auto" w:sz="8" w:space="0"/>
                  </w:tcBorders>
                  <w:shd w:val="clear" w:color="auto" w:fill="auto"/>
                  <w:noWrap w:val="0"/>
                  <w:vAlign w:val="center"/>
                </w:tcPr>
                <w:p w14:paraId="0AD8D5EE">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一）坚决遏制高耗能、高排放、低水平项目盲目上马。新改扩建项目严格落实国家和自治区产业规划、产业政策、生态环境分区管控方案、规划环评、项目环评、节能审查、产能置换、重点污染物总量控制、污染物排放区域削减、碳排放达峰目标等相关要求，原则上采用清洁运输方式，达到能效标杆水平、环保绩效A级水平。涉及产能置换的项目，被置换产能及设备关停后，新建项目方可投产。</w:t>
                  </w:r>
                </w:p>
              </w:tc>
              <w:tc>
                <w:tcPr>
                  <w:tcW w:w="2369" w:type="dxa"/>
                  <w:tcBorders>
                    <w:top w:val="single" w:color="auto" w:sz="12" w:space="0"/>
                    <w:bottom w:val="single" w:color="auto" w:sz="8" w:space="0"/>
                  </w:tcBorders>
                  <w:shd w:val="clear" w:color="auto" w:fill="auto"/>
                  <w:noWrap w:val="0"/>
                  <w:vAlign w:val="center"/>
                </w:tcPr>
                <w:p w14:paraId="38DC4D5D">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不属于《产业结构调整指导目录（2024年本）》中鼓励类、限制类及淘汰类，视为允许类，符合国家产业政策要求；项目符合生态环境分区管控方案、园区规划及规划环评等相关要求；项目严格执行污染物总量控制、污染物排放区域削减要求；本项目原辅料及产品运输采用清洁运输方式。</w:t>
                  </w:r>
                </w:p>
              </w:tc>
              <w:tc>
                <w:tcPr>
                  <w:tcW w:w="903" w:type="dxa"/>
                  <w:tcBorders>
                    <w:top w:val="single" w:color="auto" w:sz="12" w:space="0"/>
                    <w:bottom w:val="single" w:color="auto" w:sz="8" w:space="0"/>
                  </w:tcBorders>
                  <w:noWrap w:val="0"/>
                  <w:vAlign w:val="center"/>
                </w:tcPr>
                <w:p w14:paraId="43B6A928">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符合</w:t>
                  </w:r>
                </w:p>
              </w:tc>
            </w:tr>
            <w:tr w14:paraId="3B1806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7" w:hRule="atLeast"/>
              </w:trPr>
              <w:tc>
                <w:tcPr>
                  <w:tcW w:w="643" w:type="dxa"/>
                  <w:tcBorders>
                    <w:top w:val="single" w:color="auto" w:sz="8" w:space="0"/>
                    <w:bottom w:val="single" w:color="auto" w:sz="8" w:space="0"/>
                  </w:tcBorders>
                  <w:noWrap w:val="0"/>
                  <w:vAlign w:val="center"/>
                </w:tcPr>
                <w:p w14:paraId="2C2C26E4">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2</w:t>
                  </w:r>
                </w:p>
              </w:tc>
              <w:tc>
                <w:tcPr>
                  <w:tcW w:w="3198" w:type="dxa"/>
                  <w:tcBorders>
                    <w:top w:val="single" w:color="auto" w:sz="8" w:space="0"/>
                    <w:bottom w:val="single" w:color="auto" w:sz="8" w:space="0"/>
                  </w:tcBorders>
                  <w:shd w:val="clear" w:color="auto" w:fill="auto"/>
                  <w:noWrap w:val="0"/>
                  <w:vAlign w:val="center"/>
                </w:tcPr>
                <w:p w14:paraId="365908B9">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十三）持续强化扬尘污染综合管控。施工场地严格落实“六个百分百”要求。扬尘污染防治费用纳入工程造价，3000㎡及以上建筑工地安装视频监控并接入当地监管平台。道路、水务等长距离线性工程实行分段施工。城市建成区主次干道机械化清扫率达到80%。加强城市及周边公共裸地、物料堆场等易产尘区域抑尘管理。到2025年，装配式建筑占新建建筑面积比例达到30%。</w:t>
                  </w:r>
                </w:p>
              </w:tc>
              <w:tc>
                <w:tcPr>
                  <w:tcW w:w="2369" w:type="dxa"/>
                  <w:tcBorders>
                    <w:top w:val="single" w:color="auto" w:sz="8" w:space="0"/>
                    <w:bottom w:val="single" w:color="auto" w:sz="8" w:space="0"/>
                  </w:tcBorders>
                  <w:shd w:val="clear" w:color="auto" w:fill="auto"/>
                  <w:noWrap w:val="0"/>
                  <w:vAlign w:val="center"/>
                </w:tcPr>
                <w:p w14:paraId="239F49A3">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本项目施工期施工场地严格落实“六个百分百”要求，严格控制施工期扬尘污染。</w:t>
                  </w:r>
                </w:p>
              </w:tc>
              <w:tc>
                <w:tcPr>
                  <w:tcW w:w="903" w:type="dxa"/>
                  <w:tcBorders>
                    <w:top w:val="single" w:color="auto" w:sz="8" w:space="0"/>
                    <w:bottom w:val="single" w:color="auto" w:sz="8" w:space="0"/>
                  </w:tcBorders>
                  <w:noWrap w:val="0"/>
                  <w:vAlign w:val="center"/>
                </w:tcPr>
                <w:p w14:paraId="17FA090F">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符合</w:t>
                  </w:r>
                </w:p>
              </w:tc>
            </w:tr>
            <w:tr w14:paraId="18C532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83" w:hRule="atLeast"/>
              </w:trPr>
              <w:tc>
                <w:tcPr>
                  <w:tcW w:w="643" w:type="dxa"/>
                  <w:tcBorders>
                    <w:top w:val="single" w:color="auto" w:sz="8" w:space="0"/>
                    <w:bottom w:val="single" w:color="auto" w:sz="8" w:space="0"/>
                  </w:tcBorders>
                  <w:noWrap w:val="0"/>
                  <w:vAlign w:val="center"/>
                </w:tcPr>
                <w:p w14:paraId="01C45281">
                  <w:pPr>
                    <w:adjustRightInd w:val="0"/>
                    <w:snapToGrid w:val="0"/>
                    <w:jc w:val="center"/>
                    <w:rPr>
                      <w:rFonts w:hint="default" w:ascii="宋体" w:hAnsi="宋体" w:cs="宋体"/>
                      <w:color w:val="auto"/>
                      <w:lang w:val="en-US" w:eastAsia="zh-CN"/>
                    </w:rPr>
                  </w:pPr>
                  <w:r>
                    <w:rPr>
                      <w:rFonts w:hint="eastAsia" w:ascii="宋体" w:hAnsi="宋体" w:cs="宋体"/>
                      <w:color w:val="auto"/>
                      <w:lang w:val="en-US" w:eastAsia="zh-CN"/>
                    </w:rPr>
                    <w:t>3</w:t>
                  </w:r>
                </w:p>
              </w:tc>
              <w:tc>
                <w:tcPr>
                  <w:tcW w:w="3198" w:type="dxa"/>
                  <w:tcBorders>
                    <w:top w:val="single" w:color="auto" w:sz="8" w:space="0"/>
                    <w:bottom w:val="single" w:color="auto" w:sz="8" w:space="0"/>
                  </w:tcBorders>
                  <w:shd w:val="clear" w:color="auto" w:fill="auto"/>
                  <w:noWrap w:val="0"/>
                  <w:vAlign w:val="center"/>
                </w:tcPr>
                <w:p w14:paraId="2763232C">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（十七）强化挥发性有机物和氮氧化物综合治理。优化含VOC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原辅材料和产品结构，加快推进含VOC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原辅材料源头替代，推广使用低（无）VOC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含量涂料，严格执行VOC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含量限值标准。实施石化、化工、工业涂装、包装印刷等重点行业及油品储运销（储罐）VOC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深度治理。企业开停工、检维修期间，及时收集处理退料、清洗、吹扫等作业产生的VOC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废气，不得将火炬燃烧装置作为日常大气污染处理设施。……</w:t>
                  </w:r>
                </w:p>
              </w:tc>
              <w:tc>
                <w:tcPr>
                  <w:tcW w:w="2369" w:type="dxa"/>
                  <w:tcBorders>
                    <w:top w:val="single" w:color="auto" w:sz="8" w:space="0"/>
                    <w:bottom w:val="single" w:color="auto" w:sz="8" w:space="0"/>
                  </w:tcBorders>
                  <w:shd w:val="clear" w:color="auto" w:fill="auto"/>
                  <w:noWrap w:val="0"/>
                  <w:vAlign w:val="center"/>
                </w:tcPr>
                <w:p w14:paraId="63D97765">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本项目涂装用低VOC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含量的涂料，使用过程中严格执行VOC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含量限值标准要求。项目无火炬燃烧装置。</w:t>
                  </w:r>
                </w:p>
              </w:tc>
              <w:tc>
                <w:tcPr>
                  <w:tcW w:w="903" w:type="dxa"/>
                  <w:tcBorders>
                    <w:top w:val="single" w:color="auto" w:sz="8" w:space="0"/>
                    <w:bottom w:val="single" w:color="auto" w:sz="8" w:space="0"/>
                  </w:tcBorders>
                  <w:noWrap w:val="0"/>
                  <w:vAlign w:val="center"/>
                </w:tcPr>
                <w:p w14:paraId="08BEA609">
                  <w:pPr>
                    <w:adjustRightInd w:val="0"/>
                    <w:snapToGrid w:val="0"/>
                    <w:jc w:val="center"/>
                    <w:rPr>
                      <w:rFonts w:hint="eastAsia" w:ascii="宋体" w:hAnsi="宋体" w:cs="宋体"/>
                      <w:color w:val="auto"/>
                      <w:lang w:val="en-US" w:eastAsia="zh-CN"/>
                    </w:rPr>
                  </w:pPr>
                  <w:r>
                    <w:rPr>
                      <w:rFonts w:hint="eastAsia" w:ascii="宋体" w:hAnsi="宋体" w:cs="宋体"/>
                      <w:color w:val="auto"/>
                      <w:lang w:val="en-US" w:eastAsia="zh-CN"/>
                    </w:rPr>
                    <w:t>符合</w:t>
                  </w:r>
                </w:p>
              </w:tc>
            </w:tr>
          </w:tbl>
          <w:p w14:paraId="12CA0B94">
            <w:pPr>
              <w:spacing w:before="120" w:beforeLines="50" w:line="360" w:lineRule="auto"/>
              <w:ind w:firstLine="480" w:firstLineChars="200"/>
              <w:rPr>
                <w:rFonts w:hint="eastAsia" w:ascii="宋体" w:hAnsi="宋体" w:cs="宋体"/>
                <w:color w:val="auto"/>
                <w:sz w:val="24"/>
              </w:rPr>
            </w:pPr>
            <w:r>
              <w:rPr>
                <w:rFonts w:hint="eastAsia" w:ascii="宋体" w:hAnsi="宋体" w:eastAsia="宋体" w:cs="宋体"/>
                <w:color w:val="auto"/>
                <w:sz w:val="24"/>
              </w:rPr>
              <w:t>综上，本项目</w:t>
            </w:r>
            <w:r>
              <w:rPr>
                <w:rFonts w:hint="eastAsia" w:ascii="宋体" w:hAnsi="宋体" w:eastAsia="宋体" w:cs="宋体"/>
                <w:color w:val="auto"/>
                <w:sz w:val="24"/>
                <w:lang w:val="en-US" w:eastAsia="zh-CN"/>
              </w:rPr>
              <w:t>建设</w:t>
            </w:r>
            <w:r>
              <w:rPr>
                <w:rFonts w:hint="eastAsia" w:ascii="宋体" w:hAnsi="宋体" w:eastAsia="宋体" w:cs="宋体"/>
                <w:color w:val="auto"/>
                <w:sz w:val="24"/>
              </w:rPr>
              <w:t>符合《新疆维吾尔自治区2025年空气质量持续改善行动实施方案》相关要求。</w:t>
            </w:r>
          </w:p>
          <w:p w14:paraId="742A66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w:t>
            </w:r>
            <w:r>
              <w:rPr>
                <w:rFonts w:hint="eastAsia" w:ascii="宋体" w:hAnsi="宋体" w:cs="宋体"/>
                <w:color w:val="auto"/>
                <w:sz w:val="24"/>
                <w:lang w:val="en-US" w:eastAsia="zh-CN"/>
              </w:rPr>
              <w:t>6</w:t>
            </w:r>
            <w:r>
              <w:rPr>
                <w:rFonts w:hint="eastAsia" w:ascii="宋体" w:hAnsi="宋体" w:eastAsia="宋体" w:cs="宋体"/>
                <w:color w:val="auto"/>
                <w:sz w:val="24"/>
                <w:lang w:val="en-US" w:eastAsia="zh-CN"/>
              </w:rPr>
              <w:t>）与《新疆生态环境保护“十四五”规划》符合性分析</w:t>
            </w:r>
          </w:p>
          <w:p w14:paraId="2AF956F5">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Times New Roman" w:hAnsi="Times New Roman" w:eastAsia="宋体" w:cs="Times New Roman"/>
                <w:b/>
                <w:bCs/>
                <w:color w:val="auto"/>
              </w:rPr>
            </w:pPr>
            <w:r>
              <w:rPr>
                <w:rFonts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1-</w:t>
            </w:r>
            <w:r>
              <w:rPr>
                <w:rFonts w:hint="eastAsia" w:cs="Times New Roman"/>
                <w:b/>
                <w:bCs/>
                <w:color w:val="auto"/>
                <w:lang w:val="en-US" w:eastAsia="zh-CN"/>
              </w:rPr>
              <w:t>8</w:t>
            </w:r>
            <w:r>
              <w:rPr>
                <w:rFonts w:hint="eastAsia" w:ascii="Times New Roman" w:hAnsi="Times New Roman" w:eastAsia="宋体" w:cs="Times New Roman"/>
                <w:b/>
                <w:bCs/>
                <w:color w:val="auto"/>
                <w:lang w:val="en-US" w:eastAsia="zh-CN"/>
              </w:rPr>
              <w:t xml:space="preserve"> </w:t>
            </w:r>
            <w:r>
              <w:rPr>
                <w:rFonts w:hint="eastAsia" w:ascii="Times New Roman" w:hAnsi="Times New Roman" w:eastAsia="宋体" w:cs="Times New Roman"/>
                <w:b/>
                <w:bCs/>
                <w:color w:val="auto"/>
              </w:rPr>
              <w:t>与《新疆生态环境保护“十四五”规划》</w:t>
            </w:r>
            <w:r>
              <w:rPr>
                <w:rFonts w:ascii="Times New Roman" w:hAnsi="Times New Roman" w:eastAsia="宋体" w:cs="Times New Roman"/>
                <w:b/>
                <w:bCs/>
                <w:color w:val="auto"/>
              </w:rPr>
              <w:t>符合性分析</w:t>
            </w:r>
          </w:p>
          <w:tbl>
            <w:tblPr>
              <w:tblStyle w:val="26"/>
              <w:tblW w:w="7113"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3277"/>
              <w:gridCol w:w="2290"/>
              <w:gridCol w:w="903"/>
            </w:tblGrid>
            <w:tr w14:paraId="45739C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43" w:type="dxa"/>
                  <w:tcBorders>
                    <w:bottom w:val="single" w:color="auto" w:sz="12" w:space="0"/>
                  </w:tcBorders>
                  <w:noWrap w:val="0"/>
                  <w:vAlign w:val="center"/>
                </w:tcPr>
                <w:p w14:paraId="4925F20E">
                  <w:pPr>
                    <w:pStyle w:val="7"/>
                    <w:jc w:val="center"/>
                    <w:outlineLvl w:val="3"/>
                    <w:rPr>
                      <w:rFonts w:ascii="Times New Roman" w:hAnsi="Times New Roman"/>
                      <w:color w:val="auto"/>
                    </w:rPr>
                  </w:pPr>
                  <w:r>
                    <w:rPr>
                      <w:rFonts w:hint="eastAsia" w:ascii="Times New Roman" w:hAnsi="Times New Roman"/>
                      <w:color w:val="auto"/>
                    </w:rPr>
                    <w:t>序号</w:t>
                  </w:r>
                </w:p>
              </w:tc>
              <w:tc>
                <w:tcPr>
                  <w:tcW w:w="3277" w:type="dxa"/>
                  <w:tcBorders>
                    <w:bottom w:val="single" w:color="auto" w:sz="12" w:space="0"/>
                  </w:tcBorders>
                  <w:noWrap w:val="0"/>
                  <w:vAlign w:val="center"/>
                </w:tcPr>
                <w:p w14:paraId="20BFC6EA">
                  <w:pPr>
                    <w:pStyle w:val="7"/>
                    <w:jc w:val="center"/>
                    <w:outlineLvl w:val="3"/>
                    <w:rPr>
                      <w:rFonts w:ascii="Times New Roman" w:hAnsi="Times New Roman"/>
                      <w:color w:val="auto"/>
                      <w:szCs w:val="21"/>
                    </w:rPr>
                  </w:pPr>
                  <w:r>
                    <w:rPr>
                      <w:rFonts w:hint="eastAsia" w:ascii="Times New Roman" w:hAnsi="Times New Roman"/>
                      <w:color w:val="auto"/>
                      <w:szCs w:val="21"/>
                      <w:lang w:val="en-US" w:eastAsia="zh-CN"/>
                    </w:rPr>
                    <w:t>规划</w:t>
                  </w:r>
                  <w:r>
                    <w:rPr>
                      <w:rFonts w:hint="eastAsia" w:ascii="Times New Roman" w:hAnsi="Times New Roman"/>
                      <w:color w:val="auto"/>
                      <w:szCs w:val="21"/>
                    </w:rPr>
                    <w:t>要求</w:t>
                  </w:r>
                </w:p>
              </w:tc>
              <w:tc>
                <w:tcPr>
                  <w:tcW w:w="2290" w:type="dxa"/>
                  <w:tcBorders>
                    <w:bottom w:val="single" w:color="auto" w:sz="12" w:space="0"/>
                  </w:tcBorders>
                  <w:noWrap w:val="0"/>
                  <w:vAlign w:val="center"/>
                </w:tcPr>
                <w:p w14:paraId="704AED14">
                  <w:pPr>
                    <w:pStyle w:val="7"/>
                    <w:jc w:val="center"/>
                    <w:outlineLvl w:val="3"/>
                    <w:rPr>
                      <w:rFonts w:ascii="Times New Roman" w:hAnsi="Times New Roman"/>
                      <w:color w:val="auto"/>
                      <w:szCs w:val="21"/>
                    </w:rPr>
                  </w:pPr>
                  <w:r>
                    <w:rPr>
                      <w:rFonts w:hint="eastAsia" w:ascii="Times New Roman" w:hAnsi="Times New Roman"/>
                      <w:color w:val="auto"/>
                      <w:szCs w:val="21"/>
                    </w:rPr>
                    <w:t>项目情况</w:t>
                  </w:r>
                </w:p>
              </w:tc>
              <w:tc>
                <w:tcPr>
                  <w:tcW w:w="903" w:type="dxa"/>
                  <w:tcBorders>
                    <w:bottom w:val="single" w:color="auto" w:sz="12" w:space="0"/>
                  </w:tcBorders>
                  <w:noWrap w:val="0"/>
                  <w:vAlign w:val="center"/>
                </w:tcPr>
                <w:p w14:paraId="4B970059">
                  <w:pPr>
                    <w:pStyle w:val="7"/>
                    <w:jc w:val="center"/>
                    <w:outlineLvl w:val="3"/>
                    <w:rPr>
                      <w:rFonts w:ascii="Times New Roman" w:hAnsi="Times New Roman"/>
                      <w:color w:val="auto"/>
                      <w:szCs w:val="21"/>
                    </w:rPr>
                  </w:pPr>
                  <w:r>
                    <w:rPr>
                      <w:rFonts w:ascii="Times New Roman" w:hAnsi="Times New Roman" w:eastAsia="宋体" w:cs="Times New Roman"/>
                      <w:color w:val="auto"/>
                      <w:szCs w:val="21"/>
                    </w:rPr>
                    <w:t>符合性</w:t>
                  </w:r>
                </w:p>
              </w:tc>
            </w:tr>
            <w:tr w14:paraId="2DEACF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33" w:hRule="atLeast"/>
              </w:trPr>
              <w:tc>
                <w:tcPr>
                  <w:tcW w:w="643" w:type="dxa"/>
                  <w:tcBorders>
                    <w:top w:val="single" w:color="auto" w:sz="12" w:space="0"/>
                    <w:bottom w:val="single" w:color="auto" w:sz="8" w:space="0"/>
                  </w:tcBorders>
                  <w:noWrap w:val="0"/>
                  <w:vAlign w:val="center"/>
                </w:tcPr>
                <w:p w14:paraId="0F35FF16">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1</w:t>
                  </w:r>
                </w:p>
              </w:tc>
              <w:tc>
                <w:tcPr>
                  <w:tcW w:w="3277" w:type="dxa"/>
                  <w:tcBorders>
                    <w:top w:val="single" w:color="auto" w:sz="12" w:space="0"/>
                    <w:bottom w:val="single" w:color="auto" w:sz="8" w:space="0"/>
                  </w:tcBorders>
                  <w:noWrap w:val="0"/>
                  <w:vAlign w:val="center"/>
                </w:tcPr>
                <w:p w14:paraId="51724808">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加强重点行业</w:t>
                  </w:r>
                  <w:r>
                    <w:rPr>
                      <w:rFonts w:hint="eastAsia" w:ascii="Times New Roman" w:hAnsi="Times New Roman" w:eastAsia="宋体" w:cs="Times New Roman"/>
                      <w:color w:val="auto"/>
                      <w:spacing w:val="0"/>
                      <w:sz w:val="21"/>
                      <w:szCs w:val="21"/>
                      <w:highlight w:val="none"/>
                      <w:lang w:val="en-US" w:eastAsia="zh-CN"/>
                    </w:rPr>
                    <w:t>VOC</w:t>
                  </w:r>
                  <w:r>
                    <w:rPr>
                      <w:rFonts w:hint="eastAsia" w:ascii="Times New Roman" w:hAnsi="Times New Roman" w:eastAsia="宋体" w:cs="Times New Roman"/>
                      <w:color w:val="auto"/>
                      <w:spacing w:val="0"/>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治理。实施</w:t>
                  </w:r>
                  <w:r>
                    <w:rPr>
                      <w:rFonts w:hint="eastAsia" w:ascii="Times New Roman" w:hAnsi="Times New Roman" w:eastAsia="宋体" w:cs="Times New Roman"/>
                      <w:color w:val="auto"/>
                      <w:spacing w:val="0"/>
                      <w:sz w:val="21"/>
                      <w:szCs w:val="21"/>
                      <w:highlight w:val="none"/>
                      <w:lang w:val="en-US" w:eastAsia="zh-CN"/>
                    </w:rPr>
                    <w:t>VOC</w:t>
                  </w:r>
                  <w:r>
                    <w:rPr>
                      <w:rFonts w:hint="eastAsia" w:ascii="Times New Roman" w:hAnsi="Times New Roman" w:eastAsia="宋体" w:cs="Times New Roman"/>
                      <w:color w:val="auto"/>
                      <w:spacing w:val="0"/>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排放总量控制，重点推进石油天然气开采、石化、化工、包装印刷、工业涂装、油品储运销等重点行业排放源以及机动车等移动源</w:t>
                  </w:r>
                  <w:r>
                    <w:rPr>
                      <w:rFonts w:hint="eastAsia" w:ascii="Times New Roman" w:hAnsi="Times New Roman" w:eastAsia="宋体" w:cs="Times New Roman"/>
                      <w:color w:val="auto"/>
                      <w:spacing w:val="0"/>
                      <w:sz w:val="21"/>
                      <w:szCs w:val="21"/>
                      <w:highlight w:val="none"/>
                      <w:lang w:val="en-US" w:eastAsia="zh-CN"/>
                    </w:rPr>
                    <w:t>VOC</w:t>
                  </w:r>
                  <w:r>
                    <w:rPr>
                      <w:rFonts w:hint="eastAsia" w:ascii="Times New Roman" w:hAnsi="Times New Roman" w:eastAsia="宋体" w:cs="Times New Roman"/>
                      <w:color w:val="auto"/>
                      <w:spacing w:val="0"/>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污染防治，加强重点行业、重点企业的精细化管控</w:t>
                  </w:r>
                  <w:r>
                    <w:rPr>
                      <w:rFonts w:hint="eastAsia" w:ascii="Times New Roman" w:hAnsi="Times New Roman" w:eastAsia="宋体" w:cs="Times New Roman"/>
                      <w:color w:val="auto"/>
                      <w:spacing w:val="-6"/>
                      <w:sz w:val="21"/>
                      <w:szCs w:val="21"/>
                      <w:highlight w:val="none"/>
                      <w:lang w:val="en-US" w:eastAsia="zh-CN"/>
                    </w:rPr>
                    <w:t>；全面推进使用低VOC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eastAsia" w:ascii="Times New Roman" w:hAnsi="Times New Roman" w:eastAsia="宋体" w:cs="Times New Roman"/>
                      <w:color w:val="auto"/>
                      <w:spacing w:val="-6"/>
                      <w:sz w:val="21"/>
                      <w:szCs w:val="21"/>
                      <w:highlight w:val="none"/>
                      <w:lang w:val="en-US" w:eastAsia="zh-CN"/>
                    </w:rPr>
                    <w:t>含量涂料、油墨、胶粘剂、清洗剂等；加强汽修行业VOC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eastAsia" w:ascii="Times New Roman" w:hAnsi="Times New Roman" w:eastAsia="宋体" w:cs="Times New Roman"/>
                      <w:color w:val="auto"/>
                      <w:spacing w:val="-6"/>
                      <w:sz w:val="21"/>
                      <w:szCs w:val="21"/>
                      <w:highlight w:val="none"/>
                      <w:lang w:val="en-US" w:eastAsia="zh-CN"/>
                    </w:rPr>
                    <w:t>综合治理，加大餐饮油烟污染治理力度，持续削减VOC</w:t>
                  </w:r>
                  <w:r>
                    <w:rPr>
                      <w:rFonts w:hint="eastAsia" w:ascii="Times New Roman" w:hAnsi="Times New Roman" w:eastAsia="宋体" w:cs="Times New Roman"/>
                      <w:color w:val="auto"/>
                      <w:spacing w:val="-6"/>
                      <w:sz w:val="21"/>
                      <w:szCs w:val="21"/>
                      <w:highlight w:val="none"/>
                      <w:vertAlign w:val="subscript"/>
                      <w:lang w:val="en-US" w:eastAsia="zh-CN"/>
                    </w:rPr>
                    <w:t>S</w:t>
                  </w:r>
                  <w:r>
                    <w:rPr>
                      <w:rFonts w:hint="eastAsia" w:ascii="Times New Roman" w:hAnsi="Times New Roman" w:eastAsia="宋体" w:cs="Times New Roman"/>
                      <w:color w:val="auto"/>
                      <w:spacing w:val="-6"/>
                      <w:sz w:val="21"/>
                      <w:szCs w:val="21"/>
                      <w:highlight w:val="none"/>
                      <w:lang w:val="en-US" w:eastAsia="zh-CN"/>
                    </w:rPr>
                    <w:t>排放量。</w:t>
                  </w:r>
                </w:p>
              </w:tc>
              <w:tc>
                <w:tcPr>
                  <w:tcW w:w="2290" w:type="dxa"/>
                  <w:tcBorders>
                    <w:top w:val="single" w:color="auto" w:sz="12" w:space="0"/>
                    <w:bottom w:val="single" w:color="auto" w:sz="8" w:space="0"/>
                  </w:tcBorders>
                  <w:noWrap w:val="0"/>
                  <w:vAlign w:val="center"/>
                </w:tcPr>
                <w:p w14:paraId="5ABC28DA">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本项目涂装用低VOC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含量的环保型涂料</w:t>
                  </w:r>
                  <w:r>
                    <w:rPr>
                      <w:rFonts w:hint="eastAsia" w:ascii="Times New Roman" w:hAnsi="Times New Roman" w:eastAsia="宋体" w:cs="Times New Roman"/>
                      <w:color w:val="auto"/>
                      <w:spacing w:val="-6"/>
                      <w:sz w:val="21"/>
                      <w:szCs w:val="21"/>
                      <w:highlight w:val="none"/>
                      <w:lang w:val="en-US" w:eastAsia="zh-CN"/>
                    </w:rPr>
                    <w:t>，项目涂装工序设密闭喷漆房，涂装废气通过密闭负压收集，采用“干式漆雾过滤模组+活性炭吸附-脱附+催化燃烧装置”处理后通过20m高排气筒达标排放，严格执行污染物总量控制。</w:t>
                  </w:r>
                </w:p>
              </w:tc>
              <w:tc>
                <w:tcPr>
                  <w:tcW w:w="903" w:type="dxa"/>
                  <w:tcBorders>
                    <w:top w:val="single" w:color="auto" w:sz="12" w:space="0"/>
                    <w:bottom w:val="single" w:color="auto" w:sz="8" w:space="0"/>
                  </w:tcBorders>
                  <w:noWrap w:val="0"/>
                  <w:vAlign w:val="center"/>
                </w:tcPr>
                <w:p w14:paraId="28552A4C">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符合</w:t>
                  </w:r>
                </w:p>
              </w:tc>
            </w:tr>
            <w:tr w14:paraId="25887E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24" w:hRule="atLeast"/>
              </w:trPr>
              <w:tc>
                <w:tcPr>
                  <w:tcW w:w="643" w:type="dxa"/>
                  <w:tcBorders>
                    <w:top w:val="single" w:color="auto" w:sz="8" w:space="0"/>
                    <w:bottom w:val="single" w:color="auto" w:sz="8" w:space="0"/>
                  </w:tcBorders>
                  <w:noWrap w:val="0"/>
                  <w:vAlign w:val="center"/>
                </w:tcPr>
                <w:p w14:paraId="3DEE7951">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2</w:t>
                  </w:r>
                </w:p>
              </w:tc>
              <w:tc>
                <w:tcPr>
                  <w:tcW w:w="3277" w:type="dxa"/>
                  <w:tcBorders>
                    <w:top w:val="single" w:color="auto" w:sz="8" w:space="0"/>
                    <w:bottom w:val="single" w:color="auto" w:sz="8" w:space="0"/>
                  </w:tcBorders>
                  <w:noWrap w:val="0"/>
                  <w:vAlign w:val="center"/>
                </w:tcPr>
                <w:p w14:paraId="038821FC">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加强环境噪声污染防控。加强噪声污染源监管，继续强化和深入推进交通运输噪声、建筑施工噪声、社会生活噪声、工业企业、机场周边噪声污染防治，推进工业企业噪声纳入排污许可管理。优化重点区域声环境质量监测点位，加强城市环境噪声、道路交通噪声、功能区噪声例行监测与评价，推动功能区声环境质量自动监测，强化声环境功能区管理，适时调整完善声环境功能区。继续强化噪声信访处置，畅通噪声污染投诉渠道，完善生态环境与相关部门的噪声污染投诉信息共享处理机制。</w:t>
                  </w:r>
                </w:p>
              </w:tc>
              <w:tc>
                <w:tcPr>
                  <w:tcW w:w="2290" w:type="dxa"/>
                  <w:tcBorders>
                    <w:top w:val="single" w:color="auto" w:sz="8" w:space="0"/>
                    <w:bottom w:val="single" w:color="auto" w:sz="8" w:space="0"/>
                  </w:tcBorders>
                  <w:noWrap w:val="0"/>
                  <w:vAlign w:val="center"/>
                </w:tcPr>
                <w:p w14:paraId="12836187">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本项目选用低噪声设备，采取基础减振、厂房隔声等措施降噪，经预测，厂界噪声满足排放标准，项目噪声纳入排污许可管理。</w:t>
                  </w:r>
                </w:p>
              </w:tc>
              <w:tc>
                <w:tcPr>
                  <w:tcW w:w="903" w:type="dxa"/>
                  <w:tcBorders>
                    <w:top w:val="single" w:color="auto" w:sz="8" w:space="0"/>
                    <w:bottom w:val="single" w:color="auto" w:sz="8" w:space="0"/>
                  </w:tcBorders>
                  <w:noWrap w:val="0"/>
                  <w:vAlign w:val="center"/>
                </w:tcPr>
                <w:p w14:paraId="5ACB1858">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符合</w:t>
                  </w:r>
                </w:p>
              </w:tc>
            </w:tr>
            <w:tr w14:paraId="03F085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46" w:hRule="atLeast"/>
              </w:trPr>
              <w:tc>
                <w:tcPr>
                  <w:tcW w:w="643" w:type="dxa"/>
                  <w:tcBorders>
                    <w:top w:val="single" w:color="auto" w:sz="8" w:space="0"/>
                    <w:bottom w:val="single" w:color="auto" w:sz="12" w:space="0"/>
                  </w:tcBorders>
                  <w:noWrap w:val="0"/>
                  <w:vAlign w:val="center"/>
                </w:tcPr>
                <w:p w14:paraId="7B1BBF48">
                  <w:pPr>
                    <w:adjustRightInd w:val="0"/>
                    <w:snapToGrid w:val="0"/>
                    <w:jc w:val="center"/>
                    <w:rPr>
                      <w:rFonts w:hint="default" w:ascii="宋体" w:hAnsi="宋体" w:cs="宋体"/>
                      <w:color w:val="auto"/>
                      <w:lang w:val="en-US" w:eastAsia="zh-CN"/>
                    </w:rPr>
                  </w:pPr>
                  <w:r>
                    <w:rPr>
                      <w:rFonts w:hint="eastAsia" w:ascii="宋体" w:hAnsi="宋体" w:cs="宋体"/>
                      <w:color w:val="auto"/>
                      <w:lang w:val="en-US" w:eastAsia="zh-CN"/>
                    </w:rPr>
                    <w:t>3</w:t>
                  </w:r>
                </w:p>
              </w:tc>
              <w:tc>
                <w:tcPr>
                  <w:tcW w:w="3277" w:type="dxa"/>
                  <w:tcBorders>
                    <w:top w:val="single" w:color="auto" w:sz="8" w:space="0"/>
                    <w:bottom w:val="single" w:color="auto" w:sz="12" w:space="0"/>
                  </w:tcBorders>
                  <w:noWrap w:val="0"/>
                  <w:vAlign w:val="center"/>
                </w:tcPr>
                <w:p w14:paraId="695F5A8A">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加强环境风险预警防控。加强涉危险废物企业、涉重金属企业、化工园区、集中式饮用水水源地及重点流域环境风险调查评估，实施分类分级风险管控，协同推进重点区域、流域生态环境污染综合防治、风险防控与生态修复</w:t>
                  </w:r>
                  <w:r>
                    <w:rPr>
                      <w:rFonts w:hint="default" w:ascii="Times New Roman" w:hAnsi="Times New Roman" w:eastAsia="宋体" w:cs="Times New Roman"/>
                      <w:color w:val="auto"/>
                      <w:spacing w:val="-6"/>
                      <w:sz w:val="21"/>
                      <w:szCs w:val="21"/>
                      <w:highlight w:val="none"/>
                      <w:lang w:val="en-US" w:eastAsia="zh-CN"/>
                    </w:rPr>
                    <w:t>，形成一批生态环境综合整治和风险防控示范工程，在环境高风险领域建立环境污染强制责任保险制度。推动重要水</w:t>
                  </w:r>
                  <w:r>
                    <w:rPr>
                      <w:rFonts w:hint="default" w:ascii="Times New Roman" w:hAnsi="Times New Roman" w:eastAsia="宋体" w:cs="Times New Roman"/>
                      <w:color w:val="auto"/>
                      <w:sz w:val="21"/>
                      <w:szCs w:val="21"/>
                      <w:highlight w:val="none"/>
                      <w:lang w:val="en-US" w:eastAsia="zh-CN"/>
                    </w:rPr>
                    <w:t>源地水质在线生物预警系统建设</w:t>
                  </w:r>
                  <w:r>
                    <w:rPr>
                      <w:rFonts w:hint="default" w:ascii="Times New Roman" w:hAnsi="Times New Roman" w:eastAsia="宋体" w:cs="Times New Roman"/>
                      <w:color w:val="auto"/>
                      <w:spacing w:val="-6"/>
                      <w:sz w:val="21"/>
                      <w:szCs w:val="21"/>
                      <w:highlight w:val="none"/>
                      <w:lang w:val="en-US" w:eastAsia="zh-CN"/>
                    </w:rPr>
                    <w:t>。</w:t>
                  </w:r>
                </w:p>
              </w:tc>
              <w:tc>
                <w:tcPr>
                  <w:tcW w:w="2290" w:type="dxa"/>
                  <w:tcBorders>
                    <w:top w:val="single" w:color="auto" w:sz="8" w:space="0"/>
                    <w:bottom w:val="single" w:color="auto" w:sz="12" w:space="0"/>
                  </w:tcBorders>
                  <w:noWrap w:val="0"/>
                  <w:vAlign w:val="center"/>
                </w:tcPr>
                <w:p w14:paraId="0722BC06">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本项目设计采用切实可行的环境风险防控措施，制定各种环境管理制度，编制突发环境事件应急预案，严防环境风险事件发生。</w:t>
                  </w:r>
                </w:p>
              </w:tc>
              <w:tc>
                <w:tcPr>
                  <w:tcW w:w="903" w:type="dxa"/>
                  <w:tcBorders>
                    <w:top w:val="single" w:color="auto" w:sz="8" w:space="0"/>
                    <w:bottom w:val="single" w:color="auto" w:sz="12" w:space="0"/>
                  </w:tcBorders>
                  <w:noWrap w:val="0"/>
                  <w:vAlign w:val="center"/>
                </w:tcPr>
                <w:p w14:paraId="1944579A">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符合</w:t>
                  </w:r>
                </w:p>
              </w:tc>
            </w:tr>
          </w:tbl>
          <w:p w14:paraId="38985B95">
            <w:pPr>
              <w:spacing w:before="120" w:beforeLines="50" w:line="360" w:lineRule="auto"/>
              <w:ind w:firstLine="436" w:firstLineChars="200"/>
              <w:rPr>
                <w:rFonts w:hint="eastAsia" w:ascii="宋体" w:hAnsi="宋体" w:cs="宋体"/>
                <w:color w:val="auto"/>
                <w:sz w:val="24"/>
              </w:rPr>
            </w:pPr>
            <w:r>
              <w:rPr>
                <w:rFonts w:hint="eastAsia" w:ascii="宋体" w:hAnsi="宋体" w:eastAsia="宋体" w:cs="宋体"/>
                <w:color w:val="auto"/>
                <w:spacing w:val="-11"/>
                <w:sz w:val="24"/>
              </w:rPr>
              <w:t>综上，本项目</w:t>
            </w:r>
            <w:r>
              <w:rPr>
                <w:rFonts w:hint="eastAsia" w:ascii="宋体" w:hAnsi="宋体" w:eastAsia="宋体" w:cs="宋体"/>
                <w:color w:val="auto"/>
                <w:spacing w:val="-11"/>
                <w:sz w:val="24"/>
                <w:lang w:val="en-US" w:eastAsia="zh-CN"/>
              </w:rPr>
              <w:t>建设</w:t>
            </w:r>
            <w:r>
              <w:rPr>
                <w:rFonts w:hint="eastAsia" w:ascii="宋体" w:hAnsi="宋体" w:eastAsia="宋体" w:cs="宋体"/>
                <w:color w:val="auto"/>
                <w:spacing w:val="-11"/>
                <w:sz w:val="24"/>
              </w:rPr>
              <w:t>符合《新疆生态环境保护“十四五”规划》相关要求</w:t>
            </w:r>
            <w:r>
              <w:rPr>
                <w:rFonts w:hint="eastAsia" w:ascii="宋体" w:hAnsi="宋体" w:eastAsia="宋体" w:cs="宋体"/>
                <w:color w:val="auto"/>
                <w:sz w:val="24"/>
              </w:rPr>
              <w:t>。</w:t>
            </w:r>
          </w:p>
          <w:p w14:paraId="412BA93E">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w:t>
            </w:r>
            <w:r>
              <w:rPr>
                <w:rFonts w:hint="eastAsia" w:ascii="宋体" w:hAnsi="宋体" w:cs="宋体"/>
                <w:color w:val="auto"/>
                <w:sz w:val="24"/>
                <w:lang w:val="en-US" w:eastAsia="zh-CN"/>
              </w:rPr>
              <w:t>7</w:t>
            </w:r>
            <w:r>
              <w:rPr>
                <w:rFonts w:hint="eastAsia" w:ascii="宋体" w:hAnsi="宋体" w:eastAsia="宋体" w:cs="宋体"/>
                <w:color w:val="auto"/>
                <w:sz w:val="24"/>
                <w:lang w:val="en-US" w:eastAsia="zh-CN"/>
              </w:rPr>
              <w:t>）与《昌吉回族自治州生态环境保护与建设“十四五”规划》符合性分析</w:t>
            </w:r>
          </w:p>
          <w:p w14:paraId="27A96F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根据《</w:t>
            </w:r>
            <w:r>
              <w:rPr>
                <w:rFonts w:hint="default" w:ascii="宋体" w:hAnsi="宋体" w:eastAsia="宋体" w:cs="宋体"/>
                <w:color w:val="auto"/>
                <w:sz w:val="24"/>
                <w:lang w:val="en-US" w:eastAsia="zh-CN"/>
              </w:rPr>
              <w:t>昌吉回族自治州生态环境保护与建设“十四五”规划</w:t>
            </w:r>
            <w:r>
              <w:rPr>
                <w:rFonts w:hint="eastAsia" w:ascii="宋体" w:hAnsi="宋体" w:eastAsia="宋体" w:cs="宋体"/>
                <w:color w:val="auto"/>
                <w:sz w:val="24"/>
                <w:lang w:val="en-US" w:eastAsia="zh-CN"/>
              </w:rPr>
              <w:t>》中相关内容：“开展多污染源治理。推进石化、化工、工业涂装、家具制造、塑料、橡胶、包装印刷、汽修等重点行业领域VOC</w:t>
            </w:r>
            <w:r>
              <w:rPr>
                <w:rFonts w:hint="eastAsia" w:ascii="宋体" w:hAnsi="宋体" w:eastAsia="宋体" w:cs="宋体"/>
                <w:color w:val="auto"/>
                <w:sz w:val="24"/>
                <w:vertAlign w:val="subscript"/>
                <w:lang w:val="en-US" w:eastAsia="zh-CN"/>
              </w:rPr>
              <w:t>S</w:t>
            </w:r>
            <w:r>
              <w:rPr>
                <w:rFonts w:hint="eastAsia" w:ascii="宋体" w:hAnsi="宋体" w:eastAsia="宋体" w:cs="宋体"/>
                <w:color w:val="auto"/>
                <w:sz w:val="24"/>
                <w:lang w:val="en-US" w:eastAsia="zh-CN"/>
              </w:rPr>
              <w:t>整治，加强VOC</w:t>
            </w:r>
            <w:r>
              <w:rPr>
                <w:rFonts w:hint="eastAsia" w:ascii="宋体" w:hAnsi="宋体" w:eastAsia="宋体" w:cs="宋体"/>
                <w:color w:val="auto"/>
                <w:sz w:val="24"/>
                <w:vertAlign w:val="subscript"/>
                <w:lang w:val="en-US" w:eastAsia="zh-CN"/>
              </w:rPr>
              <w:t>S</w:t>
            </w:r>
            <w:r>
              <w:rPr>
                <w:rFonts w:hint="eastAsia" w:ascii="宋体" w:hAnsi="宋体" w:eastAsia="宋体" w:cs="宋体"/>
                <w:color w:val="auto"/>
                <w:sz w:val="24"/>
                <w:lang w:val="en-US" w:eastAsia="zh-CN"/>
              </w:rPr>
              <w:t>源头、过程、末端全流程控制，重点加强对光化学反应活性强的VOC</w:t>
            </w:r>
            <w:r>
              <w:rPr>
                <w:rFonts w:hint="eastAsia" w:ascii="宋体" w:hAnsi="宋体" w:eastAsia="宋体" w:cs="宋体"/>
                <w:color w:val="auto"/>
                <w:sz w:val="24"/>
                <w:vertAlign w:val="subscript"/>
                <w:lang w:val="en-US" w:eastAsia="zh-CN"/>
              </w:rPr>
              <w:t>S</w:t>
            </w:r>
            <w:r>
              <w:rPr>
                <w:rFonts w:hint="eastAsia" w:ascii="宋体" w:hAnsi="宋体" w:eastAsia="宋体" w:cs="宋体"/>
                <w:color w:val="auto"/>
                <w:sz w:val="24"/>
                <w:lang w:val="en-US" w:eastAsia="zh-CN"/>
              </w:rPr>
              <w:t>物质控制，开展企业深度治理和精细化管控。持续开展防风固沙绿化工程，抑制季节性裸地农田扬尘，减少裸露扬尘污染。推进露天矿山综合整治，2021年底完成全州露天开采矿山动态管理清单。落实建筑工地智能降尘管控专项行动方案，全州建筑面积3000平方米及以上新建建筑工程和主体未封顶的在建工程安装降尘喷淋系统，并与扬尘在线监测设备联接，实现智能化控制。强化道路扬尘治理，进一步加强散料货运车辆运输环节的扬尘污染整治。加强桔秆综合利用，严防因秸秆露天焚烧造成区域性重污染天气。”</w:t>
            </w:r>
          </w:p>
          <w:p w14:paraId="59056F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本项目为金属结构制造项目，项目严格按照自治区级昌吉州VOC</w:t>
            </w:r>
            <w:r>
              <w:rPr>
                <w:rFonts w:hint="eastAsia" w:ascii="宋体" w:hAnsi="宋体" w:eastAsia="宋体" w:cs="宋体"/>
                <w:color w:val="auto"/>
                <w:sz w:val="24"/>
                <w:vertAlign w:val="subscript"/>
                <w:lang w:val="en-US" w:eastAsia="zh-CN"/>
              </w:rPr>
              <w:t>S</w:t>
            </w:r>
            <w:r>
              <w:rPr>
                <w:rFonts w:hint="eastAsia" w:ascii="宋体" w:hAnsi="宋体" w:eastAsia="宋体" w:cs="宋体"/>
                <w:color w:val="auto"/>
                <w:sz w:val="24"/>
                <w:lang w:val="en-US" w:eastAsia="zh-CN"/>
              </w:rPr>
              <w:t>管控要求执行，涂装用低VOC</w:t>
            </w:r>
            <w:r>
              <w:rPr>
                <w:rFonts w:hint="eastAsia" w:ascii="宋体" w:hAnsi="宋体" w:eastAsia="宋体" w:cs="宋体"/>
                <w:color w:val="auto"/>
                <w:sz w:val="24"/>
                <w:vertAlign w:val="subscript"/>
                <w:lang w:val="en-US" w:eastAsia="zh-CN"/>
              </w:rPr>
              <w:t>S</w:t>
            </w:r>
            <w:r>
              <w:rPr>
                <w:rFonts w:hint="eastAsia" w:ascii="宋体" w:hAnsi="宋体" w:eastAsia="宋体" w:cs="宋体"/>
                <w:color w:val="auto"/>
                <w:sz w:val="24"/>
                <w:lang w:val="en-US" w:eastAsia="zh-CN"/>
              </w:rPr>
              <w:t>含量的环保型涂料，含VOC</w:t>
            </w:r>
            <w:r>
              <w:rPr>
                <w:rFonts w:hint="eastAsia" w:ascii="宋体" w:hAnsi="宋体" w:eastAsia="宋体" w:cs="宋体"/>
                <w:color w:val="auto"/>
                <w:sz w:val="24"/>
                <w:vertAlign w:val="subscript"/>
                <w:lang w:val="en-US" w:eastAsia="zh-CN"/>
              </w:rPr>
              <w:t>S</w:t>
            </w:r>
            <w:r>
              <w:rPr>
                <w:rFonts w:hint="eastAsia" w:ascii="宋体" w:hAnsi="宋体" w:eastAsia="宋体" w:cs="宋体"/>
                <w:color w:val="auto"/>
                <w:sz w:val="24"/>
                <w:lang w:val="en-US" w:eastAsia="zh-CN"/>
              </w:rPr>
              <w:t>涂料采用密封桶装在油漆库内储存，涂装工序设密闭喷漆房，涂装废气通过密闭负压收集，采用“干式漆雾过滤模组+活性炭吸附-脱附+催化燃烧装置”处理后通过20m高排气筒达标排放。本项目建设符合《昌吉回族自治州生态环境保护与建设“十四五”规划》相关要求。</w:t>
            </w:r>
          </w:p>
          <w:p w14:paraId="42BBBA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（8）与《关于进一步加强乌鲁木齐、昌吉、石河子、五家渠区域大气环境同防同治的意见》的通知（新政办发〔2023〕29号）符合性分析</w:t>
            </w:r>
          </w:p>
          <w:p w14:paraId="6BBF955A">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Times New Roman" w:hAnsi="Times New Roman" w:eastAsia="宋体" w:cs="Times New Roman"/>
                <w:b/>
                <w:bCs/>
                <w:color w:val="auto"/>
                <w:sz w:val="21"/>
              </w:rPr>
            </w:pPr>
            <w:r>
              <w:rPr>
                <w:rFonts w:ascii="Times New Roman" w:hAnsi="Times New Roman" w:eastAsia="宋体" w:cs="Times New Roman"/>
                <w:b/>
                <w:bCs/>
                <w:color w:val="auto"/>
                <w:sz w:val="21"/>
              </w:rPr>
              <w:t>表</w:t>
            </w:r>
            <w:r>
              <w:rPr>
                <w:rFonts w:hint="eastAsia" w:ascii="Times New Roman" w:hAnsi="Times New Roman" w:eastAsia="宋体" w:cs="Times New Roman"/>
                <w:b/>
                <w:bCs/>
                <w:color w:val="auto"/>
                <w:sz w:val="21"/>
                <w:lang w:val="en-US" w:eastAsia="zh-CN"/>
              </w:rPr>
              <w:t>1-</w:t>
            </w:r>
            <w:r>
              <w:rPr>
                <w:rFonts w:hint="eastAsia" w:cs="Times New Roman"/>
                <w:b/>
                <w:bCs/>
                <w:color w:val="auto"/>
                <w:sz w:val="21"/>
                <w:lang w:val="en-US" w:eastAsia="zh-CN"/>
              </w:rPr>
              <w:t>9</w:t>
            </w:r>
            <w:r>
              <w:rPr>
                <w:rFonts w:hint="eastAsia" w:ascii="Times New Roman" w:hAnsi="Times New Roman" w:eastAsia="宋体" w:cs="Times New Roman"/>
                <w:b/>
                <w:bCs/>
                <w:color w:val="auto"/>
                <w:sz w:val="21"/>
                <w:lang w:val="en-US" w:eastAsia="zh-CN"/>
              </w:rPr>
              <w:t xml:space="preserve"> </w:t>
            </w:r>
            <w:r>
              <w:rPr>
                <w:rFonts w:hint="eastAsia" w:ascii="Times New Roman" w:hAnsi="Times New Roman" w:eastAsia="宋体" w:cs="Times New Roman"/>
                <w:b/>
                <w:bCs/>
                <w:color w:val="auto"/>
                <w:sz w:val="21"/>
              </w:rPr>
              <w:t>与《关于</w:t>
            </w:r>
            <w:r>
              <w:rPr>
                <w:rFonts w:hint="eastAsia" w:ascii="Times New Roman" w:hAnsi="Times New Roman" w:eastAsia="宋体" w:cs="Times New Roman"/>
                <w:b/>
                <w:bCs/>
                <w:color w:val="auto"/>
                <w:sz w:val="21"/>
                <w:lang w:val="en-US" w:eastAsia="zh-CN"/>
              </w:rPr>
              <w:t>进一步</w:t>
            </w:r>
            <w:r>
              <w:rPr>
                <w:rFonts w:hint="eastAsia" w:ascii="Times New Roman" w:hAnsi="Times New Roman" w:eastAsia="宋体" w:cs="Times New Roman"/>
                <w:b/>
                <w:bCs/>
                <w:color w:val="auto"/>
                <w:sz w:val="21"/>
              </w:rPr>
              <w:t>加强乌鲁木齐、昌吉、石河子、五家渠区域</w:t>
            </w:r>
            <w:r>
              <w:rPr>
                <w:rFonts w:hint="eastAsia" w:ascii="Times New Roman" w:hAnsi="Times New Roman" w:eastAsia="宋体" w:cs="Times New Roman"/>
                <w:b/>
                <w:bCs/>
                <w:color w:val="auto"/>
                <w:sz w:val="21"/>
                <w:lang w:val="en-US" w:eastAsia="zh-CN"/>
              </w:rPr>
              <w:t>大气环境</w:t>
            </w:r>
            <w:r>
              <w:rPr>
                <w:rFonts w:hint="eastAsia" w:ascii="Times New Roman" w:hAnsi="Times New Roman" w:eastAsia="宋体" w:cs="Times New Roman"/>
                <w:b/>
                <w:bCs/>
                <w:color w:val="auto"/>
                <w:sz w:val="21"/>
              </w:rPr>
              <w:t>同防同治的意见》</w:t>
            </w:r>
            <w:r>
              <w:rPr>
                <w:rFonts w:ascii="Times New Roman" w:hAnsi="Times New Roman" w:eastAsia="宋体" w:cs="Times New Roman"/>
                <w:b/>
                <w:bCs/>
                <w:color w:val="auto"/>
                <w:sz w:val="21"/>
              </w:rPr>
              <w:t>符合性分析</w:t>
            </w:r>
          </w:p>
          <w:tbl>
            <w:tblPr>
              <w:tblStyle w:val="26"/>
              <w:tblW w:w="7113"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3277"/>
              <w:gridCol w:w="2290"/>
              <w:gridCol w:w="903"/>
            </w:tblGrid>
            <w:tr w14:paraId="338798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43" w:type="dxa"/>
                  <w:tcBorders>
                    <w:bottom w:val="single" w:color="auto" w:sz="12" w:space="0"/>
                  </w:tcBorders>
                  <w:noWrap w:val="0"/>
                  <w:vAlign w:val="center"/>
                </w:tcPr>
                <w:p w14:paraId="64876341">
                  <w:pPr>
                    <w:pStyle w:val="7"/>
                    <w:jc w:val="center"/>
                    <w:outlineLvl w:val="3"/>
                    <w:rPr>
                      <w:rFonts w:ascii="Times New Roman" w:hAnsi="Times New Roman"/>
                      <w:color w:val="auto"/>
                    </w:rPr>
                  </w:pPr>
                  <w:r>
                    <w:rPr>
                      <w:rFonts w:hint="eastAsia" w:ascii="Times New Roman" w:hAnsi="Times New Roman"/>
                      <w:color w:val="auto"/>
                    </w:rPr>
                    <w:t>序号</w:t>
                  </w:r>
                </w:p>
              </w:tc>
              <w:tc>
                <w:tcPr>
                  <w:tcW w:w="3277" w:type="dxa"/>
                  <w:tcBorders>
                    <w:bottom w:val="single" w:color="auto" w:sz="12" w:space="0"/>
                  </w:tcBorders>
                  <w:noWrap w:val="0"/>
                  <w:vAlign w:val="center"/>
                </w:tcPr>
                <w:p w14:paraId="7A2D5EA5">
                  <w:pPr>
                    <w:pStyle w:val="7"/>
                    <w:jc w:val="center"/>
                    <w:outlineLvl w:val="3"/>
                    <w:rPr>
                      <w:rFonts w:ascii="Times New Roman" w:hAnsi="Times New Roman"/>
                      <w:color w:val="auto"/>
                      <w:szCs w:val="21"/>
                    </w:rPr>
                  </w:pPr>
                  <w:r>
                    <w:rPr>
                      <w:rFonts w:hint="eastAsia" w:ascii="Times New Roman" w:hAnsi="Times New Roman"/>
                      <w:color w:val="auto"/>
                      <w:szCs w:val="21"/>
                      <w:lang w:val="en-US" w:eastAsia="zh-CN"/>
                    </w:rPr>
                    <w:t>意见</w:t>
                  </w:r>
                  <w:r>
                    <w:rPr>
                      <w:rFonts w:hint="eastAsia" w:ascii="Times New Roman" w:hAnsi="Times New Roman"/>
                      <w:color w:val="auto"/>
                      <w:szCs w:val="21"/>
                    </w:rPr>
                    <w:t>要求</w:t>
                  </w:r>
                </w:p>
              </w:tc>
              <w:tc>
                <w:tcPr>
                  <w:tcW w:w="2290" w:type="dxa"/>
                  <w:tcBorders>
                    <w:bottom w:val="single" w:color="auto" w:sz="12" w:space="0"/>
                  </w:tcBorders>
                  <w:noWrap w:val="0"/>
                  <w:vAlign w:val="center"/>
                </w:tcPr>
                <w:p w14:paraId="311F48B5">
                  <w:pPr>
                    <w:pStyle w:val="7"/>
                    <w:jc w:val="center"/>
                    <w:outlineLvl w:val="3"/>
                    <w:rPr>
                      <w:rFonts w:ascii="Times New Roman" w:hAnsi="Times New Roman"/>
                      <w:color w:val="auto"/>
                      <w:szCs w:val="21"/>
                    </w:rPr>
                  </w:pPr>
                  <w:r>
                    <w:rPr>
                      <w:rFonts w:hint="eastAsia" w:ascii="Times New Roman" w:hAnsi="Times New Roman"/>
                      <w:color w:val="auto"/>
                      <w:szCs w:val="21"/>
                    </w:rPr>
                    <w:t>项目情况</w:t>
                  </w:r>
                </w:p>
              </w:tc>
              <w:tc>
                <w:tcPr>
                  <w:tcW w:w="903" w:type="dxa"/>
                  <w:tcBorders>
                    <w:bottom w:val="single" w:color="auto" w:sz="12" w:space="0"/>
                  </w:tcBorders>
                  <w:noWrap w:val="0"/>
                  <w:vAlign w:val="center"/>
                </w:tcPr>
                <w:p w14:paraId="6A599FC0">
                  <w:pPr>
                    <w:pStyle w:val="7"/>
                    <w:jc w:val="center"/>
                    <w:outlineLvl w:val="3"/>
                    <w:rPr>
                      <w:rFonts w:ascii="Times New Roman" w:hAnsi="Times New Roman"/>
                      <w:color w:val="auto"/>
                      <w:szCs w:val="21"/>
                    </w:rPr>
                  </w:pPr>
                  <w:r>
                    <w:rPr>
                      <w:rFonts w:ascii="Times New Roman" w:hAnsi="Times New Roman" w:eastAsia="宋体" w:cs="Times New Roman"/>
                      <w:color w:val="auto"/>
                      <w:szCs w:val="21"/>
                    </w:rPr>
                    <w:t>符合性</w:t>
                  </w:r>
                </w:p>
              </w:tc>
            </w:tr>
            <w:tr w14:paraId="08F4AC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32" w:hRule="atLeast"/>
              </w:trPr>
              <w:tc>
                <w:tcPr>
                  <w:tcW w:w="643" w:type="dxa"/>
                  <w:tcBorders>
                    <w:top w:val="single" w:color="auto" w:sz="12" w:space="0"/>
                    <w:bottom w:val="single" w:color="auto" w:sz="12" w:space="0"/>
                  </w:tcBorders>
                  <w:noWrap w:val="0"/>
                  <w:vAlign w:val="center"/>
                </w:tcPr>
                <w:p w14:paraId="6AAA08A2">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1</w:t>
                  </w:r>
                </w:p>
              </w:tc>
              <w:tc>
                <w:tcPr>
                  <w:tcW w:w="3277" w:type="dxa"/>
                  <w:tcBorders>
                    <w:top w:val="single" w:color="auto" w:sz="12" w:space="0"/>
                    <w:bottom w:val="single" w:color="auto" w:sz="12" w:space="0"/>
                  </w:tcBorders>
                  <w:noWrap w:val="0"/>
                  <w:vAlign w:val="center"/>
                </w:tcPr>
                <w:p w14:paraId="5EBF230A">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“乌-昌-石”区域包括乌鲁木齐市，昌吉州昌吉市、阜康市、玛纳斯县、呼图壁县，塔城地区沙湾市，五家渠市、石河子市、第十二师。</w:t>
                  </w:r>
                </w:p>
              </w:tc>
              <w:tc>
                <w:tcPr>
                  <w:tcW w:w="2290" w:type="dxa"/>
                  <w:tcBorders>
                    <w:top w:val="single" w:color="auto" w:sz="12" w:space="0"/>
                    <w:bottom w:val="single" w:color="auto" w:sz="12" w:space="0"/>
                  </w:tcBorders>
                  <w:noWrap w:val="0"/>
                  <w:vAlign w:val="center"/>
                </w:tcPr>
                <w:p w14:paraId="75B36542">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本项目位于昌吉高新技术产业开发区，属于“意见”中同防同治区域范围。</w:t>
                  </w:r>
                </w:p>
              </w:tc>
              <w:tc>
                <w:tcPr>
                  <w:tcW w:w="903" w:type="dxa"/>
                  <w:tcBorders>
                    <w:top w:val="single" w:color="auto" w:sz="12" w:space="0"/>
                    <w:bottom w:val="single" w:color="auto" w:sz="12" w:space="0"/>
                  </w:tcBorders>
                  <w:noWrap w:val="0"/>
                  <w:vAlign w:val="center"/>
                </w:tcPr>
                <w:p w14:paraId="66CDA81A">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符合</w:t>
                  </w:r>
                </w:p>
              </w:tc>
            </w:tr>
          </w:tbl>
          <w:p w14:paraId="24429B24">
            <w:pPr>
              <w:keepNext w:val="0"/>
              <w:keepLines w:val="0"/>
              <w:pageBreakBefore w:val="0"/>
              <w:widowControl w:val="0"/>
              <w:kinsoku/>
              <w:wordWrap/>
              <w:overflowPunct/>
              <w:topLinePunct w:val="0"/>
              <w:autoSpaceDE/>
              <w:autoSpaceDN/>
              <w:bidi w:val="0"/>
              <w:adjustRightInd/>
              <w:snapToGrid/>
              <w:spacing w:before="157" w:beforeLines="50" w:line="300" w:lineRule="auto"/>
              <w:jc w:val="right"/>
              <w:textAlignment w:val="auto"/>
              <w:rPr>
                <w:rFonts w:ascii="Times New Roman" w:hAnsi="Times New Roman" w:eastAsia="宋体" w:cs="Times New Roman"/>
                <w:b/>
                <w:bCs/>
                <w:color w:val="auto"/>
              </w:rPr>
            </w:pPr>
            <w:r>
              <w:rPr>
                <w:rFonts w:hint="eastAsia" w:ascii="Times New Roman" w:hAnsi="Times New Roman" w:eastAsia="宋体" w:cs="Times New Roman"/>
                <w:b/>
                <w:bCs/>
                <w:color w:val="auto"/>
                <w:lang w:val="en-US" w:eastAsia="zh-CN"/>
              </w:rPr>
              <w:t>续</w:t>
            </w:r>
            <w:r>
              <w:rPr>
                <w:rFonts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1-</w:t>
            </w:r>
            <w:r>
              <w:rPr>
                <w:rFonts w:hint="eastAsia" w:cs="Times New Roman"/>
                <w:b/>
                <w:bCs/>
                <w:color w:val="auto"/>
                <w:lang w:val="en-US" w:eastAsia="zh-CN"/>
              </w:rPr>
              <w:t>9</w:t>
            </w:r>
            <w:r>
              <w:rPr>
                <w:rFonts w:hint="eastAsia" w:ascii="Times New Roman" w:hAnsi="Times New Roman" w:eastAsia="宋体" w:cs="Times New Roman"/>
                <w:b/>
                <w:bCs/>
                <w:color w:val="auto"/>
                <w:lang w:val="en-US" w:eastAsia="zh-CN"/>
              </w:rPr>
              <w:t xml:space="preserve"> </w:t>
            </w:r>
          </w:p>
          <w:tbl>
            <w:tblPr>
              <w:tblStyle w:val="26"/>
              <w:tblW w:w="7113"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3277"/>
              <w:gridCol w:w="2290"/>
              <w:gridCol w:w="903"/>
            </w:tblGrid>
            <w:tr w14:paraId="726EE2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43" w:type="dxa"/>
                  <w:tcBorders>
                    <w:bottom w:val="single" w:color="auto" w:sz="12" w:space="0"/>
                  </w:tcBorders>
                  <w:noWrap w:val="0"/>
                  <w:vAlign w:val="center"/>
                </w:tcPr>
                <w:p w14:paraId="608E57F9">
                  <w:pPr>
                    <w:pStyle w:val="7"/>
                    <w:jc w:val="center"/>
                    <w:outlineLvl w:val="3"/>
                    <w:rPr>
                      <w:rFonts w:ascii="Times New Roman" w:hAnsi="Times New Roman"/>
                      <w:color w:val="auto"/>
                    </w:rPr>
                  </w:pPr>
                  <w:r>
                    <w:rPr>
                      <w:rFonts w:hint="eastAsia" w:ascii="Times New Roman" w:hAnsi="Times New Roman"/>
                      <w:color w:val="auto"/>
                    </w:rPr>
                    <w:t>序号</w:t>
                  </w:r>
                </w:p>
              </w:tc>
              <w:tc>
                <w:tcPr>
                  <w:tcW w:w="3277" w:type="dxa"/>
                  <w:tcBorders>
                    <w:bottom w:val="single" w:color="auto" w:sz="12" w:space="0"/>
                  </w:tcBorders>
                  <w:noWrap w:val="0"/>
                  <w:vAlign w:val="center"/>
                </w:tcPr>
                <w:p w14:paraId="0804B09E">
                  <w:pPr>
                    <w:pStyle w:val="7"/>
                    <w:jc w:val="center"/>
                    <w:outlineLvl w:val="3"/>
                    <w:rPr>
                      <w:rFonts w:ascii="Times New Roman" w:hAnsi="Times New Roman"/>
                      <w:color w:val="auto"/>
                      <w:szCs w:val="21"/>
                    </w:rPr>
                  </w:pPr>
                  <w:r>
                    <w:rPr>
                      <w:rFonts w:hint="eastAsia" w:ascii="Times New Roman" w:hAnsi="Times New Roman"/>
                      <w:color w:val="auto"/>
                      <w:szCs w:val="21"/>
                      <w:lang w:val="en-US" w:eastAsia="zh-CN"/>
                    </w:rPr>
                    <w:t>意见</w:t>
                  </w:r>
                  <w:r>
                    <w:rPr>
                      <w:rFonts w:hint="eastAsia" w:ascii="Times New Roman" w:hAnsi="Times New Roman"/>
                      <w:color w:val="auto"/>
                      <w:szCs w:val="21"/>
                    </w:rPr>
                    <w:t>要求</w:t>
                  </w:r>
                </w:p>
              </w:tc>
              <w:tc>
                <w:tcPr>
                  <w:tcW w:w="2290" w:type="dxa"/>
                  <w:tcBorders>
                    <w:bottom w:val="single" w:color="auto" w:sz="12" w:space="0"/>
                  </w:tcBorders>
                  <w:noWrap w:val="0"/>
                  <w:vAlign w:val="center"/>
                </w:tcPr>
                <w:p w14:paraId="754F7BEF">
                  <w:pPr>
                    <w:pStyle w:val="7"/>
                    <w:jc w:val="center"/>
                    <w:outlineLvl w:val="3"/>
                    <w:rPr>
                      <w:rFonts w:ascii="Times New Roman" w:hAnsi="Times New Roman"/>
                      <w:color w:val="auto"/>
                      <w:szCs w:val="21"/>
                    </w:rPr>
                  </w:pPr>
                  <w:r>
                    <w:rPr>
                      <w:rFonts w:hint="eastAsia" w:ascii="Times New Roman" w:hAnsi="Times New Roman"/>
                      <w:color w:val="auto"/>
                      <w:szCs w:val="21"/>
                    </w:rPr>
                    <w:t>项目情况</w:t>
                  </w:r>
                </w:p>
              </w:tc>
              <w:tc>
                <w:tcPr>
                  <w:tcW w:w="903" w:type="dxa"/>
                  <w:tcBorders>
                    <w:bottom w:val="single" w:color="auto" w:sz="12" w:space="0"/>
                  </w:tcBorders>
                  <w:noWrap w:val="0"/>
                  <w:vAlign w:val="center"/>
                </w:tcPr>
                <w:p w14:paraId="311BFC76">
                  <w:pPr>
                    <w:pStyle w:val="7"/>
                    <w:jc w:val="center"/>
                    <w:outlineLvl w:val="3"/>
                    <w:rPr>
                      <w:rFonts w:ascii="Times New Roman" w:hAnsi="Times New Roman"/>
                      <w:color w:val="auto"/>
                      <w:szCs w:val="21"/>
                    </w:rPr>
                  </w:pPr>
                  <w:r>
                    <w:rPr>
                      <w:rFonts w:ascii="Times New Roman" w:hAnsi="Times New Roman" w:eastAsia="宋体" w:cs="Times New Roman"/>
                      <w:color w:val="auto"/>
                      <w:szCs w:val="21"/>
                    </w:rPr>
                    <w:t>符合性</w:t>
                  </w:r>
                </w:p>
              </w:tc>
            </w:tr>
            <w:tr w14:paraId="66F3D5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08" w:hRule="atLeast"/>
              </w:trPr>
              <w:tc>
                <w:tcPr>
                  <w:tcW w:w="643" w:type="dxa"/>
                  <w:tcBorders>
                    <w:top w:val="single" w:color="auto" w:sz="12" w:space="0"/>
                    <w:bottom w:val="single" w:color="auto" w:sz="8" w:space="0"/>
                  </w:tcBorders>
                  <w:noWrap w:val="0"/>
                  <w:vAlign w:val="center"/>
                </w:tcPr>
                <w:p w14:paraId="2A486B70">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2</w:t>
                  </w:r>
                </w:p>
              </w:tc>
              <w:tc>
                <w:tcPr>
                  <w:tcW w:w="3277" w:type="dxa"/>
                  <w:tcBorders>
                    <w:top w:val="single" w:color="auto" w:sz="12" w:space="0"/>
                    <w:bottom w:val="single" w:color="auto" w:sz="8" w:space="0"/>
                  </w:tcBorders>
                  <w:noWrap w:val="0"/>
                  <w:vAlign w:val="center"/>
                </w:tcPr>
                <w:p w14:paraId="4A5F337A">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（一）优化产业结构和布局</w:t>
                  </w:r>
                </w:p>
                <w:p w14:paraId="31A9C3D0">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坚决遏制</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高耗能、高排放、低水平</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项目盲目发展。加快推进产业布局调整，严格高耗能、高排放、低水平</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两高一低</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项目准入，严格落实国家产业规划、产业政策</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三线一单</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、规划环评以及产能置换、煤炭消费减量替代、区域污染物削减等要求，坚决叫停不符合要求的</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两高一低</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项目。</w:t>
                  </w:r>
                  <w:r>
                    <w:rPr>
                      <w:rFonts w:hint="eastAsia" w:ascii="Times New Roman" w:hAnsi="Times New Roman" w:eastAsia="宋体" w:cs="Times New Roman"/>
                      <w:color w:val="auto"/>
                      <w:sz w:val="21"/>
                      <w:szCs w:val="21"/>
                      <w:highlight w:val="none"/>
                      <w:lang w:val="en-US" w:eastAsia="zh-CN"/>
                    </w:rPr>
                    <w:t>……</w:t>
                  </w:r>
                </w:p>
                <w:p w14:paraId="06A9801F">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2.促进清洁生产。加强对重点企业的清洁生产审核和评估验收。</w:t>
                  </w:r>
                  <w:r>
                    <w:rPr>
                      <w:rFonts w:hint="eastAsia" w:ascii="Times New Roman" w:hAnsi="Times New Roman" w:eastAsia="宋体" w:cs="Times New Roman"/>
                      <w:color w:val="auto"/>
                      <w:sz w:val="21"/>
                      <w:szCs w:val="21"/>
                      <w:highlight w:val="none"/>
                      <w:lang w:val="en-US" w:eastAsia="zh-CN"/>
                    </w:rPr>
                    <w:t>……</w:t>
                  </w:r>
                </w:p>
                <w:p w14:paraId="73EE781F">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加快淘汰重点行业不符合环保要求的落后产能。严格执行节能、环保、质量、安全技术等相关法律法规和《产业结构调整指导目录》等政策，依法依规淘汰不符合绿色低碳转型发展要求的落后工艺技术和生产装置。</w:t>
                  </w:r>
                  <w:r>
                    <w:rPr>
                      <w:rFonts w:hint="eastAsia" w:ascii="Times New Roman" w:hAnsi="Times New Roman" w:eastAsia="宋体" w:cs="Times New Roman"/>
                      <w:color w:val="auto"/>
                      <w:sz w:val="21"/>
                      <w:szCs w:val="21"/>
                      <w:highlight w:val="none"/>
                      <w:lang w:val="en-US" w:eastAsia="zh-CN"/>
                    </w:rPr>
                    <w:t>……</w:t>
                  </w:r>
                </w:p>
                <w:p w14:paraId="649C9E65">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4.严格污染物排放标准。全面执行《关于</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乌-昌-石</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区域执行大气污染物特别排放标准限值的公告》。</w:t>
                  </w:r>
                </w:p>
              </w:tc>
              <w:tc>
                <w:tcPr>
                  <w:tcW w:w="2290" w:type="dxa"/>
                  <w:tcBorders>
                    <w:top w:val="single" w:color="auto" w:sz="12" w:space="0"/>
                    <w:bottom w:val="single" w:color="auto" w:sz="8" w:space="0"/>
                  </w:tcBorders>
                  <w:noWrap w:val="0"/>
                  <w:vAlign w:val="center"/>
                </w:tcPr>
                <w:p w14:paraId="56F64D77">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本项目为金属结构制造项目，项目不属于“两高一低”项目；项目符合国家产业规划、产业政策、生态环境分区管控方案、园区规划及规划环评等相关要求；项目严格执行污染物总量控制、污染物排放区域削减要求。</w:t>
                  </w:r>
                </w:p>
                <w:p w14:paraId="6A5D6208">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2.不涉及，建设单位不属于重点企业。</w:t>
                  </w:r>
                </w:p>
                <w:p w14:paraId="32634389">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3.本项目不属于《产业结构调整指导目录（2024年本）》中鼓励类、限制类及淘汰类，视为允许类，不属于落后产能项目。</w:t>
                  </w:r>
                </w:p>
                <w:p w14:paraId="4A4C3D83">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4.本项目建设地点属于“乌-昌-石”重点区域，严格执行大气污染物特别排放标准限值。</w:t>
                  </w:r>
                </w:p>
              </w:tc>
              <w:tc>
                <w:tcPr>
                  <w:tcW w:w="903" w:type="dxa"/>
                  <w:tcBorders>
                    <w:top w:val="single" w:color="auto" w:sz="12" w:space="0"/>
                    <w:bottom w:val="single" w:color="auto" w:sz="8" w:space="0"/>
                  </w:tcBorders>
                  <w:noWrap w:val="0"/>
                  <w:vAlign w:val="center"/>
                </w:tcPr>
                <w:p w14:paraId="7C153D46">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符合</w:t>
                  </w:r>
                </w:p>
              </w:tc>
            </w:tr>
            <w:tr w14:paraId="3A0883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60" w:hRule="atLeast"/>
              </w:trPr>
              <w:tc>
                <w:tcPr>
                  <w:tcW w:w="643" w:type="dxa"/>
                  <w:tcBorders>
                    <w:top w:val="single" w:color="auto" w:sz="8" w:space="0"/>
                    <w:bottom w:val="single" w:color="auto" w:sz="12" w:space="0"/>
                  </w:tcBorders>
                  <w:noWrap w:val="0"/>
                  <w:vAlign w:val="center"/>
                </w:tcPr>
                <w:p w14:paraId="333E0629">
                  <w:pPr>
                    <w:adjustRightInd w:val="0"/>
                    <w:snapToGrid w:val="0"/>
                    <w:jc w:val="center"/>
                    <w:rPr>
                      <w:rFonts w:hint="default" w:ascii="宋体" w:hAnsi="宋体" w:cs="宋体"/>
                      <w:color w:val="auto"/>
                      <w:lang w:val="en-US" w:eastAsia="zh-CN"/>
                    </w:rPr>
                  </w:pPr>
                  <w:r>
                    <w:rPr>
                      <w:rFonts w:hint="eastAsia" w:ascii="宋体" w:hAnsi="宋体" w:cs="宋体"/>
                      <w:color w:val="auto"/>
                      <w:lang w:val="en-US" w:eastAsia="zh-CN"/>
                    </w:rPr>
                    <w:t>3</w:t>
                  </w:r>
                </w:p>
              </w:tc>
              <w:tc>
                <w:tcPr>
                  <w:tcW w:w="3277" w:type="dxa"/>
                  <w:tcBorders>
                    <w:top w:val="single" w:color="auto" w:sz="8" w:space="0"/>
                    <w:bottom w:val="single" w:color="auto" w:sz="12" w:space="0"/>
                  </w:tcBorders>
                  <w:noWrap w:val="0"/>
                  <w:vAlign w:val="center"/>
                </w:tcPr>
                <w:p w14:paraId="6A0C79C2">
                  <w:pPr>
                    <w:numPr>
                      <w:ilvl w:val="0"/>
                      <w:numId w:val="0"/>
                    </w:numPr>
                    <w:spacing w:line="240" w:lineRule="auto"/>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（二）强化大气污染物综合治理</w:t>
                  </w:r>
                </w:p>
                <w:p w14:paraId="6447D0B8">
                  <w:pPr>
                    <w:numPr>
                      <w:ilvl w:val="0"/>
                      <w:numId w:val="0"/>
                    </w:numPr>
                    <w:spacing w:line="240" w:lineRule="auto"/>
                    <w:jc w:val="both"/>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5.严格控制区域煤炭消费总量。</w:t>
                  </w:r>
                  <w:r>
                    <w:rPr>
                      <w:rFonts w:hint="eastAsia" w:ascii="Times New Roman" w:hAnsi="Times New Roman" w:eastAsia="宋体" w:cs="Times New Roman"/>
                      <w:color w:val="auto"/>
                      <w:spacing w:val="-6"/>
                      <w:sz w:val="21"/>
                      <w:szCs w:val="21"/>
                      <w:highlight w:val="none"/>
                      <w:lang w:val="en-US" w:eastAsia="zh-CN"/>
                    </w:rPr>
                    <w:t>……</w:t>
                  </w:r>
                </w:p>
                <w:p w14:paraId="6DEE5680">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6.深入开展重点行业大气污染深度治理。</w:t>
                  </w:r>
                  <w:r>
                    <w:rPr>
                      <w:rFonts w:hint="eastAsia" w:ascii="Times New Roman" w:hAnsi="Times New Roman" w:eastAsia="宋体" w:cs="Times New Roman"/>
                      <w:color w:val="auto"/>
                      <w:sz w:val="21"/>
                      <w:szCs w:val="21"/>
                      <w:highlight w:val="none"/>
                      <w:lang w:val="en-US" w:eastAsia="zh-CN"/>
                    </w:rPr>
                    <w:t>……</w:t>
                  </w:r>
                </w:p>
                <w:p w14:paraId="5E033A6B">
                  <w:pPr>
                    <w:spacing w:line="240" w:lineRule="auto"/>
                    <w:ind w:firstLine="0" w:firstLineChars="0"/>
                    <w:jc w:val="both"/>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7.大力发展新能源和清洁能源。</w:t>
                  </w:r>
                  <w:r>
                    <w:rPr>
                      <w:rFonts w:hint="eastAsia" w:ascii="Times New Roman" w:hAnsi="Times New Roman" w:eastAsia="宋体" w:cs="Times New Roman"/>
                      <w:color w:val="auto"/>
                      <w:spacing w:val="-6"/>
                      <w:sz w:val="21"/>
                      <w:szCs w:val="21"/>
                      <w:highlight w:val="none"/>
                      <w:lang w:val="en-US" w:eastAsia="zh-CN"/>
                    </w:rPr>
                    <w:t>……</w:t>
                  </w:r>
                </w:p>
                <w:p w14:paraId="1C052FB7">
                  <w:pPr>
                    <w:spacing w:line="240" w:lineRule="auto"/>
                    <w:ind w:firstLine="0" w:firstLineChars="0"/>
                    <w:jc w:val="both"/>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8.加强机动车污染治理。</w:t>
                  </w:r>
                  <w:r>
                    <w:rPr>
                      <w:rFonts w:hint="eastAsia" w:ascii="Times New Roman" w:hAnsi="Times New Roman" w:eastAsia="宋体" w:cs="Times New Roman"/>
                      <w:color w:val="auto"/>
                      <w:spacing w:val="-6"/>
                      <w:sz w:val="21"/>
                      <w:szCs w:val="21"/>
                      <w:highlight w:val="none"/>
                      <w:lang w:val="en-US" w:eastAsia="zh-CN"/>
                    </w:rPr>
                    <w:t>……</w:t>
                  </w:r>
                </w:p>
                <w:p w14:paraId="43185916">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9.开展挥发性有机物和有毒有害废气防治。建立重点行业挥发性有机物重点监管企业名录，加强重点区域内挥发性有机物治理，推进征收挥发性有机物环保税。加强有毒有害</w:t>
                  </w:r>
                  <w:r>
                    <w:rPr>
                      <w:rFonts w:hint="eastAsia" w:ascii="Times New Roman" w:hAnsi="Times New Roman" w:eastAsia="宋体" w:cs="Times New Roman"/>
                      <w:color w:val="auto"/>
                      <w:sz w:val="21"/>
                      <w:szCs w:val="21"/>
                      <w:highlight w:val="none"/>
                      <w:lang w:val="en-US" w:eastAsia="zh-CN"/>
                    </w:rPr>
                    <w:t>废气</w:t>
                  </w:r>
                  <w:r>
                    <w:rPr>
                      <w:rFonts w:hint="default" w:ascii="Times New Roman" w:hAnsi="Times New Roman" w:eastAsia="宋体" w:cs="Times New Roman"/>
                      <w:color w:val="auto"/>
                      <w:sz w:val="21"/>
                      <w:szCs w:val="21"/>
                      <w:highlight w:val="none"/>
                      <w:lang w:val="en-US" w:eastAsia="zh-CN"/>
                    </w:rPr>
                    <w:t>排放企业环境监测监管，推进其工艺技术和污染治理技术升级改造。</w:t>
                  </w:r>
                </w:p>
                <w:p w14:paraId="761472D6">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10.加强扬尘、餐饮油烟、恶臭异味治理力度。</w:t>
                  </w:r>
                  <w:r>
                    <w:rPr>
                      <w:rFonts w:hint="eastAsia" w:ascii="Times New Roman" w:hAnsi="Times New Roman" w:eastAsia="宋体" w:cs="Times New Roman"/>
                      <w:color w:val="auto"/>
                      <w:sz w:val="21"/>
                      <w:szCs w:val="21"/>
                      <w:highlight w:val="none"/>
                      <w:lang w:val="en-US" w:eastAsia="zh-CN"/>
                    </w:rPr>
                    <w:t>……</w:t>
                  </w:r>
                </w:p>
                <w:p w14:paraId="27D91943">
                  <w:pPr>
                    <w:spacing w:line="240" w:lineRule="auto"/>
                    <w:ind w:firstLine="0" w:firstLineChars="0"/>
                    <w:jc w:val="both"/>
                    <w:rPr>
                      <w:rFonts w:hint="default"/>
                      <w:color w:val="auto"/>
                      <w:lang w:val="en-US" w:eastAsia="zh-CN"/>
                    </w:rPr>
                  </w:pPr>
                  <w:r>
                    <w:rPr>
                      <w:rFonts w:hint="default" w:ascii="Times New Roman" w:hAnsi="Times New Roman" w:eastAsia="宋体" w:cs="Times New Roman"/>
                      <w:color w:val="auto"/>
                      <w:spacing w:val="-6"/>
                      <w:sz w:val="21"/>
                      <w:szCs w:val="21"/>
                      <w:highlight w:val="none"/>
                      <w:lang w:val="en-US" w:eastAsia="zh-CN"/>
                    </w:rPr>
                    <w:t>11.加强重污染天气应急管理。</w:t>
                  </w:r>
                  <w:r>
                    <w:rPr>
                      <w:rFonts w:hint="eastAsia" w:ascii="Times New Roman" w:hAnsi="Times New Roman" w:eastAsia="宋体" w:cs="Times New Roman"/>
                      <w:color w:val="auto"/>
                      <w:spacing w:val="-6"/>
                      <w:sz w:val="21"/>
                      <w:szCs w:val="21"/>
                      <w:highlight w:val="none"/>
                      <w:lang w:val="en-US" w:eastAsia="zh-CN"/>
                    </w:rPr>
                    <w:t>……</w:t>
                  </w:r>
                </w:p>
              </w:tc>
              <w:tc>
                <w:tcPr>
                  <w:tcW w:w="2290" w:type="dxa"/>
                  <w:tcBorders>
                    <w:top w:val="single" w:color="auto" w:sz="8" w:space="0"/>
                    <w:bottom w:val="single" w:color="auto" w:sz="12" w:space="0"/>
                  </w:tcBorders>
                  <w:noWrap w:val="0"/>
                  <w:vAlign w:val="center"/>
                </w:tcPr>
                <w:p w14:paraId="42DF8094">
                  <w:pPr>
                    <w:numPr>
                      <w:ilvl w:val="0"/>
                      <w:numId w:val="0"/>
                    </w:numPr>
                    <w:spacing w:line="240" w:lineRule="auto"/>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5.本项目能源主要为电能，不涉及燃煤。</w:t>
                  </w:r>
                </w:p>
                <w:p w14:paraId="29C012FE">
                  <w:pPr>
                    <w:numPr>
                      <w:ilvl w:val="0"/>
                      <w:numId w:val="0"/>
                    </w:numPr>
                    <w:spacing w:line="240" w:lineRule="auto"/>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w:t>
                  </w:r>
                  <w:r>
                    <w:rPr>
                      <w:rFonts w:hint="eastAsia" w:ascii="Times New Roman" w:hAnsi="Times New Roman" w:eastAsia="宋体" w:cs="Times New Roman"/>
                      <w:color w:val="auto"/>
                      <w:spacing w:val="-6"/>
                      <w:sz w:val="21"/>
                      <w:szCs w:val="21"/>
                      <w:highlight w:val="none"/>
                      <w:lang w:val="en-US" w:eastAsia="zh-CN"/>
                    </w:rPr>
                    <w:t>本项目不建燃煤锅炉。</w:t>
                  </w:r>
                </w:p>
                <w:p w14:paraId="333EA7EC">
                  <w:pPr>
                    <w:numPr>
                      <w:ilvl w:val="0"/>
                      <w:numId w:val="0"/>
                    </w:numPr>
                    <w:spacing w:line="240" w:lineRule="auto"/>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7.</w:t>
                  </w:r>
                  <w:r>
                    <w:rPr>
                      <w:rFonts w:hint="default" w:ascii="Times New Roman" w:hAnsi="Times New Roman" w:eastAsia="宋体" w:cs="Times New Roman"/>
                      <w:color w:val="auto"/>
                      <w:sz w:val="21"/>
                      <w:szCs w:val="21"/>
                      <w:highlight w:val="none"/>
                      <w:lang w:val="en-US" w:eastAsia="zh-CN"/>
                    </w:rPr>
                    <w:t>本项目</w:t>
                  </w:r>
                  <w:r>
                    <w:rPr>
                      <w:rFonts w:hint="eastAsia" w:ascii="Times New Roman" w:hAnsi="Times New Roman" w:eastAsia="宋体" w:cs="Times New Roman"/>
                      <w:color w:val="auto"/>
                      <w:sz w:val="21"/>
                      <w:szCs w:val="21"/>
                      <w:highlight w:val="none"/>
                      <w:lang w:val="en-US" w:eastAsia="zh-CN"/>
                    </w:rPr>
                    <w:t>使用电能，为清洁能源。</w:t>
                  </w:r>
                </w:p>
                <w:p w14:paraId="4BC1D9BE">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lang w:val="en-US" w:eastAsia="zh-CN"/>
                    </w:rPr>
                    <w:t>本项目</w:t>
                  </w:r>
                  <w:r>
                    <w:rPr>
                      <w:rFonts w:hint="eastAsia" w:ascii="Times New Roman" w:hAnsi="Times New Roman" w:eastAsia="宋体" w:cs="Times New Roman"/>
                      <w:color w:val="auto"/>
                      <w:sz w:val="21"/>
                      <w:szCs w:val="21"/>
                      <w:highlight w:val="none"/>
                      <w:lang w:val="en-US" w:eastAsia="zh-CN"/>
                    </w:rPr>
                    <w:t>运输车辆满足相关排放标准要求</w:t>
                  </w:r>
                </w:p>
                <w:p w14:paraId="72A171E1">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9.</w:t>
                  </w:r>
                  <w:r>
                    <w:rPr>
                      <w:rFonts w:hint="eastAsia" w:ascii="Times New Roman" w:hAnsi="Times New Roman" w:eastAsia="宋体" w:cs="Times New Roman"/>
                      <w:color w:val="auto"/>
                      <w:spacing w:val="-6"/>
                      <w:sz w:val="21"/>
                      <w:szCs w:val="21"/>
                      <w:highlight w:val="none"/>
                      <w:lang w:val="en-US" w:eastAsia="zh-CN"/>
                    </w:rPr>
                    <w:t>本项目涂装废气通过密闭负压收集，采用“干式漆雾过滤模组+活性炭吸附-脱附+催化燃烧装置”处理后达标排放。</w:t>
                  </w:r>
                </w:p>
                <w:p w14:paraId="6FDB4AC0">
                  <w:pPr>
                    <w:numPr>
                      <w:ilvl w:val="0"/>
                      <w:numId w:val="0"/>
                    </w:numPr>
                    <w:spacing w:line="240" w:lineRule="auto"/>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10.本</w:t>
                  </w:r>
                  <w:r>
                    <w:rPr>
                      <w:rFonts w:hint="default" w:ascii="Times New Roman" w:hAnsi="Times New Roman" w:eastAsia="宋体" w:cs="Times New Roman"/>
                      <w:color w:val="auto"/>
                      <w:sz w:val="21"/>
                      <w:szCs w:val="21"/>
                      <w:highlight w:val="none"/>
                      <w:lang w:val="en-US" w:eastAsia="zh-CN"/>
                    </w:rPr>
                    <w:t>项目施工期严格按照相关要求控制扬尘污染</w:t>
                  </w:r>
                  <w:r>
                    <w:rPr>
                      <w:rFonts w:hint="eastAsia" w:ascii="Times New Roman" w:hAnsi="Times New Roman" w:eastAsia="宋体" w:cs="Times New Roman"/>
                      <w:color w:val="auto"/>
                      <w:sz w:val="21"/>
                      <w:szCs w:val="21"/>
                      <w:highlight w:val="none"/>
                      <w:lang w:val="en-US" w:eastAsia="zh-CN"/>
                    </w:rPr>
                    <w:t>。</w:t>
                  </w:r>
                </w:p>
                <w:p w14:paraId="5D6727B7">
                  <w:pPr>
                    <w:numPr>
                      <w:ilvl w:val="0"/>
                      <w:numId w:val="0"/>
                    </w:numPr>
                    <w:spacing w:line="240" w:lineRule="auto"/>
                    <w:jc w:val="both"/>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11.</w:t>
                  </w:r>
                  <w:r>
                    <w:rPr>
                      <w:rFonts w:hint="default" w:ascii="Times New Roman" w:hAnsi="Times New Roman" w:eastAsia="宋体" w:cs="Times New Roman"/>
                      <w:color w:val="auto"/>
                      <w:spacing w:val="-6"/>
                      <w:sz w:val="21"/>
                      <w:szCs w:val="21"/>
                      <w:highlight w:val="none"/>
                      <w:lang w:val="en-US" w:eastAsia="zh-CN"/>
                    </w:rPr>
                    <w:t>本项目按照生态环境主管部门相关要求加强重污染天气应急管理。</w:t>
                  </w:r>
                </w:p>
              </w:tc>
              <w:tc>
                <w:tcPr>
                  <w:tcW w:w="903" w:type="dxa"/>
                  <w:tcBorders>
                    <w:top w:val="single" w:color="auto" w:sz="8" w:space="0"/>
                    <w:bottom w:val="single" w:color="auto" w:sz="12" w:space="0"/>
                  </w:tcBorders>
                  <w:noWrap w:val="0"/>
                  <w:vAlign w:val="center"/>
                </w:tcPr>
                <w:p w14:paraId="0E06973C">
                  <w:pPr>
                    <w:adjustRightInd w:val="0"/>
                    <w:snapToGrid w:val="0"/>
                    <w:jc w:val="center"/>
                    <w:rPr>
                      <w:rFonts w:hint="default" w:ascii="宋体" w:hAnsi="宋体" w:cs="宋体"/>
                      <w:color w:val="auto"/>
                      <w:lang w:val="en-US" w:eastAsia="zh-CN"/>
                    </w:rPr>
                  </w:pPr>
                  <w:r>
                    <w:rPr>
                      <w:rFonts w:hint="eastAsia" w:ascii="宋体" w:hAnsi="宋体" w:cs="宋体"/>
                      <w:color w:val="auto"/>
                      <w:lang w:val="en-US" w:eastAsia="zh-CN"/>
                    </w:rPr>
                    <w:t>符合</w:t>
                  </w:r>
                </w:p>
              </w:tc>
            </w:tr>
          </w:tbl>
          <w:p w14:paraId="60860B9E">
            <w:pPr>
              <w:spacing w:before="120" w:beforeLines="50" w:line="360" w:lineRule="auto"/>
              <w:ind w:firstLine="480" w:firstLineChars="200"/>
              <w:rPr>
                <w:rFonts w:hint="eastAsia" w:ascii="宋体" w:hAnsi="宋体" w:cs="宋体"/>
                <w:color w:val="auto"/>
                <w:sz w:val="24"/>
              </w:rPr>
            </w:pPr>
            <w:r>
              <w:rPr>
                <w:rFonts w:hint="eastAsia" w:ascii="宋体" w:hAnsi="宋体" w:eastAsia="宋体" w:cs="宋体"/>
                <w:color w:val="auto"/>
                <w:sz w:val="24"/>
              </w:rPr>
              <w:t>综上，本项目</w:t>
            </w:r>
            <w:r>
              <w:rPr>
                <w:rFonts w:hint="eastAsia" w:ascii="宋体" w:hAnsi="宋体" w:eastAsia="宋体" w:cs="宋体"/>
                <w:color w:val="auto"/>
                <w:sz w:val="24"/>
                <w:lang w:val="en-US" w:eastAsia="zh-CN"/>
              </w:rPr>
              <w:t>建设</w:t>
            </w:r>
            <w:r>
              <w:rPr>
                <w:rFonts w:hint="eastAsia" w:ascii="宋体" w:hAnsi="宋体" w:eastAsia="宋体" w:cs="宋体"/>
                <w:color w:val="auto"/>
                <w:sz w:val="24"/>
              </w:rPr>
              <w:t>符合《关于进一步加强乌鲁木齐、昌吉、石河子、五家渠区域大气环境同防同治的意见》相关要求。</w:t>
            </w:r>
          </w:p>
          <w:p w14:paraId="16154381">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w:t>
            </w:r>
            <w:r>
              <w:rPr>
                <w:rFonts w:hint="eastAsia" w:ascii="宋体" w:hAnsi="宋体" w:cs="宋体"/>
                <w:color w:val="auto"/>
                <w:sz w:val="24"/>
                <w:lang w:val="en-US" w:eastAsia="zh-CN"/>
              </w:rPr>
              <w:t>9</w:t>
            </w:r>
            <w:r>
              <w:rPr>
                <w:rFonts w:hint="eastAsia" w:ascii="宋体" w:hAnsi="宋体" w:eastAsia="宋体" w:cs="宋体"/>
                <w:color w:val="auto"/>
                <w:sz w:val="24"/>
                <w:lang w:val="en-US" w:eastAsia="zh-CN"/>
              </w:rPr>
              <w:t>）与《新疆维吾尔自治区“乌-昌-石”区域大气环境整治2024-2025年行动方案》（新党办发〔2024〕1号）符合性分析</w:t>
            </w:r>
          </w:p>
          <w:p w14:paraId="702CD686">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imes New Roman" w:hAnsi="Times New Roman" w:eastAsia="宋体" w:cs="Times New Roman"/>
                <w:b/>
                <w:bCs/>
                <w:color w:val="auto"/>
              </w:rPr>
            </w:pPr>
            <w:r>
              <w:rPr>
                <w:rFonts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 xml:space="preserve">1-10 </w:t>
            </w:r>
            <w:r>
              <w:rPr>
                <w:rFonts w:hint="eastAsia" w:ascii="Times New Roman" w:hAnsi="Times New Roman" w:eastAsia="宋体" w:cs="Times New Roman"/>
                <w:b/>
                <w:bCs/>
                <w:color w:val="auto"/>
              </w:rPr>
              <w:t>与《新疆维吾尔自治区“乌-昌</w:t>
            </w:r>
            <w:r>
              <w:rPr>
                <w:rFonts w:hint="eastAsia" w:cs="Times New Roman"/>
                <w:b/>
                <w:bCs/>
                <w:color w:val="auto"/>
                <w:lang w:val="en-US" w:eastAsia="zh-CN"/>
              </w:rPr>
              <w:t>-</w:t>
            </w:r>
            <w:r>
              <w:rPr>
                <w:rFonts w:hint="eastAsia" w:ascii="Times New Roman" w:hAnsi="Times New Roman" w:eastAsia="宋体" w:cs="Times New Roman"/>
                <w:b/>
                <w:bCs/>
                <w:color w:val="auto"/>
              </w:rPr>
              <w:t>石”区域大气环境整治2024-2025年</w:t>
            </w:r>
          </w:p>
          <w:p w14:paraId="14A64459">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Times New Roman" w:hAnsi="Times New Roman" w:eastAsia="宋体" w:cs="Times New Roman"/>
                <w:b/>
                <w:bCs/>
                <w:color w:val="auto"/>
              </w:rPr>
            </w:pPr>
            <w:r>
              <w:rPr>
                <w:rFonts w:hint="eastAsia" w:ascii="Times New Roman" w:hAnsi="Times New Roman" w:eastAsia="宋体" w:cs="Times New Roman"/>
                <w:b/>
                <w:bCs/>
                <w:color w:val="auto"/>
              </w:rPr>
              <w:t>行动方案》</w:t>
            </w:r>
            <w:r>
              <w:rPr>
                <w:rFonts w:ascii="Times New Roman" w:hAnsi="Times New Roman" w:eastAsia="宋体" w:cs="Times New Roman"/>
                <w:b/>
                <w:bCs/>
                <w:color w:val="auto"/>
              </w:rPr>
              <w:t>符合性分析</w:t>
            </w:r>
          </w:p>
          <w:tbl>
            <w:tblPr>
              <w:tblStyle w:val="26"/>
              <w:tblW w:w="7113"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3277"/>
              <w:gridCol w:w="2290"/>
              <w:gridCol w:w="903"/>
            </w:tblGrid>
            <w:tr w14:paraId="7D4995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43" w:type="dxa"/>
                  <w:tcBorders>
                    <w:bottom w:val="single" w:color="auto" w:sz="12" w:space="0"/>
                  </w:tcBorders>
                  <w:noWrap w:val="0"/>
                  <w:vAlign w:val="center"/>
                </w:tcPr>
                <w:p w14:paraId="38BA8298">
                  <w:pPr>
                    <w:pStyle w:val="7"/>
                    <w:jc w:val="center"/>
                    <w:outlineLvl w:val="3"/>
                    <w:rPr>
                      <w:rFonts w:ascii="Times New Roman" w:hAnsi="Times New Roman"/>
                      <w:color w:val="auto"/>
                    </w:rPr>
                  </w:pPr>
                  <w:r>
                    <w:rPr>
                      <w:rFonts w:hint="eastAsia" w:ascii="Times New Roman" w:hAnsi="Times New Roman"/>
                      <w:color w:val="auto"/>
                    </w:rPr>
                    <w:t>序号</w:t>
                  </w:r>
                </w:p>
              </w:tc>
              <w:tc>
                <w:tcPr>
                  <w:tcW w:w="3277" w:type="dxa"/>
                  <w:tcBorders>
                    <w:bottom w:val="single" w:color="auto" w:sz="12" w:space="0"/>
                  </w:tcBorders>
                  <w:noWrap w:val="0"/>
                  <w:vAlign w:val="center"/>
                </w:tcPr>
                <w:p w14:paraId="6B135DA6">
                  <w:pPr>
                    <w:pStyle w:val="7"/>
                    <w:jc w:val="center"/>
                    <w:outlineLvl w:val="3"/>
                    <w:rPr>
                      <w:rFonts w:ascii="Times New Roman" w:hAnsi="Times New Roman"/>
                      <w:color w:val="auto"/>
                      <w:szCs w:val="21"/>
                    </w:rPr>
                  </w:pPr>
                  <w:r>
                    <w:rPr>
                      <w:rFonts w:hint="eastAsia" w:ascii="Times New Roman" w:hAnsi="Times New Roman"/>
                      <w:color w:val="auto"/>
                      <w:szCs w:val="21"/>
                      <w:lang w:val="en-US" w:eastAsia="zh-CN"/>
                    </w:rPr>
                    <w:t>方案</w:t>
                  </w:r>
                  <w:r>
                    <w:rPr>
                      <w:rFonts w:hint="eastAsia" w:ascii="Times New Roman" w:hAnsi="Times New Roman"/>
                      <w:color w:val="auto"/>
                      <w:szCs w:val="21"/>
                    </w:rPr>
                    <w:t>要求</w:t>
                  </w:r>
                </w:p>
              </w:tc>
              <w:tc>
                <w:tcPr>
                  <w:tcW w:w="2290" w:type="dxa"/>
                  <w:tcBorders>
                    <w:bottom w:val="single" w:color="auto" w:sz="12" w:space="0"/>
                  </w:tcBorders>
                  <w:noWrap w:val="0"/>
                  <w:vAlign w:val="center"/>
                </w:tcPr>
                <w:p w14:paraId="4916112F">
                  <w:pPr>
                    <w:pStyle w:val="7"/>
                    <w:jc w:val="center"/>
                    <w:outlineLvl w:val="3"/>
                    <w:rPr>
                      <w:rFonts w:ascii="Times New Roman" w:hAnsi="Times New Roman"/>
                      <w:color w:val="auto"/>
                      <w:szCs w:val="21"/>
                    </w:rPr>
                  </w:pPr>
                  <w:r>
                    <w:rPr>
                      <w:rFonts w:hint="eastAsia" w:ascii="Times New Roman" w:hAnsi="Times New Roman"/>
                      <w:color w:val="auto"/>
                      <w:szCs w:val="21"/>
                    </w:rPr>
                    <w:t>项目情况</w:t>
                  </w:r>
                </w:p>
              </w:tc>
              <w:tc>
                <w:tcPr>
                  <w:tcW w:w="903" w:type="dxa"/>
                  <w:tcBorders>
                    <w:bottom w:val="single" w:color="auto" w:sz="12" w:space="0"/>
                  </w:tcBorders>
                  <w:noWrap w:val="0"/>
                  <w:vAlign w:val="center"/>
                </w:tcPr>
                <w:p w14:paraId="111B742A">
                  <w:pPr>
                    <w:pStyle w:val="7"/>
                    <w:jc w:val="center"/>
                    <w:outlineLvl w:val="3"/>
                    <w:rPr>
                      <w:rFonts w:ascii="Times New Roman" w:hAnsi="Times New Roman"/>
                      <w:color w:val="auto"/>
                      <w:szCs w:val="21"/>
                    </w:rPr>
                  </w:pPr>
                  <w:r>
                    <w:rPr>
                      <w:rFonts w:ascii="Times New Roman" w:hAnsi="Times New Roman" w:eastAsia="宋体" w:cs="Times New Roman"/>
                      <w:color w:val="auto"/>
                      <w:szCs w:val="21"/>
                    </w:rPr>
                    <w:t>符合性</w:t>
                  </w:r>
                </w:p>
              </w:tc>
            </w:tr>
            <w:tr w14:paraId="1B8E35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7" w:hRule="atLeast"/>
              </w:trPr>
              <w:tc>
                <w:tcPr>
                  <w:tcW w:w="643" w:type="dxa"/>
                  <w:tcBorders>
                    <w:top w:val="single" w:color="auto" w:sz="12" w:space="0"/>
                    <w:bottom w:val="single" w:color="auto" w:sz="8" w:space="0"/>
                  </w:tcBorders>
                  <w:noWrap w:val="0"/>
                  <w:vAlign w:val="center"/>
                </w:tcPr>
                <w:p w14:paraId="45B56C34">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1</w:t>
                  </w:r>
                </w:p>
              </w:tc>
              <w:tc>
                <w:tcPr>
                  <w:tcW w:w="3277" w:type="dxa"/>
                  <w:tcBorders>
                    <w:top w:val="single" w:color="auto" w:sz="12" w:space="0"/>
                    <w:bottom w:val="single" w:color="auto" w:sz="8" w:space="0"/>
                  </w:tcBorders>
                  <w:noWrap w:val="0"/>
                  <w:vAlign w:val="center"/>
                </w:tcPr>
                <w:p w14:paraId="6278C32B">
                  <w:pPr>
                    <w:numPr>
                      <w:ilvl w:val="0"/>
                      <w:numId w:val="0"/>
                    </w:numPr>
                    <w:spacing w:line="240" w:lineRule="auto"/>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强化挥发性有机物和氮氧化物综合治理。优化含VOC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原辅材料和产品结构，加快推进含VOC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原辅材料源头替代，推广使用低（无）VOC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含量涂料，严格执行VOC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含量限值标准。完善臭氧和VOC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监测体系，加强涉VOC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重点工业园区、产业集群和企业环境VOC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监测，定期开展密封性检测。强化石化、化工、工业涂装、包装印刷等重点行业及油品储运销（储罐）VOC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深度治理。……</w:t>
                  </w:r>
                </w:p>
              </w:tc>
              <w:tc>
                <w:tcPr>
                  <w:tcW w:w="2290" w:type="dxa"/>
                  <w:tcBorders>
                    <w:top w:val="single" w:color="auto" w:sz="12" w:space="0"/>
                    <w:bottom w:val="single" w:color="auto" w:sz="8" w:space="0"/>
                  </w:tcBorders>
                  <w:noWrap w:val="0"/>
                  <w:vAlign w:val="center"/>
                </w:tcPr>
                <w:p w14:paraId="0EE1B77B">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本项目涂装用低VOC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含量的涂料，使用过程中严格执行VOC</w:t>
                  </w:r>
                  <w:r>
                    <w:rPr>
                      <w:rFonts w:hint="eastAsia" w:ascii="Times New Roman" w:hAnsi="Times New Roman" w:eastAsia="宋体" w:cs="Times New Roman"/>
                      <w:color w:val="auto"/>
                      <w:sz w:val="21"/>
                      <w:szCs w:val="21"/>
                      <w:highlight w:val="none"/>
                      <w:vertAlign w:val="subscript"/>
                      <w:lang w:val="en-US" w:eastAsia="zh-CN"/>
                    </w:rPr>
                    <w:t>S</w:t>
                  </w:r>
                  <w:r>
                    <w:rPr>
                      <w:rFonts w:hint="eastAsia" w:ascii="Times New Roman" w:hAnsi="Times New Roman" w:eastAsia="宋体" w:cs="Times New Roman"/>
                      <w:color w:val="auto"/>
                      <w:sz w:val="21"/>
                      <w:szCs w:val="21"/>
                      <w:highlight w:val="none"/>
                      <w:lang w:val="en-US" w:eastAsia="zh-CN"/>
                    </w:rPr>
                    <w:t>含量限值标准要求。</w:t>
                  </w:r>
                </w:p>
              </w:tc>
              <w:tc>
                <w:tcPr>
                  <w:tcW w:w="903" w:type="dxa"/>
                  <w:tcBorders>
                    <w:top w:val="single" w:color="auto" w:sz="12" w:space="0"/>
                    <w:bottom w:val="single" w:color="auto" w:sz="8" w:space="0"/>
                  </w:tcBorders>
                  <w:noWrap w:val="0"/>
                  <w:vAlign w:val="center"/>
                </w:tcPr>
                <w:p w14:paraId="6DD25565">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符合</w:t>
                  </w:r>
                </w:p>
              </w:tc>
            </w:tr>
            <w:tr w14:paraId="1A346F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37" w:hRule="atLeast"/>
              </w:trPr>
              <w:tc>
                <w:tcPr>
                  <w:tcW w:w="643" w:type="dxa"/>
                  <w:tcBorders>
                    <w:top w:val="single" w:color="auto" w:sz="8" w:space="0"/>
                    <w:bottom w:val="single" w:color="auto" w:sz="8" w:space="0"/>
                  </w:tcBorders>
                  <w:noWrap w:val="0"/>
                  <w:vAlign w:val="center"/>
                </w:tcPr>
                <w:p w14:paraId="62C851FE">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2</w:t>
                  </w:r>
                </w:p>
              </w:tc>
              <w:tc>
                <w:tcPr>
                  <w:tcW w:w="3277" w:type="dxa"/>
                  <w:tcBorders>
                    <w:top w:val="single" w:color="auto" w:sz="8" w:space="0"/>
                    <w:bottom w:val="single" w:color="auto" w:sz="8" w:space="0"/>
                  </w:tcBorders>
                  <w:noWrap w:val="0"/>
                  <w:vAlign w:val="center"/>
                </w:tcPr>
                <w:p w14:paraId="0B86AF77">
                  <w:pPr>
                    <w:spacing w:line="240" w:lineRule="auto"/>
                    <w:ind w:firstLine="0" w:firstLineChars="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持续强化扬尘污染综合管控。加强施工扬尘动态化、精细化管理，强化土石方作业、渣土运输扬尘问题的监管，增加作业车辆和机械冲洗频次，严禁带泥上路行驶。将防治扬尘污染费用纳入工程造价，3000平方米及以上建筑工地安装视频监控并接入当地监管平台，道路、水务等长距离线性工程实行分段施工。强化道路扬尘综合整治，加大机械化清扫与保洁力度，建成区道路机械化清扫率达80%以上。加强城市及周边裸露地面、物料堆场等易产尘区域抑尘管理，提升扬尘污染精细化管理水平。</w:t>
                  </w:r>
                </w:p>
              </w:tc>
              <w:tc>
                <w:tcPr>
                  <w:tcW w:w="2290" w:type="dxa"/>
                  <w:tcBorders>
                    <w:top w:val="single" w:color="auto" w:sz="8" w:space="0"/>
                    <w:bottom w:val="single" w:color="auto" w:sz="8" w:space="0"/>
                  </w:tcBorders>
                  <w:noWrap w:val="0"/>
                  <w:vAlign w:val="center"/>
                </w:tcPr>
                <w:p w14:paraId="099CB553">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本项目施工期严格按照相关要求控制扬尘污染。</w:t>
                  </w:r>
                </w:p>
              </w:tc>
              <w:tc>
                <w:tcPr>
                  <w:tcW w:w="903" w:type="dxa"/>
                  <w:tcBorders>
                    <w:top w:val="single" w:color="auto" w:sz="8" w:space="0"/>
                    <w:bottom w:val="single" w:color="auto" w:sz="8" w:space="0"/>
                  </w:tcBorders>
                  <w:noWrap w:val="0"/>
                  <w:vAlign w:val="center"/>
                </w:tcPr>
                <w:p w14:paraId="3B06B953">
                  <w:pPr>
                    <w:adjustRightInd w:val="0"/>
                    <w:snapToGrid w:val="0"/>
                    <w:jc w:val="center"/>
                    <w:rPr>
                      <w:rFonts w:hint="eastAsia" w:ascii="宋体" w:hAnsi="宋体" w:eastAsia="宋体" w:cs="宋体"/>
                      <w:color w:val="auto"/>
                      <w:lang w:val="en-US" w:eastAsia="zh-CN"/>
                    </w:rPr>
                  </w:pPr>
                  <w:r>
                    <w:rPr>
                      <w:rFonts w:hint="eastAsia" w:ascii="宋体" w:hAnsi="宋体" w:cs="宋体"/>
                      <w:color w:val="auto"/>
                      <w:lang w:val="en-US" w:eastAsia="zh-CN"/>
                    </w:rPr>
                    <w:t>符合</w:t>
                  </w:r>
                </w:p>
              </w:tc>
            </w:tr>
          </w:tbl>
          <w:p w14:paraId="4A79D405">
            <w:pPr>
              <w:spacing w:before="120" w:beforeLines="50" w:line="360" w:lineRule="auto"/>
              <w:ind w:firstLine="480" w:firstLineChars="200"/>
              <w:rPr>
                <w:rFonts w:hint="eastAsia" w:ascii="宋体" w:hAnsi="宋体" w:cs="宋体"/>
                <w:color w:val="auto"/>
                <w:sz w:val="24"/>
              </w:rPr>
            </w:pPr>
            <w:r>
              <w:rPr>
                <w:rFonts w:hint="eastAsia" w:ascii="宋体" w:hAnsi="宋体" w:eastAsia="宋体" w:cs="宋体"/>
                <w:color w:val="auto"/>
                <w:sz w:val="24"/>
              </w:rPr>
              <w:t>综上，本项目</w:t>
            </w:r>
            <w:r>
              <w:rPr>
                <w:rFonts w:hint="eastAsia" w:ascii="宋体" w:hAnsi="宋体" w:eastAsia="宋体" w:cs="宋体"/>
                <w:color w:val="auto"/>
                <w:sz w:val="24"/>
                <w:lang w:val="en-US" w:eastAsia="zh-CN"/>
              </w:rPr>
              <w:t>建设</w:t>
            </w:r>
            <w:r>
              <w:rPr>
                <w:rFonts w:hint="eastAsia" w:ascii="宋体" w:hAnsi="宋体" w:eastAsia="宋体" w:cs="宋体"/>
                <w:color w:val="auto"/>
                <w:sz w:val="24"/>
              </w:rPr>
              <w:t>符合《新疆维吾尔自治区“乌-昌-石”区域大气环境整治2024-2025年行动方案》相关要求。</w:t>
            </w:r>
          </w:p>
          <w:p w14:paraId="5013123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t>4.选址合理性分析</w:t>
            </w:r>
          </w:p>
          <w:p w14:paraId="4EDF78D2">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本项目位于新疆维吾尔自治区昌吉回族自治州昌吉高新技术产业开发区C-16号，</w:t>
            </w:r>
            <w:r>
              <w:rPr>
                <w:rFonts w:hint="eastAsia" w:ascii="宋体" w:hAnsi="宋体" w:eastAsia="宋体" w:cs="宋体"/>
                <w:color w:val="auto"/>
                <w:sz w:val="24"/>
                <w:lang w:val="en-US" w:eastAsia="zh-CN"/>
              </w:rPr>
              <w:t>项目区北</w:t>
            </w:r>
            <w:r>
              <w:rPr>
                <w:rFonts w:hint="eastAsia" w:ascii="宋体" w:hAnsi="宋体" w:eastAsia="宋体" w:cs="宋体"/>
                <w:color w:val="auto"/>
                <w:sz w:val="24"/>
              </w:rPr>
              <w:t>侧与新疆辉腾塑胶有限公司相邻，东侧</w:t>
            </w:r>
            <w:r>
              <w:rPr>
                <w:rFonts w:hint="eastAsia" w:ascii="宋体" w:hAnsi="宋体" w:eastAsia="宋体" w:cs="宋体"/>
                <w:color w:val="auto"/>
                <w:sz w:val="24"/>
                <w:lang w:val="en-US" w:eastAsia="zh-CN"/>
              </w:rPr>
              <w:t>约140m</w:t>
            </w:r>
            <w:r>
              <w:rPr>
                <w:rFonts w:hint="eastAsia" w:ascii="宋体" w:hAnsi="宋体" w:eastAsia="宋体" w:cs="宋体"/>
                <w:color w:val="auto"/>
                <w:sz w:val="24"/>
              </w:rPr>
              <w:t>为</w:t>
            </w:r>
            <w:r>
              <w:rPr>
                <w:rFonts w:hint="eastAsia" w:ascii="宋体" w:hAnsi="宋体" w:eastAsia="宋体" w:cs="宋体"/>
                <w:color w:val="auto"/>
                <w:sz w:val="24"/>
                <w:lang w:val="en-US" w:eastAsia="zh-CN"/>
              </w:rPr>
              <w:t>园区规划经六</w:t>
            </w:r>
            <w:r>
              <w:rPr>
                <w:rFonts w:hint="eastAsia" w:ascii="宋体" w:hAnsi="宋体" w:eastAsia="宋体" w:cs="宋体"/>
                <w:color w:val="auto"/>
                <w:sz w:val="24"/>
              </w:rPr>
              <w:t>路，隔路为新疆台亚塑胶有限公司，南侧</w:t>
            </w:r>
            <w:r>
              <w:rPr>
                <w:rFonts w:hint="eastAsia" w:ascii="宋体" w:hAnsi="宋体" w:eastAsia="宋体" w:cs="宋体"/>
                <w:color w:val="auto"/>
                <w:sz w:val="24"/>
                <w:lang w:val="en-US" w:eastAsia="zh-CN"/>
              </w:rPr>
              <w:t>与新疆胜方安全玻璃制造有限公司</w:t>
            </w:r>
            <w:r>
              <w:rPr>
                <w:rFonts w:hint="eastAsia" w:ascii="宋体" w:hAnsi="宋体" w:eastAsia="宋体" w:cs="宋体"/>
                <w:color w:val="auto"/>
                <w:sz w:val="24"/>
              </w:rPr>
              <w:t>相邻，</w:t>
            </w:r>
            <w:r>
              <w:rPr>
                <w:rFonts w:hint="eastAsia" w:ascii="宋体" w:hAnsi="宋体" w:eastAsia="宋体" w:cs="宋体"/>
                <w:color w:val="auto"/>
                <w:sz w:val="24"/>
                <w:lang w:val="en-US" w:eastAsia="zh-CN"/>
              </w:rPr>
              <w:t>西</w:t>
            </w:r>
            <w:r>
              <w:rPr>
                <w:rFonts w:hint="eastAsia" w:ascii="宋体" w:hAnsi="宋体" w:eastAsia="宋体" w:cs="宋体"/>
                <w:color w:val="auto"/>
                <w:sz w:val="24"/>
              </w:rPr>
              <w:t>侧为四兄弟肥业科技（新疆）</w:t>
            </w:r>
          </w:p>
          <w:p w14:paraId="2E9EC708">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ascii="宋体" w:hAnsi="宋体" w:eastAsia="宋体" w:cs="宋体"/>
                <w:color w:val="auto"/>
                <w:sz w:val="24"/>
              </w:rPr>
            </w:pPr>
            <w:r>
              <w:rPr>
                <w:rFonts w:hint="eastAsia" w:ascii="宋体" w:hAnsi="宋体" w:eastAsia="宋体" w:cs="宋体"/>
                <w:color w:val="auto"/>
                <w:sz w:val="24"/>
              </w:rPr>
              <w:t>有限公司</w:t>
            </w:r>
            <w:r>
              <w:rPr>
                <w:rFonts w:hint="eastAsia" w:ascii="宋体" w:hAnsi="宋体" w:eastAsia="宋体" w:cs="宋体"/>
                <w:color w:val="auto"/>
                <w:sz w:val="24"/>
                <w:lang w:val="en-US" w:eastAsia="zh-CN"/>
              </w:rPr>
              <w:t>地块</w:t>
            </w:r>
            <w:r>
              <w:rPr>
                <w:rFonts w:hint="eastAsia" w:ascii="宋体" w:hAnsi="宋体" w:eastAsia="宋体" w:cs="宋体"/>
                <w:color w:val="auto"/>
                <w:sz w:val="24"/>
              </w:rPr>
              <w:t>。项目地理位置见</w:t>
            </w:r>
            <w:r>
              <w:rPr>
                <w:rFonts w:hint="eastAsia" w:ascii="宋体" w:hAnsi="宋体" w:eastAsia="宋体" w:cs="宋体"/>
                <w:b/>
                <w:bCs/>
                <w:color w:val="auto"/>
                <w:sz w:val="24"/>
                <w:lang w:val="en-US" w:eastAsia="zh-CN"/>
              </w:rPr>
              <w:t>附</w:t>
            </w:r>
            <w:r>
              <w:rPr>
                <w:rFonts w:hint="eastAsia" w:ascii="宋体" w:hAnsi="宋体" w:eastAsia="宋体" w:cs="宋体"/>
                <w:b/>
                <w:bCs/>
                <w:color w:val="auto"/>
                <w:sz w:val="24"/>
              </w:rPr>
              <w:t>图</w:t>
            </w:r>
            <w:r>
              <w:rPr>
                <w:rFonts w:hint="eastAsia" w:ascii="宋体" w:hAnsi="宋体" w:cs="宋体"/>
                <w:b/>
                <w:bCs/>
                <w:color w:val="auto"/>
                <w:sz w:val="24"/>
                <w:lang w:val="en-US" w:eastAsia="zh-CN"/>
              </w:rPr>
              <w:t>5</w:t>
            </w:r>
            <w:r>
              <w:rPr>
                <w:rFonts w:hint="eastAsia" w:ascii="宋体" w:hAnsi="宋体" w:eastAsia="宋体" w:cs="宋体"/>
                <w:color w:val="auto"/>
                <w:sz w:val="24"/>
              </w:rPr>
              <w:t>，</w:t>
            </w:r>
            <w:r>
              <w:rPr>
                <w:rFonts w:hint="eastAsia" w:ascii="宋体" w:hAnsi="宋体" w:eastAsia="宋体" w:cs="宋体"/>
                <w:color w:val="auto"/>
                <w:sz w:val="24"/>
                <w:lang w:val="en-US" w:eastAsia="zh-CN"/>
              </w:rPr>
              <w:t>项目</w:t>
            </w:r>
            <w:r>
              <w:rPr>
                <w:rFonts w:hint="eastAsia" w:ascii="宋体" w:hAnsi="宋体" w:eastAsia="宋体" w:cs="宋体"/>
                <w:color w:val="auto"/>
                <w:sz w:val="24"/>
              </w:rPr>
              <w:t>周边环境关系见</w:t>
            </w:r>
            <w:r>
              <w:rPr>
                <w:rFonts w:hint="eastAsia" w:ascii="宋体" w:hAnsi="宋体" w:eastAsia="宋体" w:cs="宋体"/>
                <w:b/>
                <w:bCs/>
                <w:color w:val="auto"/>
                <w:sz w:val="24"/>
                <w:lang w:val="en-US" w:eastAsia="zh-CN"/>
              </w:rPr>
              <w:t>附图</w:t>
            </w:r>
            <w:r>
              <w:rPr>
                <w:rFonts w:hint="eastAsia" w:ascii="宋体" w:hAnsi="宋体" w:cs="宋体"/>
                <w:b/>
                <w:bCs/>
                <w:color w:val="auto"/>
                <w:sz w:val="24"/>
                <w:lang w:val="en-US" w:eastAsia="zh-CN"/>
              </w:rPr>
              <w:t>6</w:t>
            </w:r>
            <w:r>
              <w:rPr>
                <w:rFonts w:hint="eastAsia" w:ascii="宋体" w:hAnsi="宋体" w:eastAsia="宋体" w:cs="宋体"/>
                <w:color w:val="auto"/>
                <w:sz w:val="24"/>
              </w:rPr>
              <w:t>。</w:t>
            </w:r>
          </w:p>
          <w:p w14:paraId="28F1940D">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（1）根据现场调查，</w:t>
            </w:r>
            <w:r>
              <w:rPr>
                <w:rFonts w:hint="eastAsia" w:ascii="宋体" w:hAnsi="宋体" w:eastAsia="宋体" w:cs="宋体"/>
                <w:color w:val="auto"/>
                <w:sz w:val="24"/>
                <w:lang w:val="en-US" w:eastAsia="zh-CN"/>
              </w:rPr>
              <w:t>本</w:t>
            </w:r>
            <w:r>
              <w:rPr>
                <w:rFonts w:hint="eastAsia" w:ascii="宋体" w:hAnsi="宋体" w:eastAsia="宋体" w:cs="宋体"/>
                <w:color w:val="auto"/>
                <w:sz w:val="24"/>
              </w:rPr>
              <w:t>项目所在园区供水、</w:t>
            </w:r>
            <w:r>
              <w:rPr>
                <w:rFonts w:hint="eastAsia" w:ascii="宋体" w:hAnsi="宋体" w:eastAsia="宋体" w:cs="宋体"/>
                <w:color w:val="auto"/>
                <w:sz w:val="24"/>
                <w:lang w:val="en-US" w:eastAsia="zh-CN"/>
              </w:rPr>
              <w:t>排水、</w:t>
            </w:r>
            <w:r>
              <w:rPr>
                <w:rFonts w:hint="eastAsia" w:ascii="宋体" w:hAnsi="宋体" w:eastAsia="宋体" w:cs="宋体"/>
                <w:color w:val="auto"/>
                <w:sz w:val="24"/>
              </w:rPr>
              <w:t>供电等基础设施完善，所在区域交通便利</w:t>
            </w:r>
            <w:r>
              <w:rPr>
                <w:rFonts w:hint="eastAsia" w:ascii="宋体" w:hAnsi="宋体" w:cs="宋体"/>
                <w:color w:val="auto"/>
                <w:sz w:val="24"/>
                <w:lang w:eastAsia="zh-CN"/>
              </w:rPr>
              <w:t>，</w:t>
            </w:r>
            <w:r>
              <w:rPr>
                <w:rFonts w:hint="eastAsia" w:ascii="宋体" w:hAnsi="宋体" w:cs="宋体"/>
                <w:color w:val="auto"/>
                <w:sz w:val="24"/>
                <w:lang w:val="en-US" w:eastAsia="zh-CN"/>
              </w:rPr>
              <w:t>有</w:t>
            </w:r>
            <w:r>
              <w:rPr>
                <w:rFonts w:hint="eastAsia" w:ascii="宋体" w:hAnsi="宋体" w:eastAsia="宋体" w:cs="宋体"/>
                <w:color w:val="auto"/>
                <w:sz w:val="24"/>
              </w:rPr>
              <w:t>利于项目建设。</w:t>
            </w:r>
          </w:p>
          <w:p w14:paraId="66C6038E">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w:t>
            </w:r>
            <w:r>
              <w:rPr>
                <w:rFonts w:hint="eastAsia" w:ascii="宋体" w:hAnsi="宋体" w:eastAsia="宋体" w:cs="宋体"/>
                <w:color w:val="auto"/>
                <w:sz w:val="24"/>
                <w:lang w:val="en-US" w:eastAsia="zh-CN"/>
              </w:rPr>
              <w:t>2</w:t>
            </w:r>
            <w:r>
              <w:rPr>
                <w:rFonts w:hint="eastAsia" w:ascii="宋体" w:hAnsi="宋体" w:eastAsia="宋体" w:cs="宋体"/>
                <w:color w:val="auto"/>
                <w:sz w:val="24"/>
              </w:rPr>
              <w:t>）项目区周边无自然保护区、风景</w:t>
            </w:r>
            <w:r>
              <w:rPr>
                <w:rFonts w:hint="eastAsia" w:ascii="宋体" w:hAnsi="宋体" w:eastAsia="宋体" w:cs="宋体"/>
                <w:color w:val="auto"/>
                <w:sz w:val="24"/>
                <w:lang w:val="en-US" w:eastAsia="zh-CN"/>
              </w:rPr>
              <w:t>名胜区</w:t>
            </w:r>
            <w:r>
              <w:rPr>
                <w:rFonts w:hint="eastAsia" w:ascii="宋体" w:hAnsi="宋体" w:eastAsia="宋体" w:cs="宋体"/>
                <w:color w:val="auto"/>
                <w:sz w:val="24"/>
              </w:rPr>
              <w:t>、</w:t>
            </w:r>
            <w:r>
              <w:rPr>
                <w:rFonts w:hint="eastAsia" w:ascii="宋体" w:hAnsi="宋体" w:eastAsia="宋体" w:cs="宋体"/>
                <w:color w:val="auto"/>
                <w:sz w:val="24"/>
                <w:lang w:val="en-US" w:eastAsia="zh-CN"/>
              </w:rPr>
              <w:t>居住区、饮用水水源保护区等环境敏感</w:t>
            </w:r>
            <w:r>
              <w:rPr>
                <w:rFonts w:hint="default" w:ascii="宋体" w:hAnsi="宋体" w:eastAsia="宋体" w:cs="宋体"/>
                <w:color w:val="auto"/>
                <w:sz w:val="24"/>
                <w:lang w:val="en-US" w:eastAsia="zh-CN"/>
              </w:rPr>
              <w:t>保护目标</w:t>
            </w:r>
            <w:r>
              <w:rPr>
                <w:rFonts w:hint="eastAsia" w:ascii="宋体" w:hAnsi="宋体" w:eastAsia="宋体" w:cs="宋体"/>
                <w:color w:val="auto"/>
                <w:sz w:val="24"/>
                <w:lang w:eastAsia="zh-CN"/>
              </w:rPr>
              <w:t>，无环境制约因素；</w:t>
            </w:r>
            <w:r>
              <w:rPr>
                <w:rFonts w:hint="eastAsia" w:ascii="宋体" w:hAnsi="宋体" w:eastAsia="宋体" w:cs="宋体"/>
                <w:color w:val="auto"/>
                <w:sz w:val="24"/>
              </w:rPr>
              <w:t>选址周围无与拟建项目性质不相容的其他建设项目，相容性较好。</w:t>
            </w:r>
          </w:p>
          <w:p w14:paraId="00AC18A0">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w:t>
            </w:r>
            <w:r>
              <w:rPr>
                <w:rFonts w:hint="eastAsia" w:ascii="宋体" w:hAnsi="宋体" w:eastAsia="宋体" w:cs="宋体"/>
                <w:color w:val="auto"/>
                <w:sz w:val="24"/>
                <w:lang w:val="en-US" w:eastAsia="zh-CN"/>
              </w:rPr>
              <w:t>3</w:t>
            </w:r>
            <w:r>
              <w:rPr>
                <w:rFonts w:hint="eastAsia" w:ascii="宋体" w:hAnsi="宋体" w:eastAsia="宋体" w:cs="宋体"/>
                <w:color w:val="auto"/>
                <w:sz w:val="24"/>
              </w:rPr>
              <w:t>）项目用地为《昌吉高新技术产业开发区国土空间专项规划（2021-2035年）》的装备制造产业区，</w:t>
            </w:r>
            <w:r>
              <w:rPr>
                <w:rFonts w:hint="eastAsia" w:ascii="宋体" w:hAnsi="宋体" w:eastAsia="宋体" w:cs="宋体"/>
                <w:color w:val="auto"/>
                <w:sz w:val="24"/>
                <w:lang w:val="en-US" w:eastAsia="zh-CN"/>
              </w:rPr>
              <w:t>用地性质为工业用地</w:t>
            </w:r>
            <w:r>
              <w:rPr>
                <w:rFonts w:hint="eastAsia" w:ascii="宋体" w:hAnsi="宋体" w:eastAsia="宋体" w:cs="宋体"/>
                <w:color w:val="auto"/>
                <w:sz w:val="24"/>
              </w:rPr>
              <w:t>，符合装备制造产业区产业空间布局要求。</w:t>
            </w:r>
          </w:p>
          <w:p w14:paraId="01CF0E89">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w:t>
            </w:r>
            <w:r>
              <w:rPr>
                <w:rFonts w:hint="eastAsia" w:ascii="宋体" w:hAnsi="宋体" w:eastAsia="宋体" w:cs="宋体"/>
                <w:color w:val="auto"/>
                <w:sz w:val="24"/>
                <w:lang w:val="en-US" w:eastAsia="zh-CN"/>
              </w:rPr>
              <w:t>4</w:t>
            </w:r>
            <w:r>
              <w:rPr>
                <w:rFonts w:hint="eastAsia" w:ascii="宋体" w:hAnsi="宋体" w:eastAsia="宋体" w:cs="宋体"/>
                <w:color w:val="auto"/>
                <w:sz w:val="24"/>
              </w:rPr>
              <w:t>）通过对各环境要素评价，本项目所在区域的大气环境、水环境质量现状较好，环境风险水平控制在可接受水平，事故发生概率较低，本项目的建设对周围环境影响较小。</w:t>
            </w:r>
          </w:p>
          <w:p w14:paraId="6368A5F4">
            <w:pPr>
              <w:spacing w:line="360" w:lineRule="auto"/>
              <w:ind w:firstLine="480" w:firstLineChars="200"/>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（5）经预测，本项目在采取相应污染防治措施后，各污染物均可达标排放，对区域环境影响较小，区域环境仍可保持现有功能水平。</w:t>
            </w:r>
          </w:p>
          <w:p w14:paraId="72092303">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综上，本项目选址合理可行。</w:t>
            </w:r>
          </w:p>
          <w:p w14:paraId="13EBECF3">
            <w:pPr>
              <w:spacing w:line="360" w:lineRule="auto"/>
              <w:ind w:firstLine="480" w:firstLineChars="200"/>
              <w:rPr>
                <w:rFonts w:hint="eastAsia" w:ascii="宋体" w:hAnsi="宋体" w:eastAsia="宋体" w:cs="宋体"/>
                <w:color w:val="auto"/>
                <w:sz w:val="24"/>
              </w:rPr>
            </w:pPr>
          </w:p>
          <w:p w14:paraId="69F845A5">
            <w:pPr>
              <w:spacing w:line="360" w:lineRule="auto"/>
              <w:ind w:firstLine="480" w:firstLineChars="200"/>
              <w:rPr>
                <w:rFonts w:hint="eastAsia" w:ascii="宋体" w:hAnsi="宋体" w:cs="宋体"/>
                <w:color w:val="auto"/>
                <w:sz w:val="24"/>
              </w:rPr>
            </w:pPr>
          </w:p>
          <w:p w14:paraId="5EB446B6">
            <w:pPr>
              <w:spacing w:line="360" w:lineRule="auto"/>
              <w:ind w:firstLine="420" w:firstLineChars="200"/>
              <w:rPr>
                <w:color w:val="auto"/>
              </w:rPr>
            </w:pPr>
          </w:p>
        </w:tc>
      </w:tr>
    </w:tbl>
    <w:p w14:paraId="2EF320B8">
      <w:pPr>
        <w:pStyle w:val="25"/>
        <w:ind w:firstLine="180"/>
        <w:rPr>
          <w:color w:val="auto"/>
        </w:rPr>
        <w:sectPr>
          <w:pgSz w:w="11906" w:h="16838"/>
          <w:pgMar w:top="1701" w:right="1531" w:bottom="1701" w:left="1531" w:header="851" w:footer="1077" w:gutter="0"/>
          <w:pgBorders>
            <w:top w:val="none" w:sz="0" w:space="0"/>
            <w:left w:val="none" w:sz="0" w:space="0"/>
            <w:bottom w:val="none" w:sz="0" w:space="0"/>
            <w:right w:val="none" w:sz="0" w:space="0"/>
          </w:pgBorders>
          <w:pgNumType w:fmt="decimal"/>
          <w:cols w:space="720" w:num="1"/>
          <w:docGrid w:linePitch="312" w:charSpace="0"/>
        </w:sectPr>
      </w:pPr>
    </w:p>
    <w:p w14:paraId="12D818FE">
      <w:pPr>
        <w:pStyle w:val="23"/>
        <w:spacing w:before="120" w:beforeLines="50" w:beforeAutospacing="0" w:after="120" w:afterLines="50" w:afterAutospacing="0"/>
        <w:jc w:val="center"/>
        <w:outlineLvl w:val="0"/>
        <w:rPr>
          <w:rFonts w:ascii="Times New Roman" w:hAnsi="Times New Roman" w:eastAsia="黑体"/>
          <w:snapToGrid w:val="0"/>
          <w:color w:val="auto"/>
          <w:sz w:val="30"/>
          <w:szCs w:val="30"/>
        </w:rPr>
      </w:pPr>
      <w:bookmarkStart w:id="5" w:name="_Toc17818"/>
      <w:r>
        <w:rPr>
          <w:rFonts w:ascii="Times New Roman" w:hAnsi="Times New Roman" w:eastAsia="黑体"/>
          <w:snapToGrid w:val="0"/>
          <w:color w:val="auto"/>
          <w:sz w:val="30"/>
          <w:szCs w:val="30"/>
        </w:rPr>
        <w:t>二、建设项目工程分析</w:t>
      </w:r>
      <w:bookmarkEnd w:id="5"/>
    </w:p>
    <w:tbl>
      <w:tblPr>
        <w:tblStyle w:val="26"/>
        <w:tblW w:w="911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284"/>
        <w:gridCol w:w="84"/>
      </w:tblGrid>
      <w:tr w14:paraId="1C58AC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84" w:type="dxa"/>
          <w:trHeight w:val="7880" w:hRule="atLeast"/>
          <w:jc w:val="center"/>
        </w:trPr>
        <w:tc>
          <w:tcPr>
            <w:tcW w:w="746" w:type="dxa"/>
            <w:noWrap w:val="0"/>
            <w:vAlign w:val="center"/>
          </w:tcPr>
          <w:p w14:paraId="56FBA53F">
            <w:pPr>
              <w:autoSpaceDE w:val="0"/>
              <w:autoSpaceDN w:val="0"/>
              <w:adjustRightInd w:val="0"/>
              <w:snapToGrid w:val="0"/>
              <w:jc w:val="center"/>
              <w:rPr>
                <w:color w:val="auto"/>
                <w:kern w:val="0"/>
                <w:sz w:val="24"/>
              </w:rPr>
            </w:pPr>
            <w:r>
              <w:rPr>
                <w:color w:val="auto"/>
                <w:kern w:val="0"/>
                <w:sz w:val="24"/>
              </w:rPr>
              <w:t>建设内容</w:t>
            </w:r>
          </w:p>
        </w:tc>
        <w:tc>
          <w:tcPr>
            <w:tcW w:w="8284" w:type="dxa"/>
            <w:noWrap w:val="0"/>
            <w:vAlign w:val="top"/>
          </w:tcPr>
          <w:p w14:paraId="5BAFBB11">
            <w:pPr>
              <w:spacing w:before="120" w:beforeLines="50" w:line="360" w:lineRule="auto"/>
              <w:rPr>
                <w:rFonts w:hint="eastAsia"/>
                <w:b/>
                <w:bCs/>
                <w:color w:val="auto"/>
                <w:sz w:val="24"/>
              </w:rPr>
            </w:pPr>
            <w:r>
              <w:rPr>
                <w:rFonts w:hint="eastAsia"/>
                <w:b/>
                <w:bCs/>
                <w:color w:val="auto"/>
                <w:sz w:val="24"/>
              </w:rPr>
              <w:t>1.项目由来</w:t>
            </w:r>
          </w:p>
          <w:p w14:paraId="2BBE1B83">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新疆顺通钢结构有限公司成立于2025年08月19日，注册地位于新疆昌吉回族自治州昌吉市高新技术产业开发区科技大道9号蓝海大厦911-7室，是一家集钢结构研发</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生产</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加工</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安装及配套服务于一体的现代化企业。</w:t>
            </w:r>
          </w:p>
          <w:p w14:paraId="102513F3">
            <w:pPr>
              <w:spacing w:line="360" w:lineRule="auto"/>
              <w:ind w:firstLine="480" w:firstLineChars="20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0000FF"/>
                <w:sz w:val="24"/>
                <w:lang w:val="en-US" w:eastAsia="zh-CN"/>
              </w:rPr>
              <w:t>202</w:t>
            </w:r>
            <w:r>
              <w:rPr>
                <w:rFonts w:hint="eastAsia" w:cs="Times New Roman"/>
                <w:color w:val="0000FF"/>
                <w:sz w:val="24"/>
                <w:lang w:val="en-US" w:eastAsia="zh-CN"/>
              </w:rPr>
              <w:t>6</w:t>
            </w:r>
            <w:r>
              <w:rPr>
                <w:rFonts w:hint="eastAsia" w:ascii="Times New Roman" w:hAnsi="Times New Roman" w:eastAsia="宋体" w:cs="Times New Roman"/>
                <w:color w:val="0000FF"/>
                <w:sz w:val="24"/>
                <w:lang w:val="en-US" w:eastAsia="zh-CN"/>
              </w:rPr>
              <w:t>年</w:t>
            </w:r>
            <w:r>
              <w:rPr>
                <w:rFonts w:hint="eastAsia" w:cs="Times New Roman"/>
                <w:color w:val="0000FF"/>
                <w:sz w:val="24"/>
                <w:lang w:val="en-US" w:eastAsia="zh-CN"/>
              </w:rPr>
              <w:t>2</w:t>
            </w:r>
            <w:r>
              <w:rPr>
                <w:rFonts w:hint="eastAsia" w:ascii="Times New Roman" w:hAnsi="Times New Roman" w:eastAsia="宋体" w:cs="Times New Roman"/>
                <w:color w:val="0000FF"/>
                <w:sz w:val="24"/>
                <w:lang w:val="en-US" w:eastAsia="zh-CN"/>
              </w:rPr>
              <w:t>月，</w:t>
            </w:r>
            <w:r>
              <w:rPr>
                <w:rFonts w:hint="eastAsia" w:ascii="Times New Roman" w:hAnsi="Times New Roman" w:eastAsia="宋体" w:cs="Times New Roman"/>
                <w:color w:val="auto"/>
                <w:sz w:val="24"/>
                <w:lang w:val="en-US" w:eastAsia="zh-CN"/>
              </w:rPr>
              <w:t>新疆顺通钢结构有限公司拟投资7200万元在昌吉高新技术产业开发区C-16号建设新疆顺通钢结构有限公司非标钢结构生产项目，</w:t>
            </w:r>
            <w:r>
              <w:rPr>
                <w:rFonts w:hint="eastAsia" w:ascii="Times New Roman" w:hAnsi="Times New Roman" w:eastAsia="宋体" w:cs="Times New Roman"/>
                <w:color w:val="0000FF"/>
                <w:sz w:val="24"/>
                <w:lang w:val="en-US" w:eastAsia="zh-CN"/>
              </w:rPr>
              <w:t>202</w:t>
            </w:r>
            <w:r>
              <w:rPr>
                <w:rFonts w:hint="eastAsia" w:cs="Times New Roman"/>
                <w:color w:val="0000FF"/>
                <w:sz w:val="24"/>
                <w:lang w:val="en-US" w:eastAsia="zh-CN"/>
              </w:rPr>
              <w:t>6</w:t>
            </w:r>
            <w:r>
              <w:rPr>
                <w:rFonts w:hint="eastAsia" w:ascii="Times New Roman" w:hAnsi="Times New Roman" w:eastAsia="宋体" w:cs="Times New Roman"/>
                <w:color w:val="0000FF"/>
                <w:sz w:val="24"/>
                <w:lang w:val="en-US" w:eastAsia="zh-CN"/>
              </w:rPr>
              <w:t>年</w:t>
            </w:r>
            <w:r>
              <w:rPr>
                <w:rFonts w:hint="eastAsia" w:cs="Times New Roman"/>
                <w:color w:val="0000FF"/>
                <w:sz w:val="24"/>
                <w:lang w:val="en-US" w:eastAsia="zh-CN"/>
              </w:rPr>
              <w:t>2</w:t>
            </w:r>
            <w:r>
              <w:rPr>
                <w:rFonts w:hint="eastAsia" w:ascii="Times New Roman" w:hAnsi="Times New Roman" w:eastAsia="宋体" w:cs="Times New Roman"/>
                <w:color w:val="0000FF"/>
                <w:sz w:val="24"/>
                <w:lang w:val="en-US" w:eastAsia="zh-CN"/>
              </w:rPr>
              <w:t>月4日</w:t>
            </w:r>
            <w:r>
              <w:rPr>
                <w:rFonts w:hint="eastAsia" w:ascii="Times New Roman" w:hAnsi="Times New Roman" w:eastAsia="宋体" w:cs="Times New Roman"/>
                <w:color w:val="auto"/>
                <w:sz w:val="24"/>
                <w:lang w:val="en-US" w:eastAsia="zh-CN"/>
              </w:rPr>
              <w:t>，项目在昌吉高新技术产业开发区产业发展科技局完成备案，备案证号2509041938652312000130，项目代码2509-652312-07-01-903068。项目建成后</w:t>
            </w:r>
            <w:r>
              <w:rPr>
                <w:rFonts w:hint="eastAsia" w:cs="Times New Roman"/>
                <w:color w:val="auto"/>
                <w:sz w:val="24"/>
                <w:lang w:val="en-US" w:eastAsia="zh-CN"/>
              </w:rPr>
              <w:t>可</w:t>
            </w:r>
            <w:r>
              <w:rPr>
                <w:rFonts w:hint="eastAsia" w:ascii="Times New Roman" w:hAnsi="Times New Roman" w:eastAsia="宋体" w:cs="Times New Roman"/>
                <w:color w:val="auto"/>
                <w:sz w:val="24"/>
                <w:lang w:val="en-US" w:eastAsia="zh-CN"/>
              </w:rPr>
              <w:t>形成年产20000吨各类钢结构产品。</w:t>
            </w:r>
          </w:p>
          <w:p w14:paraId="6D2306AF">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本项目涂装工序使用溶剂型涂料（含稀释剂）8.62t/a，非溶剂型低VOC</w:t>
            </w:r>
            <w:r>
              <w:rPr>
                <w:rFonts w:hint="eastAsia" w:ascii="Times New Roman" w:hAnsi="Times New Roman" w:eastAsia="宋体" w:cs="Times New Roman"/>
                <w:color w:val="auto"/>
                <w:sz w:val="24"/>
                <w:vertAlign w:val="subscript"/>
                <w:lang w:val="en-US" w:eastAsia="zh-CN"/>
              </w:rPr>
              <w:t>S</w:t>
            </w:r>
            <w:r>
              <w:rPr>
                <w:rFonts w:hint="eastAsia" w:ascii="Times New Roman" w:hAnsi="Times New Roman" w:eastAsia="宋体" w:cs="Times New Roman"/>
                <w:color w:val="auto"/>
                <w:sz w:val="24"/>
                <w:lang w:val="en-US" w:eastAsia="zh-CN"/>
              </w:rPr>
              <w:t>含量涂料（水性漆）14.47t/a。</w:t>
            </w:r>
            <w:r>
              <w:rPr>
                <w:rFonts w:hint="eastAsia" w:ascii="Times New Roman" w:hAnsi="Times New Roman" w:eastAsia="宋体" w:cs="Times New Roman"/>
                <w:color w:val="auto"/>
                <w:sz w:val="24"/>
              </w:rPr>
              <w:t>根据《中华人民共和国环境保护法》《中华人民共和国环境影响评价法》和《建设项目环境保护管理条例》有关规定，以及《建设项目环境影响评价分类管理名录（2021年版）》，本项目属于“三十、金属制品业33”中“</w:t>
            </w:r>
            <w:r>
              <w:rPr>
                <w:rFonts w:hint="eastAsia" w:ascii="Times New Roman" w:hAnsi="Times New Roman" w:eastAsia="宋体" w:cs="Times New Roman"/>
                <w:color w:val="auto"/>
                <w:sz w:val="24"/>
                <w:lang w:val="en-US" w:eastAsia="zh-CN"/>
              </w:rPr>
              <w:t>66</w:t>
            </w:r>
            <w:r>
              <w:rPr>
                <w:rFonts w:hint="eastAsia" w:ascii="Times New Roman" w:hAnsi="Times New Roman" w:eastAsia="宋体" w:cs="Times New Roman"/>
                <w:color w:val="auto"/>
                <w:sz w:val="24"/>
              </w:rPr>
              <w:t>结构性金属制品制造331”</w:t>
            </w:r>
            <w:r>
              <w:rPr>
                <w:rFonts w:hint="eastAsia" w:ascii="Times New Roman" w:hAnsi="Times New Roman" w:eastAsia="宋体" w:cs="Times New Roman"/>
                <w:color w:val="auto"/>
                <w:sz w:val="24"/>
                <w:lang w:eastAsia="zh-CN"/>
              </w:rPr>
              <w:t>的</w:t>
            </w:r>
            <w:r>
              <w:rPr>
                <w:rFonts w:hint="eastAsia" w:ascii="Times New Roman" w:hAnsi="Times New Roman" w:eastAsia="宋体" w:cs="Times New Roman"/>
                <w:color w:val="auto"/>
                <w:sz w:val="24"/>
              </w:rPr>
              <w:t>“其他（仅分割、焊接、组装的除外；年使用非溶剂型低VOC</w:t>
            </w:r>
            <w:r>
              <w:rPr>
                <w:rFonts w:hint="eastAsia" w:ascii="Times New Roman" w:hAnsi="Times New Roman" w:eastAsia="宋体" w:cs="Times New Roman"/>
                <w:color w:val="auto"/>
                <w:sz w:val="24"/>
                <w:vertAlign w:val="subscript"/>
              </w:rPr>
              <w:t>S</w:t>
            </w:r>
            <w:r>
              <w:rPr>
                <w:rFonts w:hint="eastAsia" w:ascii="Times New Roman" w:hAnsi="Times New Roman" w:eastAsia="宋体" w:cs="Times New Roman"/>
                <w:color w:val="auto"/>
                <w:sz w:val="24"/>
              </w:rPr>
              <w:t>含量涂料10吨以下的除外）”</w:t>
            </w:r>
            <w:r>
              <w:rPr>
                <w:rFonts w:hint="eastAsia" w:ascii="Times New Roman" w:hAnsi="Times New Roman" w:eastAsia="宋体" w:cs="Times New Roman"/>
                <w:color w:val="auto"/>
                <w:sz w:val="24"/>
                <w:lang w:val="en-US" w:eastAsia="zh-CN"/>
              </w:rPr>
              <w:t>类别</w:t>
            </w:r>
            <w:r>
              <w:rPr>
                <w:rFonts w:hint="eastAsia" w:ascii="Times New Roman" w:hAnsi="Times New Roman" w:eastAsia="宋体" w:cs="Times New Roman"/>
                <w:color w:val="auto"/>
                <w:sz w:val="24"/>
              </w:rPr>
              <w:t>，应编制环境影响报告表，建设单位委托乌鲁木齐湘永丽景环保科技有限公司对该项目进行环境影响评价工作。</w:t>
            </w:r>
            <w:r>
              <w:rPr>
                <w:rFonts w:hint="eastAsia" w:ascii="Times New Roman" w:hAnsi="Times New Roman" w:eastAsia="宋体" w:cs="Times New Roman"/>
                <w:color w:val="auto"/>
                <w:sz w:val="24"/>
                <w:lang w:val="en-US" w:eastAsia="zh-CN"/>
              </w:rPr>
              <w:t>我</w:t>
            </w:r>
            <w:r>
              <w:rPr>
                <w:rFonts w:hint="eastAsia" w:ascii="Times New Roman" w:hAnsi="Times New Roman" w:eastAsia="宋体" w:cs="Times New Roman"/>
                <w:color w:val="auto"/>
                <w:sz w:val="24"/>
              </w:rPr>
              <w:t>公司接受委托后，及时安排技术人员现场踏勘，收集并熟悉与项目有关的资料进行项目分析和环境影响识别，</w:t>
            </w:r>
            <w:r>
              <w:rPr>
                <w:rFonts w:hint="eastAsia" w:ascii="Times New Roman" w:hAnsi="Times New Roman" w:eastAsia="宋体" w:cs="Times New Roman"/>
                <w:color w:val="auto"/>
                <w:sz w:val="24"/>
                <w:lang w:val="en-US" w:eastAsia="zh-CN"/>
              </w:rPr>
              <w:t>结合项目特点，</w:t>
            </w:r>
            <w:r>
              <w:rPr>
                <w:rFonts w:hint="eastAsia" w:ascii="Times New Roman" w:hAnsi="Times New Roman" w:eastAsia="宋体" w:cs="Times New Roman"/>
                <w:color w:val="auto"/>
                <w:sz w:val="24"/>
              </w:rPr>
              <w:t>编制了本项目环境影响报告表，提交建设单位，</w:t>
            </w:r>
            <w:r>
              <w:rPr>
                <w:rFonts w:hint="eastAsia" w:ascii="Times New Roman" w:hAnsi="Times New Roman" w:eastAsia="宋体" w:cs="Times New Roman"/>
                <w:color w:val="auto"/>
                <w:sz w:val="24"/>
                <w:lang w:val="en-US" w:eastAsia="zh-CN"/>
              </w:rPr>
              <w:t>报送生态环境</w:t>
            </w:r>
            <w:r>
              <w:rPr>
                <w:rFonts w:hint="eastAsia" w:ascii="Times New Roman" w:hAnsi="Times New Roman" w:eastAsia="宋体" w:cs="Times New Roman"/>
                <w:color w:val="auto"/>
                <w:sz w:val="24"/>
              </w:rPr>
              <w:t xml:space="preserve">主管部门审批，为项目的环境管理提供科学依据。 </w:t>
            </w:r>
          </w:p>
          <w:p w14:paraId="27AE939E">
            <w:pPr>
              <w:spacing w:line="360" w:lineRule="auto"/>
              <w:rPr>
                <w:rFonts w:hint="default" w:eastAsia="宋体"/>
                <w:b/>
                <w:bCs/>
                <w:color w:val="auto"/>
                <w:sz w:val="24"/>
                <w:lang w:val="en-US" w:eastAsia="zh-CN"/>
              </w:rPr>
            </w:pPr>
            <w:r>
              <w:rPr>
                <w:rFonts w:hint="eastAsia"/>
                <w:b/>
                <w:bCs/>
                <w:color w:val="auto"/>
                <w:sz w:val="24"/>
              </w:rPr>
              <w:t>2</w:t>
            </w:r>
            <w:r>
              <w:rPr>
                <w:b/>
                <w:bCs/>
                <w:color w:val="auto"/>
                <w:sz w:val="24"/>
              </w:rPr>
              <w:t>.主要建设内容</w:t>
            </w:r>
            <w:r>
              <w:rPr>
                <w:rFonts w:hint="eastAsia"/>
                <w:b/>
                <w:bCs/>
                <w:color w:val="auto"/>
                <w:sz w:val="24"/>
                <w:lang w:val="en-US" w:eastAsia="zh-CN"/>
              </w:rPr>
              <w:t>及规模</w:t>
            </w:r>
          </w:p>
          <w:p w14:paraId="0658ECDD">
            <w:pPr>
              <w:spacing w:line="360" w:lineRule="auto"/>
              <w:ind w:firstLine="480" w:firstLineChars="200"/>
              <w:rPr>
                <w:rFonts w:hint="default"/>
                <w:color w:val="auto"/>
              </w:rPr>
            </w:pPr>
            <w:r>
              <w:rPr>
                <w:rFonts w:hint="eastAsia" w:ascii="Times New Roman" w:hAnsi="Times New Roman" w:eastAsia="宋体" w:cs="Times New Roman"/>
                <w:color w:val="0000FF"/>
                <w:sz w:val="24"/>
                <w:lang w:val="en-US" w:eastAsia="zh-CN"/>
              </w:rPr>
              <w:t>本项目总占地面积27527.93㎡（约41.29亩），建设内容为新建厂房一</w:t>
            </w:r>
            <w:r>
              <w:rPr>
                <w:rFonts w:hint="eastAsia" w:cs="Times New Roman"/>
                <w:color w:val="0000FF"/>
                <w:sz w:val="24"/>
                <w:lang w:val="en-US" w:eastAsia="zh-CN"/>
              </w:rPr>
              <w:t>栋（建筑面积9464.89㎡）</w:t>
            </w:r>
            <w:r>
              <w:rPr>
                <w:rFonts w:hint="eastAsia" w:ascii="Times New Roman" w:hAnsi="Times New Roman" w:eastAsia="宋体" w:cs="Times New Roman"/>
                <w:color w:val="0000FF"/>
                <w:sz w:val="24"/>
                <w:lang w:val="en-US" w:eastAsia="zh-CN"/>
              </w:rPr>
              <w:t>，内设2条钢结构生产线，年产20000吨</w:t>
            </w:r>
            <w:r>
              <w:rPr>
                <w:rFonts w:hint="eastAsia" w:cs="Times New Roman"/>
                <w:color w:val="0000FF"/>
                <w:sz w:val="24"/>
                <w:lang w:val="en-US" w:eastAsia="zh-CN"/>
              </w:rPr>
              <w:t>各类</w:t>
            </w:r>
            <w:r>
              <w:rPr>
                <w:rFonts w:hint="eastAsia" w:ascii="Times New Roman" w:hAnsi="Times New Roman" w:eastAsia="宋体" w:cs="Times New Roman"/>
                <w:color w:val="0000FF"/>
                <w:sz w:val="24"/>
                <w:lang w:val="en-US" w:eastAsia="zh-CN"/>
              </w:rPr>
              <w:t>钢结构</w:t>
            </w:r>
            <w:r>
              <w:rPr>
                <w:rFonts w:hint="eastAsia" w:cs="Times New Roman"/>
                <w:color w:val="0000FF"/>
                <w:sz w:val="24"/>
                <w:lang w:val="en-US" w:eastAsia="zh-CN"/>
              </w:rPr>
              <w:t>产品，</w:t>
            </w:r>
            <w:r>
              <w:rPr>
                <w:rFonts w:hint="eastAsia" w:ascii="Times New Roman" w:hAnsi="Times New Roman" w:eastAsia="宋体" w:cs="Times New Roman"/>
                <w:color w:val="0000FF"/>
                <w:sz w:val="24"/>
                <w:lang w:val="en-US" w:eastAsia="zh-CN"/>
              </w:rPr>
              <w:t>新建</w:t>
            </w:r>
            <w:r>
              <w:rPr>
                <w:rFonts w:hint="eastAsia" w:cs="Times New Roman"/>
                <w:color w:val="0000FF"/>
                <w:sz w:val="24"/>
                <w:lang w:val="en-US" w:eastAsia="zh-CN"/>
              </w:rPr>
              <w:t>三层</w:t>
            </w:r>
            <w:r>
              <w:rPr>
                <w:rFonts w:hint="eastAsia" w:ascii="Times New Roman" w:hAnsi="Times New Roman" w:eastAsia="宋体" w:cs="Times New Roman"/>
                <w:color w:val="0000FF"/>
                <w:sz w:val="24"/>
                <w:lang w:val="en-US" w:eastAsia="zh-CN"/>
              </w:rPr>
              <w:t>综合楼</w:t>
            </w:r>
            <w:r>
              <w:rPr>
                <w:rFonts w:hint="eastAsia" w:cs="Times New Roman"/>
                <w:color w:val="0000FF"/>
                <w:sz w:val="24"/>
                <w:lang w:val="en-US" w:eastAsia="zh-CN"/>
              </w:rPr>
              <w:t>一栋（建筑面积3252.52㎡），新建</w:t>
            </w:r>
            <w:r>
              <w:rPr>
                <w:rFonts w:hint="eastAsia" w:ascii="Times New Roman" w:hAnsi="Times New Roman" w:eastAsia="宋体" w:cs="Times New Roman"/>
                <w:color w:val="0000FF"/>
                <w:sz w:val="24"/>
                <w:lang w:val="en-US" w:eastAsia="zh-CN"/>
              </w:rPr>
              <w:t>泵房及消防水池</w:t>
            </w:r>
            <w:r>
              <w:rPr>
                <w:rFonts w:hint="eastAsia" w:cs="Times New Roman"/>
                <w:color w:val="0000FF"/>
                <w:sz w:val="24"/>
                <w:lang w:val="en-US" w:eastAsia="zh-CN"/>
              </w:rPr>
              <w:t>（建筑面积214㎡），新建</w:t>
            </w:r>
            <w:r>
              <w:rPr>
                <w:rFonts w:hint="eastAsia" w:ascii="Times New Roman" w:hAnsi="Times New Roman" w:eastAsia="宋体" w:cs="Times New Roman"/>
                <w:color w:val="0000FF"/>
                <w:sz w:val="24"/>
                <w:lang w:val="en-US" w:eastAsia="zh-CN"/>
              </w:rPr>
              <w:t>门卫室</w:t>
            </w:r>
            <w:r>
              <w:rPr>
                <w:rFonts w:hint="eastAsia" w:cs="Times New Roman"/>
                <w:color w:val="0000FF"/>
                <w:sz w:val="24"/>
                <w:lang w:val="en-US" w:eastAsia="zh-CN"/>
              </w:rPr>
              <w:t>（建筑面积59.67㎡）及厂区配套设施。</w:t>
            </w:r>
            <w:r>
              <w:rPr>
                <w:rFonts w:hint="eastAsia" w:ascii="Times New Roman" w:hAnsi="Times New Roman" w:eastAsia="宋体" w:cs="Times New Roman"/>
                <w:color w:val="auto"/>
                <w:sz w:val="24"/>
                <w:lang w:val="en-US" w:eastAsia="zh-CN"/>
              </w:rPr>
              <w:t>项目主要建设内容见表2-1</w:t>
            </w:r>
            <w:r>
              <w:rPr>
                <w:rFonts w:hint="eastAsia" w:ascii="Times New Roman" w:hAnsi="Times New Roman" w:eastAsia="宋体" w:cs="Times New Roman"/>
                <w:color w:val="auto"/>
                <w:sz w:val="24"/>
              </w:rPr>
              <w:t>。</w:t>
            </w:r>
          </w:p>
          <w:p w14:paraId="5E53F7B6">
            <w:pPr>
              <w:keepNext w:val="0"/>
              <w:keepLines w:val="0"/>
              <w:pageBreakBefore w:val="0"/>
              <w:widowControl w:val="0"/>
              <w:kinsoku/>
              <w:wordWrap/>
              <w:overflowPunct/>
              <w:topLinePunct w:val="0"/>
              <w:autoSpaceDE/>
              <w:autoSpaceDN/>
              <w:bidi w:val="0"/>
              <w:adjustRightInd/>
              <w:snapToGrid/>
              <w:spacing w:before="157" w:beforeLines="50" w:line="300" w:lineRule="auto"/>
              <w:jc w:val="center"/>
              <w:textAlignment w:val="auto"/>
              <w:rPr>
                <w:rFonts w:hint="default" w:ascii="Times New Roman" w:hAnsi="Times New Roman" w:eastAsia="宋体" w:cs="Times New Roman"/>
                <w:b/>
                <w:bCs/>
                <w:color w:val="auto"/>
              </w:rPr>
            </w:pPr>
          </w:p>
          <w:p w14:paraId="4C0AA94B">
            <w:pPr>
              <w:keepNext w:val="0"/>
              <w:keepLines w:val="0"/>
              <w:pageBreakBefore w:val="0"/>
              <w:widowControl w:val="0"/>
              <w:kinsoku/>
              <w:wordWrap/>
              <w:overflowPunct/>
              <w:topLinePunct w:val="0"/>
              <w:autoSpaceDE/>
              <w:autoSpaceDN/>
              <w:bidi w:val="0"/>
              <w:adjustRightInd/>
              <w:snapToGrid/>
              <w:spacing w:before="157" w:beforeLines="50" w:line="300" w:lineRule="auto"/>
              <w:jc w:val="center"/>
              <w:textAlignment w:val="auto"/>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 xml:space="preserve">2-1 </w:t>
            </w:r>
            <w:r>
              <w:rPr>
                <w:rFonts w:hint="default" w:ascii="Times New Roman" w:hAnsi="Times New Roman" w:eastAsia="宋体" w:cs="Times New Roman"/>
                <w:b/>
                <w:bCs/>
                <w:color w:val="auto"/>
              </w:rPr>
              <w:t xml:space="preserve">主要建设内容一览表 </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15"/>
              <w:gridCol w:w="1181"/>
              <w:gridCol w:w="5018"/>
              <w:gridCol w:w="754"/>
            </w:tblGrid>
            <w:tr w14:paraId="02B42F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91" w:type="pct"/>
                  <w:tcBorders>
                    <w:bottom w:val="single" w:color="auto" w:sz="12" w:space="0"/>
                  </w:tcBorders>
                  <w:noWrap w:val="0"/>
                  <w:vAlign w:val="center"/>
                </w:tcPr>
                <w:p w14:paraId="2EC8E8C7">
                  <w:pPr>
                    <w:adjustRightInd w:val="0"/>
                    <w:snapToGrid w:val="0"/>
                    <w:spacing w:line="260" w:lineRule="exact"/>
                    <w:jc w:val="center"/>
                    <w:rPr>
                      <w:b/>
                      <w:bCs/>
                      <w:color w:val="auto"/>
                    </w:rPr>
                  </w:pPr>
                  <w:r>
                    <w:rPr>
                      <w:b/>
                      <w:bCs/>
                      <w:color w:val="auto"/>
                    </w:rPr>
                    <w:t>工程类别</w:t>
                  </w:r>
                </w:p>
              </w:tc>
              <w:tc>
                <w:tcPr>
                  <w:tcW w:w="731" w:type="pct"/>
                  <w:tcBorders>
                    <w:bottom w:val="single" w:color="auto" w:sz="12" w:space="0"/>
                  </w:tcBorders>
                  <w:noWrap w:val="0"/>
                  <w:vAlign w:val="center"/>
                </w:tcPr>
                <w:p w14:paraId="5D06BFE4">
                  <w:pPr>
                    <w:adjustRightInd w:val="0"/>
                    <w:snapToGrid w:val="0"/>
                    <w:spacing w:line="260" w:lineRule="exact"/>
                    <w:jc w:val="center"/>
                    <w:rPr>
                      <w:b/>
                      <w:bCs/>
                      <w:color w:val="auto"/>
                    </w:rPr>
                  </w:pPr>
                  <w:r>
                    <w:rPr>
                      <w:b/>
                      <w:bCs/>
                      <w:color w:val="auto"/>
                    </w:rPr>
                    <w:t>名称</w:t>
                  </w:r>
                </w:p>
              </w:tc>
              <w:tc>
                <w:tcPr>
                  <w:tcW w:w="3109" w:type="pct"/>
                  <w:tcBorders>
                    <w:bottom w:val="single" w:color="auto" w:sz="12" w:space="0"/>
                  </w:tcBorders>
                  <w:noWrap w:val="0"/>
                  <w:vAlign w:val="center"/>
                </w:tcPr>
                <w:p w14:paraId="540CE88E">
                  <w:pPr>
                    <w:adjustRightInd w:val="0"/>
                    <w:snapToGrid w:val="0"/>
                    <w:spacing w:line="260" w:lineRule="exact"/>
                    <w:jc w:val="center"/>
                    <w:rPr>
                      <w:b/>
                      <w:bCs/>
                      <w:color w:val="auto"/>
                    </w:rPr>
                  </w:pPr>
                  <w:r>
                    <w:rPr>
                      <w:b/>
                      <w:bCs/>
                      <w:color w:val="auto"/>
                    </w:rPr>
                    <w:t>建设内容及规模</w:t>
                  </w:r>
                </w:p>
              </w:tc>
              <w:tc>
                <w:tcPr>
                  <w:tcW w:w="467" w:type="pct"/>
                  <w:tcBorders>
                    <w:bottom w:val="single" w:color="auto" w:sz="12" w:space="0"/>
                  </w:tcBorders>
                  <w:noWrap w:val="0"/>
                  <w:vAlign w:val="center"/>
                </w:tcPr>
                <w:p w14:paraId="17EF4D52">
                  <w:pPr>
                    <w:adjustRightInd w:val="0"/>
                    <w:snapToGrid w:val="0"/>
                    <w:spacing w:line="260" w:lineRule="exact"/>
                    <w:jc w:val="center"/>
                    <w:rPr>
                      <w:b/>
                      <w:bCs/>
                      <w:color w:val="auto"/>
                    </w:rPr>
                  </w:pPr>
                  <w:r>
                    <w:rPr>
                      <w:b/>
                      <w:bCs/>
                      <w:color w:val="auto"/>
                    </w:rPr>
                    <w:t>备注</w:t>
                  </w:r>
                </w:p>
              </w:tc>
            </w:tr>
            <w:tr w14:paraId="4549FC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691" w:type="pct"/>
                  <w:tcBorders>
                    <w:top w:val="single" w:color="auto" w:sz="12" w:space="0"/>
                  </w:tcBorders>
                  <w:noWrap w:val="0"/>
                  <w:vAlign w:val="center"/>
                </w:tcPr>
                <w:p w14:paraId="3552449E">
                  <w:pPr>
                    <w:adjustRightInd w:val="0"/>
                    <w:snapToGrid w:val="0"/>
                    <w:spacing w:line="260" w:lineRule="exact"/>
                    <w:jc w:val="center"/>
                    <w:rPr>
                      <w:color w:val="auto"/>
                    </w:rPr>
                  </w:pPr>
                  <w:r>
                    <w:rPr>
                      <w:color w:val="auto"/>
                    </w:rPr>
                    <w:t>主体工程</w:t>
                  </w:r>
                </w:p>
              </w:tc>
              <w:tc>
                <w:tcPr>
                  <w:tcW w:w="731" w:type="pct"/>
                  <w:tcBorders>
                    <w:top w:val="single" w:color="auto" w:sz="12" w:space="0"/>
                  </w:tcBorders>
                  <w:noWrap w:val="0"/>
                  <w:vAlign w:val="center"/>
                </w:tcPr>
                <w:p w14:paraId="56C410D9">
                  <w:pPr>
                    <w:adjustRightInd w:val="0"/>
                    <w:snapToGrid w:val="0"/>
                    <w:spacing w:line="260" w:lineRule="exact"/>
                    <w:jc w:val="center"/>
                    <w:rPr>
                      <w:color w:val="auto"/>
                    </w:rPr>
                  </w:pPr>
                  <w:r>
                    <w:rPr>
                      <w:rFonts w:hint="eastAsia"/>
                      <w:color w:val="auto"/>
                    </w:rPr>
                    <w:t>厂房</w:t>
                  </w:r>
                </w:p>
              </w:tc>
              <w:tc>
                <w:tcPr>
                  <w:tcW w:w="3109" w:type="pct"/>
                  <w:tcBorders>
                    <w:top w:val="single" w:color="auto" w:sz="12" w:space="0"/>
                  </w:tcBorders>
                  <w:noWrap w:val="0"/>
                  <w:vAlign w:val="center"/>
                </w:tcPr>
                <w:p w14:paraId="014DE9ED">
                  <w:pPr>
                    <w:adjustRightInd w:val="0"/>
                    <w:snapToGrid w:val="0"/>
                    <w:spacing w:line="260" w:lineRule="exact"/>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1F，建筑面积</w:t>
                  </w:r>
                  <w:r>
                    <w:rPr>
                      <w:rFonts w:hint="eastAsia" w:ascii="Times New Roman" w:hAnsi="Times New Roman" w:eastAsia="宋体" w:cs="Times New Roman"/>
                      <w:color w:val="0000FF"/>
                      <w:lang w:val="en-US" w:eastAsia="zh-CN"/>
                    </w:rPr>
                    <w:t>9</w:t>
                  </w:r>
                  <w:r>
                    <w:rPr>
                      <w:rFonts w:hint="eastAsia" w:cs="Times New Roman"/>
                      <w:color w:val="0000FF"/>
                      <w:lang w:val="en-US" w:eastAsia="zh-CN"/>
                    </w:rPr>
                    <w:t>464.89</w:t>
                  </w:r>
                  <w:r>
                    <w:rPr>
                      <w:rFonts w:hint="eastAsia" w:ascii="Times New Roman" w:hAnsi="Times New Roman" w:eastAsia="宋体" w:cs="Times New Roman"/>
                      <w:color w:val="0000FF"/>
                      <w:lang w:val="en-US" w:eastAsia="zh-CN"/>
                    </w:rPr>
                    <w:t>㎡</w:t>
                  </w:r>
                  <w:r>
                    <w:rPr>
                      <w:rFonts w:hint="eastAsia" w:ascii="Times New Roman" w:hAnsi="Times New Roman" w:eastAsia="宋体" w:cs="Times New Roman"/>
                      <w:color w:val="auto"/>
                      <w:lang w:val="en-US" w:eastAsia="zh-CN"/>
                    </w:rPr>
                    <w:t>，内设2条钢结构生产线，厂房内主要分为原料堆放区、切割区、焊接区、打磨区、抛丸区及涂装区等。</w:t>
                  </w:r>
                </w:p>
              </w:tc>
              <w:tc>
                <w:tcPr>
                  <w:tcW w:w="467" w:type="pct"/>
                  <w:tcBorders>
                    <w:top w:val="single" w:color="auto" w:sz="12" w:space="0"/>
                  </w:tcBorders>
                  <w:noWrap w:val="0"/>
                  <w:vAlign w:val="center"/>
                </w:tcPr>
                <w:p w14:paraId="05EB2B1E">
                  <w:pPr>
                    <w:adjustRightInd w:val="0"/>
                    <w:snapToGrid w:val="0"/>
                    <w:spacing w:line="260" w:lineRule="exact"/>
                    <w:jc w:val="center"/>
                    <w:rPr>
                      <w:rFonts w:hint="eastAsia" w:eastAsia="宋体"/>
                      <w:color w:val="auto"/>
                      <w:lang w:eastAsia="zh-CN"/>
                    </w:rPr>
                  </w:pPr>
                  <w:r>
                    <w:rPr>
                      <w:rFonts w:hint="eastAsia"/>
                      <w:color w:val="auto"/>
                      <w:lang w:val="en-US" w:eastAsia="zh-CN"/>
                    </w:rPr>
                    <w:t>新建</w:t>
                  </w:r>
                </w:p>
              </w:tc>
            </w:tr>
            <w:tr w14:paraId="151110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691" w:type="pct"/>
                  <w:vMerge w:val="restart"/>
                  <w:noWrap w:val="0"/>
                  <w:vAlign w:val="center"/>
                </w:tcPr>
                <w:p w14:paraId="569E1773">
                  <w:pPr>
                    <w:adjustRightInd w:val="0"/>
                    <w:snapToGrid w:val="0"/>
                    <w:spacing w:line="260" w:lineRule="exact"/>
                    <w:jc w:val="center"/>
                    <w:rPr>
                      <w:color w:val="auto"/>
                    </w:rPr>
                  </w:pPr>
                  <w:r>
                    <w:rPr>
                      <w:color w:val="auto"/>
                    </w:rPr>
                    <w:t>辅助工程</w:t>
                  </w:r>
                </w:p>
              </w:tc>
              <w:tc>
                <w:tcPr>
                  <w:tcW w:w="731" w:type="pct"/>
                  <w:noWrap w:val="0"/>
                  <w:vAlign w:val="center"/>
                </w:tcPr>
                <w:p w14:paraId="6662FFA5">
                  <w:pPr>
                    <w:adjustRightInd w:val="0"/>
                    <w:snapToGrid w:val="0"/>
                    <w:spacing w:line="260" w:lineRule="exact"/>
                    <w:jc w:val="center"/>
                    <w:rPr>
                      <w:color w:val="auto"/>
                      <w:kern w:val="2"/>
                      <w:sz w:val="21"/>
                      <w:szCs w:val="24"/>
                      <w:lang w:val="en-US" w:eastAsia="zh-CN" w:bidi="ar-SA"/>
                    </w:rPr>
                  </w:pPr>
                  <w:r>
                    <w:rPr>
                      <w:rFonts w:hint="eastAsia"/>
                      <w:color w:val="auto"/>
                      <w:lang w:val="en-US" w:eastAsia="zh-CN"/>
                    </w:rPr>
                    <w:t>综合</w:t>
                  </w:r>
                  <w:r>
                    <w:rPr>
                      <w:rFonts w:hint="eastAsia"/>
                      <w:color w:val="auto"/>
                    </w:rPr>
                    <w:t>楼</w:t>
                  </w:r>
                </w:p>
              </w:tc>
              <w:tc>
                <w:tcPr>
                  <w:tcW w:w="3109" w:type="pct"/>
                  <w:noWrap w:val="0"/>
                  <w:vAlign w:val="center"/>
                </w:tcPr>
                <w:p w14:paraId="6213E570">
                  <w:pPr>
                    <w:adjustRightInd w:val="0"/>
                    <w:snapToGrid w:val="0"/>
                    <w:spacing w:line="260" w:lineRule="exact"/>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3F，建筑面积3252.52㎡（其中实验室建筑面积为1510.84㎡），职工日常办公、生活等。</w:t>
                  </w:r>
                </w:p>
              </w:tc>
              <w:tc>
                <w:tcPr>
                  <w:tcW w:w="467" w:type="pct"/>
                  <w:noWrap w:val="0"/>
                  <w:vAlign w:val="center"/>
                </w:tcPr>
                <w:p w14:paraId="092BD6CA">
                  <w:pPr>
                    <w:adjustRightInd w:val="0"/>
                    <w:snapToGrid w:val="0"/>
                    <w:spacing w:line="260" w:lineRule="exact"/>
                    <w:jc w:val="center"/>
                    <w:rPr>
                      <w:rFonts w:hint="eastAsia"/>
                      <w:color w:val="auto"/>
                      <w:kern w:val="2"/>
                      <w:sz w:val="21"/>
                      <w:szCs w:val="24"/>
                      <w:lang w:val="en-US" w:eastAsia="zh-CN" w:bidi="ar-SA"/>
                    </w:rPr>
                  </w:pPr>
                  <w:r>
                    <w:rPr>
                      <w:rFonts w:hint="eastAsia"/>
                      <w:color w:val="auto"/>
                    </w:rPr>
                    <w:t>新建</w:t>
                  </w:r>
                </w:p>
              </w:tc>
            </w:tr>
            <w:tr w14:paraId="7E4331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 w:type="pct"/>
                  <w:vMerge w:val="continue"/>
                  <w:noWrap w:val="0"/>
                  <w:vAlign w:val="center"/>
                </w:tcPr>
                <w:p w14:paraId="26141B8B">
                  <w:pPr>
                    <w:adjustRightInd w:val="0"/>
                    <w:snapToGrid w:val="0"/>
                    <w:spacing w:line="260" w:lineRule="exact"/>
                    <w:jc w:val="center"/>
                    <w:rPr>
                      <w:color w:val="auto"/>
                    </w:rPr>
                  </w:pPr>
                </w:p>
              </w:tc>
              <w:tc>
                <w:tcPr>
                  <w:tcW w:w="731" w:type="pct"/>
                  <w:noWrap w:val="0"/>
                  <w:vAlign w:val="center"/>
                </w:tcPr>
                <w:p w14:paraId="06E0C718">
                  <w:pPr>
                    <w:adjustRightInd w:val="0"/>
                    <w:snapToGrid w:val="0"/>
                    <w:spacing w:line="260" w:lineRule="exact"/>
                    <w:jc w:val="center"/>
                    <w:rPr>
                      <w:rFonts w:hint="eastAsia" w:eastAsia="宋体"/>
                      <w:color w:val="auto"/>
                      <w:kern w:val="2"/>
                      <w:sz w:val="21"/>
                      <w:szCs w:val="24"/>
                      <w:lang w:val="en-US" w:eastAsia="zh-CN" w:bidi="ar-SA"/>
                    </w:rPr>
                  </w:pPr>
                  <w:r>
                    <w:rPr>
                      <w:rFonts w:hint="eastAsia"/>
                      <w:color w:val="auto"/>
                    </w:rPr>
                    <w:t>门卫</w:t>
                  </w:r>
                  <w:r>
                    <w:rPr>
                      <w:rFonts w:hint="eastAsia"/>
                      <w:color w:val="auto"/>
                      <w:lang w:val="en-US" w:eastAsia="zh-CN"/>
                    </w:rPr>
                    <w:t>室</w:t>
                  </w:r>
                </w:p>
              </w:tc>
              <w:tc>
                <w:tcPr>
                  <w:tcW w:w="3109" w:type="pct"/>
                  <w:noWrap w:val="0"/>
                  <w:vAlign w:val="center"/>
                </w:tcPr>
                <w:p w14:paraId="3F20853E">
                  <w:pPr>
                    <w:adjustRightInd w:val="0"/>
                    <w:snapToGrid w:val="0"/>
                    <w:spacing w:line="260" w:lineRule="exact"/>
                    <w:jc w:val="both"/>
                    <w:rPr>
                      <w:rFonts w:hint="eastAsia"/>
                      <w:color w:val="auto"/>
                      <w:kern w:val="2"/>
                      <w:sz w:val="21"/>
                      <w:szCs w:val="24"/>
                      <w:lang w:val="en-US" w:eastAsia="zh-CN" w:bidi="ar-SA"/>
                    </w:rPr>
                  </w:pPr>
                  <w:r>
                    <w:rPr>
                      <w:rFonts w:hint="eastAsia"/>
                      <w:color w:val="auto"/>
                    </w:rPr>
                    <w:t>1F，建筑</w:t>
                  </w:r>
                  <w:r>
                    <w:rPr>
                      <w:color w:val="auto"/>
                    </w:rPr>
                    <w:t>面积</w:t>
                  </w:r>
                  <w:r>
                    <w:rPr>
                      <w:rFonts w:hint="eastAsia"/>
                      <w:color w:val="0000FF"/>
                      <w:lang w:val="en-US" w:eastAsia="zh-CN"/>
                    </w:rPr>
                    <w:t>59.67</w:t>
                  </w:r>
                  <w:r>
                    <w:rPr>
                      <w:color w:val="0000FF"/>
                    </w:rPr>
                    <w:t>㎡</w:t>
                  </w:r>
                  <w:r>
                    <w:rPr>
                      <w:color w:val="auto"/>
                    </w:rPr>
                    <w:t>㎡</w:t>
                  </w:r>
                  <w:r>
                    <w:rPr>
                      <w:rFonts w:hint="eastAsia"/>
                      <w:color w:val="auto"/>
                    </w:rPr>
                    <w:t>，用于人员值班。</w:t>
                  </w:r>
                </w:p>
              </w:tc>
              <w:tc>
                <w:tcPr>
                  <w:tcW w:w="467" w:type="pct"/>
                  <w:noWrap w:val="0"/>
                  <w:vAlign w:val="center"/>
                </w:tcPr>
                <w:p w14:paraId="53B6785F">
                  <w:pPr>
                    <w:adjustRightInd w:val="0"/>
                    <w:snapToGrid w:val="0"/>
                    <w:spacing w:line="260" w:lineRule="exact"/>
                    <w:jc w:val="center"/>
                    <w:rPr>
                      <w:rFonts w:hint="eastAsia"/>
                      <w:color w:val="auto"/>
                      <w:kern w:val="2"/>
                      <w:sz w:val="21"/>
                      <w:szCs w:val="24"/>
                      <w:lang w:val="en-US" w:eastAsia="zh-CN" w:bidi="ar-SA"/>
                    </w:rPr>
                  </w:pPr>
                  <w:r>
                    <w:rPr>
                      <w:rFonts w:hint="eastAsia"/>
                      <w:color w:val="auto"/>
                    </w:rPr>
                    <w:t>新建</w:t>
                  </w:r>
                </w:p>
              </w:tc>
            </w:tr>
            <w:tr w14:paraId="50267A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691" w:type="pct"/>
                  <w:vMerge w:val="continue"/>
                  <w:noWrap w:val="0"/>
                  <w:vAlign w:val="center"/>
                </w:tcPr>
                <w:p w14:paraId="766E9878">
                  <w:pPr>
                    <w:adjustRightInd w:val="0"/>
                    <w:snapToGrid w:val="0"/>
                    <w:spacing w:line="260" w:lineRule="exact"/>
                    <w:jc w:val="center"/>
                    <w:rPr>
                      <w:color w:val="auto"/>
                    </w:rPr>
                  </w:pPr>
                </w:p>
              </w:tc>
              <w:tc>
                <w:tcPr>
                  <w:tcW w:w="731" w:type="pct"/>
                  <w:noWrap w:val="0"/>
                  <w:vAlign w:val="center"/>
                </w:tcPr>
                <w:p w14:paraId="2A0597B8">
                  <w:pPr>
                    <w:adjustRightInd w:val="0"/>
                    <w:snapToGrid w:val="0"/>
                    <w:spacing w:line="260" w:lineRule="exact"/>
                    <w:jc w:val="center"/>
                    <w:rPr>
                      <w:rFonts w:hint="default"/>
                      <w:color w:val="auto"/>
                      <w:kern w:val="2"/>
                      <w:sz w:val="21"/>
                      <w:szCs w:val="24"/>
                      <w:lang w:val="en-US" w:eastAsia="zh-CN" w:bidi="ar-SA"/>
                    </w:rPr>
                  </w:pPr>
                  <w:r>
                    <w:rPr>
                      <w:rFonts w:hint="eastAsia"/>
                      <w:color w:val="auto"/>
                      <w:kern w:val="2"/>
                      <w:sz w:val="21"/>
                      <w:szCs w:val="24"/>
                      <w:lang w:val="en-US" w:eastAsia="zh-CN" w:bidi="ar-SA"/>
                    </w:rPr>
                    <w:t>泵房及消防水池</w:t>
                  </w:r>
                </w:p>
              </w:tc>
              <w:tc>
                <w:tcPr>
                  <w:tcW w:w="3109" w:type="pct"/>
                  <w:noWrap w:val="0"/>
                  <w:vAlign w:val="center"/>
                </w:tcPr>
                <w:p w14:paraId="79DE4FFA">
                  <w:pPr>
                    <w:adjustRightInd w:val="0"/>
                    <w:snapToGrid w:val="0"/>
                    <w:spacing w:line="260" w:lineRule="exact"/>
                    <w:jc w:val="both"/>
                    <w:rPr>
                      <w:color w:val="auto"/>
                      <w:kern w:val="2"/>
                      <w:sz w:val="21"/>
                      <w:szCs w:val="24"/>
                      <w:lang w:val="en-US" w:eastAsia="zh-CN" w:bidi="ar-SA"/>
                    </w:rPr>
                  </w:pPr>
                  <w:r>
                    <w:rPr>
                      <w:rFonts w:hint="eastAsia"/>
                      <w:color w:val="auto"/>
                    </w:rPr>
                    <w:t>1F，建筑</w:t>
                  </w:r>
                  <w:r>
                    <w:rPr>
                      <w:color w:val="auto"/>
                    </w:rPr>
                    <w:t>面积</w:t>
                  </w:r>
                  <w:r>
                    <w:rPr>
                      <w:rFonts w:hint="eastAsia"/>
                      <w:color w:val="0000FF"/>
                      <w:lang w:val="en-US" w:eastAsia="zh-CN"/>
                    </w:rPr>
                    <w:t>214</w:t>
                  </w:r>
                  <w:r>
                    <w:rPr>
                      <w:color w:val="0000FF"/>
                    </w:rPr>
                    <w:t>㎡</w:t>
                  </w:r>
                  <w:r>
                    <w:rPr>
                      <w:rFonts w:hint="eastAsia"/>
                      <w:color w:val="auto"/>
                      <w:lang w:eastAsia="zh-CN"/>
                    </w:rPr>
                    <w:t>（</w:t>
                  </w:r>
                  <w:r>
                    <w:rPr>
                      <w:rFonts w:hint="eastAsia"/>
                      <w:color w:val="auto"/>
                      <w:lang w:val="en-US" w:eastAsia="zh-CN"/>
                    </w:rPr>
                    <w:t>含换热站</w:t>
                  </w:r>
                  <w:r>
                    <w:rPr>
                      <w:rFonts w:hint="eastAsia"/>
                      <w:color w:val="auto"/>
                      <w:lang w:eastAsia="zh-CN"/>
                    </w:rPr>
                    <w:t>）</w:t>
                  </w:r>
                  <w:r>
                    <w:rPr>
                      <w:rFonts w:hint="eastAsia"/>
                      <w:color w:val="auto"/>
                    </w:rPr>
                    <w:t>，</w:t>
                  </w:r>
                  <w:r>
                    <w:rPr>
                      <w:rFonts w:hint="eastAsia"/>
                      <w:color w:val="auto"/>
                      <w:lang w:val="en-US" w:eastAsia="zh-CN"/>
                    </w:rPr>
                    <w:t>地下消防水池容积为300m³</w:t>
                  </w:r>
                  <w:r>
                    <w:rPr>
                      <w:rFonts w:hint="eastAsia"/>
                      <w:color w:val="auto"/>
                    </w:rPr>
                    <w:t>。</w:t>
                  </w:r>
                </w:p>
              </w:tc>
              <w:tc>
                <w:tcPr>
                  <w:tcW w:w="467" w:type="pct"/>
                  <w:noWrap w:val="0"/>
                  <w:vAlign w:val="center"/>
                </w:tcPr>
                <w:p w14:paraId="7C831A89">
                  <w:pPr>
                    <w:adjustRightInd w:val="0"/>
                    <w:snapToGrid w:val="0"/>
                    <w:spacing w:line="260" w:lineRule="exact"/>
                    <w:jc w:val="center"/>
                    <w:rPr>
                      <w:rFonts w:hint="eastAsia" w:eastAsia="宋体"/>
                      <w:color w:val="auto"/>
                      <w:kern w:val="2"/>
                      <w:sz w:val="21"/>
                      <w:szCs w:val="24"/>
                      <w:lang w:val="en-US" w:eastAsia="zh-CN" w:bidi="ar-SA"/>
                    </w:rPr>
                  </w:pPr>
                  <w:r>
                    <w:rPr>
                      <w:rFonts w:hint="eastAsia"/>
                      <w:color w:val="auto"/>
                      <w:lang w:val="en-US" w:eastAsia="zh-CN"/>
                    </w:rPr>
                    <w:t>新建</w:t>
                  </w:r>
                </w:p>
              </w:tc>
            </w:tr>
            <w:tr w14:paraId="3A6D05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691" w:type="pct"/>
                  <w:vMerge w:val="restart"/>
                  <w:noWrap w:val="0"/>
                  <w:vAlign w:val="center"/>
                </w:tcPr>
                <w:p w14:paraId="40B620C4">
                  <w:pPr>
                    <w:adjustRightInd w:val="0"/>
                    <w:snapToGrid w:val="0"/>
                    <w:spacing w:line="260" w:lineRule="exact"/>
                    <w:jc w:val="center"/>
                    <w:rPr>
                      <w:color w:val="auto"/>
                    </w:rPr>
                  </w:pPr>
                  <w:r>
                    <w:rPr>
                      <w:color w:val="auto"/>
                    </w:rPr>
                    <w:t>储运工程</w:t>
                  </w:r>
                </w:p>
              </w:tc>
              <w:tc>
                <w:tcPr>
                  <w:tcW w:w="731" w:type="pct"/>
                  <w:noWrap w:val="0"/>
                  <w:vAlign w:val="center"/>
                </w:tcPr>
                <w:p w14:paraId="5B510A47">
                  <w:pPr>
                    <w:adjustRightInd w:val="0"/>
                    <w:snapToGrid w:val="0"/>
                    <w:spacing w:line="260" w:lineRule="exact"/>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堆场</w:t>
                  </w:r>
                </w:p>
              </w:tc>
              <w:tc>
                <w:tcPr>
                  <w:tcW w:w="3109" w:type="pct"/>
                  <w:noWrap w:val="0"/>
                  <w:vAlign w:val="center"/>
                </w:tcPr>
                <w:p w14:paraId="0E856C93">
                  <w:pPr>
                    <w:adjustRightInd w:val="0"/>
                    <w:snapToGrid w:val="0"/>
                    <w:spacing w:line="260" w:lineRule="exact"/>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露</w:t>
                  </w:r>
                  <w:r>
                    <w:rPr>
                      <w:rFonts w:hint="eastAsia" w:ascii="Times New Roman" w:hAnsi="Times New Roman" w:eastAsia="宋体" w:cs="Times New Roman"/>
                      <w:color w:val="auto"/>
                      <w:lang w:val="en-US" w:eastAsia="zh-CN"/>
                    </w:rPr>
                    <w:t>天堆场位于厂房东南侧，占地面积4992.44㎡，主要用于堆放半成品及成品。</w:t>
                  </w:r>
                </w:p>
              </w:tc>
              <w:tc>
                <w:tcPr>
                  <w:tcW w:w="467" w:type="pct"/>
                  <w:noWrap w:val="0"/>
                  <w:vAlign w:val="center"/>
                </w:tcPr>
                <w:p w14:paraId="14572000">
                  <w:pPr>
                    <w:adjustRightInd w:val="0"/>
                    <w:snapToGrid w:val="0"/>
                    <w:spacing w:line="260" w:lineRule="exact"/>
                    <w:jc w:val="center"/>
                    <w:rPr>
                      <w:rFonts w:hint="eastAsia" w:eastAsia="宋体"/>
                      <w:color w:val="auto"/>
                      <w:lang w:val="en-US" w:eastAsia="zh-CN"/>
                    </w:rPr>
                  </w:pPr>
                  <w:r>
                    <w:rPr>
                      <w:rFonts w:hint="eastAsia"/>
                      <w:color w:val="auto"/>
                      <w:lang w:val="en-US" w:eastAsia="zh-CN"/>
                    </w:rPr>
                    <w:t>新建</w:t>
                  </w:r>
                </w:p>
              </w:tc>
            </w:tr>
            <w:tr w14:paraId="63A24F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691" w:type="pct"/>
                  <w:vMerge w:val="continue"/>
                  <w:noWrap w:val="0"/>
                  <w:vAlign w:val="center"/>
                </w:tcPr>
                <w:p w14:paraId="24C23855">
                  <w:pPr>
                    <w:adjustRightInd w:val="0"/>
                    <w:snapToGrid w:val="0"/>
                    <w:spacing w:line="260" w:lineRule="exact"/>
                    <w:jc w:val="center"/>
                    <w:rPr>
                      <w:color w:val="auto"/>
                    </w:rPr>
                  </w:pPr>
                </w:p>
              </w:tc>
              <w:tc>
                <w:tcPr>
                  <w:tcW w:w="731" w:type="pct"/>
                  <w:noWrap w:val="0"/>
                  <w:vAlign w:val="center"/>
                </w:tcPr>
                <w:p w14:paraId="20070D1D">
                  <w:pPr>
                    <w:adjustRightInd w:val="0"/>
                    <w:snapToGrid w:val="0"/>
                    <w:spacing w:line="260" w:lineRule="exact"/>
                    <w:jc w:val="center"/>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油漆库</w:t>
                  </w:r>
                </w:p>
              </w:tc>
              <w:tc>
                <w:tcPr>
                  <w:tcW w:w="3109" w:type="pct"/>
                  <w:noWrap w:val="0"/>
                  <w:vAlign w:val="center"/>
                </w:tcPr>
                <w:p w14:paraId="52F7EEA9">
                  <w:pPr>
                    <w:adjustRightInd w:val="0"/>
                    <w:snapToGrid w:val="0"/>
                    <w:spacing w:line="260" w:lineRule="exact"/>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位于厂房内，购买封闭式成品油漆库用于存放涂料，</w:t>
                  </w:r>
                  <w:r>
                    <w:rPr>
                      <w:rFonts w:hint="eastAsia" w:cs="Times New Roman"/>
                      <w:color w:val="auto"/>
                      <w:lang w:val="en-US" w:eastAsia="zh-CN"/>
                    </w:rPr>
                    <w:t>面积为</w:t>
                  </w:r>
                  <w:r>
                    <w:rPr>
                      <w:rFonts w:hint="eastAsia" w:ascii="Times New Roman" w:hAnsi="Times New Roman" w:eastAsia="宋体" w:cs="Times New Roman"/>
                      <w:color w:val="auto"/>
                      <w:lang w:val="en-US" w:eastAsia="zh-CN"/>
                    </w:rPr>
                    <w:t>15㎡。</w:t>
                  </w:r>
                </w:p>
              </w:tc>
              <w:tc>
                <w:tcPr>
                  <w:tcW w:w="467" w:type="pct"/>
                  <w:noWrap w:val="0"/>
                  <w:vAlign w:val="center"/>
                </w:tcPr>
                <w:p w14:paraId="7D17FD88">
                  <w:pPr>
                    <w:adjustRightInd w:val="0"/>
                    <w:snapToGrid w:val="0"/>
                    <w:spacing w:line="260" w:lineRule="exact"/>
                    <w:jc w:val="center"/>
                    <w:rPr>
                      <w:rFonts w:hint="eastAsia" w:eastAsia="宋体"/>
                      <w:color w:val="auto"/>
                      <w:lang w:eastAsia="zh-CN"/>
                    </w:rPr>
                  </w:pPr>
                  <w:r>
                    <w:rPr>
                      <w:rFonts w:hint="eastAsia"/>
                      <w:color w:val="auto"/>
                      <w:lang w:val="en-US" w:eastAsia="zh-CN"/>
                    </w:rPr>
                    <w:t>新建</w:t>
                  </w:r>
                </w:p>
              </w:tc>
            </w:tr>
            <w:tr w14:paraId="01B8E6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691" w:type="pct"/>
                  <w:vMerge w:val="continue"/>
                  <w:noWrap w:val="0"/>
                  <w:vAlign w:val="center"/>
                </w:tcPr>
                <w:p w14:paraId="558138E9">
                  <w:pPr>
                    <w:adjustRightInd w:val="0"/>
                    <w:snapToGrid w:val="0"/>
                    <w:spacing w:line="260" w:lineRule="exact"/>
                    <w:jc w:val="center"/>
                    <w:rPr>
                      <w:color w:val="auto"/>
                    </w:rPr>
                  </w:pPr>
                </w:p>
              </w:tc>
              <w:tc>
                <w:tcPr>
                  <w:tcW w:w="731" w:type="pct"/>
                  <w:noWrap w:val="0"/>
                  <w:vAlign w:val="center"/>
                </w:tcPr>
                <w:p w14:paraId="3D2F58EB">
                  <w:pPr>
                    <w:adjustRightInd w:val="0"/>
                    <w:snapToGrid w:val="0"/>
                    <w:spacing w:line="260" w:lineRule="exact"/>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气瓶放置区</w:t>
                  </w:r>
                </w:p>
              </w:tc>
              <w:tc>
                <w:tcPr>
                  <w:tcW w:w="3109" w:type="pct"/>
                  <w:noWrap w:val="0"/>
                  <w:vAlign w:val="center"/>
                </w:tcPr>
                <w:p w14:paraId="11FB64D0">
                  <w:pPr>
                    <w:adjustRightInd w:val="0"/>
                    <w:snapToGrid w:val="0"/>
                    <w:spacing w:line="260" w:lineRule="exact"/>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厂房内划分10㎡区域用于存放氧气、二氧化碳、丙烷等气瓶辅料。</w:t>
                  </w:r>
                </w:p>
              </w:tc>
              <w:tc>
                <w:tcPr>
                  <w:tcW w:w="467" w:type="pct"/>
                  <w:noWrap w:val="0"/>
                  <w:vAlign w:val="center"/>
                </w:tcPr>
                <w:p w14:paraId="1541EE71">
                  <w:pPr>
                    <w:adjustRightInd w:val="0"/>
                    <w:snapToGrid w:val="0"/>
                    <w:spacing w:line="260" w:lineRule="exact"/>
                    <w:jc w:val="center"/>
                    <w:rPr>
                      <w:rFonts w:hint="eastAsia"/>
                      <w:color w:val="auto"/>
                    </w:rPr>
                  </w:pPr>
                  <w:r>
                    <w:rPr>
                      <w:rFonts w:hint="eastAsia"/>
                      <w:color w:val="auto"/>
                      <w:kern w:val="2"/>
                      <w:sz w:val="21"/>
                      <w:szCs w:val="24"/>
                      <w:lang w:val="en-US" w:eastAsia="zh-CN" w:bidi="ar-SA"/>
                    </w:rPr>
                    <w:t>新建</w:t>
                  </w:r>
                </w:p>
              </w:tc>
            </w:tr>
            <w:tr w14:paraId="322349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691" w:type="pct"/>
                  <w:vMerge w:val="continue"/>
                  <w:noWrap w:val="0"/>
                  <w:vAlign w:val="center"/>
                </w:tcPr>
                <w:p w14:paraId="2432CEA1">
                  <w:pPr>
                    <w:adjustRightInd w:val="0"/>
                    <w:snapToGrid w:val="0"/>
                    <w:spacing w:line="260" w:lineRule="exact"/>
                    <w:jc w:val="center"/>
                    <w:rPr>
                      <w:color w:val="auto"/>
                    </w:rPr>
                  </w:pPr>
                </w:p>
              </w:tc>
              <w:tc>
                <w:tcPr>
                  <w:tcW w:w="731" w:type="pct"/>
                  <w:noWrap w:val="0"/>
                  <w:vAlign w:val="center"/>
                </w:tcPr>
                <w:p w14:paraId="55F6B16B">
                  <w:pPr>
                    <w:adjustRightInd w:val="0"/>
                    <w:snapToGrid w:val="0"/>
                    <w:spacing w:line="260" w:lineRule="exact"/>
                    <w:jc w:val="center"/>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辅材配件区</w:t>
                  </w:r>
                </w:p>
              </w:tc>
              <w:tc>
                <w:tcPr>
                  <w:tcW w:w="3109" w:type="pct"/>
                  <w:noWrap w:val="0"/>
                  <w:vAlign w:val="center"/>
                </w:tcPr>
                <w:p w14:paraId="12136DE9">
                  <w:pPr>
                    <w:adjustRightInd w:val="0"/>
                    <w:snapToGrid w:val="0"/>
                    <w:spacing w:line="260" w:lineRule="exact"/>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厂房内划分10㎡区域用于存放焊丝、焊剂、钢丸等辅材配件。</w:t>
                  </w:r>
                </w:p>
              </w:tc>
              <w:tc>
                <w:tcPr>
                  <w:tcW w:w="467" w:type="pct"/>
                  <w:noWrap w:val="0"/>
                  <w:vAlign w:val="center"/>
                </w:tcPr>
                <w:p w14:paraId="70CA5CF0">
                  <w:pPr>
                    <w:adjustRightInd w:val="0"/>
                    <w:snapToGrid w:val="0"/>
                    <w:spacing w:line="260" w:lineRule="exact"/>
                    <w:jc w:val="center"/>
                    <w:rPr>
                      <w:rFonts w:hint="eastAsia"/>
                      <w:color w:val="auto"/>
                    </w:rPr>
                  </w:pPr>
                  <w:r>
                    <w:rPr>
                      <w:rFonts w:hint="eastAsia"/>
                      <w:color w:val="auto"/>
                      <w:kern w:val="2"/>
                      <w:sz w:val="21"/>
                      <w:szCs w:val="24"/>
                      <w:lang w:val="en-US" w:eastAsia="zh-CN" w:bidi="ar-SA"/>
                    </w:rPr>
                    <w:t>新建</w:t>
                  </w:r>
                </w:p>
              </w:tc>
            </w:tr>
            <w:tr w14:paraId="3C276E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 w:type="pct"/>
                  <w:vMerge w:val="restart"/>
                  <w:noWrap w:val="0"/>
                  <w:vAlign w:val="center"/>
                </w:tcPr>
                <w:p w14:paraId="1D25D644">
                  <w:pPr>
                    <w:adjustRightInd w:val="0"/>
                    <w:snapToGrid w:val="0"/>
                    <w:spacing w:line="260" w:lineRule="exact"/>
                    <w:jc w:val="center"/>
                    <w:rPr>
                      <w:color w:val="auto"/>
                    </w:rPr>
                  </w:pPr>
                  <w:r>
                    <w:rPr>
                      <w:color w:val="auto"/>
                    </w:rPr>
                    <w:t>公用工程</w:t>
                  </w:r>
                </w:p>
              </w:tc>
              <w:tc>
                <w:tcPr>
                  <w:tcW w:w="731" w:type="pct"/>
                  <w:noWrap w:val="0"/>
                  <w:vAlign w:val="center"/>
                </w:tcPr>
                <w:p w14:paraId="24A51D50">
                  <w:pPr>
                    <w:adjustRightInd w:val="0"/>
                    <w:snapToGrid w:val="0"/>
                    <w:spacing w:line="260" w:lineRule="exact"/>
                    <w:jc w:val="center"/>
                    <w:rPr>
                      <w:rFonts w:ascii="Times New Roman" w:hAnsi="Times New Roman" w:eastAsia="宋体" w:cs="Times New Roman"/>
                      <w:color w:val="auto"/>
                    </w:rPr>
                  </w:pPr>
                  <w:r>
                    <w:rPr>
                      <w:rFonts w:hint="eastAsia" w:ascii="Times New Roman" w:hAnsi="Times New Roman" w:eastAsia="宋体" w:cs="Times New Roman"/>
                      <w:color w:val="auto"/>
                      <w:lang w:val="en-US" w:eastAsia="zh-CN"/>
                    </w:rPr>
                    <w:t>供</w:t>
                  </w:r>
                  <w:r>
                    <w:rPr>
                      <w:rFonts w:ascii="Times New Roman" w:hAnsi="Times New Roman" w:eastAsia="宋体" w:cs="Times New Roman"/>
                      <w:color w:val="auto"/>
                    </w:rPr>
                    <w:t>水</w:t>
                  </w:r>
                </w:p>
              </w:tc>
              <w:tc>
                <w:tcPr>
                  <w:tcW w:w="3109" w:type="pct"/>
                  <w:noWrap w:val="0"/>
                  <w:vAlign w:val="center"/>
                </w:tcPr>
                <w:p w14:paraId="0D88112D">
                  <w:pPr>
                    <w:adjustRightInd w:val="0"/>
                    <w:snapToGrid w:val="0"/>
                    <w:spacing w:line="260" w:lineRule="exact"/>
                    <w:jc w:val="both"/>
                    <w:rPr>
                      <w:rFonts w:ascii="Times New Roman" w:hAnsi="Times New Roman" w:eastAsia="宋体" w:cs="Times New Roman"/>
                      <w:color w:val="auto"/>
                    </w:rPr>
                  </w:pPr>
                  <w:r>
                    <w:rPr>
                      <w:rFonts w:hint="eastAsia" w:ascii="Times New Roman" w:hAnsi="Times New Roman" w:eastAsia="宋体" w:cs="Times New Roman"/>
                      <w:color w:val="auto"/>
                    </w:rPr>
                    <w:t>由园区</w:t>
                  </w:r>
                  <w:r>
                    <w:rPr>
                      <w:rFonts w:ascii="Times New Roman" w:hAnsi="Times New Roman" w:eastAsia="宋体" w:cs="Times New Roman"/>
                      <w:color w:val="auto"/>
                    </w:rPr>
                    <w:t>供水管网供给。</w:t>
                  </w:r>
                </w:p>
              </w:tc>
              <w:tc>
                <w:tcPr>
                  <w:tcW w:w="467" w:type="pct"/>
                  <w:noWrap w:val="0"/>
                  <w:vAlign w:val="center"/>
                </w:tcPr>
                <w:p w14:paraId="11F296C7">
                  <w:pPr>
                    <w:adjustRightInd w:val="0"/>
                    <w:snapToGrid w:val="0"/>
                    <w:spacing w:line="260" w:lineRule="exact"/>
                    <w:jc w:val="center"/>
                    <w:rPr>
                      <w:rFonts w:hint="eastAsia" w:eastAsia="宋体"/>
                      <w:color w:val="auto"/>
                      <w:lang w:val="en-US" w:eastAsia="zh-CN"/>
                    </w:rPr>
                  </w:pPr>
                  <w:r>
                    <w:rPr>
                      <w:rFonts w:hint="eastAsia"/>
                      <w:color w:val="auto"/>
                      <w:lang w:val="en-US" w:eastAsia="zh-CN"/>
                    </w:rPr>
                    <w:t>依托</w:t>
                  </w:r>
                </w:p>
              </w:tc>
            </w:tr>
            <w:tr w14:paraId="652D10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691" w:type="pct"/>
                  <w:vMerge w:val="continue"/>
                  <w:noWrap w:val="0"/>
                  <w:vAlign w:val="center"/>
                </w:tcPr>
                <w:p w14:paraId="0BDAA776">
                  <w:pPr>
                    <w:adjustRightInd w:val="0"/>
                    <w:snapToGrid w:val="0"/>
                    <w:spacing w:line="260" w:lineRule="exact"/>
                    <w:jc w:val="center"/>
                    <w:rPr>
                      <w:color w:val="auto"/>
                    </w:rPr>
                  </w:pPr>
                </w:p>
              </w:tc>
              <w:tc>
                <w:tcPr>
                  <w:tcW w:w="731" w:type="pct"/>
                  <w:noWrap w:val="0"/>
                  <w:vAlign w:val="center"/>
                </w:tcPr>
                <w:p w14:paraId="0933664E">
                  <w:pPr>
                    <w:adjustRightInd w:val="0"/>
                    <w:snapToGrid w:val="0"/>
                    <w:spacing w:line="260" w:lineRule="exact"/>
                    <w:jc w:val="center"/>
                    <w:rPr>
                      <w:rFonts w:ascii="Times New Roman" w:hAnsi="Times New Roman" w:eastAsia="宋体" w:cs="Times New Roman"/>
                      <w:color w:val="auto"/>
                    </w:rPr>
                  </w:pPr>
                  <w:r>
                    <w:rPr>
                      <w:rFonts w:ascii="Times New Roman" w:hAnsi="Times New Roman" w:eastAsia="宋体" w:cs="Times New Roman"/>
                      <w:color w:val="auto"/>
                    </w:rPr>
                    <w:t>排水</w:t>
                  </w:r>
                </w:p>
              </w:tc>
              <w:tc>
                <w:tcPr>
                  <w:tcW w:w="3109" w:type="pct"/>
                  <w:noWrap w:val="0"/>
                  <w:vAlign w:val="center"/>
                </w:tcPr>
                <w:p w14:paraId="61A1E70D">
                  <w:pPr>
                    <w:adjustRightInd w:val="0"/>
                    <w:snapToGrid w:val="0"/>
                    <w:spacing w:line="260" w:lineRule="exact"/>
                    <w:jc w:val="both"/>
                    <w:rPr>
                      <w:rFonts w:ascii="Times New Roman" w:hAnsi="Times New Roman" w:eastAsia="宋体" w:cs="Times New Roman"/>
                      <w:color w:val="auto"/>
                    </w:rPr>
                  </w:pPr>
                  <w:r>
                    <w:rPr>
                      <w:rFonts w:hint="eastAsia" w:ascii="Times New Roman" w:hAnsi="Times New Roman" w:eastAsia="宋体" w:cs="Times New Roman"/>
                      <w:color w:val="auto"/>
                    </w:rPr>
                    <w:t>项目无生产废水</w:t>
                  </w:r>
                  <w:r>
                    <w:rPr>
                      <w:rFonts w:hint="eastAsia" w:ascii="Times New Roman" w:hAnsi="Times New Roman" w:eastAsia="宋体" w:cs="Times New Roman"/>
                      <w:color w:val="auto"/>
                      <w:lang w:val="en-US" w:eastAsia="zh-CN"/>
                    </w:rPr>
                    <w:t>产生</w:t>
                  </w:r>
                  <w:r>
                    <w:rPr>
                      <w:rFonts w:hint="eastAsia" w:ascii="Times New Roman" w:hAnsi="Times New Roman" w:eastAsia="宋体" w:cs="Times New Roman"/>
                      <w:color w:val="auto"/>
                    </w:rPr>
                    <w:t>，</w:t>
                  </w:r>
                  <w:r>
                    <w:rPr>
                      <w:rFonts w:ascii="Times New Roman" w:hAnsi="Times New Roman" w:eastAsia="宋体" w:cs="Times New Roman"/>
                      <w:color w:val="auto"/>
                    </w:rPr>
                    <w:t>生活污水</w:t>
                  </w:r>
                  <w:r>
                    <w:rPr>
                      <w:rFonts w:hint="eastAsia" w:ascii="Times New Roman" w:hAnsi="Times New Roman" w:eastAsia="宋体" w:cs="Times New Roman"/>
                      <w:color w:val="auto"/>
                    </w:rPr>
                    <w:t>排入园区</w:t>
                  </w:r>
                  <w:r>
                    <w:rPr>
                      <w:rFonts w:hint="eastAsia" w:ascii="Times New Roman" w:hAnsi="Times New Roman" w:eastAsia="宋体" w:cs="Times New Roman"/>
                      <w:color w:val="auto"/>
                      <w:lang w:val="en-US" w:eastAsia="zh-CN"/>
                    </w:rPr>
                    <w:t>污水</w:t>
                  </w:r>
                  <w:r>
                    <w:rPr>
                      <w:rFonts w:hint="eastAsia" w:ascii="Times New Roman" w:hAnsi="Times New Roman" w:eastAsia="宋体" w:cs="Times New Roman"/>
                      <w:color w:val="auto"/>
                    </w:rPr>
                    <w:t>管网，最终进入</w:t>
                  </w:r>
                  <w:r>
                    <w:rPr>
                      <w:rFonts w:hint="eastAsia" w:ascii="Times New Roman" w:hAnsi="Times New Roman" w:eastAsia="宋体" w:cs="Times New Roman"/>
                      <w:color w:val="auto"/>
                      <w:lang w:val="en-US" w:eastAsia="zh-CN"/>
                    </w:rPr>
                    <w:t>园区</w:t>
                  </w:r>
                  <w:r>
                    <w:rPr>
                      <w:rFonts w:hint="eastAsia" w:ascii="Times New Roman" w:hAnsi="Times New Roman" w:eastAsia="宋体" w:cs="Times New Roman"/>
                      <w:color w:val="auto"/>
                    </w:rPr>
                    <w:t>污水处理厂处理</w:t>
                  </w:r>
                  <w:r>
                    <w:rPr>
                      <w:rFonts w:ascii="Times New Roman" w:hAnsi="Times New Roman" w:eastAsia="宋体" w:cs="Times New Roman"/>
                      <w:color w:val="auto"/>
                    </w:rPr>
                    <w:t>。</w:t>
                  </w:r>
                </w:p>
              </w:tc>
              <w:tc>
                <w:tcPr>
                  <w:tcW w:w="467" w:type="pct"/>
                  <w:noWrap w:val="0"/>
                  <w:vAlign w:val="center"/>
                </w:tcPr>
                <w:p w14:paraId="53882362">
                  <w:pPr>
                    <w:adjustRightInd w:val="0"/>
                    <w:snapToGrid w:val="0"/>
                    <w:spacing w:line="260" w:lineRule="exact"/>
                    <w:jc w:val="center"/>
                    <w:rPr>
                      <w:rFonts w:hint="eastAsia" w:eastAsia="宋体"/>
                      <w:color w:val="auto"/>
                      <w:lang w:eastAsia="zh-CN"/>
                    </w:rPr>
                  </w:pPr>
                  <w:r>
                    <w:rPr>
                      <w:rFonts w:hint="eastAsia"/>
                      <w:color w:val="auto"/>
                      <w:lang w:val="en-US" w:eastAsia="zh-CN"/>
                    </w:rPr>
                    <w:t>依托</w:t>
                  </w:r>
                </w:p>
              </w:tc>
            </w:tr>
            <w:tr w14:paraId="1011B5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 w:type="pct"/>
                  <w:vMerge w:val="continue"/>
                  <w:noWrap w:val="0"/>
                  <w:vAlign w:val="center"/>
                </w:tcPr>
                <w:p w14:paraId="50E79492">
                  <w:pPr>
                    <w:adjustRightInd w:val="0"/>
                    <w:snapToGrid w:val="0"/>
                    <w:spacing w:line="260" w:lineRule="exact"/>
                    <w:jc w:val="center"/>
                    <w:rPr>
                      <w:color w:val="auto"/>
                    </w:rPr>
                  </w:pPr>
                </w:p>
              </w:tc>
              <w:tc>
                <w:tcPr>
                  <w:tcW w:w="731" w:type="pct"/>
                  <w:noWrap w:val="0"/>
                  <w:vAlign w:val="center"/>
                </w:tcPr>
                <w:p w14:paraId="4360AF9C">
                  <w:pPr>
                    <w:adjustRightInd w:val="0"/>
                    <w:snapToGrid w:val="0"/>
                    <w:spacing w:line="260" w:lineRule="exact"/>
                    <w:jc w:val="center"/>
                    <w:rPr>
                      <w:rFonts w:ascii="Times New Roman" w:hAnsi="Times New Roman" w:eastAsia="宋体" w:cs="Times New Roman"/>
                      <w:color w:val="auto"/>
                    </w:rPr>
                  </w:pPr>
                  <w:r>
                    <w:rPr>
                      <w:rFonts w:ascii="Times New Roman" w:hAnsi="Times New Roman" w:eastAsia="宋体" w:cs="Times New Roman"/>
                      <w:color w:val="auto"/>
                    </w:rPr>
                    <w:t>供电</w:t>
                  </w:r>
                </w:p>
              </w:tc>
              <w:tc>
                <w:tcPr>
                  <w:tcW w:w="3109" w:type="pct"/>
                  <w:noWrap w:val="0"/>
                  <w:vAlign w:val="center"/>
                </w:tcPr>
                <w:p w14:paraId="0C2F8FE0">
                  <w:pPr>
                    <w:adjustRightInd w:val="0"/>
                    <w:snapToGrid w:val="0"/>
                    <w:spacing w:line="260" w:lineRule="exact"/>
                    <w:jc w:val="both"/>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接</w:t>
                  </w:r>
                  <w:r>
                    <w:rPr>
                      <w:rFonts w:hint="eastAsia" w:ascii="Times New Roman" w:hAnsi="Times New Roman" w:eastAsia="宋体" w:cs="Times New Roman"/>
                      <w:color w:val="auto"/>
                    </w:rPr>
                    <w:t>园区供电系统，厂内配备250kVA变压器。</w:t>
                  </w:r>
                </w:p>
              </w:tc>
              <w:tc>
                <w:tcPr>
                  <w:tcW w:w="467" w:type="pct"/>
                  <w:noWrap w:val="0"/>
                  <w:vAlign w:val="center"/>
                </w:tcPr>
                <w:p w14:paraId="71AF2486">
                  <w:pPr>
                    <w:adjustRightInd w:val="0"/>
                    <w:snapToGrid w:val="0"/>
                    <w:spacing w:line="260" w:lineRule="exact"/>
                    <w:jc w:val="center"/>
                    <w:rPr>
                      <w:color w:val="auto"/>
                    </w:rPr>
                  </w:pPr>
                  <w:r>
                    <w:rPr>
                      <w:rFonts w:hint="eastAsia"/>
                      <w:color w:val="auto"/>
                    </w:rPr>
                    <w:t>依托</w:t>
                  </w:r>
                </w:p>
              </w:tc>
            </w:tr>
            <w:tr w14:paraId="621A4F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 w:type="pct"/>
                  <w:vMerge w:val="continue"/>
                  <w:noWrap w:val="0"/>
                  <w:vAlign w:val="center"/>
                </w:tcPr>
                <w:p w14:paraId="552544DC">
                  <w:pPr>
                    <w:adjustRightInd w:val="0"/>
                    <w:snapToGrid w:val="0"/>
                    <w:spacing w:line="260" w:lineRule="exact"/>
                    <w:jc w:val="center"/>
                    <w:rPr>
                      <w:color w:val="auto"/>
                    </w:rPr>
                  </w:pPr>
                </w:p>
              </w:tc>
              <w:tc>
                <w:tcPr>
                  <w:tcW w:w="731" w:type="pct"/>
                  <w:noWrap w:val="0"/>
                  <w:vAlign w:val="center"/>
                </w:tcPr>
                <w:p w14:paraId="3A091D91">
                  <w:pPr>
                    <w:adjustRightInd w:val="0"/>
                    <w:snapToGrid w:val="0"/>
                    <w:spacing w:line="260" w:lineRule="exact"/>
                    <w:jc w:val="center"/>
                    <w:rPr>
                      <w:rFonts w:ascii="Times New Roman" w:hAnsi="Times New Roman" w:eastAsia="宋体" w:cs="Times New Roman"/>
                      <w:color w:val="auto"/>
                    </w:rPr>
                  </w:pPr>
                  <w:r>
                    <w:rPr>
                      <w:rFonts w:ascii="Times New Roman" w:hAnsi="Times New Roman" w:eastAsia="宋体" w:cs="Times New Roman"/>
                      <w:color w:val="auto"/>
                    </w:rPr>
                    <w:t>供热</w:t>
                  </w:r>
                </w:p>
              </w:tc>
              <w:tc>
                <w:tcPr>
                  <w:tcW w:w="3109" w:type="pct"/>
                  <w:noWrap w:val="0"/>
                  <w:vAlign w:val="center"/>
                </w:tcPr>
                <w:p w14:paraId="64C299FF">
                  <w:pPr>
                    <w:adjustRightInd w:val="0"/>
                    <w:snapToGrid w:val="0"/>
                    <w:spacing w:line="260" w:lineRule="exact"/>
                    <w:jc w:val="both"/>
                    <w:rPr>
                      <w:rFonts w:hint="eastAsia" w:ascii="Times New Roman" w:hAnsi="Times New Roman" w:eastAsia="宋体" w:cs="Times New Roman"/>
                      <w:color w:val="auto"/>
                      <w:lang w:val="en-US" w:eastAsia="zh-CN"/>
                    </w:rPr>
                  </w:pPr>
                  <w:r>
                    <w:rPr>
                      <w:rFonts w:hint="eastAsia" w:cs="Times New Roman"/>
                      <w:color w:val="0000FF"/>
                      <w:lang w:val="en-US" w:eastAsia="zh-CN"/>
                    </w:rPr>
                    <w:t>采用空气源热泵系统集中供热</w:t>
                  </w:r>
                  <w:r>
                    <w:rPr>
                      <w:rFonts w:hint="eastAsia" w:ascii="Times New Roman" w:hAnsi="Times New Roman" w:eastAsia="宋体" w:cs="Times New Roman"/>
                      <w:color w:val="0000FF"/>
                      <w:lang w:val="en-US" w:eastAsia="zh-CN"/>
                    </w:rPr>
                    <w:t>。</w:t>
                  </w:r>
                </w:p>
              </w:tc>
              <w:tc>
                <w:tcPr>
                  <w:tcW w:w="467" w:type="pct"/>
                  <w:noWrap w:val="0"/>
                  <w:vAlign w:val="center"/>
                </w:tcPr>
                <w:p w14:paraId="4C6511C0">
                  <w:pPr>
                    <w:adjustRightInd w:val="0"/>
                    <w:snapToGrid w:val="0"/>
                    <w:spacing w:line="260" w:lineRule="exact"/>
                    <w:jc w:val="center"/>
                    <w:rPr>
                      <w:rFonts w:hint="eastAsia" w:eastAsia="宋体"/>
                      <w:color w:val="0000FF"/>
                      <w:lang w:eastAsia="zh-CN"/>
                    </w:rPr>
                  </w:pPr>
                  <w:r>
                    <w:rPr>
                      <w:rFonts w:hint="eastAsia"/>
                      <w:color w:val="0000FF"/>
                      <w:lang w:val="en-US" w:eastAsia="zh-CN"/>
                    </w:rPr>
                    <w:t>新建</w:t>
                  </w:r>
                </w:p>
              </w:tc>
            </w:tr>
            <w:tr w14:paraId="158A2E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691" w:type="pct"/>
                  <w:vMerge w:val="restart"/>
                  <w:noWrap w:val="0"/>
                  <w:vAlign w:val="center"/>
                </w:tcPr>
                <w:p w14:paraId="7D585D4A">
                  <w:pPr>
                    <w:adjustRightInd w:val="0"/>
                    <w:snapToGrid w:val="0"/>
                    <w:spacing w:line="260" w:lineRule="exact"/>
                    <w:jc w:val="center"/>
                    <w:rPr>
                      <w:color w:val="auto"/>
                    </w:rPr>
                  </w:pPr>
                  <w:r>
                    <w:rPr>
                      <w:color w:val="auto"/>
                    </w:rPr>
                    <w:t>环保工程</w:t>
                  </w:r>
                </w:p>
              </w:tc>
              <w:tc>
                <w:tcPr>
                  <w:tcW w:w="731" w:type="pct"/>
                  <w:vMerge w:val="restart"/>
                  <w:noWrap w:val="0"/>
                  <w:vAlign w:val="center"/>
                </w:tcPr>
                <w:p w14:paraId="0A0DEC4F">
                  <w:pPr>
                    <w:adjustRightInd w:val="0"/>
                    <w:snapToGrid w:val="0"/>
                    <w:spacing w:line="260" w:lineRule="exact"/>
                    <w:jc w:val="center"/>
                    <w:rPr>
                      <w:rFonts w:hint="default" w:ascii="Times New Roman" w:hAnsi="Times New Roman" w:eastAsia="宋体" w:cs="Times New Roman"/>
                      <w:color w:val="auto"/>
                      <w:lang w:val="en-US" w:eastAsia="zh-CN"/>
                    </w:rPr>
                  </w:pPr>
                  <w:r>
                    <w:rPr>
                      <w:rFonts w:ascii="Times New Roman" w:hAnsi="Times New Roman" w:eastAsia="宋体" w:cs="Times New Roman"/>
                      <w:color w:val="auto"/>
                    </w:rPr>
                    <w:t>废气</w:t>
                  </w:r>
                  <w:r>
                    <w:rPr>
                      <w:rFonts w:hint="eastAsia" w:cs="Times New Roman"/>
                      <w:color w:val="auto"/>
                      <w:lang w:val="en-US" w:eastAsia="zh-CN"/>
                    </w:rPr>
                    <w:t>污染防治</w:t>
                  </w:r>
                </w:p>
              </w:tc>
              <w:tc>
                <w:tcPr>
                  <w:tcW w:w="3109" w:type="pct"/>
                  <w:noWrap w:val="0"/>
                  <w:vAlign w:val="center"/>
                </w:tcPr>
                <w:p w14:paraId="51FA62AE">
                  <w:pPr>
                    <w:adjustRightInd w:val="0"/>
                    <w:snapToGrid w:val="0"/>
                    <w:spacing w:line="260" w:lineRule="exact"/>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激光切割机自带袋式除尘</w:t>
                  </w:r>
                  <w:r>
                    <w:rPr>
                      <w:rFonts w:hint="eastAsia" w:cs="Times New Roman"/>
                      <w:color w:val="auto"/>
                      <w:lang w:val="en-US" w:eastAsia="zh-CN"/>
                    </w:rPr>
                    <w:t>器</w:t>
                  </w:r>
                  <w:r>
                    <w:rPr>
                      <w:rFonts w:hint="eastAsia" w:ascii="Times New Roman" w:hAnsi="Times New Roman" w:eastAsia="宋体" w:cs="Times New Roman"/>
                      <w:color w:val="auto"/>
                      <w:spacing w:val="-6"/>
                      <w:sz w:val="21"/>
                      <w:lang w:val="en-US" w:eastAsia="zh-CN"/>
                    </w:rPr>
                    <w:t>，火焰切割机设移动式烟尘净化器，未被收集的切割粉尘在厂房内无组织排放。</w:t>
                  </w:r>
                </w:p>
              </w:tc>
              <w:tc>
                <w:tcPr>
                  <w:tcW w:w="467" w:type="pct"/>
                  <w:noWrap w:val="0"/>
                  <w:vAlign w:val="center"/>
                </w:tcPr>
                <w:p w14:paraId="74BFE968">
                  <w:pPr>
                    <w:adjustRightInd w:val="0"/>
                    <w:snapToGrid w:val="0"/>
                    <w:spacing w:line="260" w:lineRule="exact"/>
                    <w:jc w:val="center"/>
                    <w:rPr>
                      <w:rFonts w:hint="eastAsia" w:eastAsia="宋体"/>
                      <w:color w:val="auto"/>
                      <w:lang w:val="en-US" w:eastAsia="zh-CN"/>
                    </w:rPr>
                  </w:pPr>
                  <w:r>
                    <w:rPr>
                      <w:rFonts w:hint="eastAsia"/>
                      <w:color w:val="auto"/>
                      <w:lang w:val="en-US" w:eastAsia="zh-CN"/>
                    </w:rPr>
                    <w:t>新建</w:t>
                  </w:r>
                </w:p>
              </w:tc>
            </w:tr>
            <w:tr w14:paraId="3F18F9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691" w:type="pct"/>
                  <w:vMerge w:val="continue"/>
                  <w:noWrap w:val="0"/>
                  <w:vAlign w:val="center"/>
                </w:tcPr>
                <w:p w14:paraId="0429ED58">
                  <w:pPr>
                    <w:adjustRightInd w:val="0"/>
                    <w:snapToGrid w:val="0"/>
                    <w:spacing w:line="260" w:lineRule="exact"/>
                    <w:jc w:val="center"/>
                    <w:rPr>
                      <w:color w:val="auto"/>
                    </w:rPr>
                  </w:pPr>
                </w:p>
              </w:tc>
              <w:tc>
                <w:tcPr>
                  <w:tcW w:w="731" w:type="pct"/>
                  <w:vMerge w:val="continue"/>
                  <w:noWrap w:val="0"/>
                  <w:vAlign w:val="center"/>
                </w:tcPr>
                <w:p w14:paraId="69953BF0">
                  <w:pPr>
                    <w:adjustRightInd w:val="0"/>
                    <w:snapToGrid w:val="0"/>
                    <w:spacing w:line="260" w:lineRule="exact"/>
                    <w:jc w:val="center"/>
                    <w:rPr>
                      <w:color w:val="auto"/>
                    </w:rPr>
                  </w:pPr>
                </w:p>
              </w:tc>
              <w:tc>
                <w:tcPr>
                  <w:tcW w:w="3109" w:type="pct"/>
                  <w:noWrap w:val="0"/>
                  <w:vAlign w:val="center"/>
                </w:tcPr>
                <w:p w14:paraId="079DCA91">
                  <w:pPr>
                    <w:adjustRightInd w:val="0"/>
                    <w:snapToGrid w:val="0"/>
                    <w:spacing w:line="260" w:lineRule="exact"/>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焊接、打磨废气由高效</w:t>
                  </w:r>
                  <w:r>
                    <w:rPr>
                      <w:rFonts w:hint="default" w:ascii="Times New Roman" w:hAnsi="Times New Roman" w:eastAsia="宋体" w:cs="Times New Roman"/>
                      <w:color w:val="auto"/>
                      <w:lang w:val="en-US" w:eastAsia="zh-CN"/>
                    </w:rPr>
                    <w:t>集气系统</w:t>
                  </w:r>
                  <w:r>
                    <w:rPr>
                      <w:rFonts w:hint="eastAsia" w:ascii="Times New Roman" w:hAnsi="Times New Roman" w:eastAsia="宋体" w:cs="Times New Roman"/>
                      <w:color w:val="auto"/>
                      <w:lang w:val="en-US" w:eastAsia="zh-CN"/>
                    </w:rPr>
                    <w:t>收集，采用</w:t>
                  </w:r>
                  <w:r>
                    <w:rPr>
                      <w:rFonts w:hint="eastAsia" w:ascii="Times New Roman" w:hAnsi="Times New Roman" w:eastAsia="宋体" w:cs="Times New Roman"/>
                      <w:color w:val="0000FF"/>
                      <w:lang w:val="en-US" w:eastAsia="zh-CN"/>
                    </w:rPr>
                    <w:t>气箱式脉冲袋式除尘器</w:t>
                  </w:r>
                  <w:r>
                    <w:rPr>
                      <w:rFonts w:hint="eastAsia" w:ascii="Times New Roman" w:hAnsi="Times New Roman" w:eastAsia="宋体" w:cs="Times New Roman"/>
                      <w:color w:val="auto"/>
                      <w:lang w:val="en-US" w:eastAsia="zh-CN"/>
                    </w:rPr>
                    <w:t>处理后通过15</w:t>
                  </w:r>
                  <w:r>
                    <w:rPr>
                      <w:rFonts w:hint="default" w:ascii="Times New Roman" w:hAnsi="Times New Roman" w:eastAsia="宋体" w:cs="Times New Roman"/>
                      <w:color w:val="auto"/>
                      <w:lang w:val="en-US" w:eastAsia="zh-CN"/>
                    </w:rPr>
                    <w:t>m排气筒</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DA00</w:t>
                  </w:r>
                  <w:r>
                    <w:rPr>
                      <w:rFonts w:hint="eastAsia" w:ascii="Times New Roman" w:hAnsi="Times New Roman" w:eastAsia="宋体" w:cs="Times New Roman"/>
                      <w:color w:val="auto"/>
                      <w:lang w:val="en-US" w:eastAsia="zh-CN"/>
                    </w:rPr>
                    <w:t>1）</w:t>
                  </w:r>
                  <w:r>
                    <w:rPr>
                      <w:rFonts w:hint="default" w:ascii="Times New Roman" w:hAnsi="Times New Roman" w:eastAsia="宋体" w:cs="Times New Roman"/>
                      <w:color w:val="auto"/>
                      <w:lang w:val="en-US" w:eastAsia="zh-CN"/>
                    </w:rPr>
                    <w:t>排放</w:t>
                  </w:r>
                  <w:r>
                    <w:rPr>
                      <w:rFonts w:hint="eastAsia" w:ascii="Times New Roman" w:hAnsi="Times New Roman" w:eastAsia="宋体" w:cs="Times New Roman"/>
                      <w:color w:val="auto"/>
                      <w:lang w:val="en-US" w:eastAsia="zh-CN"/>
                    </w:rPr>
                    <w:t>。</w:t>
                  </w:r>
                </w:p>
              </w:tc>
              <w:tc>
                <w:tcPr>
                  <w:tcW w:w="467" w:type="pct"/>
                  <w:noWrap w:val="0"/>
                  <w:vAlign w:val="center"/>
                </w:tcPr>
                <w:p w14:paraId="38246866">
                  <w:pPr>
                    <w:adjustRightInd w:val="0"/>
                    <w:snapToGrid w:val="0"/>
                    <w:spacing w:line="260" w:lineRule="exact"/>
                    <w:jc w:val="center"/>
                    <w:rPr>
                      <w:color w:val="auto"/>
                    </w:rPr>
                  </w:pPr>
                  <w:r>
                    <w:rPr>
                      <w:rFonts w:hint="eastAsia"/>
                      <w:color w:val="auto"/>
                      <w:lang w:val="en-US" w:eastAsia="zh-CN"/>
                    </w:rPr>
                    <w:t>新建</w:t>
                  </w:r>
                </w:p>
              </w:tc>
            </w:tr>
            <w:tr w14:paraId="404F81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691" w:type="pct"/>
                  <w:vMerge w:val="continue"/>
                  <w:noWrap w:val="0"/>
                  <w:vAlign w:val="center"/>
                </w:tcPr>
                <w:p w14:paraId="5AFEAC88">
                  <w:pPr>
                    <w:adjustRightInd w:val="0"/>
                    <w:snapToGrid w:val="0"/>
                    <w:spacing w:line="260" w:lineRule="exact"/>
                    <w:jc w:val="center"/>
                    <w:rPr>
                      <w:color w:val="auto"/>
                    </w:rPr>
                  </w:pPr>
                </w:p>
              </w:tc>
              <w:tc>
                <w:tcPr>
                  <w:tcW w:w="731" w:type="pct"/>
                  <w:vMerge w:val="continue"/>
                  <w:noWrap w:val="0"/>
                  <w:vAlign w:val="center"/>
                </w:tcPr>
                <w:p w14:paraId="77733FCD">
                  <w:pPr>
                    <w:adjustRightInd w:val="0"/>
                    <w:snapToGrid w:val="0"/>
                    <w:spacing w:line="260" w:lineRule="exact"/>
                    <w:jc w:val="center"/>
                    <w:rPr>
                      <w:color w:val="auto"/>
                    </w:rPr>
                  </w:pPr>
                </w:p>
              </w:tc>
              <w:tc>
                <w:tcPr>
                  <w:tcW w:w="3109" w:type="pct"/>
                  <w:noWrap w:val="0"/>
                  <w:vAlign w:val="center"/>
                </w:tcPr>
                <w:p w14:paraId="42F0324F">
                  <w:pPr>
                    <w:adjustRightInd w:val="0"/>
                    <w:snapToGrid w:val="0"/>
                    <w:spacing w:line="260" w:lineRule="exact"/>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抛丸粉尘</w:t>
                  </w:r>
                  <w:r>
                    <w:rPr>
                      <w:rFonts w:hint="default" w:ascii="Times New Roman" w:hAnsi="Times New Roman" w:eastAsia="宋体" w:cs="Times New Roman"/>
                      <w:color w:val="auto"/>
                      <w:lang w:val="en-US" w:eastAsia="zh-CN"/>
                    </w:rPr>
                    <w:t>密闭收集</w:t>
                  </w:r>
                  <w:r>
                    <w:rPr>
                      <w:rFonts w:hint="eastAsia" w:ascii="Times New Roman" w:hAnsi="Times New Roman" w:eastAsia="宋体" w:cs="Times New Roman"/>
                      <w:color w:val="auto"/>
                      <w:lang w:val="en-US" w:eastAsia="zh-CN"/>
                    </w:rPr>
                    <w:t>，经配套</w:t>
                  </w:r>
                  <w:r>
                    <w:rPr>
                      <w:rFonts w:hint="default" w:ascii="Times New Roman" w:hAnsi="Times New Roman" w:eastAsia="宋体" w:cs="Times New Roman"/>
                      <w:color w:val="0000FF"/>
                      <w:lang w:val="en-US" w:eastAsia="zh-CN"/>
                    </w:rPr>
                    <w:t>气箱式脉冲袋式除尘器</w:t>
                  </w:r>
                  <w:r>
                    <w:rPr>
                      <w:rFonts w:hint="default" w:ascii="Times New Roman" w:hAnsi="Times New Roman" w:eastAsia="宋体" w:cs="Times New Roman"/>
                      <w:color w:val="auto"/>
                      <w:lang w:val="en-US" w:eastAsia="zh-CN"/>
                    </w:rPr>
                    <w:t>处理后</w:t>
                  </w:r>
                  <w:r>
                    <w:rPr>
                      <w:rFonts w:hint="eastAsia" w:ascii="Times New Roman" w:hAnsi="Times New Roman" w:eastAsia="宋体" w:cs="Times New Roman"/>
                      <w:color w:val="auto"/>
                      <w:lang w:val="en-US" w:eastAsia="zh-CN"/>
                    </w:rPr>
                    <w:t>通过15</w:t>
                  </w:r>
                  <w:r>
                    <w:rPr>
                      <w:rFonts w:hint="default" w:ascii="Times New Roman" w:hAnsi="Times New Roman" w:eastAsia="宋体" w:cs="Times New Roman"/>
                      <w:color w:val="auto"/>
                      <w:lang w:val="en-US" w:eastAsia="zh-CN"/>
                    </w:rPr>
                    <w:t>m排气筒（DA00</w:t>
                  </w:r>
                  <w:r>
                    <w:rPr>
                      <w:rFonts w:hint="eastAsia" w:ascii="Times New Roman" w:hAnsi="Times New Roman" w:eastAsia="宋体" w:cs="Times New Roman"/>
                      <w:color w:val="auto"/>
                      <w:lang w:val="en-US" w:eastAsia="zh-CN"/>
                    </w:rPr>
                    <w:t>2</w:t>
                  </w:r>
                  <w:r>
                    <w:rPr>
                      <w:rFonts w:hint="default" w:ascii="Times New Roman" w:hAnsi="Times New Roman" w:eastAsia="宋体" w:cs="Times New Roman"/>
                      <w:color w:val="auto"/>
                      <w:lang w:val="en-US" w:eastAsia="zh-CN"/>
                    </w:rPr>
                    <w:t>）排放</w:t>
                  </w:r>
                  <w:r>
                    <w:rPr>
                      <w:rFonts w:hint="eastAsia" w:ascii="Times New Roman" w:hAnsi="Times New Roman" w:eastAsia="宋体" w:cs="Times New Roman"/>
                      <w:color w:val="auto"/>
                      <w:lang w:val="en-US" w:eastAsia="zh-CN"/>
                    </w:rPr>
                    <w:t>。</w:t>
                  </w:r>
                </w:p>
              </w:tc>
              <w:tc>
                <w:tcPr>
                  <w:tcW w:w="467" w:type="pct"/>
                  <w:noWrap w:val="0"/>
                  <w:vAlign w:val="center"/>
                </w:tcPr>
                <w:p w14:paraId="57E6C33C">
                  <w:pPr>
                    <w:adjustRightInd w:val="0"/>
                    <w:snapToGrid w:val="0"/>
                    <w:spacing w:line="260" w:lineRule="exact"/>
                    <w:jc w:val="center"/>
                    <w:rPr>
                      <w:color w:val="auto"/>
                    </w:rPr>
                  </w:pPr>
                  <w:r>
                    <w:rPr>
                      <w:rFonts w:hint="eastAsia"/>
                      <w:color w:val="auto"/>
                      <w:lang w:val="en-US" w:eastAsia="zh-CN"/>
                    </w:rPr>
                    <w:t>新建</w:t>
                  </w:r>
                </w:p>
              </w:tc>
            </w:tr>
            <w:tr w14:paraId="7CA403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691" w:type="pct"/>
                  <w:vMerge w:val="continue"/>
                  <w:noWrap w:val="0"/>
                  <w:vAlign w:val="center"/>
                </w:tcPr>
                <w:p w14:paraId="0955042E">
                  <w:pPr>
                    <w:adjustRightInd w:val="0"/>
                    <w:snapToGrid w:val="0"/>
                    <w:spacing w:line="260" w:lineRule="exact"/>
                    <w:jc w:val="center"/>
                    <w:rPr>
                      <w:color w:val="auto"/>
                    </w:rPr>
                  </w:pPr>
                </w:p>
              </w:tc>
              <w:tc>
                <w:tcPr>
                  <w:tcW w:w="731" w:type="pct"/>
                  <w:vMerge w:val="continue"/>
                  <w:noWrap w:val="0"/>
                  <w:vAlign w:val="center"/>
                </w:tcPr>
                <w:p w14:paraId="095DFCA1">
                  <w:pPr>
                    <w:adjustRightInd w:val="0"/>
                    <w:snapToGrid w:val="0"/>
                    <w:spacing w:line="260" w:lineRule="exact"/>
                    <w:jc w:val="center"/>
                    <w:rPr>
                      <w:color w:val="auto"/>
                    </w:rPr>
                  </w:pPr>
                </w:p>
              </w:tc>
              <w:tc>
                <w:tcPr>
                  <w:tcW w:w="3109" w:type="pct"/>
                  <w:noWrap w:val="0"/>
                  <w:vAlign w:val="center"/>
                </w:tcPr>
                <w:p w14:paraId="7B42F0A5">
                  <w:pPr>
                    <w:adjustRightInd w:val="0"/>
                    <w:snapToGrid w:val="0"/>
                    <w:spacing w:line="260" w:lineRule="exact"/>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涂装</w:t>
                  </w:r>
                  <w:r>
                    <w:rPr>
                      <w:rFonts w:hint="default" w:ascii="Times New Roman" w:hAnsi="Times New Roman" w:eastAsia="宋体" w:cs="Times New Roman"/>
                      <w:color w:val="auto"/>
                      <w:lang w:val="en-US" w:eastAsia="zh-CN"/>
                    </w:rPr>
                    <w:t>工序</w:t>
                  </w:r>
                  <w:r>
                    <w:rPr>
                      <w:rFonts w:hint="eastAsia" w:ascii="Times New Roman" w:hAnsi="Times New Roman" w:eastAsia="宋体" w:cs="Times New Roman"/>
                      <w:color w:val="auto"/>
                      <w:lang w:val="en-US" w:eastAsia="zh-CN"/>
                    </w:rPr>
                    <w:t>设密闭喷漆房，涂装废气通过密闭负压收集</w:t>
                  </w:r>
                  <w:r>
                    <w:rPr>
                      <w:rFonts w:hint="eastAsia" w:ascii="Times New Roman" w:hAnsi="Times New Roman" w:eastAsia="宋体" w:cs="Times New Roman"/>
                      <w:color w:val="auto"/>
                      <w:spacing w:val="-6"/>
                      <w:sz w:val="21"/>
                      <w:lang w:val="en-US" w:eastAsia="zh-CN"/>
                    </w:rPr>
                    <w:t>，采用“干式漆雾过滤模组+活性炭吸附-脱附+催化燃烧装置”处理后通过</w:t>
                  </w:r>
                  <w:r>
                    <w:rPr>
                      <w:rFonts w:hint="default" w:ascii="Times New Roman" w:hAnsi="Times New Roman" w:eastAsia="宋体" w:cs="Times New Roman"/>
                      <w:color w:val="auto"/>
                      <w:spacing w:val="-6"/>
                      <w:sz w:val="21"/>
                      <w:lang w:val="en-US" w:eastAsia="zh-CN"/>
                    </w:rPr>
                    <w:t>20m排气筒（DA00</w:t>
                  </w:r>
                  <w:r>
                    <w:rPr>
                      <w:rFonts w:hint="eastAsia" w:ascii="Times New Roman" w:hAnsi="Times New Roman" w:eastAsia="宋体" w:cs="Times New Roman"/>
                      <w:color w:val="auto"/>
                      <w:spacing w:val="-6"/>
                      <w:sz w:val="21"/>
                      <w:lang w:val="en-US" w:eastAsia="zh-CN"/>
                    </w:rPr>
                    <w:t>3</w:t>
                  </w:r>
                  <w:r>
                    <w:rPr>
                      <w:rFonts w:hint="default" w:ascii="Times New Roman" w:hAnsi="Times New Roman" w:eastAsia="宋体" w:cs="Times New Roman"/>
                      <w:color w:val="auto"/>
                      <w:spacing w:val="-6"/>
                      <w:sz w:val="21"/>
                      <w:lang w:val="en-US" w:eastAsia="zh-CN"/>
                    </w:rPr>
                    <w:t>）</w:t>
                  </w:r>
                  <w:r>
                    <w:rPr>
                      <w:rFonts w:hint="eastAsia" w:ascii="Times New Roman" w:hAnsi="Times New Roman" w:eastAsia="宋体" w:cs="Times New Roman"/>
                      <w:color w:val="auto"/>
                      <w:spacing w:val="-6"/>
                      <w:sz w:val="21"/>
                      <w:lang w:val="en-US" w:eastAsia="zh-CN"/>
                    </w:rPr>
                    <w:t>排放。</w:t>
                  </w:r>
                </w:p>
              </w:tc>
              <w:tc>
                <w:tcPr>
                  <w:tcW w:w="467" w:type="pct"/>
                  <w:noWrap w:val="0"/>
                  <w:vAlign w:val="center"/>
                </w:tcPr>
                <w:p w14:paraId="721849BD">
                  <w:pPr>
                    <w:adjustRightInd w:val="0"/>
                    <w:snapToGrid w:val="0"/>
                    <w:spacing w:line="260" w:lineRule="exact"/>
                    <w:jc w:val="center"/>
                    <w:rPr>
                      <w:rFonts w:hint="eastAsia"/>
                      <w:color w:val="auto"/>
                    </w:rPr>
                  </w:pPr>
                  <w:r>
                    <w:rPr>
                      <w:rFonts w:hint="eastAsia"/>
                      <w:color w:val="auto"/>
                      <w:lang w:val="en-US" w:eastAsia="zh-CN"/>
                    </w:rPr>
                    <w:t>新建</w:t>
                  </w:r>
                </w:p>
              </w:tc>
            </w:tr>
            <w:tr w14:paraId="15AB57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691" w:type="pct"/>
                  <w:vMerge w:val="continue"/>
                  <w:noWrap w:val="0"/>
                  <w:vAlign w:val="center"/>
                </w:tcPr>
                <w:p w14:paraId="63DB397C">
                  <w:pPr>
                    <w:adjustRightInd w:val="0"/>
                    <w:snapToGrid w:val="0"/>
                    <w:spacing w:line="260" w:lineRule="exact"/>
                    <w:jc w:val="center"/>
                    <w:rPr>
                      <w:color w:val="auto"/>
                    </w:rPr>
                  </w:pPr>
                </w:p>
              </w:tc>
              <w:tc>
                <w:tcPr>
                  <w:tcW w:w="731" w:type="pct"/>
                  <w:shd w:val="clear" w:color="auto" w:fill="auto"/>
                  <w:noWrap w:val="0"/>
                  <w:vAlign w:val="center"/>
                </w:tcPr>
                <w:p w14:paraId="37B413C4">
                  <w:pPr>
                    <w:adjustRightInd w:val="0"/>
                    <w:snapToGrid w:val="0"/>
                    <w:spacing w:line="260" w:lineRule="exact"/>
                    <w:jc w:val="center"/>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rPr>
                    <w:t>废水</w:t>
                  </w:r>
                  <w:r>
                    <w:rPr>
                      <w:rFonts w:hint="eastAsia" w:cs="Times New Roman"/>
                      <w:color w:val="auto"/>
                      <w:lang w:val="en-US" w:eastAsia="zh-CN"/>
                    </w:rPr>
                    <w:t>污染防治</w:t>
                  </w:r>
                </w:p>
              </w:tc>
              <w:tc>
                <w:tcPr>
                  <w:tcW w:w="3109" w:type="pct"/>
                  <w:shd w:val="clear" w:color="auto" w:fill="auto"/>
                  <w:noWrap w:val="0"/>
                  <w:vAlign w:val="center"/>
                </w:tcPr>
                <w:p w14:paraId="6E2AB44E">
                  <w:pPr>
                    <w:adjustRightInd w:val="0"/>
                    <w:snapToGrid w:val="0"/>
                    <w:spacing w:line="260" w:lineRule="exact"/>
                    <w:jc w:val="both"/>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rPr>
                    <w:t>项目无生产废水</w:t>
                  </w:r>
                  <w:r>
                    <w:rPr>
                      <w:rFonts w:hint="eastAsia" w:ascii="Times New Roman" w:hAnsi="Times New Roman" w:eastAsia="宋体" w:cs="Times New Roman"/>
                      <w:color w:val="auto"/>
                      <w:lang w:val="en-US" w:eastAsia="zh-CN"/>
                    </w:rPr>
                    <w:t>产生</w:t>
                  </w:r>
                  <w:r>
                    <w:rPr>
                      <w:rFonts w:hint="eastAsia" w:ascii="Times New Roman" w:hAnsi="Times New Roman" w:eastAsia="宋体" w:cs="Times New Roman"/>
                      <w:color w:val="auto"/>
                    </w:rPr>
                    <w:t>，生活污水排入园区</w:t>
                  </w:r>
                  <w:r>
                    <w:rPr>
                      <w:rFonts w:hint="eastAsia" w:ascii="Times New Roman" w:hAnsi="Times New Roman" w:eastAsia="宋体" w:cs="Times New Roman"/>
                      <w:color w:val="auto"/>
                      <w:lang w:val="en-US" w:eastAsia="zh-CN"/>
                    </w:rPr>
                    <w:t>污水</w:t>
                  </w:r>
                  <w:r>
                    <w:rPr>
                      <w:rFonts w:hint="eastAsia" w:ascii="Times New Roman" w:hAnsi="Times New Roman" w:eastAsia="宋体" w:cs="Times New Roman"/>
                      <w:color w:val="auto"/>
                    </w:rPr>
                    <w:t>管网，最终进入</w:t>
                  </w:r>
                  <w:r>
                    <w:rPr>
                      <w:rFonts w:hint="eastAsia" w:ascii="Times New Roman" w:hAnsi="Times New Roman" w:eastAsia="宋体" w:cs="Times New Roman"/>
                      <w:color w:val="auto"/>
                      <w:lang w:val="en-US" w:eastAsia="zh-CN"/>
                    </w:rPr>
                    <w:t>园区</w:t>
                  </w:r>
                  <w:r>
                    <w:rPr>
                      <w:rFonts w:hint="eastAsia" w:ascii="Times New Roman" w:hAnsi="Times New Roman" w:eastAsia="宋体" w:cs="Times New Roman"/>
                      <w:color w:val="auto"/>
                    </w:rPr>
                    <w:t>污水处理厂处理。</w:t>
                  </w:r>
                </w:p>
              </w:tc>
              <w:tc>
                <w:tcPr>
                  <w:tcW w:w="467" w:type="pct"/>
                  <w:shd w:val="clear" w:color="auto" w:fill="auto"/>
                  <w:noWrap w:val="0"/>
                  <w:vAlign w:val="center"/>
                </w:tcPr>
                <w:p w14:paraId="222AD576">
                  <w:pPr>
                    <w:adjustRightInd w:val="0"/>
                    <w:snapToGrid w:val="0"/>
                    <w:spacing w:line="260" w:lineRule="exact"/>
                    <w:jc w:val="center"/>
                    <w:rPr>
                      <w:rFonts w:hint="eastAsia" w:ascii="Times New Roman" w:hAnsi="Times New Roman" w:eastAsia="宋体" w:cs="Times New Roman"/>
                      <w:color w:val="auto"/>
                      <w:kern w:val="2"/>
                      <w:sz w:val="21"/>
                      <w:szCs w:val="24"/>
                      <w:lang w:val="en-US" w:eastAsia="zh-CN" w:bidi="ar-SA"/>
                    </w:rPr>
                  </w:pPr>
                  <w:r>
                    <w:rPr>
                      <w:rFonts w:hint="eastAsia"/>
                      <w:color w:val="auto"/>
                    </w:rPr>
                    <w:t>/</w:t>
                  </w:r>
                </w:p>
              </w:tc>
            </w:tr>
            <w:tr w14:paraId="64A4D3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691" w:type="pct"/>
                  <w:vMerge w:val="continue"/>
                  <w:noWrap w:val="0"/>
                  <w:vAlign w:val="center"/>
                </w:tcPr>
                <w:p w14:paraId="7815F098">
                  <w:pPr>
                    <w:adjustRightInd w:val="0"/>
                    <w:snapToGrid w:val="0"/>
                    <w:spacing w:line="260" w:lineRule="exact"/>
                    <w:jc w:val="center"/>
                    <w:rPr>
                      <w:color w:val="auto"/>
                    </w:rPr>
                  </w:pPr>
                </w:p>
              </w:tc>
              <w:tc>
                <w:tcPr>
                  <w:tcW w:w="731" w:type="pct"/>
                  <w:shd w:val="clear" w:color="auto" w:fill="auto"/>
                  <w:noWrap w:val="0"/>
                  <w:vAlign w:val="center"/>
                </w:tcPr>
                <w:p w14:paraId="21E6498D">
                  <w:pPr>
                    <w:adjustRightInd w:val="0"/>
                    <w:snapToGrid w:val="0"/>
                    <w:spacing w:line="260" w:lineRule="exact"/>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rPr>
                    <w:t>噪声</w:t>
                  </w:r>
                  <w:r>
                    <w:rPr>
                      <w:rFonts w:hint="eastAsia" w:cs="Times New Roman"/>
                      <w:color w:val="auto"/>
                      <w:lang w:val="en-US" w:eastAsia="zh-CN"/>
                    </w:rPr>
                    <w:t>污染防治</w:t>
                  </w:r>
                </w:p>
              </w:tc>
              <w:tc>
                <w:tcPr>
                  <w:tcW w:w="3109" w:type="pct"/>
                  <w:shd w:val="clear" w:color="auto" w:fill="auto"/>
                  <w:noWrap w:val="0"/>
                  <w:vAlign w:val="center"/>
                </w:tcPr>
                <w:p w14:paraId="23A7C91A">
                  <w:pPr>
                    <w:adjustRightInd w:val="0"/>
                    <w:snapToGrid w:val="0"/>
                    <w:spacing w:line="260" w:lineRule="exact"/>
                    <w:jc w:val="both"/>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rPr>
                    <w:t>选用低噪声设备，采取</w:t>
                  </w:r>
                  <w:r>
                    <w:rPr>
                      <w:rFonts w:hint="eastAsia" w:ascii="Times New Roman" w:hAnsi="Times New Roman" w:eastAsia="宋体" w:cs="Times New Roman"/>
                      <w:color w:val="auto"/>
                      <w:lang w:val="en-US" w:eastAsia="zh-CN"/>
                    </w:rPr>
                    <w:t>基础</w:t>
                  </w:r>
                  <w:r>
                    <w:rPr>
                      <w:rFonts w:hint="eastAsia" w:ascii="Times New Roman" w:hAnsi="Times New Roman" w:eastAsia="宋体" w:cs="Times New Roman"/>
                      <w:color w:val="auto"/>
                    </w:rPr>
                    <w:t>减振、</w:t>
                  </w:r>
                  <w:r>
                    <w:rPr>
                      <w:rFonts w:hint="eastAsia" w:ascii="Times New Roman" w:hAnsi="Times New Roman" w:eastAsia="宋体" w:cs="Times New Roman"/>
                      <w:color w:val="auto"/>
                      <w:lang w:val="en-US" w:eastAsia="zh-CN"/>
                    </w:rPr>
                    <w:t>厂房</w:t>
                  </w:r>
                  <w:r>
                    <w:rPr>
                      <w:rFonts w:hint="eastAsia" w:ascii="Times New Roman" w:hAnsi="Times New Roman" w:eastAsia="宋体" w:cs="Times New Roman"/>
                      <w:color w:val="auto"/>
                    </w:rPr>
                    <w:t>隔声等措施。</w:t>
                  </w:r>
                </w:p>
              </w:tc>
              <w:tc>
                <w:tcPr>
                  <w:tcW w:w="467" w:type="pct"/>
                  <w:shd w:val="clear" w:color="auto" w:fill="auto"/>
                  <w:noWrap w:val="0"/>
                  <w:vAlign w:val="center"/>
                </w:tcPr>
                <w:p w14:paraId="04912F82">
                  <w:pPr>
                    <w:adjustRightInd w:val="0"/>
                    <w:snapToGrid w:val="0"/>
                    <w:spacing w:line="260" w:lineRule="exact"/>
                    <w:jc w:val="center"/>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新建</w:t>
                  </w:r>
                </w:p>
              </w:tc>
            </w:tr>
          </w:tbl>
          <w:p w14:paraId="2AFDBECD">
            <w:pPr>
              <w:keepNext w:val="0"/>
              <w:keepLines w:val="0"/>
              <w:pageBreakBefore w:val="0"/>
              <w:widowControl w:val="0"/>
              <w:kinsoku/>
              <w:wordWrap/>
              <w:overflowPunct/>
              <w:topLinePunct w:val="0"/>
              <w:autoSpaceDE/>
              <w:autoSpaceDN/>
              <w:bidi w:val="0"/>
              <w:adjustRightInd/>
              <w:snapToGrid/>
              <w:spacing w:before="157" w:beforeLines="50" w:line="300" w:lineRule="auto"/>
              <w:jc w:val="right"/>
              <w:textAlignment w:val="auto"/>
              <w:rPr>
                <w:rFonts w:hint="default" w:ascii="Times New Roman" w:hAnsi="Times New Roman" w:eastAsia="宋体" w:cs="Times New Roman"/>
                <w:b/>
                <w:bCs/>
                <w:color w:val="auto"/>
              </w:rPr>
            </w:pPr>
            <w:r>
              <w:rPr>
                <w:rFonts w:hint="eastAsia" w:ascii="Times New Roman" w:hAnsi="Times New Roman" w:eastAsia="宋体" w:cs="Times New Roman"/>
                <w:b/>
                <w:bCs/>
                <w:color w:val="auto"/>
                <w:lang w:val="en-US" w:eastAsia="zh-CN"/>
              </w:rPr>
              <w:t>续</w:t>
            </w:r>
            <w:r>
              <w:rPr>
                <w:rFonts w:hint="default"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2-1</w:t>
            </w:r>
            <w:r>
              <w:rPr>
                <w:rFonts w:hint="default" w:ascii="Times New Roman" w:hAnsi="Times New Roman" w:eastAsia="宋体" w:cs="Times New Roman"/>
                <w:b/>
                <w:bCs/>
                <w:color w:val="auto"/>
              </w:rPr>
              <w:t xml:space="preserve"> </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15"/>
              <w:gridCol w:w="1181"/>
              <w:gridCol w:w="5018"/>
              <w:gridCol w:w="754"/>
            </w:tblGrid>
            <w:tr w14:paraId="5D96E4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91" w:type="pct"/>
                  <w:tcBorders>
                    <w:bottom w:val="single" w:color="auto" w:sz="12" w:space="0"/>
                  </w:tcBorders>
                  <w:noWrap w:val="0"/>
                  <w:vAlign w:val="center"/>
                </w:tcPr>
                <w:p w14:paraId="5FB549EA">
                  <w:pPr>
                    <w:adjustRightInd w:val="0"/>
                    <w:snapToGrid w:val="0"/>
                    <w:spacing w:line="260" w:lineRule="exact"/>
                    <w:jc w:val="center"/>
                    <w:rPr>
                      <w:b/>
                      <w:bCs/>
                      <w:color w:val="auto"/>
                    </w:rPr>
                  </w:pPr>
                  <w:r>
                    <w:rPr>
                      <w:b/>
                      <w:bCs/>
                      <w:color w:val="auto"/>
                    </w:rPr>
                    <w:t>工程类别</w:t>
                  </w:r>
                </w:p>
              </w:tc>
              <w:tc>
                <w:tcPr>
                  <w:tcW w:w="731" w:type="pct"/>
                  <w:tcBorders>
                    <w:bottom w:val="single" w:color="auto" w:sz="12" w:space="0"/>
                  </w:tcBorders>
                  <w:noWrap w:val="0"/>
                  <w:vAlign w:val="center"/>
                </w:tcPr>
                <w:p w14:paraId="52257311">
                  <w:pPr>
                    <w:adjustRightInd w:val="0"/>
                    <w:snapToGrid w:val="0"/>
                    <w:spacing w:line="260" w:lineRule="exact"/>
                    <w:jc w:val="center"/>
                    <w:rPr>
                      <w:b/>
                      <w:bCs/>
                      <w:color w:val="auto"/>
                    </w:rPr>
                  </w:pPr>
                  <w:r>
                    <w:rPr>
                      <w:b/>
                      <w:bCs/>
                      <w:color w:val="auto"/>
                    </w:rPr>
                    <w:t>名称</w:t>
                  </w:r>
                </w:p>
              </w:tc>
              <w:tc>
                <w:tcPr>
                  <w:tcW w:w="3109" w:type="pct"/>
                  <w:tcBorders>
                    <w:bottom w:val="single" w:color="auto" w:sz="12" w:space="0"/>
                  </w:tcBorders>
                  <w:noWrap w:val="0"/>
                  <w:vAlign w:val="center"/>
                </w:tcPr>
                <w:p w14:paraId="477F61DE">
                  <w:pPr>
                    <w:adjustRightInd w:val="0"/>
                    <w:snapToGrid w:val="0"/>
                    <w:spacing w:line="260" w:lineRule="exact"/>
                    <w:jc w:val="center"/>
                    <w:rPr>
                      <w:b/>
                      <w:bCs/>
                      <w:color w:val="auto"/>
                    </w:rPr>
                  </w:pPr>
                  <w:r>
                    <w:rPr>
                      <w:b/>
                      <w:bCs/>
                      <w:color w:val="auto"/>
                    </w:rPr>
                    <w:t>建设内容及规模</w:t>
                  </w:r>
                </w:p>
              </w:tc>
              <w:tc>
                <w:tcPr>
                  <w:tcW w:w="467" w:type="pct"/>
                  <w:tcBorders>
                    <w:bottom w:val="single" w:color="auto" w:sz="12" w:space="0"/>
                  </w:tcBorders>
                  <w:noWrap w:val="0"/>
                  <w:vAlign w:val="center"/>
                </w:tcPr>
                <w:p w14:paraId="72921283">
                  <w:pPr>
                    <w:adjustRightInd w:val="0"/>
                    <w:snapToGrid w:val="0"/>
                    <w:spacing w:line="260" w:lineRule="exact"/>
                    <w:jc w:val="center"/>
                    <w:rPr>
                      <w:b/>
                      <w:bCs/>
                      <w:color w:val="auto"/>
                    </w:rPr>
                  </w:pPr>
                  <w:r>
                    <w:rPr>
                      <w:b/>
                      <w:bCs/>
                      <w:color w:val="auto"/>
                    </w:rPr>
                    <w:t>备注</w:t>
                  </w:r>
                </w:p>
              </w:tc>
            </w:tr>
            <w:tr w14:paraId="213802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691" w:type="pct"/>
                  <w:vMerge w:val="restart"/>
                  <w:noWrap w:val="0"/>
                  <w:vAlign w:val="center"/>
                </w:tcPr>
                <w:p w14:paraId="2929D756">
                  <w:pPr>
                    <w:adjustRightInd w:val="0"/>
                    <w:snapToGrid w:val="0"/>
                    <w:spacing w:line="260" w:lineRule="exact"/>
                    <w:jc w:val="center"/>
                    <w:rPr>
                      <w:color w:val="auto"/>
                    </w:rPr>
                  </w:pPr>
                  <w:r>
                    <w:rPr>
                      <w:color w:val="auto"/>
                    </w:rPr>
                    <w:t>环保工程</w:t>
                  </w:r>
                </w:p>
              </w:tc>
              <w:tc>
                <w:tcPr>
                  <w:tcW w:w="731" w:type="pct"/>
                  <w:vMerge w:val="restart"/>
                  <w:noWrap w:val="0"/>
                  <w:vAlign w:val="center"/>
                </w:tcPr>
                <w:p w14:paraId="13CD094B">
                  <w:pPr>
                    <w:adjustRightInd w:val="0"/>
                    <w:snapToGrid w:val="0"/>
                    <w:spacing w:line="260" w:lineRule="exact"/>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固体废物</w:t>
                  </w:r>
                  <w:r>
                    <w:rPr>
                      <w:rFonts w:hint="eastAsia" w:cs="Times New Roman"/>
                      <w:color w:val="auto"/>
                      <w:lang w:val="en-US" w:eastAsia="zh-CN"/>
                    </w:rPr>
                    <w:t>防治措施</w:t>
                  </w:r>
                </w:p>
              </w:tc>
              <w:tc>
                <w:tcPr>
                  <w:tcW w:w="3109" w:type="pct"/>
                  <w:noWrap w:val="0"/>
                  <w:vAlign w:val="center"/>
                </w:tcPr>
                <w:p w14:paraId="4E7622CA">
                  <w:pPr>
                    <w:adjustRightInd w:val="0"/>
                    <w:snapToGrid w:val="0"/>
                    <w:spacing w:line="260" w:lineRule="exact"/>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项目产生的金属屑及</w:t>
                  </w:r>
                  <w:r>
                    <w:rPr>
                      <w:rFonts w:hint="eastAsia" w:ascii="Times New Roman" w:hAnsi="Times New Roman" w:eastAsia="宋体" w:cs="Times New Roman"/>
                      <w:color w:val="auto"/>
                    </w:rPr>
                    <w:t>废边角料、焊渣、</w:t>
                  </w:r>
                  <w:r>
                    <w:rPr>
                      <w:rFonts w:hint="eastAsia" w:cs="Times New Roman"/>
                      <w:color w:val="auto"/>
                      <w:lang w:val="en-US" w:eastAsia="zh-CN"/>
                    </w:rPr>
                    <w:t>金属磨屑</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铁锈渣、</w:t>
                  </w:r>
                  <w:r>
                    <w:rPr>
                      <w:rFonts w:hint="eastAsia" w:ascii="Times New Roman" w:hAnsi="Times New Roman" w:eastAsia="宋体" w:cs="Times New Roman"/>
                      <w:color w:val="auto"/>
                    </w:rPr>
                    <w:t>除尘设备收集尘</w:t>
                  </w:r>
                  <w:r>
                    <w:rPr>
                      <w:rFonts w:hint="eastAsia" w:ascii="Times New Roman" w:hAnsi="Times New Roman" w:eastAsia="宋体" w:cs="Times New Roman"/>
                      <w:color w:val="auto"/>
                      <w:lang w:val="en-US" w:eastAsia="zh-CN"/>
                    </w:rPr>
                    <w:t>及</w:t>
                  </w:r>
                  <w:r>
                    <w:rPr>
                      <w:rFonts w:hint="eastAsia" w:ascii="Times New Roman" w:hAnsi="Times New Roman" w:eastAsia="宋体" w:cs="Times New Roman"/>
                      <w:color w:val="auto"/>
                    </w:rPr>
                    <w:t>废布袋</w:t>
                  </w:r>
                  <w:r>
                    <w:rPr>
                      <w:rFonts w:hint="eastAsia" w:ascii="Times New Roman" w:hAnsi="Times New Roman" w:eastAsia="宋体" w:cs="Times New Roman"/>
                      <w:color w:val="auto"/>
                      <w:lang w:val="en-US" w:eastAsia="zh-CN"/>
                    </w:rPr>
                    <w:t>等一般固体废物分类收集暂存于一般固废暂存区</w:t>
                  </w:r>
                  <w:r>
                    <w:rPr>
                      <w:rFonts w:hint="eastAsia" w:ascii="Times New Roman" w:hAnsi="Times New Roman" w:eastAsia="宋体" w:cs="Times New Roman"/>
                      <w:color w:val="auto"/>
                    </w:rPr>
                    <w:t>，外售综合利用</w:t>
                  </w:r>
                  <w:r>
                    <w:rPr>
                      <w:rFonts w:hint="eastAsia" w:ascii="Times New Roman" w:hAnsi="Times New Roman" w:eastAsia="宋体" w:cs="Times New Roman"/>
                      <w:color w:val="auto"/>
                      <w:lang w:val="en-US" w:eastAsia="zh-CN"/>
                    </w:rPr>
                    <w:t>。一般固废暂存区位于厂房内，占地面积为</w:t>
                  </w:r>
                  <w:r>
                    <w:rPr>
                      <w:rFonts w:hint="eastAsia" w:cs="Times New Roman"/>
                      <w:color w:val="auto"/>
                      <w:lang w:val="en-US" w:eastAsia="zh-CN"/>
                    </w:rPr>
                    <w:t>5</w:t>
                  </w:r>
                  <w:r>
                    <w:rPr>
                      <w:rFonts w:hint="eastAsia" w:ascii="Times New Roman" w:hAnsi="Times New Roman" w:eastAsia="宋体" w:cs="Times New Roman"/>
                      <w:color w:val="auto"/>
                      <w:lang w:val="en-US" w:eastAsia="zh-CN"/>
                    </w:rPr>
                    <w:t>0㎡。</w:t>
                  </w:r>
                </w:p>
              </w:tc>
              <w:tc>
                <w:tcPr>
                  <w:tcW w:w="467" w:type="pct"/>
                  <w:noWrap w:val="0"/>
                  <w:vAlign w:val="center"/>
                </w:tcPr>
                <w:p w14:paraId="6F8EBB18">
                  <w:pPr>
                    <w:adjustRightInd w:val="0"/>
                    <w:snapToGrid w:val="0"/>
                    <w:spacing w:line="260" w:lineRule="exact"/>
                    <w:jc w:val="center"/>
                    <w:rPr>
                      <w:color w:val="auto"/>
                      <w:kern w:val="2"/>
                      <w:sz w:val="21"/>
                      <w:szCs w:val="24"/>
                      <w:lang w:val="en-US" w:eastAsia="zh-CN" w:bidi="ar-SA"/>
                    </w:rPr>
                  </w:pPr>
                  <w:r>
                    <w:rPr>
                      <w:rFonts w:hint="eastAsia"/>
                      <w:color w:val="auto"/>
                      <w:kern w:val="2"/>
                      <w:sz w:val="21"/>
                      <w:szCs w:val="24"/>
                      <w:lang w:val="en-US" w:eastAsia="zh-CN" w:bidi="ar-SA"/>
                    </w:rPr>
                    <w:t>新建</w:t>
                  </w:r>
                </w:p>
              </w:tc>
            </w:tr>
            <w:tr w14:paraId="53A917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86" w:hRule="atLeast"/>
                <w:jc w:val="center"/>
              </w:trPr>
              <w:tc>
                <w:tcPr>
                  <w:tcW w:w="691" w:type="pct"/>
                  <w:vMerge w:val="continue"/>
                  <w:noWrap w:val="0"/>
                  <w:vAlign w:val="center"/>
                </w:tcPr>
                <w:p w14:paraId="2CA5B776">
                  <w:pPr>
                    <w:adjustRightInd w:val="0"/>
                    <w:snapToGrid w:val="0"/>
                    <w:spacing w:line="260" w:lineRule="exact"/>
                    <w:jc w:val="center"/>
                    <w:rPr>
                      <w:color w:val="auto"/>
                    </w:rPr>
                  </w:pPr>
                </w:p>
              </w:tc>
              <w:tc>
                <w:tcPr>
                  <w:tcW w:w="731" w:type="pct"/>
                  <w:vMerge w:val="continue"/>
                  <w:shd w:val="clear" w:color="auto" w:fill="auto"/>
                  <w:noWrap w:val="0"/>
                  <w:vAlign w:val="center"/>
                </w:tcPr>
                <w:p w14:paraId="75768789">
                  <w:pPr>
                    <w:adjustRightInd w:val="0"/>
                    <w:snapToGrid w:val="0"/>
                    <w:spacing w:line="260" w:lineRule="exact"/>
                    <w:jc w:val="center"/>
                    <w:rPr>
                      <w:rFonts w:hint="default" w:ascii="Times New Roman" w:hAnsi="Times New Roman" w:eastAsia="宋体" w:cs="Times New Roman"/>
                      <w:color w:val="auto"/>
                      <w:kern w:val="2"/>
                      <w:sz w:val="21"/>
                      <w:szCs w:val="24"/>
                      <w:lang w:val="en-US" w:eastAsia="zh-CN" w:bidi="ar-SA"/>
                    </w:rPr>
                  </w:pPr>
                </w:p>
              </w:tc>
              <w:tc>
                <w:tcPr>
                  <w:tcW w:w="3109" w:type="pct"/>
                  <w:shd w:val="clear" w:color="auto" w:fill="auto"/>
                  <w:noWrap w:val="0"/>
                  <w:vAlign w:val="center"/>
                </w:tcPr>
                <w:p w14:paraId="6486028F">
                  <w:pPr>
                    <w:adjustRightInd w:val="0"/>
                    <w:snapToGrid w:val="0"/>
                    <w:spacing w:line="260" w:lineRule="exact"/>
                    <w:jc w:val="both"/>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项目产生的</w:t>
                  </w:r>
                  <w:r>
                    <w:rPr>
                      <w:rFonts w:hint="eastAsia" w:ascii="Times New Roman" w:hAnsi="Times New Roman" w:eastAsia="宋体" w:cs="Times New Roman"/>
                      <w:color w:val="auto"/>
                    </w:rPr>
                    <w:t>漆渣及废过滤棉、废包装桶、废活性炭、废催化剂、废</w:t>
                  </w:r>
                  <w:r>
                    <w:rPr>
                      <w:rFonts w:hint="eastAsia" w:cs="Times New Roman"/>
                      <w:color w:val="auto"/>
                      <w:lang w:val="en-US" w:eastAsia="zh-CN"/>
                    </w:rPr>
                    <w:t>润滑</w:t>
                  </w:r>
                  <w:r>
                    <w:rPr>
                      <w:rFonts w:hint="eastAsia" w:ascii="Times New Roman" w:hAnsi="Times New Roman" w:eastAsia="宋体" w:cs="Times New Roman"/>
                      <w:color w:val="auto"/>
                    </w:rPr>
                    <w:t>油</w:t>
                  </w:r>
                  <w:r>
                    <w:rPr>
                      <w:rFonts w:hint="eastAsia" w:ascii="Times New Roman" w:hAnsi="Times New Roman" w:eastAsia="宋体" w:cs="Times New Roman"/>
                      <w:color w:val="auto"/>
                      <w:lang w:eastAsia="zh-CN"/>
                    </w:rPr>
                    <w:t>、</w:t>
                  </w:r>
                  <w:r>
                    <w:rPr>
                      <w:rFonts w:hint="eastAsia" w:cs="Times New Roman"/>
                      <w:color w:val="auto"/>
                      <w:lang w:val="en-US" w:eastAsia="zh-CN"/>
                    </w:rPr>
                    <w:t>废油桶、</w:t>
                  </w:r>
                  <w:r>
                    <w:rPr>
                      <w:rFonts w:hint="eastAsia" w:ascii="Times New Roman" w:hAnsi="Times New Roman" w:eastAsia="宋体" w:cs="Times New Roman"/>
                      <w:color w:val="auto"/>
                    </w:rPr>
                    <w:t>废液压油等</w:t>
                  </w:r>
                  <w:r>
                    <w:rPr>
                      <w:rFonts w:hint="eastAsia" w:ascii="Times New Roman" w:hAnsi="Times New Roman" w:eastAsia="宋体" w:cs="Times New Roman"/>
                      <w:color w:val="auto"/>
                      <w:lang w:val="en-US" w:eastAsia="zh-CN"/>
                    </w:rPr>
                    <w:t>危险废物</w:t>
                  </w:r>
                  <w:r>
                    <w:rPr>
                      <w:rFonts w:hint="eastAsia" w:ascii="Times New Roman" w:hAnsi="Times New Roman" w:eastAsia="宋体" w:cs="Times New Roman"/>
                      <w:color w:val="auto"/>
                    </w:rPr>
                    <w:t>分类收集暂存于危废贮存</w:t>
                  </w:r>
                  <w:r>
                    <w:rPr>
                      <w:rFonts w:hint="eastAsia" w:ascii="Times New Roman" w:hAnsi="Times New Roman" w:eastAsia="宋体" w:cs="Times New Roman"/>
                      <w:color w:val="auto"/>
                      <w:lang w:val="en-US" w:eastAsia="zh-CN"/>
                    </w:rPr>
                    <w:t>点</w:t>
                  </w:r>
                  <w:r>
                    <w:rPr>
                      <w:rFonts w:hint="eastAsia" w:ascii="Times New Roman" w:hAnsi="Times New Roman" w:eastAsia="宋体" w:cs="Times New Roman"/>
                      <w:color w:val="auto"/>
                    </w:rPr>
                    <w:t>，委托有资质单位处置。</w:t>
                  </w:r>
                  <w:r>
                    <w:rPr>
                      <w:rFonts w:hint="eastAsia" w:ascii="Times New Roman" w:hAnsi="Times New Roman" w:eastAsia="宋体" w:cs="Times New Roman"/>
                      <w:color w:val="auto"/>
                      <w:lang w:val="en-US" w:eastAsia="zh-CN"/>
                    </w:rPr>
                    <w:t>危废贮存点位于厂房内，购买封闭式成品贮存设施，容积为20m³，表面防渗采用2mm厚高密度聚乙烯膜（渗透系数≤10</w:t>
                  </w:r>
                  <w:r>
                    <w:rPr>
                      <w:rFonts w:hint="eastAsia" w:ascii="Times New Roman" w:hAnsi="Times New Roman" w:eastAsia="宋体" w:cs="Times New Roman"/>
                      <w:color w:val="auto"/>
                      <w:vertAlign w:val="superscript"/>
                      <w:lang w:val="en-US" w:eastAsia="zh-CN"/>
                    </w:rPr>
                    <w:t>-10</w:t>
                  </w:r>
                  <w:r>
                    <w:rPr>
                      <w:rFonts w:hint="eastAsia" w:ascii="Times New Roman" w:hAnsi="Times New Roman" w:eastAsia="宋体" w:cs="Times New Roman"/>
                      <w:color w:val="auto"/>
                      <w:lang w:val="en-US" w:eastAsia="zh-CN"/>
                    </w:rPr>
                    <w:t>cm/s），废液收集池容积为5m³。</w:t>
                  </w:r>
                </w:p>
              </w:tc>
              <w:tc>
                <w:tcPr>
                  <w:tcW w:w="467" w:type="pct"/>
                  <w:shd w:val="clear" w:color="auto" w:fill="auto"/>
                  <w:noWrap w:val="0"/>
                  <w:vAlign w:val="center"/>
                </w:tcPr>
                <w:p w14:paraId="24C7BCB2">
                  <w:pPr>
                    <w:adjustRightInd w:val="0"/>
                    <w:snapToGrid w:val="0"/>
                    <w:spacing w:line="260" w:lineRule="exact"/>
                    <w:jc w:val="center"/>
                    <w:rPr>
                      <w:rFonts w:hint="eastAsia" w:ascii="Times New Roman" w:hAnsi="Times New Roman" w:eastAsia="宋体" w:cs="Times New Roman"/>
                      <w:color w:val="auto"/>
                      <w:kern w:val="2"/>
                      <w:sz w:val="21"/>
                      <w:szCs w:val="24"/>
                      <w:lang w:val="en-US" w:eastAsia="zh-CN" w:bidi="ar-SA"/>
                    </w:rPr>
                  </w:pPr>
                  <w:r>
                    <w:rPr>
                      <w:rFonts w:hint="eastAsia"/>
                      <w:color w:val="auto"/>
                      <w:kern w:val="2"/>
                      <w:sz w:val="21"/>
                      <w:szCs w:val="24"/>
                      <w:lang w:val="en-US" w:eastAsia="zh-CN" w:bidi="ar-SA"/>
                    </w:rPr>
                    <w:t>新建</w:t>
                  </w:r>
                </w:p>
              </w:tc>
            </w:tr>
            <w:tr w14:paraId="2AEB39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691" w:type="pct"/>
                  <w:vMerge w:val="continue"/>
                  <w:noWrap w:val="0"/>
                  <w:vAlign w:val="center"/>
                </w:tcPr>
                <w:p w14:paraId="445A0A46">
                  <w:pPr>
                    <w:adjustRightInd w:val="0"/>
                    <w:snapToGrid w:val="0"/>
                    <w:spacing w:line="260" w:lineRule="exact"/>
                    <w:jc w:val="center"/>
                    <w:rPr>
                      <w:color w:val="auto"/>
                    </w:rPr>
                  </w:pPr>
                </w:p>
              </w:tc>
              <w:tc>
                <w:tcPr>
                  <w:tcW w:w="731" w:type="pct"/>
                  <w:vMerge w:val="continue"/>
                  <w:noWrap w:val="0"/>
                  <w:vAlign w:val="center"/>
                </w:tcPr>
                <w:p w14:paraId="698BD353">
                  <w:pPr>
                    <w:adjustRightInd w:val="0"/>
                    <w:snapToGrid w:val="0"/>
                    <w:spacing w:line="260" w:lineRule="exact"/>
                    <w:jc w:val="center"/>
                    <w:rPr>
                      <w:rFonts w:hint="eastAsia" w:ascii="Times New Roman" w:hAnsi="Times New Roman" w:eastAsia="宋体" w:cs="Times New Roman"/>
                      <w:color w:val="auto"/>
                    </w:rPr>
                  </w:pPr>
                </w:p>
              </w:tc>
              <w:tc>
                <w:tcPr>
                  <w:tcW w:w="3109" w:type="pct"/>
                  <w:noWrap w:val="0"/>
                  <w:vAlign w:val="center"/>
                </w:tcPr>
                <w:p w14:paraId="011C80D4">
                  <w:pPr>
                    <w:adjustRightInd w:val="0"/>
                    <w:snapToGrid w:val="0"/>
                    <w:spacing w:line="260" w:lineRule="exact"/>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生活垃圾厂内集中收集，由环卫部门统一拉运至生活垃圾填埋场处置。</w:t>
                  </w:r>
                </w:p>
              </w:tc>
              <w:tc>
                <w:tcPr>
                  <w:tcW w:w="467" w:type="pct"/>
                  <w:noWrap w:val="0"/>
                  <w:vAlign w:val="center"/>
                </w:tcPr>
                <w:p w14:paraId="532BA616">
                  <w:pPr>
                    <w:adjustRightInd w:val="0"/>
                    <w:snapToGrid w:val="0"/>
                    <w:spacing w:line="260" w:lineRule="exact"/>
                    <w:jc w:val="center"/>
                    <w:rPr>
                      <w:rFonts w:hint="eastAsia"/>
                      <w:color w:val="auto"/>
                    </w:rPr>
                  </w:pPr>
                  <w:r>
                    <w:rPr>
                      <w:rFonts w:hint="eastAsia"/>
                      <w:color w:val="auto"/>
                    </w:rPr>
                    <w:t>新建</w:t>
                  </w:r>
                </w:p>
              </w:tc>
            </w:tr>
            <w:tr w14:paraId="7C6452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691" w:type="pct"/>
                  <w:vMerge w:val="continue"/>
                  <w:noWrap w:val="0"/>
                  <w:vAlign w:val="center"/>
                </w:tcPr>
                <w:p w14:paraId="32495C3B">
                  <w:pPr>
                    <w:adjustRightInd w:val="0"/>
                    <w:snapToGrid w:val="0"/>
                    <w:spacing w:line="260" w:lineRule="exact"/>
                    <w:jc w:val="center"/>
                    <w:rPr>
                      <w:color w:val="auto"/>
                    </w:rPr>
                  </w:pPr>
                </w:p>
              </w:tc>
              <w:tc>
                <w:tcPr>
                  <w:tcW w:w="731" w:type="pct"/>
                  <w:noWrap w:val="0"/>
                  <w:vAlign w:val="center"/>
                </w:tcPr>
                <w:p w14:paraId="5E4A4C8A">
                  <w:pPr>
                    <w:adjustRightInd w:val="0"/>
                    <w:snapToGrid w:val="0"/>
                    <w:spacing w:line="26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eastAsia="zh-CN"/>
                    </w:rPr>
                    <w:t>地面防渗</w:t>
                  </w:r>
                </w:p>
              </w:tc>
              <w:tc>
                <w:tcPr>
                  <w:tcW w:w="3109" w:type="pct"/>
                  <w:noWrap w:val="0"/>
                  <w:vAlign w:val="center"/>
                </w:tcPr>
                <w:p w14:paraId="24EEAC2F">
                  <w:pPr>
                    <w:adjustRightInd w:val="0"/>
                    <w:snapToGrid w:val="0"/>
                    <w:spacing w:line="260" w:lineRule="exact"/>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项目区采取分区防渗措施，分为重点防渗区、一般防渗区和简单防渗区。</w:t>
                  </w:r>
                </w:p>
              </w:tc>
              <w:tc>
                <w:tcPr>
                  <w:tcW w:w="467" w:type="pct"/>
                  <w:noWrap w:val="0"/>
                  <w:vAlign w:val="center"/>
                </w:tcPr>
                <w:p w14:paraId="3A485489">
                  <w:pPr>
                    <w:adjustRightInd w:val="0"/>
                    <w:snapToGrid w:val="0"/>
                    <w:spacing w:line="260" w:lineRule="exact"/>
                    <w:jc w:val="center"/>
                    <w:rPr>
                      <w:rFonts w:hint="eastAsia"/>
                      <w:color w:val="auto"/>
                    </w:rPr>
                  </w:pPr>
                  <w:r>
                    <w:rPr>
                      <w:rFonts w:hint="eastAsia"/>
                      <w:color w:val="auto"/>
                    </w:rPr>
                    <w:t>新建</w:t>
                  </w:r>
                </w:p>
              </w:tc>
            </w:tr>
            <w:tr w14:paraId="20F07F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691" w:type="pct"/>
                  <w:vMerge w:val="continue"/>
                  <w:noWrap w:val="0"/>
                  <w:vAlign w:val="center"/>
                </w:tcPr>
                <w:p w14:paraId="1BB65D75">
                  <w:pPr>
                    <w:adjustRightInd w:val="0"/>
                    <w:snapToGrid w:val="0"/>
                    <w:spacing w:line="260" w:lineRule="exact"/>
                    <w:jc w:val="center"/>
                    <w:rPr>
                      <w:color w:val="auto"/>
                    </w:rPr>
                  </w:pPr>
                </w:p>
              </w:tc>
              <w:tc>
                <w:tcPr>
                  <w:tcW w:w="731" w:type="pct"/>
                  <w:noWrap w:val="0"/>
                  <w:vAlign w:val="center"/>
                </w:tcPr>
                <w:p w14:paraId="6F18B67E">
                  <w:pPr>
                    <w:adjustRightInd w:val="0"/>
                    <w:snapToGrid w:val="0"/>
                    <w:spacing w:line="260" w:lineRule="exact"/>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rPr>
                    <w:t>风险防范</w:t>
                  </w:r>
                </w:p>
              </w:tc>
              <w:tc>
                <w:tcPr>
                  <w:tcW w:w="3109" w:type="pct"/>
                  <w:noWrap w:val="0"/>
                  <w:vAlign w:val="center"/>
                </w:tcPr>
                <w:p w14:paraId="5BD251B8">
                  <w:pPr>
                    <w:adjustRightInd w:val="0"/>
                    <w:snapToGrid w:val="0"/>
                    <w:spacing w:line="260" w:lineRule="exact"/>
                    <w:jc w:val="both"/>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危废贮存点按照《危险废物贮存污染控制标准》（GB18597-2023）相关要求规范设置，并配备应急装备和物资；厂房安装可燃气体浓度检测仪及火灾自动报警装置。</w:t>
                  </w:r>
                </w:p>
              </w:tc>
              <w:tc>
                <w:tcPr>
                  <w:tcW w:w="467" w:type="pct"/>
                  <w:noWrap w:val="0"/>
                  <w:vAlign w:val="center"/>
                </w:tcPr>
                <w:p w14:paraId="25A34DD6">
                  <w:pPr>
                    <w:adjustRightInd w:val="0"/>
                    <w:snapToGrid w:val="0"/>
                    <w:spacing w:line="260" w:lineRule="exact"/>
                    <w:jc w:val="center"/>
                    <w:rPr>
                      <w:rFonts w:hint="eastAsia"/>
                      <w:color w:val="auto"/>
                    </w:rPr>
                  </w:pPr>
                  <w:r>
                    <w:rPr>
                      <w:rFonts w:hint="eastAsia"/>
                      <w:color w:val="auto"/>
                    </w:rPr>
                    <w:t>新建</w:t>
                  </w:r>
                </w:p>
              </w:tc>
            </w:tr>
            <w:tr w14:paraId="68C36A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 w:type="pct"/>
                  <w:vMerge w:val="continue"/>
                  <w:noWrap w:val="0"/>
                  <w:vAlign w:val="center"/>
                </w:tcPr>
                <w:p w14:paraId="024A09CD">
                  <w:pPr>
                    <w:adjustRightInd w:val="0"/>
                    <w:snapToGrid w:val="0"/>
                    <w:spacing w:line="260" w:lineRule="exact"/>
                    <w:jc w:val="center"/>
                    <w:rPr>
                      <w:color w:val="auto"/>
                    </w:rPr>
                  </w:pPr>
                </w:p>
              </w:tc>
              <w:tc>
                <w:tcPr>
                  <w:tcW w:w="731" w:type="pct"/>
                  <w:noWrap w:val="0"/>
                  <w:vAlign w:val="center"/>
                </w:tcPr>
                <w:p w14:paraId="11CD0E63">
                  <w:pPr>
                    <w:adjustRightInd w:val="0"/>
                    <w:snapToGrid w:val="0"/>
                    <w:spacing w:line="26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绿化</w:t>
                  </w:r>
                </w:p>
              </w:tc>
              <w:tc>
                <w:tcPr>
                  <w:tcW w:w="3109" w:type="pct"/>
                  <w:noWrap w:val="0"/>
                  <w:vAlign w:val="center"/>
                </w:tcPr>
                <w:p w14:paraId="401BC16D">
                  <w:pPr>
                    <w:adjustRightInd w:val="0"/>
                    <w:snapToGrid w:val="0"/>
                    <w:spacing w:line="260" w:lineRule="exact"/>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绿化面积为956.18m²。</w:t>
                  </w:r>
                </w:p>
              </w:tc>
              <w:tc>
                <w:tcPr>
                  <w:tcW w:w="467" w:type="pct"/>
                  <w:noWrap w:val="0"/>
                  <w:vAlign w:val="center"/>
                </w:tcPr>
                <w:p w14:paraId="75972197">
                  <w:pPr>
                    <w:adjustRightInd w:val="0"/>
                    <w:snapToGrid w:val="0"/>
                    <w:spacing w:line="260" w:lineRule="exact"/>
                    <w:jc w:val="center"/>
                    <w:rPr>
                      <w:rFonts w:hint="default" w:eastAsia="宋体"/>
                      <w:color w:val="auto"/>
                      <w:lang w:val="en-US" w:eastAsia="zh-CN"/>
                    </w:rPr>
                  </w:pPr>
                  <w:r>
                    <w:rPr>
                      <w:rFonts w:hint="eastAsia"/>
                      <w:color w:val="auto"/>
                      <w:lang w:val="en-US" w:eastAsia="zh-CN"/>
                    </w:rPr>
                    <w:t>新增</w:t>
                  </w:r>
                </w:p>
              </w:tc>
            </w:tr>
          </w:tbl>
          <w:p w14:paraId="7C265E82">
            <w:pPr>
              <w:spacing w:before="120" w:beforeLines="50" w:line="360" w:lineRule="auto"/>
              <w:rPr>
                <w:b/>
                <w:bCs/>
                <w:color w:val="auto"/>
                <w:sz w:val="24"/>
              </w:rPr>
            </w:pPr>
            <w:r>
              <w:rPr>
                <w:rFonts w:hint="eastAsia"/>
                <w:b/>
                <w:bCs/>
                <w:color w:val="auto"/>
                <w:sz w:val="24"/>
              </w:rPr>
              <w:t>3.产品方案及生产规模</w:t>
            </w:r>
          </w:p>
          <w:p w14:paraId="30FC20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rPr>
            </w:pPr>
            <w:r>
              <w:rPr>
                <w:color w:val="auto"/>
                <w:sz w:val="24"/>
              </w:rPr>
              <w:t>本项目</w:t>
            </w:r>
            <w:r>
              <w:rPr>
                <w:rFonts w:hint="eastAsia"/>
                <w:color w:val="auto"/>
                <w:sz w:val="24"/>
              </w:rPr>
              <w:t>建设2条钢结构生产线，主要产品方案及生产规模详见表</w:t>
            </w:r>
            <w:r>
              <w:rPr>
                <w:rFonts w:hint="eastAsia"/>
                <w:color w:val="auto"/>
                <w:sz w:val="24"/>
                <w:lang w:val="en-US" w:eastAsia="zh-CN"/>
              </w:rPr>
              <w:t>2-2</w:t>
            </w:r>
            <w:r>
              <w:rPr>
                <w:color w:val="auto"/>
                <w:sz w:val="24"/>
              </w:rPr>
              <w:t>。</w:t>
            </w:r>
          </w:p>
          <w:p w14:paraId="5BAEF3EE">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 xml:space="preserve">2-2 </w:t>
            </w:r>
            <w:r>
              <w:rPr>
                <w:rFonts w:hint="default" w:ascii="Times New Roman" w:hAnsi="Times New Roman" w:eastAsia="宋体" w:cs="Times New Roman"/>
                <w:b/>
                <w:bCs/>
                <w:color w:val="auto"/>
              </w:rPr>
              <w:t>产品方案及生产规模</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819"/>
              <w:gridCol w:w="2038"/>
              <w:gridCol w:w="3532"/>
            </w:tblGrid>
            <w:tr w14:paraId="55623B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69" w:hRule="atLeast"/>
                <w:jc w:val="center"/>
              </w:trPr>
              <w:tc>
                <w:tcPr>
                  <w:tcW w:w="420" w:type="pct"/>
                  <w:tcBorders>
                    <w:bottom w:val="single" w:color="auto" w:sz="12" w:space="0"/>
                  </w:tcBorders>
                  <w:noWrap w:val="0"/>
                  <w:vAlign w:val="center"/>
                </w:tcPr>
                <w:p w14:paraId="5178FBFE">
                  <w:pPr>
                    <w:adjustRightInd w:val="0"/>
                    <w:snapToGrid w:val="0"/>
                    <w:jc w:val="center"/>
                    <w:rPr>
                      <w:b/>
                      <w:bCs/>
                      <w:color w:val="auto"/>
                    </w:rPr>
                  </w:pPr>
                  <w:r>
                    <w:rPr>
                      <w:b/>
                      <w:bCs/>
                      <w:color w:val="auto"/>
                    </w:rPr>
                    <w:t>序号</w:t>
                  </w:r>
                </w:p>
              </w:tc>
              <w:tc>
                <w:tcPr>
                  <w:tcW w:w="1127" w:type="pct"/>
                  <w:tcBorders>
                    <w:bottom w:val="single" w:color="auto" w:sz="12" w:space="0"/>
                  </w:tcBorders>
                  <w:noWrap w:val="0"/>
                  <w:vAlign w:val="center"/>
                </w:tcPr>
                <w:p w14:paraId="303CF7C0">
                  <w:pPr>
                    <w:adjustRightInd w:val="0"/>
                    <w:snapToGrid w:val="0"/>
                    <w:jc w:val="center"/>
                    <w:rPr>
                      <w:b/>
                      <w:bCs/>
                      <w:color w:val="auto"/>
                    </w:rPr>
                  </w:pPr>
                  <w:r>
                    <w:rPr>
                      <w:rFonts w:hint="eastAsia"/>
                      <w:b/>
                      <w:bCs/>
                      <w:color w:val="auto"/>
                    </w:rPr>
                    <w:t>产品名称</w:t>
                  </w:r>
                </w:p>
              </w:tc>
              <w:tc>
                <w:tcPr>
                  <w:tcW w:w="1262" w:type="pct"/>
                  <w:tcBorders>
                    <w:bottom w:val="single" w:color="auto" w:sz="12" w:space="0"/>
                  </w:tcBorders>
                  <w:noWrap w:val="0"/>
                  <w:vAlign w:val="center"/>
                </w:tcPr>
                <w:p w14:paraId="06D87CB7">
                  <w:pPr>
                    <w:adjustRightInd w:val="0"/>
                    <w:snapToGrid w:val="0"/>
                    <w:jc w:val="center"/>
                    <w:rPr>
                      <w:b/>
                      <w:bCs/>
                      <w:color w:val="auto"/>
                    </w:rPr>
                  </w:pPr>
                  <w:r>
                    <w:rPr>
                      <w:rFonts w:hint="eastAsia"/>
                      <w:b/>
                      <w:bCs/>
                      <w:color w:val="auto"/>
                    </w:rPr>
                    <w:t>生产规模（t/a）</w:t>
                  </w:r>
                </w:p>
              </w:tc>
              <w:tc>
                <w:tcPr>
                  <w:tcW w:w="2189" w:type="pct"/>
                  <w:tcBorders>
                    <w:bottom w:val="single" w:color="auto" w:sz="12" w:space="0"/>
                  </w:tcBorders>
                  <w:noWrap w:val="0"/>
                  <w:vAlign w:val="center"/>
                </w:tcPr>
                <w:p w14:paraId="42BD27DC">
                  <w:pPr>
                    <w:adjustRightInd w:val="0"/>
                    <w:snapToGrid w:val="0"/>
                    <w:jc w:val="center"/>
                    <w:rPr>
                      <w:b/>
                      <w:bCs/>
                      <w:color w:val="auto"/>
                    </w:rPr>
                  </w:pPr>
                  <w:r>
                    <w:rPr>
                      <w:rFonts w:hint="eastAsia"/>
                      <w:b/>
                      <w:bCs/>
                      <w:color w:val="auto"/>
                    </w:rPr>
                    <w:t>备注</w:t>
                  </w:r>
                </w:p>
              </w:tc>
            </w:tr>
            <w:tr w14:paraId="179489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420" w:type="pct"/>
                  <w:tcBorders>
                    <w:top w:val="single" w:color="auto" w:sz="12" w:space="0"/>
                  </w:tcBorders>
                  <w:noWrap w:val="0"/>
                  <w:vAlign w:val="center"/>
                </w:tcPr>
                <w:p w14:paraId="34C38CA0">
                  <w:pPr>
                    <w:adjustRightInd w:val="0"/>
                    <w:snapToGrid w:val="0"/>
                    <w:jc w:val="center"/>
                    <w:rPr>
                      <w:color w:val="auto"/>
                    </w:rPr>
                  </w:pPr>
                  <w:r>
                    <w:rPr>
                      <w:color w:val="auto"/>
                    </w:rPr>
                    <w:t>1</w:t>
                  </w:r>
                </w:p>
              </w:tc>
              <w:tc>
                <w:tcPr>
                  <w:tcW w:w="1127" w:type="pct"/>
                  <w:tcBorders>
                    <w:top w:val="single" w:color="auto" w:sz="12" w:space="0"/>
                  </w:tcBorders>
                  <w:noWrap w:val="0"/>
                  <w:vAlign w:val="center"/>
                </w:tcPr>
                <w:p w14:paraId="2E231853">
                  <w:pPr>
                    <w:adjustRightInd w:val="0"/>
                    <w:snapToGrid w:val="0"/>
                    <w:jc w:val="center"/>
                    <w:rPr>
                      <w:rFonts w:hint="default" w:eastAsia="宋体"/>
                      <w:color w:val="auto"/>
                      <w:lang w:val="en-US" w:eastAsia="zh-CN"/>
                    </w:rPr>
                  </w:pPr>
                  <w:r>
                    <w:rPr>
                      <w:rFonts w:hint="eastAsia"/>
                      <w:color w:val="auto"/>
                      <w:lang w:val="en-US" w:eastAsia="zh-CN"/>
                    </w:rPr>
                    <w:t>钢结构</w:t>
                  </w:r>
                  <w:r>
                    <w:rPr>
                      <w:rFonts w:hint="eastAsia"/>
                      <w:color w:val="0000FF"/>
                      <w:lang w:val="en-US" w:eastAsia="zh-CN"/>
                    </w:rPr>
                    <w:t>产品</w:t>
                  </w:r>
                </w:p>
              </w:tc>
              <w:tc>
                <w:tcPr>
                  <w:tcW w:w="1262" w:type="pct"/>
                  <w:tcBorders>
                    <w:top w:val="single" w:color="auto" w:sz="12" w:space="0"/>
                  </w:tcBorders>
                  <w:noWrap w:val="0"/>
                  <w:vAlign w:val="center"/>
                </w:tcPr>
                <w:p w14:paraId="2880F298">
                  <w:pPr>
                    <w:adjustRightInd w:val="0"/>
                    <w:snapToGrid w:val="0"/>
                    <w:jc w:val="center"/>
                    <w:rPr>
                      <w:color w:val="auto"/>
                    </w:rPr>
                  </w:pPr>
                  <w:r>
                    <w:rPr>
                      <w:rFonts w:hint="eastAsia"/>
                      <w:color w:val="auto"/>
                      <w:lang w:val="en-US" w:eastAsia="zh-CN"/>
                    </w:rPr>
                    <w:t>20</w:t>
                  </w:r>
                  <w:r>
                    <w:rPr>
                      <w:rFonts w:hint="eastAsia"/>
                      <w:color w:val="auto"/>
                    </w:rPr>
                    <w:t>000</w:t>
                  </w:r>
                </w:p>
              </w:tc>
              <w:tc>
                <w:tcPr>
                  <w:tcW w:w="2189" w:type="pct"/>
                  <w:tcBorders>
                    <w:top w:val="single" w:color="auto" w:sz="12" w:space="0"/>
                  </w:tcBorders>
                  <w:noWrap w:val="0"/>
                  <w:vAlign w:val="center"/>
                </w:tcPr>
                <w:p w14:paraId="5979C472">
                  <w:pPr>
                    <w:adjustRightInd w:val="0"/>
                    <w:snapToGrid w:val="0"/>
                    <w:jc w:val="center"/>
                    <w:rPr>
                      <w:color w:val="auto"/>
                    </w:rPr>
                  </w:pPr>
                  <w:r>
                    <w:rPr>
                      <w:rFonts w:hint="eastAsia"/>
                      <w:color w:val="auto"/>
                    </w:rPr>
                    <w:t>根据订单要求加工，尺寸不固定。根据产品性能要求，进行喷漆。</w:t>
                  </w:r>
                </w:p>
              </w:tc>
            </w:tr>
          </w:tbl>
          <w:p w14:paraId="24B61677">
            <w:pPr>
              <w:spacing w:before="120" w:beforeLines="50" w:line="360" w:lineRule="auto"/>
              <w:rPr>
                <w:b/>
                <w:bCs/>
                <w:color w:val="auto"/>
                <w:sz w:val="24"/>
              </w:rPr>
            </w:pPr>
            <w:r>
              <w:rPr>
                <w:rFonts w:hint="eastAsia"/>
                <w:b/>
                <w:bCs/>
                <w:color w:val="auto"/>
                <w:sz w:val="24"/>
              </w:rPr>
              <w:t>4</w:t>
            </w:r>
            <w:r>
              <w:rPr>
                <w:b/>
                <w:bCs/>
                <w:color w:val="auto"/>
                <w:sz w:val="24"/>
              </w:rPr>
              <w:t>.主要生产设备</w:t>
            </w:r>
          </w:p>
          <w:p w14:paraId="65EB036D">
            <w:pPr>
              <w:spacing w:line="360" w:lineRule="auto"/>
              <w:ind w:firstLine="480" w:firstLineChars="200"/>
              <w:rPr>
                <w:color w:val="auto"/>
                <w:sz w:val="24"/>
              </w:rPr>
            </w:pPr>
            <w:r>
              <w:rPr>
                <w:rFonts w:hint="eastAsia"/>
                <w:color w:val="auto"/>
                <w:sz w:val="24"/>
                <w:lang w:val="en-US" w:eastAsia="zh-CN"/>
              </w:rPr>
              <w:t>本项目</w:t>
            </w:r>
            <w:r>
              <w:rPr>
                <w:color w:val="auto"/>
                <w:sz w:val="24"/>
              </w:rPr>
              <w:t>主要生产设备清单见表</w:t>
            </w:r>
            <w:r>
              <w:rPr>
                <w:rFonts w:hint="eastAsia"/>
                <w:color w:val="auto"/>
                <w:sz w:val="24"/>
                <w:lang w:val="en-US" w:eastAsia="zh-CN"/>
              </w:rPr>
              <w:t>2-3</w:t>
            </w:r>
            <w:r>
              <w:rPr>
                <w:color w:val="auto"/>
                <w:sz w:val="24"/>
              </w:rPr>
              <w:t>。</w:t>
            </w:r>
          </w:p>
          <w:p w14:paraId="5A563190">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 xml:space="preserve">2-3 </w:t>
            </w:r>
            <w:r>
              <w:rPr>
                <w:rFonts w:hint="default" w:ascii="Times New Roman" w:hAnsi="Times New Roman" w:eastAsia="宋体" w:cs="Times New Roman"/>
                <w:b/>
                <w:bCs/>
                <w:color w:val="auto"/>
              </w:rPr>
              <w:t>主要生产设备清单</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0"/>
              <w:gridCol w:w="2597"/>
              <w:gridCol w:w="2972"/>
              <w:gridCol w:w="909"/>
              <w:gridCol w:w="910"/>
            </w:tblGrid>
            <w:tr w14:paraId="084971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21" w:type="pct"/>
                  <w:tcBorders>
                    <w:bottom w:val="single" w:color="auto" w:sz="12" w:space="0"/>
                  </w:tcBorders>
                  <w:noWrap w:val="0"/>
                  <w:vAlign w:val="center"/>
                </w:tcPr>
                <w:p w14:paraId="180D1E17">
                  <w:pPr>
                    <w:adjustRightInd w:val="0"/>
                    <w:snapToGrid w:val="0"/>
                    <w:jc w:val="center"/>
                    <w:rPr>
                      <w:b/>
                      <w:bCs/>
                      <w:color w:val="auto"/>
                    </w:rPr>
                  </w:pPr>
                  <w:r>
                    <w:rPr>
                      <w:b/>
                      <w:bCs/>
                      <w:color w:val="auto"/>
                    </w:rPr>
                    <w:t>序号</w:t>
                  </w:r>
                </w:p>
              </w:tc>
              <w:tc>
                <w:tcPr>
                  <w:tcW w:w="1609" w:type="pct"/>
                  <w:tcBorders>
                    <w:bottom w:val="single" w:color="auto" w:sz="12" w:space="0"/>
                  </w:tcBorders>
                  <w:noWrap w:val="0"/>
                  <w:vAlign w:val="center"/>
                </w:tcPr>
                <w:p w14:paraId="486BFF8C">
                  <w:pPr>
                    <w:adjustRightInd w:val="0"/>
                    <w:snapToGrid w:val="0"/>
                    <w:jc w:val="center"/>
                    <w:rPr>
                      <w:b/>
                      <w:bCs/>
                      <w:color w:val="auto"/>
                    </w:rPr>
                  </w:pPr>
                  <w:r>
                    <w:rPr>
                      <w:b/>
                      <w:bCs/>
                      <w:color w:val="auto"/>
                    </w:rPr>
                    <w:t>设备名称</w:t>
                  </w:r>
                </w:p>
              </w:tc>
              <w:tc>
                <w:tcPr>
                  <w:tcW w:w="1841" w:type="pct"/>
                  <w:tcBorders>
                    <w:bottom w:val="single" w:color="auto" w:sz="12" w:space="0"/>
                  </w:tcBorders>
                  <w:noWrap w:val="0"/>
                  <w:vAlign w:val="center"/>
                </w:tcPr>
                <w:p w14:paraId="19996351">
                  <w:pPr>
                    <w:adjustRightInd w:val="0"/>
                    <w:snapToGrid w:val="0"/>
                    <w:jc w:val="center"/>
                    <w:rPr>
                      <w:b/>
                      <w:bCs/>
                      <w:color w:val="auto"/>
                    </w:rPr>
                  </w:pPr>
                  <w:r>
                    <w:rPr>
                      <w:b/>
                      <w:bCs/>
                      <w:color w:val="auto"/>
                    </w:rPr>
                    <w:t>型号规格</w:t>
                  </w:r>
                </w:p>
              </w:tc>
              <w:tc>
                <w:tcPr>
                  <w:tcW w:w="563" w:type="pct"/>
                  <w:tcBorders>
                    <w:bottom w:val="single" w:color="auto" w:sz="12" w:space="0"/>
                  </w:tcBorders>
                  <w:noWrap w:val="0"/>
                  <w:vAlign w:val="center"/>
                </w:tcPr>
                <w:p w14:paraId="4EE0C4D3">
                  <w:pPr>
                    <w:adjustRightInd w:val="0"/>
                    <w:snapToGrid w:val="0"/>
                    <w:jc w:val="center"/>
                    <w:rPr>
                      <w:b/>
                      <w:bCs/>
                      <w:color w:val="auto"/>
                    </w:rPr>
                  </w:pPr>
                  <w:r>
                    <w:rPr>
                      <w:b/>
                      <w:bCs/>
                      <w:color w:val="auto"/>
                    </w:rPr>
                    <w:t>单位</w:t>
                  </w:r>
                </w:p>
              </w:tc>
              <w:tc>
                <w:tcPr>
                  <w:tcW w:w="563" w:type="pct"/>
                  <w:tcBorders>
                    <w:bottom w:val="single" w:color="auto" w:sz="12" w:space="0"/>
                  </w:tcBorders>
                  <w:noWrap w:val="0"/>
                  <w:vAlign w:val="center"/>
                </w:tcPr>
                <w:p w14:paraId="1C32C4A4">
                  <w:pPr>
                    <w:adjustRightInd w:val="0"/>
                    <w:snapToGrid w:val="0"/>
                    <w:jc w:val="center"/>
                    <w:rPr>
                      <w:b/>
                      <w:bCs/>
                      <w:color w:val="auto"/>
                    </w:rPr>
                  </w:pPr>
                  <w:r>
                    <w:rPr>
                      <w:b/>
                      <w:bCs/>
                      <w:color w:val="auto"/>
                    </w:rPr>
                    <w:t>数量</w:t>
                  </w:r>
                </w:p>
              </w:tc>
            </w:tr>
            <w:tr w14:paraId="60054B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pct"/>
                  <w:tcBorders>
                    <w:top w:val="single" w:color="auto" w:sz="12" w:space="0"/>
                  </w:tcBorders>
                  <w:noWrap w:val="0"/>
                  <w:vAlign w:val="center"/>
                </w:tcPr>
                <w:p w14:paraId="2AA244BC">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p>
              </w:tc>
              <w:tc>
                <w:tcPr>
                  <w:tcW w:w="1609" w:type="pct"/>
                  <w:tcBorders>
                    <w:top w:val="single" w:color="auto" w:sz="12" w:space="0"/>
                  </w:tcBorders>
                  <w:noWrap w:val="0"/>
                  <w:vAlign w:val="center"/>
                </w:tcPr>
                <w:p w14:paraId="47FC860D">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激光切割机</w:t>
                  </w:r>
                </w:p>
              </w:tc>
              <w:tc>
                <w:tcPr>
                  <w:tcW w:w="1841" w:type="pct"/>
                  <w:tcBorders>
                    <w:top w:val="single" w:color="auto" w:sz="12" w:space="0"/>
                  </w:tcBorders>
                  <w:noWrap w:val="0"/>
                  <w:vAlign w:val="center"/>
                </w:tcPr>
                <w:p w14:paraId="10EF96FD">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HF-dragon</w:t>
                  </w:r>
                </w:p>
              </w:tc>
              <w:tc>
                <w:tcPr>
                  <w:tcW w:w="563" w:type="pct"/>
                  <w:tcBorders>
                    <w:top w:val="single" w:color="auto" w:sz="12" w:space="0"/>
                  </w:tcBorders>
                  <w:noWrap w:val="0"/>
                  <w:vAlign w:val="center"/>
                </w:tcPr>
                <w:p w14:paraId="484BCFA7">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台</w:t>
                  </w:r>
                </w:p>
              </w:tc>
              <w:tc>
                <w:tcPr>
                  <w:tcW w:w="563" w:type="pct"/>
                  <w:tcBorders>
                    <w:top w:val="single" w:color="auto" w:sz="12" w:space="0"/>
                  </w:tcBorders>
                  <w:noWrap w:val="0"/>
                  <w:vAlign w:val="center"/>
                </w:tcPr>
                <w:p w14:paraId="3566E125">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w:t>
                  </w:r>
                </w:p>
              </w:tc>
            </w:tr>
            <w:tr w14:paraId="107CCD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pct"/>
                  <w:noWrap w:val="0"/>
                  <w:vAlign w:val="center"/>
                </w:tcPr>
                <w:p w14:paraId="7E25A2B3">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2</w:t>
                  </w:r>
                </w:p>
              </w:tc>
              <w:tc>
                <w:tcPr>
                  <w:tcW w:w="1609" w:type="pct"/>
                  <w:noWrap w:val="0"/>
                  <w:vAlign w:val="center"/>
                </w:tcPr>
                <w:p w14:paraId="55D7BCD5">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数控火焰切割机</w:t>
                  </w:r>
                </w:p>
              </w:tc>
              <w:tc>
                <w:tcPr>
                  <w:tcW w:w="1841" w:type="pct"/>
                  <w:noWrap w:val="0"/>
                  <w:vAlign w:val="center"/>
                </w:tcPr>
                <w:p w14:paraId="617C6329">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563" w:type="pct"/>
                  <w:noWrap w:val="0"/>
                  <w:vAlign w:val="center"/>
                </w:tcPr>
                <w:p w14:paraId="5159C99A">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台</w:t>
                  </w:r>
                </w:p>
              </w:tc>
              <w:tc>
                <w:tcPr>
                  <w:tcW w:w="563" w:type="pct"/>
                  <w:noWrap w:val="0"/>
                  <w:vAlign w:val="center"/>
                </w:tcPr>
                <w:p w14:paraId="23961780">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2</w:t>
                  </w:r>
                </w:p>
              </w:tc>
            </w:tr>
            <w:tr w14:paraId="576A88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pct"/>
                  <w:noWrap w:val="0"/>
                  <w:vAlign w:val="center"/>
                </w:tcPr>
                <w:p w14:paraId="6BD56B92">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3</w:t>
                  </w:r>
                </w:p>
              </w:tc>
              <w:tc>
                <w:tcPr>
                  <w:tcW w:w="1609" w:type="pct"/>
                  <w:noWrap w:val="0"/>
                  <w:vAlign w:val="center"/>
                </w:tcPr>
                <w:p w14:paraId="2BEF7DEB">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自动焊接机器人</w:t>
                  </w:r>
                </w:p>
              </w:tc>
              <w:tc>
                <w:tcPr>
                  <w:tcW w:w="1841" w:type="pct"/>
                  <w:noWrap w:val="0"/>
                  <w:vAlign w:val="center"/>
                </w:tcPr>
                <w:p w14:paraId="1B14BEF4">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563" w:type="pct"/>
                  <w:noWrap w:val="0"/>
                  <w:vAlign w:val="center"/>
                </w:tcPr>
                <w:p w14:paraId="329B2189">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台</w:t>
                  </w:r>
                </w:p>
              </w:tc>
              <w:tc>
                <w:tcPr>
                  <w:tcW w:w="563" w:type="pct"/>
                  <w:noWrap w:val="0"/>
                  <w:vAlign w:val="center"/>
                </w:tcPr>
                <w:p w14:paraId="01D20052">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10</w:t>
                  </w:r>
                </w:p>
              </w:tc>
            </w:tr>
            <w:tr w14:paraId="45E9FE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pct"/>
                  <w:noWrap w:val="0"/>
                  <w:vAlign w:val="center"/>
                </w:tcPr>
                <w:p w14:paraId="217A2C4F">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4</w:t>
                  </w:r>
                </w:p>
              </w:tc>
              <w:tc>
                <w:tcPr>
                  <w:tcW w:w="1609" w:type="pct"/>
                  <w:noWrap w:val="0"/>
                  <w:vAlign w:val="center"/>
                </w:tcPr>
                <w:p w14:paraId="2BC38750">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抛丸除锈设备</w:t>
                  </w:r>
                </w:p>
              </w:tc>
              <w:tc>
                <w:tcPr>
                  <w:tcW w:w="1841" w:type="pct"/>
                  <w:noWrap w:val="0"/>
                  <w:vAlign w:val="center"/>
                </w:tcPr>
                <w:p w14:paraId="599023FD">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配</w:t>
                  </w:r>
                  <w:r>
                    <w:rPr>
                      <w:rFonts w:hint="eastAsia" w:cs="Times New Roman"/>
                      <w:color w:val="auto"/>
                      <w:lang w:val="en-US" w:eastAsia="zh-CN"/>
                    </w:rPr>
                    <w:t>1</w:t>
                  </w:r>
                  <w:r>
                    <w:rPr>
                      <w:rFonts w:hint="eastAsia" w:ascii="Times New Roman" w:hAnsi="Times New Roman" w:eastAsia="宋体" w:cs="Times New Roman"/>
                      <w:color w:val="auto"/>
                      <w:lang w:val="en-US" w:eastAsia="zh-CN"/>
                    </w:rPr>
                    <w:t>套</w:t>
                  </w:r>
                  <w:r>
                    <w:rPr>
                      <w:rFonts w:hint="eastAsia" w:ascii="Times New Roman" w:hAnsi="Times New Roman" w:eastAsia="宋体" w:cs="Times New Roman"/>
                      <w:color w:val="0000FF"/>
                      <w:lang w:val="en-US" w:eastAsia="zh-CN"/>
                    </w:rPr>
                    <w:t>气箱式脉冲袋式</w:t>
                  </w:r>
                  <w:r>
                    <w:rPr>
                      <w:rFonts w:hint="eastAsia" w:ascii="Times New Roman" w:hAnsi="Times New Roman" w:eastAsia="宋体" w:cs="Times New Roman"/>
                      <w:color w:val="0000FF"/>
                      <w:highlight w:val="none"/>
                      <w:lang w:val="en-US" w:eastAsia="zh-CN"/>
                    </w:rPr>
                    <w:t>除尘器</w:t>
                  </w:r>
                </w:p>
              </w:tc>
              <w:tc>
                <w:tcPr>
                  <w:tcW w:w="563" w:type="pct"/>
                  <w:noWrap w:val="0"/>
                  <w:vAlign w:val="center"/>
                </w:tcPr>
                <w:p w14:paraId="0C9E695A">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套</w:t>
                  </w:r>
                </w:p>
              </w:tc>
              <w:tc>
                <w:tcPr>
                  <w:tcW w:w="563" w:type="pct"/>
                  <w:noWrap w:val="0"/>
                  <w:vAlign w:val="center"/>
                </w:tcPr>
                <w:p w14:paraId="19D11B1A">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w:t>
                  </w:r>
                </w:p>
              </w:tc>
            </w:tr>
          </w:tbl>
          <w:p w14:paraId="571D9343">
            <w:pPr>
              <w:keepNext w:val="0"/>
              <w:keepLines w:val="0"/>
              <w:pageBreakBefore w:val="0"/>
              <w:widowControl w:val="0"/>
              <w:kinsoku/>
              <w:wordWrap/>
              <w:overflowPunct/>
              <w:topLinePunct w:val="0"/>
              <w:autoSpaceDE/>
              <w:autoSpaceDN/>
              <w:bidi w:val="0"/>
              <w:adjustRightInd/>
              <w:snapToGrid/>
              <w:spacing w:before="157" w:beforeLines="50" w:line="300" w:lineRule="auto"/>
              <w:jc w:val="right"/>
              <w:textAlignment w:val="auto"/>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续</w:t>
            </w:r>
            <w:r>
              <w:rPr>
                <w:rFonts w:hint="default" w:ascii="Times New Roman" w:hAnsi="Times New Roman" w:eastAsia="宋体" w:cs="Times New Roman"/>
                <w:b/>
                <w:bCs/>
                <w:color w:val="auto"/>
                <w:lang w:val="en-US" w:eastAsia="zh-CN"/>
              </w:rPr>
              <w:t>表</w:t>
            </w:r>
            <w:r>
              <w:rPr>
                <w:rFonts w:hint="eastAsia" w:ascii="Times New Roman" w:hAnsi="Times New Roman" w:eastAsia="宋体" w:cs="Times New Roman"/>
                <w:b/>
                <w:bCs/>
                <w:color w:val="auto"/>
                <w:lang w:val="en-US" w:eastAsia="zh-CN"/>
              </w:rPr>
              <w:t xml:space="preserve">2-3 </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0"/>
              <w:gridCol w:w="2597"/>
              <w:gridCol w:w="2972"/>
              <w:gridCol w:w="909"/>
              <w:gridCol w:w="910"/>
            </w:tblGrid>
            <w:tr w14:paraId="7F69AC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69" w:hRule="atLeast"/>
                <w:jc w:val="center"/>
              </w:trPr>
              <w:tc>
                <w:tcPr>
                  <w:tcW w:w="421" w:type="pct"/>
                  <w:tcBorders>
                    <w:bottom w:val="single" w:color="auto" w:sz="12" w:space="0"/>
                  </w:tcBorders>
                  <w:noWrap w:val="0"/>
                  <w:vAlign w:val="center"/>
                </w:tcPr>
                <w:p w14:paraId="00C064EB">
                  <w:pPr>
                    <w:adjustRightInd w:val="0"/>
                    <w:snapToGrid w:val="0"/>
                    <w:jc w:val="center"/>
                    <w:rPr>
                      <w:b/>
                      <w:bCs/>
                      <w:color w:val="auto"/>
                    </w:rPr>
                  </w:pPr>
                  <w:r>
                    <w:rPr>
                      <w:b/>
                      <w:bCs/>
                      <w:color w:val="auto"/>
                    </w:rPr>
                    <w:t>序号</w:t>
                  </w:r>
                </w:p>
              </w:tc>
              <w:tc>
                <w:tcPr>
                  <w:tcW w:w="1609" w:type="pct"/>
                  <w:tcBorders>
                    <w:bottom w:val="single" w:color="auto" w:sz="12" w:space="0"/>
                  </w:tcBorders>
                  <w:noWrap w:val="0"/>
                  <w:vAlign w:val="center"/>
                </w:tcPr>
                <w:p w14:paraId="0906F8C7">
                  <w:pPr>
                    <w:adjustRightInd w:val="0"/>
                    <w:snapToGrid w:val="0"/>
                    <w:jc w:val="center"/>
                    <w:rPr>
                      <w:b/>
                      <w:bCs/>
                      <w:color w:val="auto"/>
                    </w:rPr>
                  </w:pPr>
                  <w:r>
                    <w:rPr>
                      <w:b/>
                      <w:bCs/>
                      <w:color w:val="auto"/>
                    </w:rPr>
                    <w:t>设备名称</w:t>
                  </w:r>
                </w:p>
              </w:tc>
              <w:tc>
                <w:tcPr>
                  <w:tcW w:w="1841" w:type="pct"/>
                  <w:tcBorders>
                    <w:bottom w:val="single" w:color="auto" w:sz="12" w:space="0"/>
                  </w:tcBorders>
                  <w:noWrap w:val="0"/>
                  <w:vAlign w:val="center"/>
                </w:tcPr>
                <w:p w14:paraId="4E21A734">
                  <w:pPr>
                    <w:adjustRightInd w:val="0"/>
                    <w:snapToGrid w:val="0"/>
                    <w:jc w:val="center"/>
                    <w:rPr>
                      <w:b/>
                      <w:bCs/>
                      <w:color w:val="auto"/>
                    </w:rPr>
                  </w:pPr>
                  <w:r>
                    <w:rPr>
                      <w:b/>
                      <w:bCs/>
                      <w:color w:val="auto"/>
                    </w:rPr>
                    <w:t>型号规格</w:t>
                  </w:r>
                </w:p>
              </w:tc>
              <w:tc>
                <w:tcPr>
                  <w:tcW w:w="563" w:type="pct"/>
                  <w:tcBorders>
                    <w:bottom w:val="single" w:color="auto" w:sz="12" w:space="0"/>
                  </w:tcBorders>
                  <w:noWrap w:val="0"/>
                  <w:vAlign w:val="center"/>
                </w:tcPr>
                <w:p w14:paraId="676FA2B7">
                  <w:pPr>
                    <w:adjustRightInd w:val="0"/>
                    <w:snapToGrid w:val="0"/>
                    <w:jc w:val="center"/>
                    <w:rPr>
                      <w:b/>
                      <w:bCs/>
                      <w:color w:val="auto"/>
                    </w:rPr>
                  </w:pPr>
                  <w:r>
                    <w:rPr>
                      <w:b/>
                      <w:bCs/>
                      <w:color w:val="auto"/>
                    </w:rPr>
                    <w:t>单位</w:t>
                  </w:r>
                </w:p>
              </w:tc>
              <w:tc>
                <w:tcPr>
                  <w:tcW w:w="563" w:type="pct"/>
                  <w:tcBorders>
                    <w:bottom w:val="single" w:color="auto" w:sz="12" w:space="0"/>
                  </w:tcBorders>
                  <w:noWrap w:val="0"/>
                  <w:vAlign w:val="center"/>
                </w:tcPr>
                <w:p w14:paraId="64D0B9DD">
                  <w:pPr>
                    <w:adjustRightInd w:val="0"/>
                    <w:snapToGrid w:val="0"/>
                    <w:jc w:val="center"/>
                    <w:rPr>
                      <w:b/>
                      <w:bCs/>
                      <w:color w:val="auto"/>
                    </w:rPr>
                  </w:pPr>
                  <w:r>
                    <w:rPr>
                      <w:b/>
                      <w:bCs/>
                      <w:color w:val="auto"/>
                    </w:rPr>
                    <w:t>数量</w:t>
                  </w:r>
                </w:p>
              </w:tc>
            </w:tr>
            <w:tr w14:paraId="5B4346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pct"/>
                  <w:shd w:val="clear" w:color="auto" w:fill="auto"/>
                  <w:noWrap w:val="0"/>
                  <w:vAlign w:val="center"/>
                </w:tcPr>
                <w:p w14:paraId="34A5EF31">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5</w:t>
                  </w:r>
                </w:p>
              </w:tc>
              <w:tc>
                <w:tcPr>
                  <w:tcW w:w="1609" w:type="pct"/>
                  <w:shd w:val="clear" w:color="auto" w:fill="auto"/>
                  <w:noWrap w:val="0"/>
                  <w:vAlign w:val="center"/>
                </w:tcPr>
                <w:p w14:paraId="2C4F83E5">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静电喷涂设备</w:t>
                  </w:r>
                </w:p>
              </w:tc>
              <w:tc>
                <w:tcPr>
                  <w:tcW w:w="1841" w:type="pct"/>
                  <w:shd w:val="clear" w:color="auto" w:fill="auto"/>
                  <w:noWrap w:val="0"/>
                  <w:vAlign w:val="center"/>
                </w:tcPr>
                <w:p w14:paraId="0151647B">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w:t>
                  </w:r>
                </w:p>
              </w:tc>
              <w:tc>
                <w:tcPr>
                  <w:tcW w:w="563" w:type="pct"/>
                  <w:shd w:val="clear" w:color="auto" w:fill="auto"/>
                  <w:noWrap w:val="0"/>
                  <w:vAlign w:val="center"/>
                </w:tcPr>
                <w:p w14:paraId="2EDE9762">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套</w:t>
                  </w:r>
                </w:p>
              </w:tc>
              <w:tc>
                <w:tcPr>
                  <w:tcW w:w="563" w:type="pct"/>
                  <w:shd w:val="clear" w:color="auto" w:fill="auto"/>
                  <w:noWrap w:val="0"/>
                  <w:vAlign w:val="center"/>
                </w:tcPr>
                <w:p w14:paraId="4AA0012B">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2</w:t>
                  </w:r>
                </w:p>
              </w:tc>
            </w:tr>
            <w:tr w14:paraId="015506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pct"/>
                  <w:shd w:val="clear" w:color="auto" w:fill="auto"/>
                  <w:noWrap w:val="0"/>
                  <w:vAlign w:val="center"/>
                </w:tcPr>
                <w:p w14:paraId="66143983">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6</w:t>
                  </w:r>
                </w:p>
              </w:tc>
              <w:tc>
                <w:tcPr>
                  <w:tcW w:w="1609" w:type="pct"/>
                  <w:shd w:val="clear" w:color="auto" w:fill="auto"/>
                  <w:noWrap w:val="0"/>
                  <w:vAlign w:val="center"/>
                </w:tcPr>
                <w:p w14:paraId="2666287C">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H型钢自动组立机</w:t>
                  </w:r>
                </w:p>
              </w:tc>
              <w:tc>
                <w:tcPr>
                  <w:tcW w:w="1841" w:type="pct"/>
                  <w:shd w:val="clear" w:color="auto" w:fill="auto"/>
                  <w:noWrap w:val="0"/>
                  <w:vAlign w:val="center"/>
                </w:tcPr>
                <w:p w14:paraId="66897A0E">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HZJ0820</w:t>
                  </w:r>
                </w:p>
              </w:tc>
              <w:tc>
                <w:tcPr>
                  <w:tcW w:w="563" w:type="pct"/>
                  <w:shd w:val="clear" w:color="auto" w:fill="auto"/>
                  <w:noWrap w:val="0"/>
                  <w:vAlign w:val="center"/>
                </w:tcPr>
                <w:p w14:paraId="6629B326">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台</w:t>
                  </w:r>
                </w:p>
              </w:tc>
              <w:tc>
                <w:tcPr>
                  <w:tcW w:w="563" w:type="pct"/>
                  <w:shd w:val="clear" w:color="auto" w:fill="auto"/>
                  <w:noWrap w:val="0"/>
                  <w:vAlign w:val="center"/>
                </w:tcPr>
                <w:p w14:paraId="1B019F35">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2</w:t>
                  </w:r>
                </w:p>
              </w:tc>
            </w:tr>
            <w:tr w14:paraId="53ACC8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pct"/>
                  <w:shd w:val="clear" w:color="auto" w:fill="auto"/>
                  <w:noWrap w:val="0"/>
                  <w:vAlign w:val="center"/>
                </w:tcPr>
                <w:p w14:paraId="7AA6F30C">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7</w:t>
                  </w:r>
                </w:p>
              </w:tc>
              <w:tc>
                <w:tcPr>
                  <w:tcW w:w="1609" w:type="pct"/>
                  <w:shd w:val="clear" w:color="auto" w:fill="auto"/>
                  <w:noWrap w:val="0"/>
                  <w:vAlign w:val="center"/>
                </w:tcPr>
                <w:p w14:paraId="2E95F4CD">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二氧化碳气体保护焊机</w:t>
                  </w:r>
                </w:p>
              </w:tc>
              <w:tc>
                <w:tcPr>
                  <w:tcW w:w="1841" w:type="pct"/>
                  <w:shd w:val="clear" w:color="auto" w:fill="auto"/>
                  <w:noWrap w:val="0"/>
                  <w:vAlign w:val="center"/>
                </w:tcPr>
                <w:p w14:paraId="6EA187F9">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NBC-250</w:t>
                  </w:r>
                </w:p>
              </w:tc>
              <w:tc>
                <w:tcPr>
                  <w:tcW w:w="563" w:type="pct"/>
                  <w:shd w:val="clear" w:color="auto" w:fill="auto"/>
                  <w:noWrap w:val="0"/>
                  <w:vAlign w:val="center"/>
                </w:tcPr>
                <w:p w14:paraId="2637FC5C">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台</w:t>
                  </w:r>
                </w:p>
              </w:tc>
              <w:tc>
                <w:tcPr>
                  <w:tcW w:w="563" w:type="pct"/>
                  <w:shd w:val="clear" w:color="auto" w:fill="auto"/>
                  <w:noWrap w:val="0"/>
                  <w:vAlign w:val="center"/>
                </w:tcPr>
                <w:p w14:paraId="5755C53E">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10</w:t>
                  </w:r>
                </w:p>
              </w:tc>
            </w:tr>
            <w:tr w14:paraId="5D6194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pct"/>
                  <w:noWrap w:val="0"/>
                  <w:vAlign w:val="center"/>
                </w:tcPr>
                <w:p w14:paraId="2A7F3EF0">
                  <w:pPr>
                    <w:adjustRightInd w:val="0"/>
                    <w:snapToGrid w:val="0"/>
                    <w:jc w:val="center"/>
                    <w:rPr>
                      <w:rFonts w:ascii="Times New Roman" w:hAnsi="Times New Roman" w:eastAsia="宋体" w:cs="Times New Roman"/>
                      <w:color w:val="auto"/>
                      <w:kern w:val="2"/>
                      <w:sz w:val="21"/>
                      <w:szCs w:val="24"/>
                      <w:lang w:val="en-US" w:eastAsia="zh-CN" w:bidi="ar-SA"/>
                    </w:rPr>
                  </w:pPr>
                  <w:r>
                    <w:rPr>
                      <w:rFonts w:ascii="Times New Roman" w:hAnsi="Times New Roman" w:eastAsia="宋体" w:cs="Times New Roman"/>
                      <w:color w:val="auto"/>
                    </w:rPr>
                    <w:t>8</w:t>
                  </w:r>
                </w:p>
              </w:tc>
              <w:tc>
                <w:tcPr>
                  <w:tcW w:w="1609" w:type="pct"/>
                  <w:noWrap w:val="0"/>
                  <w:vAlign w:val="center"/>
                </w:tcPr>
                <w:p w14:paraId="6230782E">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自动埋弧焊机</w:t>
                  </w:r>
                </w:p>
              </w:tc>
              <w:tc>
                <w:tcPr>
                  <w:tcW w:w="1841" w:type="pct"/>
                  <w:noWrap w:val="0"/>
                  <w:vAlign w:val="center"/>
                </w:tcPr>
                <w:p w14:paraId="224EC1F5">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Z-1250</w:t>
                  </w:r>
                </w:p>
              </w:tc>
              <w:tc>
                <w:tcPr>
                  <w:tcW w:w="563" w:type="pct"/>
                  <w:noWrap w:val="0"/>
                  <w:vAlign w:val="center"/>
                </w:tcPr>
                <w:p w14:paraId="7A0AC17F">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台</w:t>
                  </w:r>
                </w:p>
              </w:tc>
              <w:tc>
                <w:tcPr>
                  <w:tcW w:w="563" w:type="pct"/>
                  <w:noWrap w:val="0"/>
                  <w:vAlign w:val="center"/>
                </w:tcPr>
                <w:p w14:paraId="6894C131">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4</w:t>
                  </w:r>
                </w:p>
              </w:tc>
            </w:tr>
            <w:tr w14:paraId="5FE3FF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pct"/>
                  <w:noWrap w:val="0"/>
                  <w:vAlign w:val="center"/>
                </w:tcPr>
                <w:p w14:paraId="60AA0BD1">
                  <w:pPr>
                    <w:adjustRightInd w:val="0"/>
                    <w:snapToGrid w:val="0"/>
                    <w:jc w:val="center"/>
                    <w:rPr>
                      <w:rFonts w:ascii="Times New Roman" w:hAnsi="Times New Roman" w:eastAsia="宋体" w:cs="Times New Roman"/>
                      <w:color w:val="auto"/>
                      <w:kern w:val="2"/>
                      <w:sz w:val="21"/>
                      <w:szCs w:val="24"/>
                      <w:lang w:val="en-US" w:eastAsia="zh-CN" w:bidi="ar-SA"/>
                    </w:rPr>
                  </w:pPr>
                  <w:r>
                    <w:rPr>
                      <w:rFonts w:ascii="Times New Roman" w:hAnsi="Times New Roman" w:eastAsia="宋体" w:cs="Times New Roman"/>
                      <w:color w:val="auto"/>
                    </w:rPr>
                    <w:t>9</w:t>
                  </w:r>
                </w:p>
              </w:tc>
              <w:tc>
                <w:tcPr>
                  <w:tcW w:w="1609" w:type="pct"/>
                  <w:noWrap w:val="0"/>
                  <w:vAlign w:val="center"/>
                </w:tcPr>
                <w:p w14:paraId="4F551D39">
                  <w:pPr>
                    <w:adjustRightInd w:val="0"/>
                    <w:snapToGrid w:val="0"/>
                    <w:jc w:val="center"/>
                    <w:rPr>
                      <w:rFonts w:ascii="Times New Roman" w:hAnsi="Times New Roman" w:eastAsia="宋体" w:cs="Times New Roman"/>
                      <w:color w:val="auto"/>
                      <w:kern w:val="2"/>
                      <w:sz w:val="21"/>
                      <w:szCs w:val="24"/>
                      <w:lang w:val="en-US" w:eastAsia="zh-CN" w:bidi="ar-SA"/>
                    </w:rPr>
                  </w:pPr>
                  <w:r>
                    <w:rPr>
                      <w:rFonts w:ascii="Times New Roman" w:hAnsi="Times New Roman" w:eastAsia="宋体" w:cs="Times New Roman"/>
                      <w:color w:val="auto"/>
                    </w:rPr>
                    <w:t>液压矫正机</w:t>
                  </w:r>
                </w:p>
              </w:tc>
              <w:tc>
                <w:tcPr>
                  <w:tcW w:w="1841" w:type="pct"/>
                  <w:noWrap w:val="0"/>
                  <w:vAlign w:val="center"/>
                </w:tcPr>
                <w:p w14:paraId="604EDA37">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ascii="Times New Roman" w:hAnsi="Times New Roman" w:eastAsia="宋体" w:cs="Times New Roman"/>
                      <w:color w:val="auto"/>
                    </w:rPr>
                    <w:t>YJZ-600</w:t>
                  </w:r>
                </w:p>
              </w:tc>
              <w:tc>
                <w:tcPr>
                  <w:tcW w:w="563" w:type="pct"/>
                  <w:noWrap w:val="0"/>
                  <w:vAlign w:val="center"/>
                </w:tcPr>
                <w:p w14:paraId="4D198761">
                  <w:pPr>
                    <w:adjustRightInd w:val="0"/>
                    <w:snapToGrid w:val="0"/>
                    <w:jc w:val="center"/>
                    <w:rPr>
                      <w:rFonts w:ascii="Times New Roman" w:hAnsi="Times New Roman" w:eastAsia="宋体" w:cs="Times New Roman"/>
                      <w:color w:val="auto"/>
                      <w:kern w:val="2"/>
                      <w:sz w:val="21"/>
                      <w:szCs w:val="24"/>
                      <w:lang w:val="en-US" w:eastAsia="zh-CN" w:bidi="ar-SA"/>
                    </w:rPr>
                  </w:pPr>
                  <w:r>
                    <w:rPr>
                      <w:rFonts w:ascii="Times New Roman" w:hAnsi="Times New Roman" w:eastAsia="宋体" w:cs="Times New Roman"/>
                      <w:color w:val="auto"/>
                    </w:rPr>
                    <w:t>台</w:t>
                  </w:r>
                </w:p>
              </w:tc>
              <w:tc>
                <w:tcPr>
                  <w:tcW w:w="563" w:type="pct"/>
                  <w:noWrap w:val="0"/>
                  <w:vAlign w:val="center"/>
                </w:tcPr>
                <w:p w14:paraId="57A9036F">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4</w:t>
                  </w:r>
                </w:p>
              </w:tc>
            </w:tr>
            <w:tr w14:paraId="18B2FC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pct"/>
                  <w:noWrap w:val="0"/>
                  <w:vAlign w:val="center"/>
                </w:tcPr>
                <w:p w14:paraId="07F325BE">
                  <w:pPr>
                    <w:adjustRightInd w:val="0"/>
                    <w:snapToGrid w:val="0"/>
                    <w:jc w:val="center"/>
                    <w:rPr>
                      <w:rFonts w:ascii="Times New Roman" w:hAnsi="Times New Roman" w:eastAsia="宋体" w:cs="Times New Roman"/>
                      <w:color w:val="auto"/>
                      <w:kern w:val="2"/>
                      <w:sz w:val="21"/>
                      <w:szCs w:val="24"/>
                      <w:lang w:val="en-US" w:eastAsia="zh-CN" w:bidi="ar-SA"/>
                    </w:rPr>
                  </w:pPr>
                  <w:r>
                    <w:rPr>
                      <w:rFonts w:ascii="Times New Roman" w:hAnsi="Times New Roman" w:eastAsia="宋体" w:cs="Times New Roman"/>
                      <w:color w:val="auto"/>
                    </w:rPr>
                    <w:t>10</w:t>
                  </w:r>
                </w:p>
              </w:tc>
              <w:tc>
                <w:tcPr>
                  <w:tcW w:w="1609" w:type="pct"/>
                  <w:noWrap w:val="0"/>
                  <w:vAlign w:val="center"/>
                </w:tcPr>
                <w:p w14:paraId="6EE672EB">
                  <w:pPr>
                    <w:adjustRightInd w:val="0"/>
                    <w:snapToGrid w:val="0"/>
                    <w:jc w:val="center"/>
                    <w:rPr>
                      <w:rFonts w:ascii="Times New Roman" w:hAnsi="Times New Roman" w:eastAsia="宋体" w:cs="Times New Roman"/>
                      <w:color w:val="auto"/>
                      <w:lang w:val="en-US" w:eastAsia="zh-CN"/>
                    </w:rPr>
                  </w:pPr>
                  <w:r>
                    <w:rPr>
                      <w:rFonts w:ascii="Times New Roman" w:hAnsi="Times New Roman" w:eastAsia="宋体" w:cs="Times New Roman"/>
                      <w:color w:val="auto"/>
                      <w:lang w:val="en-US" w:eastAsia="zh-CN"/>
                    </w:rPr>
                    <w:t>大型卷板机</w:t>
                  </w:r>
                </w:p>
              </w:tc>
              <w:tc>
                <w:tcPr>
                  <w:tcW w:w="1841" w:type="pct"/>
                  <w:noWrap w:val="0"/>
                  <w:vAlign w:val="center"/>
                </w:tcPr>
                <w:p w14:paraId="7DB4C5CF">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563" w:type="pct"/>
                  <w:noWrap w:val="0"/>
                  <w:vAlign w:val="center"/>
                </w:tcPr>
                <w:p w14:paraId="59FD36ED">
                  <w:pPr>
                    <w:adjustRightInd w:val="0"/>
                    <w:snapToGrid w:val="0"/>
                    <w:jc w:val="center"/>
                    <w:rPr>
                      <w:rFonts w:ascii="Times New Roman" w:hAnsi="Times New Roman" w:eastAsia="宋体" w:cs="Times New Roman"/>
                      <w:color w:val="auto"/>
                      <w:lang w:val="en-US" w:eastAsia="zh-CN"/>
                    </w:rPr>
                  </w:pPr>
                  <w:r>
                    <w:rPr>
                      <w:rFonts w:ascii="Times New Roman" w:hAnsi="Times New Roman" w:eastAsia="宋体" w:cs="Times New Roman"/>
                      <w:color w:val="auto"/>
                    </w:rPr>
                    <w:t>台</w:t>
                  </w:r>
                </w:p>
              </w:tc>
              <w:tc>
                <w:tcPr>
                  <w:tcW w:w="563" w:type="pct"/>
                  <w:noWrap w:val="0"/>
                  <w:vAlign w:val="center"/>
                </w:tcPr>
                <w:p w14:paraId="440D2978">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w:t>
                  </w:r>
                </w:p>
              </w:tc>
            </w:tr>
            <w:tr w14:paraId="498AA8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421" w:type="pct"/>
                  <w:noWrap w:val="0"/>
                  <w:vAlign w:val="center"/>
                </w:tcPr>
                <w:p w14:paraId="319C5378">
                  <w:pPr>
                    <w:adjustRightInd w:val="0"/>
                    <w:snapToGrid w:val="0"/>
                    <w:jc w:val="center"/>
                    <w:rPr>
                      <w:rFonts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rPr>
                    <w:t>11</w:t>
                  </w:r>
                </w:p>
              </w:tc>
              <w:tc>
                <w:tcPr>
                  <w:tcW w:w="1609" w:type="pct"/>
                  <w:noWrap w:val="0"/>
                  <w:vAlign w:val="center"/>
                </w:tcPr>
                <w:p w14:paraId="325E6A76">
                  <w:pPr>
                    <w:adjustRightInd w:val="0"/>
                    <w:snapToGrid w:val="0"/>
                    <w:jc w:val="center"/>
                    <w:rPr>
                      <w:rFonts w:ascii="Times New Roman" w:hAnsi="Times New Roman" w:eastAsia="宋体" w:cs="Times New Roman"/>
                      <w:color w:val="auto"/>
                      <w:lang w:val="en-US" w:eastAsia="zh-CN"/>
                    </w:rPr>
                  </w:pPr>
                  <w:r>
                    <w:rPr>
                      <w:rFonts w:ascii="Times New Roman" w:hAnsi="Times New Roman" w:eastAsia="宋体" w:cs="Times New Roman"/>
                      <w:color w:val="auto"/>
                    </w:rPr>
                    <w:t>剪板机</w:t>
                  </w:r>
                </w:p>
              </w:tc>
              <w:tc>
                <w:tcPr>
                  <w:tcW w:w="1841" w:type="pct"/>
                  <w:noWrap w:val="0"/>
                  <w:vAlign w:val="center"/>
                </w:tcPr>
                <w:p w14:paraId="3A280D5F">
                  <w:pPr>
                    <w:adjustRightInd w:val="0"/>
                    <w:snapToGrid w:val="0"/>
                    <w:jc w:val="center"/>
                    <w:rPr>
                      <w:rFonts w:hint="eastAsia" w:ascii="Times New Roman" w:hAnsi="Times New Roman" w:eastAsia="宋体" w:cs="Times New Roman"/>
                      <w:color w:val="auto"/>
                      <w:lang w:val="en-US" w:eastAsia="zh-CN"/>
                    </w:rPr>
                  </w:pPr>
                  <w:r>
                    <w:rPr>
                      <w:rFonts w:ascii="Times New Roman" w:hAnsi="Times New Roman" w:eastAsia="宋体" w:cs="Times New Roman"/>
                      <w:color w:val="auto"/>
                    </w:rPr>
                    <w:t>QC11Y</w:t>
                  </w:r>
                  <w:r>
                    <w:rPr>
                      <w:rFonts w:hint="eastAsia" w:ascii="Times New Roman" w:hAnsi="Times New Roman" w:eastAsia="宋体" w:cs="Times New Roman"/>
                      <w:color w:val="auto"/>
                    </w:rPr>
                    <w:t>-25</w:t>
                  </w:r>
                  <w:r>
                    <w:rPr>
                      <w:rFonts w:ascii="Times New Roman" w:hAnsi="Times New Roman" w:eastAsia="宋体" w:cs="Times New Roman"/>
                      <w:color w:val="auto"/>
                    </w:rPr>
                    <w:t>×2500</w:t>
                  </w:r>
                </w:p>
              </w:tc>
              <w:tc>
                <w:tcPr>
                  <w:tcW w:w="563" w:type="pct"/>
                  <w:noWrap w:val="0"/>
                  <w:vAlign w:val="center"/>
                </w:tcPr>
                <w:p w14:paraId="38084AF8">
                  <w:pPr>
                    <w:adjustRightInd w:val="0"/>
                    <w:snapToGrid w:val="0"/>
                    <w:jc w:val="center"/>
                    <w:rPr>
                      <w:rFonts w:ascii="Times New Roman" w:hAnsi="Times New Roman" w:eastAsia="宋体" w:cs="Times New Roman"/>
                      <w:color w:val="auto"/>
                      <w:lang w:val="en-US" w:eastAsia="zh-CN"/>
                    </w:rPr>
                  </w:pPr>
                  <w:r>
                    <w:rPr>
                      <w:rFonts w:ascii="Times New Roman" w:hAnsi="Times New Roman" w:eastAsia="宋体" w:cs="Times New Roman"/>
                      <w:color w:val="auto"/>
                    </w:rPr>
                    <w:t>台</w:t>
                  </w:r>
                </w:p>
              </w:tc>
              <w:tc>
                <w:tcPr>
                  <w:tcW w:w="563" w:type="pct"/>
                  <w:noWrap w:val="0"/>
                  <w:vAlign w:val="center"/>
                </w:tcPr>
                <w:p w14:paraId="44790A14">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w:t>
                  </w:r>
                </w:p>
              </w:tc>
            </w:tr>
            <w:tr w14:paraId="2D94DF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pct"/>
                  <w:noWrap w:val="0"/>
                  <w:vAlign w:val="center"/>
                </w:tcPr>
                <w:p w14:paraId="12F66865">
                  <w:pPr>
                    <w:adjustRightInd w:val="0"/>
                    <w:snapToGrid w:val="0"/>
                    <w:jc w:val="center"/>
                    <w:rPr>
                      <w:rFonts w:ascii="Times New Roman" w:hAnsi="Times New Roman" w:eastAsia="宋体" w:cs="Times New Roman"/>
                      <w:color w:val="auto"/>
                      <w:kern w:val="2"/>
                      <w:sz w:val="21"/>
                      <w:szCs w:val="24"/>
                      <w:lang w:val="en-US" w:eastAsia="zh-CN" w:bidi="ar-SA"/>
                    </w:rPr>
                  </w:pPr>
                  <w:r>
                    <w:rPr>
                      <w:rFonts w:ascii="Times New Roman" w:hAnsi="Times New Roman" w:eastAsia="宋体" w:cs="Times New Roman"/>
                      <w:color w:val="auto"/>
                    </w:rPr>
                    <w:t>12</w:t>
                  </w:r>
                </w:p>
              </w:tc>
              <w:tc>
                <w:tcPr>
                  <w:tcW w:w="1609" w:type="pct"/>
                  <w:noWrap w:val="0"/>
                  <w:vAlign w:val="center"/>
                </w:tcPr>
                <w:p w14:paraId="0ACDF91F">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磨光机</w:t>
                  </w:r>
                </w:p>
              </w:tc>
              <w:tc>
                <w:tcPr>
                  <w:tcW w:w="1841" w:type="pct"/>
                  <w:noWrap w:val="0"/>
                  <w:vAlign w:val="center"/>
                </w:tcPr>
                <w:p w14:paraId="6C575A5E">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563" w:type="pct"/>
                  <w:noWrap w:val="0"/>
                  <w:vAlign w:val="center"/>
                </w:tcPr>
                <w:p w14:paraId="5C48895D">
                  <w:pPr>
                    <w:adjustRightInd w:val="0"/>
                    <w:snapToGrid w:val="0"/>
                    <w:jc w:val="center"/>
                    <w:rPr>
                      <w:rFonts w:hint="eastAsia" w:ascii="Times New Roman" w:hAnsi="Times New Roman" w:eastAsia="宋体" w:cs="Times New Roman"/>
                      <w:color w:val="auto"/>
                      <w:lang w:val="en-US" w:eastAsia="zh-CN"/>
                    </w:rPr>
                  </w:pPr>
                  <w:r>
                    <w:rPr>
                      <w:rFonts w:ascii="Times New Roman" w:hAnsi="Times New Roman" w:eastAsia="宋体" w:cs="Times New Roman"/>
                      <w:color w:val="auto"/>
                    </w:rPr>
                    <w:t>台</w:t>
                  </w:r>
                </w:p>
              </w:tc>
              <w:tc>
                <w:tcPr>
                  <w:tcW w:w="563" w:type="pct"/>
                  <w:noWrap w:val="0"/>
                  <w:vAlign w:val="center"/>
                </w:tcPr>
                <w:p w14:paraId="28DBCC53">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w:t>
                  </w:r>
                </w:p>
              </w:tc>
            </w:tr>
            <w:tr w14:paraId="57D2B5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pct"/>
                  <w:noWrap w:val="0"/>
                  <w:vAlign w:val="center"/>
                </w:tcPr>
                <w:p w14:paraId="6FA68631">
                  <w:pPr>
                    <w:adjustRightInd w:val="0"/>
                    <w:snapToGrid w:val="0"/>
                    <w:jc w:val="center"/>
                    <w:rPr>
                      <w:rFonts w:ascii="Times New Roman" w:hAnsi="Times New Roman" w:eastAsia="宋体" w:cs="Times New Roman"/>
                      <w:color w:val="auto"/>
                      <w:kern w:val="2"/>
                      <w:sz w:val="21"/>
                      <w:szCs w:val="24"/>
                      <w:lang w:val="en-US" w:eastAsia="zh-CN" w:bidi="ar-SA"/>
                    </w:rPr>
                  </w:pPr>
                  <w:r>
                    <w:rPr>
                      <w:rFonts w:ascii="Times New Roman" w:hAnsi="Times New Roman" w:eastAsia="宋体" w:cs="Times New Roman"/>
                      <w:color w:val="auto"/>
                    </w:rPr>
                    <w:t>13</w:t>
                  </w:r>
                </w:p>
              </w:tc>
              <w:tc>
                <w:tcPr>
                  <w:tcW w:w="1609" w:type="pct"/>
                  <w:noWrap w:val="0"/>
                  <w:vAlign w:val="center"/>
                </w:tcPr>
                <w:p w14:paraId="54AA32FE">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桥式起重机</w:t>
                  </w:r>
                </w:p>
              </w:tc>
              <w:tc>
                <w:tcPr>
                  <w:tcW w:w="1841" w:type="pct"/>
                  <w:noWrap w:val="0"/>
                  <w:vAlign w:val="center"/>
                </w:tcPr>
                <w:p w14:paraId="5C13F5E0">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10T</w:t>
                  </w:r>
                </w:p>
              </w:tc>
              <w:tc>
                <w:tcPr>
                  <w:tcW w:w="563" w:type="pct"/>
                  <w:noWrap w:val="0"/>
                  <w:vAlign w:val="center"/>
                </w:tcPr>
                <w:p w14:paraId="7C7F593A">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台</w:t>
                  </w:r>
                </w:p>
              </w:tc>
              <w:tc>
                <w:tcPr>
                  <w:tcW w:w="563" w:type="pct"/>
                  <w:noWrap w:val="0"/>
                  <w:vAlign w:val="center"/>
                </w:tcPr>
                <w:p w14:paraId="64A88D0B">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10</w:t>
                  </w:r>
                </w:p>
              </w:tc>
            </w:tr>
            <w:tr w14:paraId="1904B8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pct"/>
                  <w:noWrap w:val="0"/>
                  <w:vAlign w:val="center"/>
                </w:tcPr>
                <w:p w14:paraId="095FFE5D">
                  <w:pPr>
                    <w:adjustRightInd w:val="0"/>
                    <w:snapToGrid w:val="0"/>
                    <w:jc w:val="center"/>
                    <w:rPr>
                      <w:rFonts w:ascii="Times New Roman" w:hAnsi="Times New Roman" w:eastAsia="宋体" w:cs="Times New Roman"/>
                      <w:color w:val="auto"/>
                      <w:kern w:val="2"/>
                      <w:sz w:val="21"/>
                      <w:szCs w:val="24"/>
                      <w:lang w:val="en-US" w:eastAsia="zh-CN" w:bidi="ar-SA"/>
                    </w:rPr>
                  </w:pPr>
                  <w:r>
                    <w:rPr>
                      <w:rFonts w:ascii="Times New Roman" w:hAnsi="Times New Roman" w:eastAsia="宋体" w:cs="Times New Roman"/>
                      <w:color w:val="auto"/>
                    </w:rPr>
                    <w:t>14</w:t>
                  </w:r>
                </w:p>
              </w:tc>
              <w:tc>
                <w:tcPr>
                  <w:tcW w:w="1609" w:type="pct"/>
                  <w:noWrap w:val="0"/>
                  <w:vAlign w:val="center"/>
                </w:tcPr>
                <w:p w14:paraId="71567CEC">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门式起重机</w:t>
                  </w:r>
                </w:p>
              </w:tc>
              <w:tc>
                <w:tcPr>
                  <w:tcW w:w="1841" w:type="pct"/>
                  <w:noWrap w:val="0"/>
                  <w:vAlign w:val="center"/>
                </w:tcPr>
                <w:p w14:paraId="5EC93367">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5T/10T</w:t>
                  </w:r>
                </w:p>
              </w:tc>
              <w:tc>
                <w:tcPr>
                  <w:tcW w:w="563" w:type="pct"/>
                  <w:noWrap w:val="0"/>
                  <w:vAlign w:val="center"/>
                </w:tcPr>
                <w:p w14:paraId="2F69472C">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台</w:t>
                  </w:r>
                </w:p>
              </w:tc>
              <w:tc>
                <w:tcPr>
                  <w:tcW w:w="563" w:type="pct"/>
                  <w:noWrap w:val="0"/>
                  <w:vAlign w:val="center"/>
                </w:tcPr>
                <w:p w14:paraId="27F77728">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6</w:t>
                  </w:r>
                </w:p>
              </w:tc>
            </w:tr>
            <w:tr w14:paraId="2B19F8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pct"/>
                  <w:noWrap w:val="0"/>
                  <w:vAlign w:val="center"/>
                </w:tcPr>
                <w:p w14:paraId="0425D736">
                  <w:pPr>
                    <w:adjustRightInd w:val="0"/>
                    <w:snapToGrid w:val="0"/>
                    <w:jc w:val="center"/>
                    <w:rPr>
                      <w:rFonts w:ascii="Times New Roman" w:hAnsi="Times New Roman" w:eastAsia="宋体" w:cs="Times New Roman"/>
                      <w:color w:val="auto"/>
                      <w:kern w:val="2"/>
                      <w:sz w:val="21"/>
                      <w:szCs w:val="24"/>
                      <w:lang w:val="en-US" w:eastAsia="zh-CN" w:bidi="ar-SA"/>
                    </w:rPr>
                  </w:pPr>
                  <w:r>
                    <w:rPr>
                      <w:rFonts w:ascii="Times New Roman" w:hAnsi="Times New Roman" w:eastAsia="宋体" w:cs="Times New Roman"/>
                      <w:color w:val="auto"/>
                    </w:rPr>
                    <w:t>15</w:t>
                  </w:r>
                </w:p>
              </w:tc>
              <w:tc>
                <w:tcPr>
                  <w:tcW w:w="1609" w:type="pct"/>
                  <w:noWrap w:val="0"/>
                  <w:vAlign w:val="center"/>
                </w:tcPr>
                <w:p w14:paraId="496DBA69">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行车</w:t>
                  </w:r>
                </w:p>
              </w:tc>
              <w:tc>
                <w:tcPr>
                  <w:tcW w:w="1841" w:type="pct"/>
                  <w:noWrap w:val="0"/>
                  <w:vAlign w:val="center"/>
                </w:tcPr>
                <w:p w14:paraId="0B192CA7">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563" w:type="pct"/>
                  <w:noWrap w:val="0"/>
                  <w:vAlign w:val="center"/>
                </w:tcPr>
                <w:p w14:paraId="101C552E">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台</w:t>
                  </w:r>
                </w:p>
              </w:tc>
              <w:tc>
                <w:tcPr>
                  <w:tcW w:w="563" w:type="pct"/>
                  <w:noWrap w:val="0"/>
                  <w:vAlign w:val="center"/>
                </w:tcPr>
                <w:p w14:paraId="6607CBF6">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w:t>
                  </w:r>
                </w:p>
              </w:tc>
            </w:tr>
            <w:tr w14:paraId="6F83BD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pct"/>
                  <w:noWrap w:val="0"/>
                  <w:vAlign w:val="center"/>
                </w:tcPr>
                <w:p w14:paraId="68E8B954">
                  <w:pPr>
                    <w:adjustRightInd w:val="0"/>
                    <w:snapToGrid w:val="0"/>
                    <w:jc w:val="center"/>
                    <w:rPr>
                      <w:rFonts w:ascii="Times New Roman" w:hAnsi="Times New Roman" w:eastAsia="宋体" w:cs="Times New Roman"/>
                      <w:color w:val="auto"/>
                      <w:kern w:val="2"/>
                      <w:sz w:val="21"/>
                      <w:szCs w:val="24"/>
                      <w:lang w:val="en-US" w:eastAsia="zh-CN" w:bidi="ar-SA"/>
                    </w:rPr>
                  </w:pPr>
                  <w:r>
                    <w:rPr>
                      <w:rFonts w:ascii="Times New Roman" w:hAnsi="Times New Roman" w:eastAsia="宋体" w:cs="Times New Roman"/>
                      <w:color w:val="auto"/>
                    </w:rPr>
                    <w:t>16</w:t>
                  </w:r>
                </w:p>
              </w:tc>
              <w:tc>
                <w:tcPr>
                  <w:tcW w:w="1609" w:type="pct"/>
                  <w:noWrap w:val="0"/>
                  <w:vAlign w:val="center"/>
                </w:tcPr>
                <w:p w14:paraId="348BE7F0">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超声波探伤仪</w:t>
                  </w:r>
                </w:p>
              </w:tc>
              <w:tc>
                <w:tcPr>
                  <w:tcW w:w="1841" w:type="pct"/>
                  <w:noWrap w:val="0"/>
                  <w:vAlign w:val="center"/>
                </w:tcPr>
                <w:p w14:paraId="3BEE9B1F">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563" w:type="pct"/>
                  <w:noWrap w:val="0"/>
                  <w:vAlign w:val="center"/>
                </w:tcPr>
                <w:p w14:paraId="29E6311A">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台</w:t>
                  </w:r>
                </w:p>
              </w:tc>
              <w:tc>
                <w:tcPr>
                  <w:tcW w:w="563" w:type="pct"/>
                  <w:noWrap w:val="0"/>
                  <w:vAlign w:val="center"/>
                </w:tcPr>
                <w:p w14:paraId="482FEB09">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w:t>
                  </w:r>
                </w:p>
              </w:tc>
            </w:tr>
            <w:tr w14:paraId="38C9B2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pct"/>
                  <w:noWrap w:val="0"/>
                  <w:vAlign w:val="center"/>
                </w:tcPr>
                <w:p w14:paraId="4B3D4881">
                  <w:pPr>
                    <w:adjustRightInd w:val="0"/>
                    <w:snapToGrid w:val="0"/>
                    <w:jc w:val="center"/>
                    <w:rPr>
                      <w:rFonts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rPr>
                    <w:t>17</w:t>
                  </w:r>
                </w:p>
              </w:tc>
              <w:tc>
                <w:tcPr>
                  <w:tcW w:w="1609" w:type="pct"/>
                  <w:noWrap w:val="0"/>
                  <w:vAlign w:val="center"/>
                </w:tcPr>
                <w:p w14:paraId="363DFD0C">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涂层测厚仪</w:t>
                  </w:r>
                </w:p>
              </w:tc>
              <w:tc>
                <w:tcPr>
                  <w:tcW w:w="1841" w:type="pct"/>
                  <w:noWrap w:val="0"/>
                  <w:vAlign w:val="center"/>
                </w:tcPr>
                <w:p w14:paraId="2E955668">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563" w:type="pct"/>
                  <w:noWrap w:val="0"/>
                  <w:vAlign w:val="center"/>
                </w:tcPr>
                <w:p w14:paraId="3915299A">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台</w:t>
                  </w:r>
                </w:p>
              </w:tc>
              <w:tc>
                <w:tcPr>
                  <w:tcW w:w="563" w:type="pct"/>
                  <w:noWrap w:val="0"/>
                  <w:vAlign w:val="center"/>
                </w:tcPr>
                <w:p w14:paraId="2E840097">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w:t>
                  </w:r>
                </w:p>
              </w:tc>
            </w:tr>
            <w:tr w14:paraId="0E7F6C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pct"/>
                  <w:noWrap w:val="0"/>
                  <w:vAlign w:val="center"/>
                </w:tcPr>
                <w:p w14:paraId="1DB10962">
                  <w:pPr>
                    <w:adjustRightInd w:val="0"/>
                    <w:snapToGrid w:val="0"/>
                    <w:jc w:val="center"/>
                    <w:rPr>
                      <w:rFonts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rPr>
                    <w:t>18</w:t>
                  </w:r>
                </w:p>
              </w:tc>
              <w:tc>
                <w:tcPr>
                  <w:tcW w:w="1609" w:type="pct"/>
                  <w:noWrap w:val="0"/>
                  <w:vAlign w:val="center"/>
                </w:tcPr>
                <w:p w14:paraId="7ECF4005">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干式变压器</w:t>
                  </w:r>
                </w:p>
              </w:tc>
              <w:tc>
                <w:tcPr>
                  <w:tcW w:w="1841" w:type="pct"/>
                  <w:noWrap w:val="0"/>
                  <w:vAlign w:val="center"/>
                </w:tcPr>
                <w:p w14:paraId="5AE6976B">
                  <w:pPr>
                    <w:adjustRightInd w:val="0"/>
                    <w:snapToGrid w:val="0"/>
                    <w:jc w:val="center"/>
                    <w:rPr>
                      <w:rFonts w:ascii="Times New Roman" w:hAnsi="Times New Roman" w:eastAsia="宋体" w:cs="Times New Roman"/>
                      <w:color w:val="auto"/>
                      <w:lang w:val="en-US" w:eastAsia="zh-CN"/>
                    </w:rPr>
                  </w:pPr>
                  <w:r>
                    <w:rPr>
                      <w:rFonts w:hint="eastAsia" w:ascii="Times New Roman" w:hAnsi="Times New Roman" w:eastAsia="宋体" w:cs="Times New Roman"/>
                      <w:color w:val="auto"/>
                    </w:rPr>
                    <w:t>250kVA</w:t>
                  </w:r>
                </w:p>
              </w:tc>
              <w:tc>
                <w:tcPr>
                  <w:tcW w:w="563" w:type="pct"/>
                  <w:noWrap w:val="0"/>
                  <w:vAlign w:val="center"/>
                </w:tcPr>
                <w:p w14:paraId="448EE006">
                  <w:pPr>
                    <w:adjustRightInd w:val="0"/>
                    <w:snapToGrid w:val="0"/>
                    <w:jc w:val="center"/>
                    <w:rPr>
                      <w:rFonts w:hint="eastAsia" w:ascii="Times New Roman" w:hAnsi="Times New Roman" w:eastAsia="宋体" w:cs="Times New Roman"/>
                      <w:color w:val="auto"/>
                      <w:lang w:val="en-US" w:eastAsia="zh-CN"/>
                    </w:rPr>
                  </w:pPr>
                  <w:r>
                    <w:rPr>
                      <w:rFonts w:ascii="Times New Roman" w:hAnsi="Times New Roman" w:eastAsia="宋体" w:cs="Times New Roman"/>
                      <w:color w:val="auto"/>
                    </w:rPr>
                    <w:t>台</w:t>
                  </w:r>
                </w:p>
              </w:tc>
              <w:tc>
                <w:tcPr>
                  <w:tcW w:w="563" w:type="pct"/>
                  <w:noWrap w:val="0"/>
                  <w:vAlign w:val="center"/>
                </w:tcPr>
                <w:p w14:paraId="52A09F66">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1</w:t>
                  </w:r>
                </w:p>
              </w:tc>
            </w:tr>
            <w:tr w14:paraId="10C8E4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pct"/>
                  <w:noWrap w:val="0"/>
                  <w:vAlign w:val="center"/>
                </w:tcPr>
                <w:p w14:paraId="1DD5F607">
                  <w:pPr>
                    <w:adjustRightInd w:val="0"/>
                    <w:snapToGrid w:val="0"/>
                    <w:jc w:val="center"/>
                    <w:rPr>
                      <w:rFonts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rPr>
                    <w:t>19</w:t>
                  </w:r>
                </w:p>
              </w:tc>
              <w:tc>
                <w:tcPr>
                  <w:tcW w:w="1609" w:type="pct"/>
                  <w:noWrap w:val="0"/>
                  <w:vAlign w:val="center"/>
                </w:tcPr>
                <w:p w14:paraId="5AB06730">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升降作业平台</w:t>
                  </w:r>
                </w:p>
              </w:tc>
              <w:tc>
                <w:tcPr>
                  <w:tcW w:w="1841" w:type="pct"/>
                  <w:noWrap w:val="0"/>
                  <w:vAlign w:val="center"/>
                </w:tcPr>
                <w:p w14:paraId="41250ADD">
                  <w:pPr>
                    <w:adjustRightInd w:val="0"/>
                    <w:snapToGrid w:val="0"/>
                    <w:jc w:val="center"/>
                    <w:rPr>
                      <w:rFonts w:ascii="Times New Roman" w:hAnsi="Times New Roman" w:eastAsia="宋体" w:cs="Times New Roman"/>
                      <w:color w:val="auto"/>
                      <w:lang w:val="en-US" w:eastAsia="zh-CN"/>
                    </w:rPr>
                  </w:pPr>
                  <w:r>
                    <w:rPr>
                      <w:rFonts w:hint="eastAsia" w:ascii="Times New Roman" w:hAnsi="Times New Roman" w:eastAsia="宋体" w:cs="Times New Roman"/>
                      <w:color w:val="auto"/>
                    </w:rPr>
                    <w:t>/</w:t>
                  </w:r>
                </w:p>
              </w:tc>
              <w:tc>
                <w:tcPr>
                  <w:tcW w:w="563" w:type="pct"/>
                  <w:noWrap w:val="0"/>
                  <w:vAlign w:val="center"/>
                </w:tcPr>
                <w:p w14:paraId="51E0BE3F">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套</w:t>
                  </w:r>
                </w:p>
              </w:tc>
              <w:tc>
                <w:tcPr>
                  <w:tcW w:w="563" w:type="pct"/>
                  <w:noWrap w:val="0"/>
                  <w:vAlign w:val="center"/>
                </w:tcPr>
                <w:p w14:paraId="15A33E07">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w:t>
                  </w:r>
                </w:p>
              </w:tc>
            </w:tr>
            <w:tr w14:paraId="175AA9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pct"/>
                  <w:noWrap w:val="0"/>
                  <w:vAlign w:val="center"/>
                </w:tcPr>
                <w:p w14:paraId="4AD3D694">
                  <w:pPr>
                    <w:adjustRightInd w:val="0"/>
                    <w:snapToGrid w:val="0"/>
                    <w:jc w:val="center"/>
                    <w:rPr>
                      <w:rFonts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rPr>
                    <w:t>20</w:t>
                  </w:r>
                </w:p>
              </w:tc>
              <w:tc>
                <w:tcPr>
                  <w:tcW w:w="1609" w:type="pct"/>
                  <w:noWrap w:val="0"/>
                  <w:vAlign w:val="center"/>
                </w:tcPr>
                <w:p w14:paraId="46456CA2">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可燃气体浓度检测仪</w:t>
                  </w:r>
                </w:p>
              </w:tc>
              <w:tc>
                <w:tcPr>
                  <w:tcW w:w="1841" w:type="pct"/>
                  <w:noWrap w:val="0"/>
                  <w:vAlign w:val="center"/>
                </w:tcPr>
                <w:p w14:paraId="7AF00A20">
                  <w:pPr>
                    <w:adjustRightInd w:val="0"/>
                    <w:snapToGrid w:val="0"/>
                    <w:jc w:val="center"/>
                    <w:rPr>
                      <w:rFonts w:ascii="Times New Roman" w:hAnsi="Times New Roman" w:eastAsia="宋体" w:cs="Times New Roman"/>
                      <w:color w:val="auto"/>
                      <w:lang w:val="en-US" w:eastAsia="zh-CN"/>
                    </w:rPr>
                  </w:pPr>
                  <w:r>
                    <w:rPr>
                      <w:rFonts w:hint="default" w:ascii="Times New Roman" w:hAnsi="Times New Roman" w:eastAsia="宋体" w:cs="Times New Roman"/>
                      <w:color w:val="auto"/>
                      <w:sz w:val="21"/>
                      <w:szCs w:val="21"/>
                      <w:highlight w:val="none"/>
                      <w:lang w:val="en-US" w:eastAsia="zh-CN"/>
                    </w:rPr>
                    <w:t>PLT8 40</w:t>
                  </w:r>
                </w:p>
              </w:tc>
              <w:tc>
                <w:tcPr>
                  <w:tcW w:w="563" w:type="pct"/>
                  <w:noWrap w:val="0"/>
                  <w:vAlign w:val="center"/>
                </w:tcPr>
                <w:p w14:paraId="0CE86DE1">
                  <w:pPr>
                    <w:adjustRightInd w:val="0"/>
                    <w:snapToGrid w:val="0"/>
                    <w:jc w:val="center"/>
                    <w:rPr>
                      <w:rFonts w:hint="eastAsia" w:ascii="Times New Roman" w:hAnsi="Times New Roman" w:eastAsia="宋体" w:cs="Times New Roman"/>
                      <w:color w:val="auto"/>
                      <w:lang w:val="en-US" w:eastAsia="zh-CN"/>
                    </w:rPr>
                  </w:pPr>
                  <w:r>
                    <w:rPr>
                      <w:rFonts w:ascii="Times New Roman" w:hAnsi="Times New Roman" w:eastAsia="宋体" w:cs="Times New Roman"/>
                      <w:color w:val="auto"/>
                    </w:rPr>
                    <w:t>台</w:t>
                  </w:r>
                </w:p>
              </w:tc>
              <w:tc>
                <w:tcPr>
                  <w:tcW w:w="563" w:type="pct"/>
                  <w:noWrap w:val="0"/>
                  <w:vAlign w:val="center"/>
                </w:tcPr>
                <w:p w14:paraId="7CEA5B9F">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1</w:t>
                  </w:r>
                </w:p>
              </w:tc>
            </w:tr>
            <w:tr w14:paraId="03D042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pct"/>
                  <w:noWrap w:val="0"/>
                  <w:vAlign w:val="center"/>
                </w:tcPr>
                <w:p w14:paraId="49947D3A">
                  <w:pPr>
                    <w:adjustRightInd w:val="0"/>
                    <w:snapToGrid w:val="0"/>
                    <w:jc w:val="center"/>
                    <w:rPr>
                      <w:rFonts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rPr>
                    <w:t>21</w:t>
                  </w:r>
                </w:p>
              </w:tc>
              <w:tc>
                <w:tcPr>
                  <w:tcW w:w="1609" w:type="pct"/>
                  <w:noWrap w:val="0"/>
                  <w:vAlign w:val="center"/>
                </w:tcPr>
                <w:p w14:paraId="60EABC58">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火灾自动报警装置</w:t>
                  </w:r>
                </w:p>
              </w:tc>
              <w:tc>
                <w:tcPr>
                  <w:tcW w:w="1841" w:type="pct"/>
                  <w:noWrap w:val="0"/>
                  <w:vAlign w:val="center"/>
                </w:tcPr>
                <w:p w14:paraId="0E1FE3F1">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GY-BNT1000</w:t>
                  </w:r>
                </w:p>
              </w:tc>
              <w:tc>
                <w:tcPr>
                  <w:tcW w:w="563" w:type="pct"/>
                  <w:noWrap w:val="0"/>
                  <w:vAlign w:val="center"/>
                </w:tcPr>
                <w:p w14:paraId="1C1C740E">
                  <w:pPr>
                    <w:adjustRightInd w:val="0"/>
                    <w:snapToGrid w:val="0"/>
                    <w:jc w:val="center"/>
                    <w:rPr>
                      <w:rFonts w:hint="default" w:ascii="Times New Roman" w:hAnsi="Times New Roman" w:eastAsia="宋体" w:cs="Times New Roman"/>
                      <w:color w:val="auto"/>
                      <w:lang w:val="en-US" w:eastAsia="zh-CN"/>
                    </w:rPr>
                  </w:pPr>
                  <w:r>
                    <w:rPr>
                      <w:rFonts w:ascii="Times New Roman" w:hAnsi="Times New Roman" w:eastAsia="宋体" w:cs="Times New Roman"/>
                      <w:color w:val="auto"/>
                    </w:rPr>
                    <w:t>台</w:t>
                  </w:r>
                </w:p>
              </w:tc>
              <w:tc>
                <w:tcPr>
                  <w:tcW w:w="563" w:type="pct"/>
                  <w:noWrap w:val="0"/>
                  <w:vAlign w:val="center"/>
                </w:tcPr>
                <w:p w14:paraId="3851C2BC">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1</w:t>
                  </w:r>
                </w:p>
              </w:tc>
            </w:tr>
            <w:tr w14:paraId="71BD71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pct"/>
                  <w:noWrap w:val="0"/>
                  <w:vAlign w:val="center"/>
                </w:tcPr>
                <w:p w14:paraId="5D31D4E5">
                  <w:pPr>
                    <w:adjustRightInd w:val="0"/>
                    <w:snapToGrid w:val="0"/>
                    <w:jc w:val="center"/>
                    <w:rPr>
                      <w:color w:val="auto"/>
                      <w:kern w:val="2"/>
                      <w:sz w:val="21"/>
                      <w:szCs w:val="24"/>
                      <w:lang w:val="en-US" w:eastAsia="zh-CN" w:bidi="ar-SA"/>
                    </w:rPr>
                  </w:pPr>
                  <w:r>
                    <w:rPr>
                      <w:rFonts w:hint="eastAsia"/>
                      <w:color w:val="auto"/>
                    </w:rPr>
                    <w:t>22</w:t>
                  </w:r>
                </w:p>
              </w:tc>
              <w:tc>
                <w:tcPr>
                  <w:tcW w:w="1609" w:type="pct"/>
                  <w:noWrap w:val="0"/>
                  <w:vAlign w:val="center"/>
                </w:tcPr>
                <w:p w14:paraId="2157FD2D">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0000FF"/>
                      <w:lang w:val="en-US" w:eastAsia="zh-CN"/>
                    </w:rPr>
                    <w:t>气箱式脉冲袋式除尘器</w:t>
                  </w:r>
                </w:p>
              </w:tc>
              <w:tc>
                <w:tcPr>
                  <w:tcW w:w="1841" w:type="pct"/>
                  <w:noWrap w:val="0"/>
                  <w:vAlign w:val="center"/>
                </w:tcPr>
                <w:p w14:paraId="2AE8871F">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QMC-128</w:t>
                  </w:r>
                </w:p>
              </w:tc>
              <w:tc>
                <w:tcPr>
                  <w:tcW w:w="563" w:type="pct"/>
                  <w:noWrap w:val="0"/>
                  <w:vAlign w:val="center"/>
                </w:tcPr>
                <w:p w14:paraId="09D50897">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套</w:t>
                  </w:r>
                </w:p>
              </w:tc>
              <w:tc>
                <w:tcPr>
                  <w:tcW w:w="563" w:type="pct"/>
                  <w:noWrap w:val="0"/>
                  <w:vAlign w:val="center"/>
                </w:tcPr>
                <w:p w14:paraId="38BED088">
                  <w:pPr>
                    <w:adjustRightInd w:val="0"/>
                    <w:snapToGrid w:val="0"/>
                    <w:jc w:val="center"/>
                    <w:rPr>
                      <w:rFonts w:hint="eastAsia" w:ascii="Times New Roman" w:hAnsi="Times New Roman" w:eastAsia="宋体" w:cs="Times New Roman"/>
                      <w:color w:val="auto"/>
                      <w:lang w:val="en-US" w:eastAsia="zh-CN"/>
                    </w:rPr>
                  </w:pPr>
                  <w:r>
                    <w:rPr>
                      <w:rFonts w:hint="eastAsia" w:cs="Times New Roman"/>
                      <w:color w:val="auto"/>
                      <w:lang w:val="en-US" w:eastAsia="zh-CN"/>
                    </w:rPr>
                    <w:t>1</w:t>
                  </w:r>
                </w:p>
              </w:tc>
            </w:tr>
            <w:tr w14:paraId="780CA9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pct"/>
                  <w:noWrap w:val="0"/>
                  <w:vAlign w:val="center"/>
                </w:tcPr>
                <w:p w14:paraId="4AD3829E">
                  <w:pPr>
                    <w:adjustRightInd w:val="0"/>
                    <w:snapToGrid w:val="0"/>
                    <w:jc w:val="center"/>
                    <w:rPr>
                      <w:rFonts w:hint="default" w:eastAsia="宋体"/>
                      <w:color w:val="auto"/>
                      <w:lang w:val="en-US" w:eastAsia="zh-CN"/>
                    </w:rPr>
                  </w:pPr>
                  <w:r>
                    <w:rPr>
                      <w:rFonts w:hint="eastAsia"/>
                      <w:color w:val="auto"/>
                      <w:lang w:val="en-US" w:eastAsia="zh-CN"/>
                    </w:rPr>
                    <w:t>23</w:t>
                  </w:r>
                </w:p>
              </w:tc>
              <w:tc>
                <w:tcPr>
                  <w:tcW w:w="1609" w:type="pct"/>
                  <w:noWrap w:val="0"/>
                  <w:vAlign w:val="center"/>
                </w:tcPr>
                <w:p w14:paraId="7217AE2B">
                  <w:pPr>
                    <w:adjustRightInd w:val="0"/>
                    <w:snapToGrid w:val="0"/>
                    <w:jc w:val="center"/>
                    <w:rPr>
                      <w:rFonts w:hint="eastAsia"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气箱式脉冲袋式除尘器</w:t>
                  </w:r>
                </w:p>
              </w:tc>
              <w:tc>
                <w:tcPr>
                  <w:tcW w:w="1841" w:type="pct"/>
                  <w:noWrap w:val="0"/>
                  <w:vAlign w:val="center"/>
                </w:tcPr>
                <w:p w14:paraId="0D8A4334">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QMC-</w:t>
                  </w:r>
                  <w:r>
                    <w:rPr>
                      <w:rFonts w:hint="eastAsia" w:cs="Times New Roman"/>
                      <w:color w:val="auto"/>
                      <w:lang w:val="en-US" w:eastAsia="zh-CN"/>
                    </w:rPr>
                    <w:t>256</w:t>
                  </w:r>
                </w:p>
              </w:tc>
              <w:tc>
                <w:tcPr>
                  <w:tcW w:w="563" w:type="pct"/>
                  <w:noWrap w:val="0"/>
                  <w:vAlign w:val="center"/>
                </w:tcPr>
                <w:p w14:paraId="043881F1">
                  <w:pPr>
                    <w:adjustRightInd w:val="0"/>
                    <w:snapToGrid w:val="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套</w:t>
                  </w:r>
                </w:p>
              </w:tc>
              <w:tc>
                <w:tcPr>
                  <w:tcW w:w="563" w:type="pct"/>
                  <w:noWrap w:val="0"/>
                  <w:vAlign w:val="center"/>
                </w:tcPr>
                <w:p w14:paraId="64295BBB">
                  <w:pPr>
                    <w:adjustRightInd w:val="0"/>
                    <w:snapToGrid w:val="0"/>
                    <w:jc w:val="center"/>
                    <w:rPr>
                      <w:rFonts w:hint="eastAsia" w:ascii="Times New Roman" w:hAnsi="Times New Roman" w:eastAsia="宋体" w:cs="Times New Roman"/>
                      <w:color w:val="auto"/>
                      <w:lang w:val="en-US" w:eastAsia="zh-CN"/>
                    </w:rPr>
                  </w:pPr>
                  <w:r>
                    <w:rPr>
                      <w:rFonts w:hint="eastAsia" w:cs="Times New Roman"/>
                      <w:color w:val="auto"/>
                      <w:lang w:val="en-US" w:eastAsia="zh-CN"/>
                    </w:rPr>
                    <w:t>1</w:t>
                  </w:r>
                </w:p>
              </w:tc>
            </w:tr>
            <w:tr w14:paraId="42AAE6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421" w:type="pct"/>
                  <w:noWrap w:val="0"/>
                  <w:vAlign w:val="center"/>
                </w:tcPr>
                <w:p w14:paraId="24808F07">
                  <w:pPr>
                    <w:adjustRightInd w:val="0"/>
                    <w:snapToGrid w:val="0"/>
                    <w:jc w:val="center"/>
                    <w:rPr>
                      <w:rFonts w:hint="default" w:eastAsia="宋体"/>
                      <w:color w:val="auto"/>
                      <w:lang w:val="en-US" w:eastAsia="zh-CN"/>
                    </w:rPr>
                  </w:pPr>
                  <w:r>
                    <w:rPr>
                      <w:rFonts w:hint="eastAsia"/>
                      <w:color w:val="auto"/>
                      <w:lang w:val="en-US" w:eastAsia="zh-CN"/>
                    </w:rPr>
                    <w:t>24</w:t>
                  </w:r>
                </w:p>
              </w:tc>
              <w:tc>
                <w:tcPr>
                  <w:tcW w:w="1609" w:type="pct"/>
                  <w:noWrap w:val="0"/>
                  <w:vAlign w:val="center"/>
                </w:tcPr>
                <w:p w14:paraId="3EA399C3">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涂装废气处理装置</w:t>
                  </w:r>
                </w:p>
              </w:tc>
              <w:tc>
                <w:tcPr>
                  <w:tcW w:w="1841" w:type="pct"/>
                  <w:noWrap w:val="0"/>
                  <w:vAlign w:val="center"/>
                </w:tcPr>
                <w:p w14:paraId="6DA1FB72">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干式漆雾过滤模组+活性炭吸附-脱附+催化燃烧装置</w:t>
                  </w:r>
                </w:p>
              </w:tc>
              <w:tc>
                <w:tcPr>
                  <w:tcW w:w="563" w:type="pct"/>
                  <w:noWrap w:val="0"/>
                  <w:vAlign w:val="center"/>
                </w:tcPr>
                <w:p w14:paraId="77178B99">
                  <w:pPr>
                    <w:adjustRightInd w:val="0"/>
                    <w:snapToGrid w:val="0"/>
                    <w:jc w:val="center"/>
                    <w:rPr>
                      <w:rFonts w:ascii="Times New Roman" w:hAnsi="Times New Roman" w:eastAsia="宋体" w:cs="Times New Roman"/>
                      <w:color w:val="auto"/>
                      <w:lang w:val="en-US" w:eastAsia="zh-CN"/>
                    </w:rPr>
                  </w:pPr>
                  <w:r>
                    <w:rPr>
                      <w:rFonts w:ascii="Times New Roman" w:hAnsi="Times New Roman" w:eastAsia="宋体" w:cs="Times New Roman"/>
                      <w:color w:val="auto"/>
                    </w:rPr>
                    <w:t>套</w:t>
                  </w:r>
                </w:p>
              </w:tc>
              <w:tc>
                <w:tcPr>
                  <w:tcW w:w="563" w:type="pct"/>
                  <w:noWrap w:val="0"/>
                  <w:vAlign w:val="center"/>
                </w:tcPr>
                <w:p w14:paraId="1919518A">
                  <w:pPr>
                    <w:adjustRightInd w:val="0"/>
                    <w:snapToGrid w:val="0"/>
                    <w:jc w:val="center"/>
                    <w:rPr>
                      <w:rFonts w:ascii="Times New Roman" w:hAnsi="Times New Roman" w:eastAsia="宋体" w:cs="Times New Roman"/>
                      <w:color w:val="auto"/>
                      <w:lang w:val="en-US" w:eastAsia="zh-CN"/>
                    </w:rPr>
                  </w:pPr>
                  <w:r>
                    <w:rPr>
                      <w:rFonts w:ascii="Times New Roman" w:hAnsi="Times New Roman" w:eastAsia="宋体" w:cs="Times New Roman"/>
                      <w:color w:val="auto"/>
                    </w:rPr>
                    <w:t>1</w:t>
                  </w:r>
                </w:p>
              </w:tc>
            </w:tr>
          </w:tbl>
          <w:p w14:paraId="4AFE7ADE">
            <w:pPr>
              <w:spacing w:before="120" w:beforeLines="50" w:line="360" w:lineRule="auto"/>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rPr>
              <w:t>5.主要原辅材料及能源消耗</w:t>
            </w:r>
          </w:p>
          <w:p w14:paraId="790F9A23">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本项目原料为钢材，主要辅料为水性漆、油性漆（含稀释剂）、焊丝、钢丸等，均由外部购买，汽车运输至项目区。</w:t>
            </w:r>
          </w:p>
          <w:p w14:paraId="0663089C">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（1）涂料主要成分</w:t>
            </w:r>
          </w:p>
          <w:p w14:paraId="25E7000E">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fldChar w:fldCharType="begin"/>
            </w:r>
            <w:r>
              <w:rPr>
                <w:rFonts w:hint="eastAsia" w:ascii="Times New Roman" w:hAnsi="Times New Roman" w:eastAsia="宋体" w:cs="Times New Roman"/>
                <w:color w:val="auto"/>
                <w:sz w:val="24"/>
                <w:lang w:val="en-US" w:eastAsia="zh-CN"/>
              </w:rPr>
              <w:instrText xml:space="preserve"> = 1 \* GB3 \* MERGEFORMAT </w:instrText>
            </w:r>
            <w:r>
              <w:rPr>
                <w:rFonts w:hint="eastAsia" w:ascii="Times New Roman" w:hAnsi="Times New Roman" w:eastAsia="宋体" w:cs="Times New Roman"/>
                <w:color w:val="auto"/>
                <w:sz w:val="24"/>
                <w:lang w:val="en-US" w:eastAsia="zh-CN"/>
              </w:rPr>
              <w:fldChar w:fldCharType="separate"/>
            </w:r>
            <w:r>
              <w:rPr>
                <w:rFonts w:hint="eastAsia" w:ascii="Times New Roman" w:hAnsi="Times New Roman" w:eastAsia="宋体" w:cs="Times New Roman"/>
                <w:color w:val="auto"/>
                <w:sz w:val="24"/>
                <w:lang w:val="en-US" w:eastAsia="zh-CN"/>
              </w:rPr>
              <w:t>①</w:t>
            </w:r>
            <w:r>
              <w:rPr>
                <w:rFonts w:hint="eastAsia" w:ascii="Times New Roman" w:hAnsi="Times New Roman" w:eastAsia="宋体" w:cs="Times New Roman"/>
                <w:color w:val="auto"/>
                <w:sz w:val="24"/>
                <w:lang w:val="en-US" w:eastAsia="zh-CN"/>
              </w:rPr>
              <w:fldChar w:fldCharType="end"/>
            </w:r>
            <w:r>
              <w:rPr>
                <w:rFonts w:hint="eastAsia" w:ascii="Times New Roman" w:hAnsi="Times New Roman" w:eastAsia="宋体" w:cs="Times New Roman"/>
                <w:color w:val="auto"/>
                <w:sz w:val="24"/>
                <w:lang w:val="en-US" w:eastAsia="zh-CN"/>
              </w:rPr>
              <w:t>水性底漆、中间漆、面漆</w:t>
            </w:r>
          </w:p>
          <w:p w14:paraId="0C2D5400">
            <w:pPr>
              <w:spacing w:line="360" w:lineRule="auto"/>
              <w:ind w:firstLine="480" w:firstLineChars="200"/>
              <w:rPr>
                <w:rFonts w:hint="eastAsia" w:cs="Times New Roman"/>
                <w:color w:val="auto"/>
                <w:sz w:val="24"/>
                <w:lang w:val="en-US" w:eastAsia="zh-CN"/>
              </w:rPr>
            </w:pPr>
            <w:r>
              <w:rPr>
                <w:rFonts w:hint="eastAsia" w:ascii="Times New Roman" w:hAnsi="Times New Roman" w:eastAsia="宋体" w:cs="Times New Roman"/>
                <w:color w:val="auto"/>
                <w:sz w:val="24"/>
                <w:lang w:val="en-US" w:eastAsia="zh-CN"/>
              </w:rPr>
              <w:t>本项目使用水性漆均由甲乙组分组成，在喷漆房内按比例进行调漆，</w:t>
            </w:r>
            <w:r>
              <w:rPr>
                <w:rFonts w:hint="eastAsia" w:cs="Times New Roman"/>
                <w:color w:val="auto"/>
                <w:sz w:val="24"/>
                <w:lang w:val="en-US" w:eastAsia="zh-CN"/>
              </w:rPr>
              <w:t>根据</w:t>
            </w:r>
          </w:p>
          <w:p w14:paraId="7032E8A5">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ascii="Times New Roman" w:hAnsi="Times New Roman" w:eastAsia="宋体" w:cs="Times New Roman"/>
                <w:color w:val="auto"/>
                <w:sz w:val="24"/>
                <w:lang w:val="en-US" w:eastAsia="zh-CN"/>
              </w:rPr>
            </w:pPr>
            <w:r>
              <w:rPr>
                <w:rFonts w:hint="eastAsia" w:cs="Times New Roman"/>
                <w:color w:val="auto"/>
                <w:sz w:val="24"/>
                <w:lang w:val="en-US" w:eastAsia="zh-CN"/>
              </w:rPr>
              <w:t>建设单位提供的</w:t>
            </w:r>
            <w:r>
              <w:rPr>
                <w:rFonts w:hint="eastAsia" w:ascii="Times New Roman" w:hAnsi="Times New Roman" w:eastAsia="宋体" w:cs="Times New Roman"/>
                <w:color w:val="auto"/>
                <w:sz w:val="24"/>
                <w:lang w:val="en-US" w:eastAsia="zh-CN"/>
              </w:rPr>
              <w:t>水性漆产品说明</w:t>
            </w:r>
            <w:r>
              <w:rPr>
                <w:rFonts w:hint="eastAsia" w:cs="Times New Roman"/>
                <w:color w:val="auto"/>
                <w:sz w:val="24"/>
                <w:lang w:val="en-US" w:eastAsia="zh-CN"/>
              </w:rPr>
              <w:t>进行</w:t>
            </w:r>
            <w:r>
              <w:rPr>
                <w:rFonts w:hint="eastAsia" w:ascii="Times New Roman" w:hAnsi="Times New Roman" w:eastAsia="宋体" w:cs="Times New Roman"/>
                <w:color w:val="auto"/>
                <w:sz w:val="24"/>
                <w:lang w:val="en-US" w:eastAsia="zh-CN"/>
              </w:rPr>
              <w:t>配比，水性底漆甲乙组分配比甲:乙=5:1，水性中间漆甲乙组分配比甲:乙=5:1，水性面漆甲乙组分配比甲:乙=10:1。</w:t>
            </w:r>
          </w:p>
          <w:p w14:paraId="10F7733B">
            <w:pPr>
              <w:spacing w:line="360" w:lineRule="auto"/>
              <w:ind w:firstLine="480" w:firstLineChars="200"/>
              <w:rPr>
                <w:rFonts w:hint="default" w:ascii="Times New Roman" w:hAnsi="Times New Roman" w:eastAsia="宋体" w:cs="Times New Roman"/>
                <w:b/>
                <w:bCs/>
                <w:color w:val="auto"/>
              </w:rPr>
            </w:pPr>
            <w:r>
              <w:rPr>
                <w:rFonts w:hint="eastAsia"/>
                <w:color w:val="auto"/>
                <w:sz w:val="24"/>
              </w:rPr>
              <w:t>水性漆</w:t>
            </w:r>
            <w:r>
              <w:rPr>
                <w:rFonts w:hint="eastAsia"/>
                <w:color w:val="auto"/>
                <w:sz w:val="24"/>
                <w:lang w:val="en-US" w:eastAsia="zh-CN"/>
              </w:rPr>
              <w:t>成</w:t>
            </w:r>
            <w:r>
              <w:rPr>
                <w:rFonts w:hint="eastAsia"/>
                <w:color w:val="auto"/>
                <w:sz w:val="24"/>
              </w:rPr>
              <w:t>分</w:t>
            </w:r>
            <w:r>
              <w:rPr>
                <w:rFonts w:hint="eastAsia"/>
                <w:color w:val="auto"/>
                <w:sz w:val="24"/>
                <w:lang w:val="en-US" w:eastAsia="zh-CN"/>
              </w:rPr>
              <w:t>组成及</w:t>
            </w:r>
            <w:r>
              <w:rPr>
                <w:rFonts w:hint="eastAsia"/>
                <w:color w:val="auto"/>
                <w:sz w:val="24"/>
              </w:rPr>
              <w:t>占比见表</w:t>
            </w:r>
            <w:r>
              <w:rPr>
                <w:rFonts w:hint="eastAsia"/>
                <w:color w:val="auto"/>
                <w:sz w:val="24"/>
                <w:lang w:val="en-US" w:eastAsia="zh-CN"/>
              </w:rPr>
              <w:t>2-4</w:t>
            </w:r>
            <w:r>
              <w:rPr>
                <w:rFonts w:hint="eastAsia"/>
                <w:color w:val="auto"/>
                <w:sz w:val="24"/>
              </w:rPr>
              <w:t>。</w:t>
            </w:r>
          </w:p>
          <w:p w14:paraId="0F81C4C0">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imes New Roman" w:hAnsi="Times New Roman" w:eastAsia="宋体" w:cs="Times New Roman"/>
                <w:b/>
                <w:bCs/>
                <w:color w:val="auto"/>
                <w:lang w:val="en-US" w:eastAsia="zh-CN"/>
              </w:rPr>
            </w:pPr>
            <w:r>
              <w:rPr>
                <w:rFonts w:hint="default"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2-4</w:t>
            </w:r>
            <w:r>
              <w:rPr>
                <w:rFonts w:hint="default" w:ascii="Times New Roman" w:hAnsi="Times New Roman" w:eastAsia="宋体" w:cs="Times New Roman"/>
                <w:b/>
                <w:bCs/>
                <w:color w:val="auto"/>
              </w:rPr>
              <w:t xml:space="preserve"> 水性漆</w:t>
            </w:r>
            <w:r>
              <w:rPr>
                <w:rFonts w:hint="eastAsia" w:ascii="Times New Roman" w:hAnsi="Times New Roman" w:eastAsia="宋体" w:cs="Times New Roman"/>
                <w:b/>
                <w:bCs/>
                <w:color w:val="auto"/>
                <w:lang w:val="en-US" w:eastAsia="zh-CN"/>
              </w:rPr>
              <w:t>成分</w:t>
            </w:r>
            <w:r>
              <w:rPr>
                <w:rFonts w:hint="default" w:ascii="Times New Roman" w:hAnsi="Times New Roman" w:eastAsia="宋体" w:cs="Times New Roman"/>
                <w:b/>
                <w:bCs/>
                <w:color w:val="auto"/>
              </w:rPr>
              <w:t>组分</w:t>
            </w:r>
            <w:r>
              <w:rPr>
                <w:rFonts w:hint="eastAsia" w:ascii="Times New Roman" w:hAnsi="Times New Roman" w:eastAsia="宋体" w:cs="Times New Roman"/>
                <w:b/>
                <w:bCs/>
                <w:color w:val="auto"/>
                <w:lang w:val="en-US" w:eastAsia="zh-CN"/>
              </w:rPr>
              <w:t>及</w:t>
            </w:r>
            <w:r>
              <w:rPr>
                <w:rFonts w:hint="default" w:ascii="Times New Roman" w:hAnsi="Times New Roman" w:eastAsia="宋体" w:cs="Times New Roman"/>
                <w:b/>
                <w:bCs/>
                <w:color w:val="auto"/>
              </w:rPr>
              <w:t>占比</w:t>
            </w:r>
            <w:r>
              <w:rPr>
                <w:rFonts w:hint="eastAsia" w:ascii="Times New Roman" w:hAnsi="Times New Roman" w:eastAsia="宋体" w:cs="Times New Roman"/>
                <w:b/>
                <w:bCs/>
                <w:color w:val="auto"/>
                <w:lang w:val="en-US" w:eastAsia="zh-CN"/>
              </w:rPr>
              <w:t>一览表</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744"/>
              <w:gridCol w:w="1243"/>
              <w:gridCol w:w="1524"/>
              <w:gridCol w:w="882"/>
              <w:gridCol w:w="702"/>
              <w:gridCol w:w="676"/>
            </w:tblGrid>
            <w:tr w14:paraId="0E5377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02" w:type="pct"/>
                  <w:tcBorders>
                    <w:bottom w:val="single" w:color="auto" w:sz="12" w:space="0"/>
                  </w:tcBorders>
                  <w:noWrap w:val="0"/>
                  <w:vAlign w:val="center"/>
                </w:tcPr>
                <w:p w14:paraId="77C2B890">
                  <w:pPr>
                    <w:adjustRightInd w:val="0"/>
                    <w:snapToGrid w:val="0"/>
                    <w:jc w:val="center"/>
                    <w:rPr>
                      <w:rFonts w:ascii="Times New Roman" w:hAnsi="Times New Roman" w:eastAsia="宋体" w:cs="Times New Roman"/>
                      <w:b/>
                      <w:bCs/>
                      <w:color w:val="auto"/>
                    </w:rPr>
                  </w:pPr>
                  <w:r>
                    <w:rPr>
                      <w:rFonts w:hint="eastAsia" w:ascii="Times New Roman" w:hAnsi="Times New Roman" w:eastAsia="宋体" w:cs="Times New Roman"/>
                      <w:b/>
                      <w:bCs/>
                      <w:color w:val="auto"/>
                    </w:rPr>
                    <w:t>名称</w:t>
                  </w:r>
                </w:p>
              </w:tc>
              <w:tc>
                <w:tcPr>
                  <w:tcW w:w="4197" w:type="pct"/>
                  <w:gridSpan w:val="6"/>
                  <w:tcBorders>
                    <w:bottom w:val="single" w:color="auto" w:sz="12" w:space="0"/>
                  </w:tcBorders>
                  <w:noWrap w:val="0"/>
                  <w:vAlign w:val="center"/>
                </w:tcPr>
                <w:p w14:paraId="5FE48BBB">
                  <w:pPr>
                    <w:adjustRightInd w:val="0"/>
                    <w:snapToGrid w:val="0"/>
                    <w:jc w:val="center"/>
                    <w:rPr>
                      <w:rFonts w:ascii="Times New Roman" w:hAnsi="Times New Roman" w:eastAsia="宋体" w:cs="Times New Roman"/>
                      <w:b/>
                      <w:bCs/>
                      <w:color w:val="auto"/>
                    </w:rPr>
                  </w:pPr>
                  <w:r>
                    <w:rPr>
                      <w:rFonts w:hint="default" w:ascii="Times New Roman" w:hAnsi="Times New Roman" w:eastAsia="宋体" w:cs="Times New Roman"/>
                      <w:b/>
                      <w:bCs/>
                      <w:color w:val="auto"/>
                    </w:rPr>
                    <w:t>成分组成（%）</w:t>
                  </w:r>
                </w:p>
              </w:tc>
            </w:tr>
            <w:tr w14:paraId="011E0A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2" w:type="pct"/>
                  <w:vMerge w:val="restart"/>
                  <w:tcBorders>
                    <w:top w:val="single" w:color="auto" w:sz="12" w:space="0"/>
                  </w:tcBorders>
                  <w:noWrap w:val="0"/>
                  <w:vAlign w:val="center"/>
                </w:tcPr>
                <w:p w14:paraId="0808968E">
                  <w:pPr>
                    <w:adjustRightInd w:val="0"/>
                    <w:snapToGrid w:val="0"/>
                    <w:jc w:val="center"/>
                    <w:rPr>
                      <w:rFonts w:hint="default"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水性底漆（甲）</w:t>
                  </w:r>
                </w:p>
              </w:tc>
              <w:tc>
                <w:tcPr>
                  <w:tcW w:w="1081" w:type="pct"/>
                  <w:tcBorders>
                    <w:top w:val="single" w:color="auto" w:sz="12" w:space="0"/>
                    <w:bottom w:val="single" w:color="auto" w:sz="4" w:space="0"/>
                  </w:tcBorders>
                  <w:noWrap w:val="0"/>
                  <w:vAlign w:val="center"/>
                </w:tcPr>
                <w:p w14:paraId="2EA1751C">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水性环氧树脂</w:t>
                  </w:r>
                </w:p>
              </w:tc>
              <w:tc>
                <w:tcPr>
                  <w:tcW w:w="770" w:type="pct"/>
                  <w:tcBorders>
                    <w:top w:val="single" w:color="auto" w:sz="12" w:space="0"/>
                    <w:bottom w:val="single" w:color="auto" w:sz="4" w:space="0"/>
                  </w:tcBorders>
                  <w:noWrap w:val="0"/>
                  <w:vAlign w:val="center"/>
                </w:tcPr>
                <w:p w14:paraId="1FF79D07">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防沉剂</w:t>
                  </w:r>
                </w:p>
              </w:tc>
              <w:tc>
                <w:tcPr>
                  <w:tcW w:w="944" w:type="pct"/>
                  <w:tcBorders>
                    <w:top w:val="single" w:color="auto" w:sz="12" w:space="0"/>
                  </w:tcBorders>
                  <w:noWrap w:val="0"/>
                  <w:vAlign w:val="center"/>
                </w:tcPr>
                <w:p w14:paraId="636167D7">
                  <w:pPr>
                    <w:adjustRightInd w:val="0"/>
                    <w:snapToGrid w:val="0"/>
                    <w:jc w:val="center"/>
                    <w:rPr>
                      <w:rFonts w:hint="default"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防锈颜料</w:t>
                  </w:r>
                </w:p>
              </w:tc>
              <w:tc>
                <w:tcPr>
                  <w:tcW w:w="546" w:type="pct"/>
                  <w:tcBorders>
                    <w:top w:val="single" w:color="auto" w:sz="12" w:space="0"/>
                    <w:bottom w:val="single" w:color="auto" w:sz="4" w:space="0"/>
                  </w:tcBorders>
                  <w:noWrap w:val="0"/>
                  <w:vAlign w:val="center"/>
                </w:tcPr>
                <w:p w14:paraId="78C0A5CB">
                  <w:pPr>
                    <w:adjustRightInd w:val="0"/>
                    <w:snapToGrid w:val="0"/>
                    <w:jc w:val="center"/>
                    <w:rPr>
                      <w:rFonts w:hint="default"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填剂</w:t>
                  </w:r>
                </w:p>
              </w:tc>
              <w:tc>
                <w:tcPr>
                  <w:tcW w:w="435" w:type="pct"/>
                  <w:tcBorders>
                    <w:top w:val="single" w:color="auto" w:sz="12" w:space="0"/>
                    <w:bottom w:val="single" w:color="auto" w:sz="4" w:space="0"/>
                  </w:tcBorders>
                  <w:noWrap w:val="0"/>
                  <w:vAlign w:val="center"/>
                </w:tcPr>
                <w:p w14:paraId="2098D983">
                  <w:pPr>
                    <w:adjustRightInd w:val="0"/>
                    <w:snapToGrid w:val="0"/>
                    <w:jc w:val="center"/>
                    <w:rPr>
                      <w:rFonts w:hint="default"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助剂</w:t>
                  </w:r>
                </w:p>
              </w:tc>
              <w:tc>
                <w:tcPr>
                  <w:tcW w:w="419" w:type="pct"/>
                  <w:tcBorders>
                    <w:top w:val="single" w:color="auto" w:sz="12" w:space="0"/>
                    <w:bottom w:val="single" w:color="auto" w:sz="4" w:space="0"/>
                  </w:tcBorders>
                  <w:noWrap w:val="0"/>
                  <w:vAlign w:val="center"/>
                </w:tcPr>
                <w:p w14:paraId="4CE645AE">
                  <w:pPr>
                    <w:adjustRightInd w:val="0"/>
                    <w:snapToGrid w:val="0"/>
                    <w:jc w:val="center"/>
                    <w:rPr>
                      <w:rFonts w:hint="default"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水</w:t>
                  </w:r>
                </w:p>
              </w:tc>
            </w:tr>
            <w:tr w14:paraId="6A25DD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2" w:type="pct"/>
                  <w:vMerge w:val="continue"/>
                  <w:noWrap w:val="0"/>
                  <w:vAlign w:val="center"/>
                </w:tcPr>
                <w:p w14:paraId="30646ADA">
                  <w:pPr>
                    <w:adjustRightInd w:val="0"/>
                    <w:snapToGrid w:val="0"/>
                    <w:jc w:val="center"/>
                    <w:rPr>
                      <w:rFonts w:hint="default" w:ascii="Times New Roman" w:hAnsi="Times New Roman" w:eastAsia="宋体" w:cs="Times New Roman"/>
                      <w:color w:val="auto"/>
                      <w:lang w:val="en-US" w:eastAsia="zh-CN"/>
                    </w:rPr>
                  </w:pPr>
                </w:p>
              </w:tc>
              <w:tc>
                <w:tcPr>
                  <w:tcW w:w="1081" w:type="pct"/>
                  <w:tcBorders>
                    <w:top w:val="single" w:color="auto" w:sz="4" w:space="0"/>
                    <w:bottom w:val="single" w:color="auto" w:sz="4" w:space="0"/>
                  </w:tcBorders>
                  <w:noWrap w:val="0"/>
                  <w:vAlign w:val="center"/>
                </w:tcPr>
                <w:p w14:paraId="02A0471E">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45</w:t>
                  </w:r>
                </w:p>
              </w:tc>
              <w:tc>
                <w:tcPr>
                  <w:tcW w:w="770" w:type="pct"/>
                  <w:tcBorders>
                    <w:top w:val="single" w:color="auto" w:sz="4" w:space="0"/>
                    <w:bottom w:val="single" w:color="auto" w:sz="4" w:space="0"/>
                  </w:tcBorders>
                  <w:noWrap w:val="0"/>
                  <w:vAlign w:val="center"/>
                </w:tcPr>
                <w:p w14:paraId="673DC71E">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w:t>
                  </w:r>
                </w:p>
              </w:tc>
              <w:tc>
                <w:tcPr>
                  <w:tcW w:w="944" w:type="pct"/>
                  <w:tcBorders>
                    <w:bottom w:val="single" w:color="auto" w:sz="4" w:space="0"/>
                  </w:tcBorders>
                  <w:noWrap w:val="0"/>
                  <w:vAlign w:val="center"/>
                </w:tcPr>
                <w:p w14:paraId="40D921AA">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35</w:t>
                  </w:r>
                </w:p>
              </w:tc>
              <w:tc>
                <w:tcPr>
                  <w:tcW w:w="546" w:type="pct"/>
                  <w:tcBorders>
                    <w:top w:val="single" w:color="auto" w:sz="4" w:space="0"/>
                    <w:bottom w:val="single" w:color="auto" w:sz="4" w:space="0"/>
                  </w:tcBorders>
                  <w:noWrap w:val="0"/>
                  <w:vAlign w:val="center"/>
                </w:tcPr>
                <w:p w14:paraId="6A5BCA4E">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w:t>
                  </w:r>
                </w:p>
              </w:tc>
              <w:tc>
                <w:tcPr>
                  <w:tcW w:w="435" w:type="pct"/>
                  <w:tcBorders>
                    <w:top w:val="single" w:color="auto" w:sz="4" w:space="0"/>
                    <w:bottom w:val="single" w:color="auto" w:sz="4" w:space="0"/>
                  </w:tcBorders>
                  <w:noWrap w:val="0"/>
                  <w:vAlign w:val="center"/>
                </w:tcPr>
                <w:p w14:paraId="07DC6082">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w:t>
                  </w:r>
                </w:p>
              </w:tc>
              <w:tc>
                <w:tcPr>
                  <w:tcW w:w="419" w:type="pct"/>
                  <w:tcBorders>
                    <w:top w:val="single" w:color="auto" w:sz="4" w:space="0"/>
                    <w:bottom w:val="single" w:color="auto" w:sz="4" w:space="0"/>
                  </w:tcBorders>
                  <w:noWrap w:val="0"/>
                  <w:vAlign w:val="center"/>
                </w:tcPr>
                <w:p w14:paraId="5A463209">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11</w:t>
                  </w:r>
                </w:p>
              </w:tc>
            </w:tr>
            <w:tr w14:paraId="1B6A82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2" w:type="pct"/>
                  <w:vMerge w:val="restart"/>
                  <w:noWrap w:val="0"/>
                  <w:vAlign w:val="center"/>
                </w:tcPr>
                <w:p w14:paraId="3F9B0A3B">
                  <w:pPr>
                    <w:adjustRightInd w:val="0"/>
                    <w:snapToGrid w:val="0"/>
                    <w:jc w:val="center"/>
                    <w:rPr>
                      <w:rFonts w:hint="default"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水性底漆（乙）</w:t>
                  </w:r>
                </w:p>
              </w:tc>
              <w:tc>
                <w:tcPr>
                  <w:tcW w:w="1081" w:type="pct"/>
                  <w:tcBorders>
                    <w:top w:val="single" w:color="auto" w:sz="4" w:space="0"/>
                    <w:bottom w:val="single" w:color="auto" w:sz="4" w:space="0"/>
                  </w:tcBorders>
                  <w:noWrap w:val="0"/>
                  <w:vAlign w:val="center"/>
                </w:tcPr>
                <w:p w14:paraId="4C5A25DE">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水性聚酰胺树脂</w:t>
                  </w:r>
                </w:p>
              </w:tc>
              <w:tc>
                <w:tcPr>
                  <w:tcW w:w="770" w:type="pct"/>
                  <w:tcBorders>
                    <w:top w:val="single" w:color="auto" w:sz="4" w:space="0"/>
                    <w:bottom w:val="single" w:color="auto" w:sz="4" w:space="0"/>
                  </w:tcBorders>
                  <w:noWrap w:val="0"/>
                  <w:vAlign w:val="center"/>
                </w:tcPr>
                <w:p w14:paraId="70C32386">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水</w:t>
                  </w:r>
                </w:p>
              </w:tc>
              <w:tc>
                <w:tcPr>
                  <w:tcW w:w="944" w:type="pct"/>
                  <w:tcBorders>
                    <w:top w:val="single" w:color="auto" w:sz="4" w:space="0"/>
                  </w:tcBorders>
                  <w:noWrap w:val="0"/>
                  <w:vAlign w:val="center"/>
                </w:tcPr>
                <w:p w14:paraId="027EFFA8">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546" w:type="pct"/>
                  <w:tcBorders>
                    <w:top w:val="single" w:color="auto" w:sz="4" w:space="0"/>
                    <w:bottom w:val="single" w:color="auto" w:sz="4" w:space="0"/>
                  </w:tcBorders>
                  <w:noWrap w:val="0"/>
                  <w:vAlign w:val="center"/>
                </w:tcPr>
                <w:p w14:paraId="65E410FA">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435" w:type="pct"/>
                  <w:tcBorders>
                    <w:top w:val="single" w:color="auto" w:sz="4" w:space="0"/>
                    <w:bottom w:val="single" w:color="auto" w:sz="4" w:space="0"/>
                  </w:tcBorders>
                  <w:noWrap w:val="0"/>
                  <w:vAlign w:val="center"/>
                </w:tcPr>
                <w:p w14:paraId="4E756763">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419" w:type="pct"/>
                  <w:tcBorders>
                    <w:top w:val="single" w:color="auto" w:sz="4" w:space="0"/>
                    <w:bottom w:val="single" w:color="auto" w:sz="4" w:space="0"/>
                  </w:tcBorders>
                  <w:noWrap w:val="0"/>
                  <w:vAlign w:val="center"/>
                </w:tcPr>
                <w:p w14:paraId="289D103A">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r>
            <w:tr w14:paraId="7470F5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2" w:type="pct"/>
                  <w:vMerge w:val="continue"/>
                  <w:noWrap w:val="0"/>
                  <w:vAlign w:val="center"/>
                </w:tcPr>
                <w:p w14:paraId="580179E1">
                  <w:pPr>
                    <w:adjustRightInd w:val="0"/>
                    <w:snapToGrid w:val="0"/>
                    <w:jc w:val="center"/>
                    <w:rPr>
                      <w:rFonts w:hint="default" w:ascii="Times New Roman" w:hAnsi="Times New Roman" w:eastAsia="宋体" w:cs="Times New Roman"/>
                      <w:color w:val="auto"/>
                      <w:lang w:val="en-US" w:eastAsia="zh-CN"/>
                    </w:rPr>
                  </w:pPr>
                </w:p>
              </w:tc>
              <w:tc>
                <w:tcPr>
                  <w:tcW w:w="1081" w:type="pct"/>
                  <w:tcBorders>
                    <w:top w:val="single" w:color="auto" w:sz="4" w:space="0"/>
                    <w:bottom w:val="single" w:color="auto" w:sz="4" w:space="0"/>
                  </w:tcBorders>
                  <w:noWrap w:val="0"/>
                  <w:vAlign w:val="center"/>
                </w:tcPr>
                <w:p w14:paraId="2FAB730C">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55</w:t>
                  </w:r>
                </w:p>
              </w:tc>
              <w:tc>
                <w:tcPr>
                  <w:tcW w:w="770" w:type="pct"/>
                  <w:tcBorders>
                    <w:top w:val="single" w:color="auto" w:sz="4" w:space="0"/>
                    <w:bottom w:val="single" w:color="auto" w:sz="4" w:space="0"/>
                  </w:tcBorders>
                  <w:noWrap w:val="0"/>
                  <w:vAlign w:val="center"/>
                </w:tcPr>
                <w:p w14:paraId="25D8214F">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45</w:t>
                  </w:r>
                </w:p>
              </w:tc>
              <w:tc>
                <w:tcPr>
                  <w:tcW w:w="944" w:type="pct"/>
                  <w:noWrap w:val="0"/>
                  <w:vAlign w:val="center"/>
                </w:tcPr>
                <w:p w14:paraId="73687755">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546" w:type="pct"/>
                  <w:tcBorders>
                    <w:top w:val="single" w:color="auto" w:sz="4" w:space="0"/>
                    <w:bottom w:val="single" w:color="auto" w:sz="4" w:space="0"/>
                  </w:tcBorders>
                  <w:noWrap w:val="0"/>
                  <w:vAlign w:val="center"/>
                </w:tcPr>
                <w:p w14:paraId="21BA360A">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435" w:type="pct"/>
                  <w:tcBorders>
                    <w:top w:val="single" w:color="auto" w:sz="4" w:space="0"/>
                    <w:bottom w:val="single" w:color="auto" w:sz="4" w:space="0"/>
                  </w:tcBorders>
                  <w:noWrap w:val="0"/>
                  <w:vAlign w:val="center"/>
                </w:tcPr>
                <w:p w14:paraId="75C60BCC">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419" w:type="pct"/>
                  <w:tcBorders>
                    <w:top w:val="single" w:color="auto" w:sz="4" w:space="0"/>
                    <w:bottom w:val="single" w:color="auto" w:sz="4" w:space="0"/>
                  </w:tcBorders>
                  <w:noWrap w:val="0"/>
                  <w:vAlign w:val="center"/>
                </w:tcPr>
                <w:p w14:paraId="05618C3B">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r>
            <w:tr w14:paraId="3EA816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2" w:type="pct"/>
                  <w:vMerge w:val="restart"/>
                  <w:noWrap w:val="0"/>
                  <w:vAlign w:val="center"/>
                </w:tcPr>
                <w:p w14:paraId="4B243D58">
                  <w:pPr>
                    <w:adjustRightInd w:val="0"/>
                    <w:snapToGrid w:val="0"/>
                    <w:jc w:val="center"/>
                    <w:rPr>
                      <w:rFonts w:hint="default"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水性中间漆（甲）</w:t>
                  </w:r>
                </w:p>
              </w:tc>
              <w:tc>
                <w:tcPr>
                  <w:tcW w:w="1081" w:type="pct"/>
                  <w:tcBorders>
                    <w:top w:val="single" w:color="auto" w:sz="4" w:space="0"/>
                    <w:bottom w:val="single" w:color="auto" w:sz="4" w:space="0"/>
                  </w:tcBorders>
                  <w:noWrap w:val="0"/>
                  <w:vAlign w:val="center"/>
                </w:tcPr>
                <w:p w14:paraId="1A711A5C">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水性环氧树脂</w:t>
                  </w:r>
                </w:p>
              </w:tc>
              <w:tc>
                <w:tcPr>
                  <w:tcW w:w="770" w:type="pct"/>
                  <w:tcBorders>
                    <w:top w:val="single" w:color="auto" w:sz="4" w:space="0"/>
                    <w:bottom w:val="single" w:color="auto" w:sz="4" w:space="0"/>
                  </w:tcBorders>
                  <w:noWrap w:val="0"/>
                  <w:vAlign w:val="center"/>
                </w:tcPr>
                <w:p w14:paraId="4D2A92E3">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防沉剂</w:t>
                  </w:r>
                </w:p>
              </w:tc>
              <w:tc>
                <w:tcPr>
                  <w:tcW w:w="944" w:type="pct"/>
                  <w:noWrap w:val="0"/>
                  <w:vAlign w:val="center"/>
                </w:tcPr>
                <w:p w14:paraId="2A47C7AE">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云母氧化铁</w:t>
                  </w:r>
                </w:p>
              </w:tc>
              <w:tc>
                <w:tcPr>
                  <w:tcW w:w="546" w:type="pct"/>
                  <w:tcBorders>
                    <w:top w:val="single" w:color="auto" w:sz="4" w:space="0"/>
                    <w:bottom w:val="single" w:color="auto" w:sz="4" w:space="0"/>
                  </w:tcBorders>
                  <w:noWrap w:val="0"/>
                  <w:vAlign w:val="center"/>
                </w:tcPr>
                <w:p w14:paraId="4EB1DBE8">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钛白粉</w:t>
                  </w:r>
                </w:p>
              </w:tc>
              <w:tc>
                <w:tcPr>
                  <w:tcW w:w="435" w:type="pct"/>
                  <w:tcBorders>
                    <w:top w:val="single" w:color="auto" w:sz="4" w:space="0"/>
                    <w:bottom w:val="single" w:color="auto" w:sz="4" w:space="0"/>
                  </w:tcBorders>
                  <w:noWrap w:val="0"/>
                  <w:vAlign w:val="center"/>
                </w:tcPr>
                <w:p w14:paraId="424E43AE">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助剂</w:t>
                  </w:r>
                </w:p>
              </w:tc>
              <w:tc>
                <w:tcPr>
                  <w:tcW w:w="419" w:type="pct"/>
                  <w:tcBorders>
                    <w:top w:val="single" w:color="auto" w:sz="4" w:space="0"/>
                    <w:bottom w:val="single" w:color="auto" w:sz="4" w:space="0"/>
                  </w:tcBorders>
                  <w:noWrap w:val="0"/>
                  <w:vAlign w:val="center"/>
                </w:tcPr>
                <w:p w14:paraId="5F9F1344">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水</w:t>
                  </w:r>
                </w:p>
              </w:tc>
            </w:tr>
            <w:tr w14:paraId="42FCD8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2" w:type="pct"/>
                  <w:vMerge w:val="continue"/>
                  <w:noWrap w:val="0"/>
                  <w:vAlign w:val="center"/>
                </w:tcPr>
                <w:p w14:paraId="000B55DD">
                  <w:pPr>
                    <w:adjustRightInd w:val="0"/>
                    <w:snapToGrid w:val="0"/>
                    <w:jc w:val="center"/>
                    <w:rPr>
                      <w:rFonts w:hint="default" w:ascii="Times New Roman" w:hAnsi="Times New Roman" w:eastAsia="宋体" w:cs="Times New Roman"/>
                      <w:color w:val="auto"/>
                      <w:lang w:val="en-US" w:eastAsia="zh-CN"/>
                    </w:rPr>
                  </w:pPr>
                </w:p>
              </w:tc>
              <w:tc>
                <w:tcPr>
                  <w:tcW w:w="1081" w:type="pct"/>
                  <w:tcBorders>
                    <w:top w:val="single" w:color="auto" w:sz="4" w:space="0"/>
                    <w:bottom w:val="single" w:color="auto" w:sz="4" w:space="0"/>
                  </w:tcBorders>
                  <w:noWrap w:val="0"/>
                  <w:vAlign w:val="center"/>
                </w:tcPr>
                <w:p w14:paraId="23818CCD">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50</w:t>
                  </w:r>
                </w:p>
              </w:tc>
              <w:tc>
                <w:tcPr>
                  <w:tcW w:w="770" w:type="pct"/>
                  <w:tcBorders>
                    <w:top w:val="single" w:color="auto" w:sz="4" w:space="0"/>
                    <w:bottom w:val="single" w:color="auto" w:sz="4" w:space="0"/>
                  </w:tcBorders>
                  <w:noWrap w:val="0"/>
                  <w:vAlign w:val="center"/>
                </w:tcPr>
                <w:p w14:paraId="3E36EA82">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w:t>
                  </w:r>
                </w:p>
              </w:tc>
              <w:tc>
                <w:tcPr>
                  <w:tcW w:w="944" w:type="pct"/>
                  <w:noWrap w:val="0"/>
                  <w:vAlign w:val="center"/>
                </w:tcPr>
                <w:p w14:paraId="7D6340FB">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30</w:t>
                  </w:r>
                </w:p>
              </w:tc>
              <w:tc>
                <w:tcPr>
                  <w:tcW w:w="546" w:type="pct"/>
                  <w:tcBorders>
                    <w:top w:val="single" w:color="auto" w:sz="4" w:space="0"/>
                    <w:bottom w:val="single" w:color="auto" w:sz="4" w:space="0"/>
                  </w:tcBorders>
                  <w:noWrap w:val="0"/>
                  <w:vAlign w:val="center"/>
                </w:tcPr>
                <w:p w14:paraId="7989620B">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w:t>
                  </w:r>
                </w:p>
              </w:tc>
              <w:tc>
                <w:tcPr>
                  <w:tcW w:w="435" w:type="pct"/>
                  <w:tcBorders>
                    <w:top w:val="single" w:color="auto" w:sz="4" w:space="0"/>
                    <w:bottom w:val="single" w:color="auto" w:sz="4" w:space="0"/>
                  </w:tcBorders>
                  <w:noWrap w:val="0"/>
                  <w:vAlign w:val="center"/>
                </w:tcPr>
                <w:p w14:paraId="4C634A2D">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w:t>
                  </w:r>
                </w:p>
              </w:tc>
              <w:tc>
                <w:tcPr>
                  <w:tcW w:w="419" w:type="pct"/>
                  <w:tcBorders>
                    <w:top w:val="single" w:color="auto" w:sz="4" w:space="0"/>
                    <w:bottom w:val="single" w:color="auto" w:sz="4" w:space="0"/>
                  </w:tcBorders>
                  <w:noWrap w:val="0"/>
                  <w:vAlign w:val="center"/>
                </w:tcPr>
                <w:p w14:paraId="5491E88A">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12</w:t>
                  </w:r>
                </w:p>
              </w:tc>
            </w:tr>
            <w:tr w14:paraId="5DD544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2" w:type="pct"/>
                  <w:vMerge w:val="restart"/>
                  <w:noWrap w:val="0"/>
                  <w:vAlign w:val="center"/>
                </w:tcPr>
                <w:p w14:paraId="69631262">
                  <w:pPr>
                    <w:adjustRightInd w:val="0"/>
                    <w:snapToGrid w:val="0"/>
                    <w:jc w:val="center"/>
                    <w:rPr>
                      <w:rFonts w:hint="default"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水性中间漆（乙）</w:t>
                  </w:r>
                </w:p>
              </w:tc>
              <w:tc>
                <w:tcPr>
                  <w:tcW w:w="1081" w:type="pct"/>
                  <w:tcBorders>
                    <w:top w:val="single" w:color="auto" w:sz="4" w:space="0"/>
                    <w:bottom w:val="single" w:color="auto" w:sz="4" w:space="0"/>
                  </w:tcBorders>
                  <w:noWrap w:val="0"/>
                  <w:vAlign w:val="center"/>
                </w:tcPr>
                <w:p w14:paraId="20FE43FB">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水性聚酰胺树脂</w:t>
                  </w:r>
                </w:p>
              </w:tc>
              <w:tc>
                <w:tcPr>
                  <w:tcW w:w="770" w:type="pct"/>
                  <w:tcBorders>
                    <w:top w:val="single" w:color="auto" w:sz="4" w:space="0"/>
                    <w:bottom w:val="single" w:color="auto" w:sz="4" w:space="0"/>
                  </w:tcBorders>
                  <w:noWrap w:val="0"/>
                  <w:vAlign w:val="center"/>
                </w:tcPr>
                <w:p w14:paraId="049AF0C0">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水</w:t>
                  </w:r>
                </w:p>
              </w:tc>
              <w:tc>
                <w:tcPr>
                  <w:tcW w:w="944" w:type="pct"/>
                  <w:noWrap w:val="0"/>
                  <w:vAlign w:val="center"/>
                </w:tcPr>
                <w:p w14:paraId="17E612A4">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546" w:type="pct"/>
                  <w:tcBorders>
                    <w:top w:val="single" w:color="auto" w:sz="4" w:space="0"/>
                    <w:bottom w:val="single" w:color="auto" w:sz="4" w:space="0"/>
                  </w:tcBorders>
                  <w:noWrap w:val="0"/>
                  <w:vAlign w:val="center"/>
                </w:tcPr>
                <w:p w14:paraId="5DCBBC86">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435" w:type="pct"/>
                  <w:tcBorders>
                    <w:top w:val="single" w:color="auto" w:sz="4" w:space="0"/>
                    <w:bottom w:val="single" w:color="auto" w:sz="4" w:space="0"/>
                  </w:tcBorders>
                  <w:noWrap w:val="0"/>
                  <w:vAlign w:val="center"/>
                </w:tcPr>
                <w:p w14:paraId="0ACCB3A3">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419" w:type="pct"/>
                  <w:tcBorders>
                    <w:top w:val="single" w:color="auto" w:sz="4" w:space="0"/>
                    <w:bottom w:val="single" w:color="auto" w:sz="4" w:space="0"/>
                  </w:tcBorders>
                  <w:noWrap w:val="0"/>
                  <w:vAlign w:val="center"/>
                </w:tcPr>
                <w:p w14:paraId="6052A389">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r>
            <w:tr w14:paraId="5238E7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2" w:type="pct"/>
                  <w:vMerge w:val="continue"/>
                  <w:noWrap w:val="0"/>
                  <w:vAlign w:val="center"/>
                </w:tcPr>
                <w:p w14:paraId="47AA04C1">
                  <w:pPr>
                    <w:adjustRightInd w:val="0"/>
                    <w:snapToGrid w:val="0"/>
                    <w:jc w:val="center"/>
                    <w:rPr>
                      <w:rFonts w:hint="default" w:ascii="Times New Roman" w:hAnsi="Times New Roman" w:eastAsia="宋体" w:cs="Times New Roman"/>
                      <w:color w:val="auto"/>
                      <w:lang w:val="en-US" w:eastAsia="zh-CN"/>
                    </w:rPr>
                  </w:pPr>
                </w:p>
              </w:tc>
              <w:tc>
                <w:tcPr>
                  <w:tcW w:w="1081" w:type="pct"/>
                  <w:tcBorders>
                    <w:top w:val="single" w:color="auto" w:sz="4" w:space="0"/>
                    <w:bottom w:val="single" w:color="auto" w:sz="4" w:space="0"/>
                  </w:tcBorders>
                  <w:noWrap w:val="0"/>
                  <w:vAlign w:val="center"/>
                </w:tcPr>
                <w:p w14:paraId="24CF5427">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60</w:t>
                  </w:r>
                </w:p>
              </w:tc>
              <w:tc>
                <w:tcPr>
                  <w:tcW w:w="770" w:type="pct"/>
                  <w:tcBorders>
                    <w:top w:val="single" w:color="auto" w:sz="4" w:space="0"/>
                    <w:bottom w:val="single" w:color="auto" w:sz="4" w:space="0"/>
                  </w:tcBorders>
                  <w:noWrap w:val="0"/>
                  <w:vAlign w:val="center"/>
                </w:tcPr>
                <w:p w14:paraId="551EBB88">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40</w:t>
                  </w:r>
                </w:p>
              </w:tc>
              <w:tc>
                <w:tcPr>
                  <w:tcW w:w="944" w:type="pct"/>
                  <w:noWrap w:val="0"/>
                  <w:vAlign w:val="center"/>
                </w:tcPr>
                <w:p w14:paraId="7B71518D">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546" w:type="pct"/>
                  <w:tcBorders>
                    <w:top w:val="single" w:color="auto" w:sz="4" w:space="0"/>
                    <w:bottom w:val="single" w:color="auto" w:sz="4" w:space="0"/>
                  </w:tcBorders>
                  <w:noWrap w:val="0"/>
                  <w:vAlign w:val="center"/>
                </w:tcPr>
                <w:p w14:paraId="7BB1B081">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435" w:type="pct"/>
                  <w:tcBorders>
                    <w:top w:val="single" w:color="auto" w:sz="4" w:space="0"/>
                    <w:bottom w:val="single" w:color="auto" w:sz="4" w:space="0"/>
                  </w:tcBorders>
                  <w:noWrap w:val="0"/>
                  <w:vAlign w:val="center"/>
                </w:tcPr>
                <w:p w14:paraId="56809A17">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419" w:type="pct"/>
                  <w:tcBorders>
                    <w:top w:val="single" w:color="auto" w:sz="4" w:space="0"/>
                    <w:bottom w:val="single" w:color="auto" w:sz="4" w:space="0"/>
                  </w:tcBorders>
                  <w:noWrap w:val="0"/>
                  <w:vAlign w:val="center"/>
                </w:tcPr>
                <w:p w14:paraId="576EB6F3">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r>
            <w:tr w14:paraId="1924F2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2" w:type="pct"/>
                  <w:vMerge w:val="restart"/>
                  <w:noWrap w:val="0"/>
                  <w:vAlign w:val="center"/>
                </w:tcPr>
                <w:p w14:paraId="5FCFA23D">
                  <w:pPr>
                    <w:adjustRightInd w:val="0"/>
                    <w:snapToGrid w:val="0"/>
                    <w:jc w:val="center"/>
                    <w:rPr>
                      <w:rFonts w:hint="default"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水性面漆（甲）</w:t>
                  </w:r>
                </w:p>
              </w:tc>
              <w:tc>
                <w:tcPr>
                  <w:tcW w:w="1081" w:type="pct"/>
                  <w:tcBorders>
                    <w:top w:val="single" w:color="auto" w:sz="4" w:space="0"/>
                    <w:bottom w:val="single" w:color="auto" w:sz="4" w:space="0"/>
                  </w:tcBorders>
                  <w:noWrap w:val="0"/>
                  <w:vAlign w:val="center"/>
                </w:tcPr>
                <w:p w14:paraId="7726C5DE">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水性羟基树脂</w:t>
                  </w:r>
                </w:p>
              </w:tc>
              <w:tc>
                <w:tcPr>
                  <w:tcW w:w="770" w:type="pct"/>
                  <w:tcBorders>
                    <w:top w:val="single" w:color="auto" w:sz="4" w:space="0"/>
                    <w:bottom w:val="single" w:color="auto" w:sz="4" w:space="0"/>
                  </w:tcBorders>
                  <w:noWrap w:val="0"/>
                  <w:vAlign w:val="center"/>
                </w:tcPr>
                <w:p w14:paraId="4AFA5DB0">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防沉剂</w:t>
                  </w:r>
                </w:p>
              </w:tc>
              <w:tc>
                <w:tcPr>
                  <w:tcW w:w="944" w:type="pct"/>
                  <w:noWrap w:val="0"/>
                  <w:vAlign w:val="center"/>
                </w:tcPr>
                <w:p w14:paraId="51003A7A">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钛白粉等颜料</w:t>
                  </w:r>
                </w:p>
              </w:tc>
              <w:tc>
                <w:tcPr>
                  <w:tcW w:w="546" w:type="pct"/>
                  <w:tcBorders>
                    <w:top w:val="single" w:color="auto" w:sz="4" w:space="0"/>
                    <w:bottom w:val="single" w:color="auto" w:sz="4" w:space="0"/>
                  </w:tcBorders>
                  <w:noWrap w:val="0"/>
                  <w:vAlign w:val="center"/>
                </w:tcPr>
                <w:p w14:paraId="6A2D8B6D">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助剂</w:t>
                  </w:r>
                </w:p>
              </w:tc>
              <w:tc>
                <w:tcPr>
                  <w:tcW w:w="435" w:type="pct"/>
                  <w:tcBorders>
                    <w:top w:val="single" w:color="auto" w:sz="4" w:space="0"/>
                    <w:bottom w:val="single" w:color="auto" w:sz="4" w:space="0"/>
                  </w:tcBorders>
                  <w:noWrap w:val="0"/>
                  <w:vAlign w:val="center"/>
                </w:tcPr>
                <w:p w14:paraId="18606C29">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水</w:t>
                  </w:r>
                </w:p>
              </w:tc>
              <w:tc>
                <w:tcPr>
                  <w:tcW w:w="419" w:type="pct"/>
                  <w:tcBorders>
                    <w:top w:val="single" w:color="auto" w:sz="4" w:space="0"/>
                    <w:bottom w:val="single" w:color="auto" w:sz="4" w:space="0"/>
                  </w:tcBorders>
                  <w:noWrap w:val="0"/>
                  <w:vAlign w:val="center"/>
                </w:tcPr>
                <w:p w14:paraId="04241B5D">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r>
            <w:tr w14:paraId="3CD49E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2" w:type="pct"/>
                  <w:vMerge w:val="continue"/>
                  <w:noWrap w:val="0"/>
                  <w:vAlign w:val="center"/>
                </w:tcPr>
                <w:p w14:paraId="5FF14906">
                  <w:pPr>
                    <w:adjustRightInd w:val="0"/>
                    <w:snapToGrid w:val="0"/>
                    <w:jc w:val="center"/>
                    <w:rPr>
                      <w:rFonts w:hint="eastAsia" w:ascii="Times New Roman" w:hAnsi="Times New Roman" w:eastAsia="宋体" w:cs="Times New Roman"/>
                      <w:color w:val="auto"/>
                      <w:lang w:val="en-US" w:eastAsia="zh-CN"/>
                    </w:rPr>
                  </w:pPr>
                </w:p>
              </w:tc>
              <w:tc>
                <w:tcPr>
                  <w:tcW w:w="1081" w:type="pct"/>
                  <w:tcBorders>
                    <w:top w:val="single" w:color="auto" w:sz="4" w:space="0"/>
                    <w:bottom w:val="single" w:color="auto" w:sz="4" w:space="0"/>
                  </w:tcBorders>
                  <w:noWrap w:val="0"/>
                  <w:vAlign w:val="center"/>
                </w:tcPr>
                <w:p w14:paraId="447BE66A">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65~70</w:t>
                  </w:r>
                </w:p>
              </w:tc>
              <w:tc>
                <w:tcPr>
                  <w:tcW w:w="770" w:type="pct"/>
                  <w:tcBorders>
                    <w:top w:val="single" w:color="auto" w:sz="4" w:space="0"/>
                    <w:bottom w:val="single" w:color="auto" w:sz="4" w:space="0"/>
                  </w:tcBorders>
                  <w:noWrap w:val="0"/>
                  <w:vAlign w:val="center"/>
                </w:tcPr>
                <w:p w14:paraId="63B76A35">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1.2~1.5</w:t>
                  </w:r>
                </w:p>
              </w:tc>
              <w:tc>
                <w:tcPr>
                  <w:tcW w:w="944" w:type="pct"/>
                  <w:noWrap w:val="0"/>
                  <w:vAlign w:val="center"/>
                </w:tcPr>
                <w:p w14:paraId="5C9EE3CB">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15~25</w:t>
                  </w:r>
                </w:p>
              </w:tc>
              <w:tc>
                <w:tcPr>
                  <w:tcW w:w="546" w:type="pct"/>
                  <w:tcBorders>
                    <w:top w:val="single" w:color="auto" w:sz="4" w:space="0"/>
                    <w:bottom w:val="single" w:color="auto" w:sz="4" w:space="0"/>
                  </w:tcBorders>
                  <w:noWrap w:val="0"/>
                  <w:vAlign w:val="center"/>
                </w:tcPr>
                <w:p w14:paraId="51F8DBB4">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1.5~2.5</w:t>
                  </w:r>
                </w:p>
              </w:tc>
              <w:tc>
                <w:tcPr>
                  <w:tcW w:w="435" w:type="pct"/>
                  <w:tcBorders>
                    <w:top w:val="single" w:color="auto" w:sz="4" w:space="0"/>
                    <w:bottom w:val="single" w:color="auto" w:sz="4" w:space="0"/>
                  </w:tcBorders>
                  <w:noWrap w:val="0"/>
                  <w:vAlign w:val="center"/>
                </w:tcPr>
                <w:p w14:paraId="5C40F8C7">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8~10</w:t>
                  </w:r>
                </w:p>
              </w:tc>
              <w:tc>
                <w:tcPr>
                  <w:tcW w:w="419" w:type="pct"/>
                  <w:tcBorders>
                    <w:top w:val="single" w:color="auto" w:sz="4" w:space="0"/>
                    <w:bottom w:val="single" w:color="auto" w:sz="4" w:space="0"/>
                  </w:tcBorders>
                  <w:noWrap w:val="0"/>
                  <w:vAlign w:val="center"/>
                </w:tcPr>
                <w:p w14:paraId="0EAE88B2">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r>
            <w:tr w14:paraId="09462F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02" w:type="pct"/>
                  <w:vMerge w:val="restart"/>
                  <w:noWrap w:val="0"/>
                  <w:vAlign w:val="center"/>
                </w:tcPr>
                <w:p w14:paraId="39272A12">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水性面漆（乙）</w:t>
                  </w:r>
                </w:p>
              </w:tc>
              <w:tc>
                <w:tcPr>
                  <w:tcW w:w="1081" w:type="pct"/>
                  <w:tcBorders>
                    <w:top w:val="single" w:color="auto" w:sz="4" w:space="0"/>
                    <w:bottom w:val="single" w:color="auto" w:sz="4" w:space="0"/>
                  </w:tcBorders>
                  <w:noWrap w:val="0"/>
                  <w:vAlign w:val="center"/>
                </w:tcPr>
                <w:p w14:paraId="58CDE367">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水性聚异氰酸酯树脂</w:t>
                  </w:r>
                </w:p>
              </w:tc>
              <w:tc>
                <w:tcPr>
                  <w:tcW w:w="770" w:type="pct"/>
                  <w:tcBorders>
                    <w:top w:val="single" w:color="auto" w:sz="4" w:space="0"/>
                    <w:bottom w:val="single" w:color="auto" w:sz="4" w:space="0"/>
                  </w:tcBorders>
                  <w:noWrap w:val="0"/>
                  <w:vAlign w:val="center"/>
                </w:tcPr>
                <w:p w14:paraId="7058F099">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丙二醇甲醚醋酸酯</w:t>
                  </w:r>
                </w:p>
              </w:tc>
              <w:tc>
                <w:tcPr>
                  <w:tcW w:w="944" w:type="pct"/>
                  <w:noWrap w:val="0"/>
                  <w:vAlign w:val="center"/>
                </w:tcPr>
                <w:p w14:paraId="6CDF442E">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546" w:type="pct"/>
                  <w:tcBorders>
                    <w:top w:val="single" w:color="auto" w:sz="4" w:space="0"/>
                    <w:bottom w:val="single" w:color="auto" w:sz="4" w:space="0"/>
                  </w:tcBorders>
                  <w:noWrap w:val="0"/>
                  <w:vAlign w:val="center"/>
                </w:tcPr>
                <w:p w14:paraId="7F6AEE56">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435" w:type="pct"/>
                  <w:tcBorders>
                    <w:top w:val="single" w:color="auto" w:sz="4" w:space="0"/>
                    <w:bottom w:val="single" w:color="auto" w:sz="4" w:space="0"/>
                  </w:tcBorders>
                  <w:noWrap w:val="0"/>
                  <w:vAlign w:val="center"/>
                </w:tcPr>
                <w:p w14:paraId="4D586ED7">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419" w:type="pct"/>
                  <w:tcBorders>
                    <w:top w:val="single" w:color="auto" w:sz="4" w:space="0"/>
                    <w:bottom w:val="single" w:color="auto" w:sz="4" w:space="0"/>
                  </w:tcBorders>
                  <w:noWrap w:val="0"/>
                  <w:vAlign w:val="center"/>
                </w:tcPr>
                <w:p w14:paraId="3FF89C23">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r>
            <w:tr w14:paraId="639872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2" w:type="pct"/>
                  <w:vMerge w:val="continue"/>
                  <w:noWrap w:val="0"/>
                  <w:vAlign w:val="center"/>
                </w:tcPr>
                <w:p w14:paraId="19E8CD4A">
                  <w:pPr>
                    <w:adjustRightInd w:val="0"/>
                    <w:snapToGrid w:val="0"/>
                    <w:jc w:val="center"/>
                    <w:rPr>
                      <w:rFonts w:hint="default" w:ascii="Times New Roman" w:hAnsi="Times New Roman" w:eastAsia="宋体" w:cs="Times New Roman"/>
                      <w:color w:val="auto"/>
                      <w:lang w:val="en-US" w:eastAsia="zh-CN"/>
                    </w:rPr>
                  </w:pPr>
                </w:p>
              </w:tc>
              <w:tc>
                <w:tcPr>
                  <w:tcW w:w="1081" w:type="pct"/>
                  <w:noWrap w:val="0"/>
                  <w:vAlign w:val="center"/>
                </w:tcPr>
                <w:p w14:paraId="79693BE1">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70</w:t>
                  </w:r>
                </w:p>
              </w:tc>
              <w:tc>
                <w:tcPr>
                  <w:tcW w:w="770" w:type="pct"/>
                  <w:noWrap w:val="0"/>
                  <w:vAlign w:val="center"/>
                </w:tcPr>
                <w:p w14:paraId="2FE8291E">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30</w:t>
                  </w:r>
                </w:p>
              </w:tc>
              <w:tc>
                <w:tcPr>
                  <w:tcW w:w="944" w:type="pct"/>
                  <w:noWrap w:val="0"/>
                  <w:vAlign w:val="center"/>
                </w:tcPr>
                <w:p w14:paraId="226C8D87">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w:t>
                  </w:r>
                </w:p>
              </w:tc>
              <w:tc>
                <w:tcPr>
                  <w:tcW w:w="546" w:type="pct"/>
                  <w:noWrap w:val="0"/>
                  <w:vAlign w:val="center"/>
                </w:tcPr>
                <w:p w14:paraId="376263D2">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w:t>
                  </w:r>
                </w:p>
              </w:tc>
              <w:tc>
                <w:tcPr>
                  <w:tcW w:w="435" w:type="pct"/>
                  <w:noWrap w:val="0"/>
                  <w:vAlign w:val="center"/>
                </w:tcPr>
                <w:p w14:paraId="29747693">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w:t>
                  </w:r>
                </w:p>
              </w:tc>
              <w:tc>
                <w:tcPr>
                  <w:tcW w:w="419" w:type="pct"/>
                  <w:noWrap w:val="0"/>
                  <w:vAlign w:val="center"/>
                </w:tcPr>
                <w:p w14:paraId="52984866">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w:t>
                  </w:r>
                </w:p>
              </w:tc>
            </w:tr>
          </w:tbl>
          <w:p w14:paraId="442E315B">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eastAsia="zh-CN"/>
              </w:rPr>
              <w:fldChar w:fldCharType="begin"/>
            </w:r>
            <w:r>
              <w:rPr>
                <w:rFonts w:hint="eastAsia" w:ascii="Times New Roman" w:hAnsi="Times New Roman" w:eastAsia="宋体" w:cs="Times New Roman"/>
                <w:color w:val="auto"/>
                <w:sz w:val="24"/>
                <w:lang w:eastAsia="zh-CN"/>
              </w:rPr>
              <w:instrText xml:space="preserve"> = 2 \* GB3 \* MERGEFORMAT </w:instrText>
            </w:r>
            <w:r>
              <w:rPr>
                <w:rFonts w:hint="eastAsia" w:ascii="Times New Roman" w:hAnsi="Times New Roman" w:eastAsia="宋体" w:cs="Times New Roman"/>
                <w:color w:val="auto"/>
                <w:sz w:val="24"/>
                <w:lang w:eastAsia="zh-CN"/>
              </w:rPr>
              <w:fldChar w:fldCharType="separate"/>
            </w:r>
            <w:r>
              <w:rPr>
                <w:rFonts w:ascii="Times New Roman" w:hAnsi="Times New Roman" w:eastAsia="宋体" w:cs="Times New Roman"/>
                <w:color w:val="auto"/>
                <w:sz w:val="24"/>
              </w:rPr>
              <w:t>②</w:t>
            </w:r>
            <w:r>
              <w:rPr>
                <w:rFonts w:hint="eastAsia" w:ascii="Times New Roman" w:hAnsi="Times New Roman" w:eastAsia="宋体" w:cs="Times New Roman"/>
                <w:color w:val="auto"/>
                <w:sz w:val="24"/>
                <w:lang w:eastAsia="zh-CN"/>
              </w:rPr>
              <w:fldChar w:fldCharType="end"/>
            </w:r>
            <w:r>
              <w:rPr>
                <w:rFonts w:hint="eastAsia" w:ascii="Times New Roman" w:hAnsi="Times New Roman" w:eastAsia="宋体" w:cs="Times New Roman"/>
                <w:color w:val="auto"/>
                <w:sz w:val="24"/>
                <w:lang w:val="en-US" w:eastAsia="zh-CN"/>
              </w:rPr>
              <w:t>油性底漆、中间漆、面漆</w:t>
            </w:r>
          </w:p>
          <w:p w14:paraId="5CCEDB64">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本项目使用</w:t>
            </w:r>
            <w:r>
              <w:rPr>
                <w:rFonts w:hint="eastAsia" w:ascii="Times New Roman" w:hAnsi="Times New Roman" w:eastAsia="宋体" w:cs="Times New Roman"/>
                <w:color w:val="auto"/>
                <w:sz w:val="24"/>
                <w:lang w:val="en-US" w:eastAsia="zh-CN"/>
              </w:rPr>
              <w:t>油</w:t>
            </w:r>
            <w:r>
              <w:rPr>
                <w:rFonts w:hint="eastAsia" w:ascii="Times New Roman" w:hAnsi="Times New Roman" w:eastAsia="宋体" w:cs="Times New Roman"/>
                <w:color w:val="auto"/>
                <w:sz w:val="24"/>
              </w:rPr>
              <w:t>性漆均由甲乙组分及稀释剂组成，在喷漆房</w:t>
            </w:r>
            <w:r>
              <w:rPr>
                <w:rFonts w:hint="eastAsia" w:ascii="Times New Roman" w:hAnsi="Times New Roman" w:eastAsia="宋体" w:cs="Times New Roman"/>
                <w:color w:val="auto"/>
                <w:sz w:val="24"/>
                <w:lang w:val="en-US" w:eastAsia="zh-CN"/>
              </w:rPr>
              <w:t>内</w:t>
            </w:r>
            <w:r>
              <w:rPr>
                <w:rFonts w:hint="eastAsia" w:ascii="Times New Roman" w:hAnsi="Times New Roman" w:eastAsia="宋体" w:cs="Times New Roman"/>
                <w:color w:val="auto"/>
                <w:sz w:val="24"/>
              </w:rPr>
              <w:t>按比例进行调漆，</w:t>
            </w:r>
            <w:r>
              <w:rPr>
                <w:rFonts w:hint="eastAsia" w:ascii="Times New Roman" w:hAnsi="Times New Roman" w:eastAsia="宋体" w:cs="Times New Roman"/>
                <w:color w:val="auto"/>
                <w:spacing w:val="6"/>
                <w:sz w:val="24"/>
              </w:rPr>
              <w:t>根据建设单位提供的</w:t>
            </w:r>
            <w:r>
              <w:rPr>
                <w:rFonts w:hint="eastAsia" w:cs="Times New Roman"/>
                <w:color w:val="auto"/>
                <w:spacing w:val="6"/>
                <w:sz w:val="24"/>
                <w:lang w:val="en-US" w:eastAsia="zh-CN"/>
              </w:rPr>
              <w:t>油性漆</w:t>
            </w:r>
            <w:r>
              <w:rPr>
                <w:rFonts w:hint="eastAsia" w:ascii="Times New Roman" w:hAnsi="Times New Roman" w:eastAsia="宋体" w:cs="Times New Roman"/>
                <w:color w:val="auto"/>
                <w:spacing w:val="6"/>
                <w:sz w:val="24"/>
              </w:rPr>
              <w:t>产品说明</w:t>
            </w:r>
            <w:r>
              <w:rPr>
                <w:rFonts w:hint="eastAsia" w:cs="Times New Roman"/>
                <w:color w:val="auto"/>
                <w:spacing w:val="6"/>
                <w:sz w:val="24"/>
                <w:lang w:val="en-US" w:eastAsia="zh-CN"/>
              </w:rPr>
              <w:t>进行配比</w:t>
            </w:r>
            <w:r>
              <w:rPr>
                <w:rFonts w:hint="eastAsia" w:ascii="Times New Roman" w:hAnsi="Times New Roman" w:eastAsia="宋体" w:cs="Times New Roman"/>
                <w:color w:val="auto"/>
                <w:spacing w:val="6"/>
                <w:sz w:val="24"/>
              </w:rPr>
              <w:t>，</w:t>
            </w:r>
            <w:r>
              <w:rPr>
                <w:rFonts w:hint="eastAsia" w:ascii="Times New Roman" w:hAnsi="Times New Roman" w:eastAsia="宋体" w:cs="Times New Roman"/>
                <w:color w:val="auto"/>
                <w:spacing w:val="6"/>
                <w:sz w:val="24"/>
                <w:lang w:val="en-US" w:eastAsia="zh-CN"/>
              </w:rPr>
              <w:t>油</w:t>
            </w:r>
            <w:r>
              <w:rPr>
                <w:rFonts w:hint="eastAsia" w:ascii="Times New Roman" w:hAnsi="Times New Roman" w:eastAsia="宋体" w:cs="Times New Roman"/>
                <w:color w:val="auto"/>
                <w:spacing w:val="6"/>
                <w:sz w:val="24"/>
              </w:rPr>
              <w:t>性底漆</w:t>
            </w:r>
            <w:r>
              <w:rPr>
                <w:rFonts w:hint="eastAsia" w:ascii="Times New Roman" w:hAnsi="Times New Roman" w:eastAsia="宋体" w:cs="Times New Roman"/>
                <w:color w:val="auto"/>
                <w:spacing w:val="6"/>
                <w:sz w:val="24"/>
                <w:lang w:val="en-US" w:eastAsia="zh-CN"/>
              </w:rPr>
              <w:t>各</w:t>
            </w:r>
            <w:r>
              <w:rPr>
                <w:rFonts w:hint="eastAsia" w:ascii="Times New Roman" w:hAnsi="Times New Roman" w:eastAsia="宋体" w:cs="Times New Roman"/>
                <w:color w:val="auto"/>
                <w:spacing w:val="6"/>
                <w:sz w:val="24"/>
              </w:rPr>
              <w:t>组分配比</w:t>
            </w:r>
            <w:r>
              <w:rPr>
                <w:rFonts w:hint="eastAsia" w:ascii="Times New Roman" w:hAnsi="Times New Roman" w:eastAsia="宋体" w:cs="Times New Roman"/>
                <w:color w:val="auto"/>
                <w:sz w:val="24"/>
              </w:rPr>
              <w:t>甲:</w:t>
            </w:r>
            <w:r>
              <w:rPr>
                <w:rFonts w:hint="eastAsia" w:ascii="Times New Roman" w:hAnsi="Times New Roman" w:eastAsia="宋体" w:cs="Times New Roman"/>
                <w:color w:val="auto"/>
                <w:sz w:val="24"/>
                <w:lang w:val="en-US" w:eastAsia="zh-CN"/>
              </w:rPr>
              <w:t>乙</w:t>
            </w:r>
            <w:r>
              <w:rPr>
                <w:rFonts w:hint="eastAsia" w:ascii="Times New Roman" w:hAnsi="Times New Roman" w:eastAsia="宋体" w:cs="Times New Roman"/>
                <w:color w:val="auto"/>
                <w:sz w:val="24"/>
              </w:rPr>
              <w:t>:稀释剂=</w:t>
            </w:r>
            <w:r>
              <w:rPr>
                <w:rFonts w:hint="eastAsia" w:ascii="Times New Roman" w:hAnsi="Times New Roman" w:eastAsia="宋体" w:cs="Times New Roman"/>
                <w:color w:val="auto"/>
                <w:sz w:val="24"/>
                <w:lang w:val="en-US" w:eastAsia="zh-CN"/>
              </w:rPr>
              <w:t>1</w:t>
            </w:r>
            <w:r>
              <w:rPr>
                <w:rFonts w:hint="eastAsia" w:ascii="Times New Roman" w:hAnsi="Times New Roman" w:eastAsia="宋体" w:cs="Times New Roman"/>
                <w:color w:val="auto"/>
                <w:sz w:val="24"/>
              </w:rPr>
              <w:t>:</w:t>
            </w:r>
            <w:r>
              <w:rPr>
                <w:rFonts w:hint="eastAsia" w:ascii="Times New Roman" w:hAnsi="Times New Roman" w:eastAsia="宋体" w:cs="Times New Roman"/>
                <w:color w:val="auto"/>
                <w:sz w:val="24"/>
                <w:lang w:val="en-US" w:eastAsia="zh-CN"/>
              </w:rPr>
              <w:t>0.</w:t>
            </w:r>
            <w:r>
              <w:rPr>
                <w:rFonts w:hint="eastAsia" w:ascii="Times New Roman" w:hAnsi="Times New Roman" w:eastAsia="宋体" w:cs="Times New Roman"/>
                <w:color w:val="auto"/>
                <w:sz w:val="24"/>
              </w:rPr>
              <w:t>1:0.1，油性中间漆各组分配比甲:乙:稀释剂=1:0.1</w:t>
            </w:r>
            <w:r>
              <w:rPr>
                <w:rFonts w:hint="eastAsia" w:ascii="Times New Roman" w:hAnsi="Times New Roman" w:eastAsia="宋体" w:cs="Times New Roman"/>
                <w:color w:val="auto"/>
                <w:sz w:val="24"/>
                <w:lang w:val="en-US" w:eastAsia="zh-CN"/>
              </w:rPr>
              <w:t>5</w:t>
            </w:r>
            <w:r>
              <w:rPr>
                <w:rFonts w:hint="eastAsia" w:ascii="Times New Roman" w:hAnsi="Times New Roman" w:eastAsia="宋体" w:cs="Times New Roman"/>
                <w:color w:val="auto"/>
                <w:sz w:val="24"/>
              </w:rPr>
              <w:t>:0.1</w:t>
            </w:r>
            <w:r>
              <w:rPr>
                <w:rFonts w:hint="eastAsia" w:ascii="Times New Roman" w:hAnsi="Times New Roman" w:eastAsia="宋体" w:cs="Times New Roman"/>
                <w:color w:val="auto"/>
                <w:sz w:val="24"/>
                <w:lang w:val="en-US" w:eastAsia="zh-CN"/>
              </w:rPr>
              <w:t>5</w:t>
            </w:r>
            <w:r>
              <w:rPr>
                <w:rFonts w:hint="eastAsia" w:ascii="Times New Roman" w:hAnsi="Times New Roman" w:eastAsia="宋体" w:cs="Times New Roman"/>
                <w:color w:val="auto"/>
                <w:sz w:val="24"/>
              </w:rPr>
              <w:t>，油性面漆各组分配比甲:乙:稀释剂=1:0.</w:t>
            </w:r>
            <w:r>
              <w:rPr>
                <w:rFonts w:hint="eastAsia" w:ascii="Times New Roman" w:hAnsi="Times New Roman" w:eastAsia="宋体" w:cs="Times New Roman"/>
                <w:color w:val="auto"/>
                <w:sz w:val="24"/>
                <w:lang w:val="en-US" w:eastAsia="zh-CN"/>
              </w:rPr>
              <w:t>25</w:t>
            </w:r>
            <w:r>
              <w:rPr>
                <w:rFonts w:hint="eastAsia" w:ascii="Times New Roman" w:hAnsi="Times New Roman" w:eastAsia="宋体" w:cs="Times New Roman"/>
                <w:color w:val="auto"/>
                <w:sz w:val="24"/>
              </w:rPr>
              <w:t>:0.1</w:t>
            </w:r>
            <w:r>
              <w:rPr>
                <w:rFonts w:hint="eastAsia" w:ascii="Times New Roman" w:hAnsi="Times New Roman" w:eastAsia="宋体" w:cs="Times New Roman"/>
                <w:color w:val="auto"/>
                <w:sz w:val="24"/>
                <w:lang w:val="en-US" w:eastAsia="zh-CN"/>
              </w:rPr>
              <w:t>5</w:t>
            </w:r>
            <w:r>
              <w:rPr>
                <w:rFonts w:hint="eastAsia" w:ascii="Times New Roman" w:hAnsi="Times New Roman" w:eastAsia="宋体" w:cs="Times New Roman"/>
                <w:color w:val="auto"/>
                <w:sz w:val="24"/>
              </w:rPr>
              <w:t>。</w:t>
            </w:r>
          </w:p>
          <w:p w14:paraId="232D37D3">
            <w:pPr>
              <w:spacing w:line="360" w:lineRule="auto"/>
              <w:ind w:firstLine="480" w:firstLineChars="200"/>
              <w:rPr>
                <w:rFonts w:hint="eastAsia"/>
                <w:color w:val="auto"/>
                <w:sz w:val="24"/>
              </w:rPr>
            </w:pPr>
            <w:r>
              <w:rPr>
                <w:rFonts w:hint="eastAsia" w:eastAsia="宋体"/>
                <w:color w:val="auto"/>
                <w:sz w:val="24"/>
                <w:lang w:val="en-US" w:eastAsia="zh-CN"/>
              </w:rPr>
              <w:t>油</w:t>
            </w:r>
            <w:r>
              <w:rPr>
                <w:rFonts w:hint="eastAsia"/>
                <w:color w:val="auto"/>
                <w:sz w:val="24"/>
              </w:rPr>
              <w:t>性漆</w:t>
            </w:r>
            <w:r>
              <w:rPr>
                <w:rFonts w:hint="eastAsia"/>
                <w:color w:val="auto"/>
                <w:sz w:val="24"/>
                <w:lang w:val="en-US" w:eastAsia="zh-CN"/>
              </w:rPr>
              <w:t>成</w:t>
            </w:r>
            <w:r>
              <w:rPr>
                <w:rFonts w:hint="eastAsia"/>
                <w:color w:val="auto"/>
                <w:sz w:val="24"/>
              </w:rPr>
              <w:t>分</w:t>
            </w:r>
            <w:r>
              <w:rPr>
                <w:rFonts w:hint="eastAsia"/>
                <w:color w:val="auto"/>
                <w:sz w:val="24"/>
                <w:lang w:val="en-US" w:eastAsia="zh-CN"/>
              </w:rPr>
              <w:t>组成及</w:t>
            </w:r>
            <w:r>
              <w:rPr>
                <w:rFonts w:hint="eastAsia"/>
                <w:color w:val="auto"/>
                <w:sz w:val="24"/>
              </w:rPr>
              <w:t>占比见表</w:t>
            </w:r>
            <w:r>
              <w:rPr>
                <w:rFonts w:hint="eastAsia"/>
                <w:color w:val="auto"/>
                <w:sz w:val="24"/>
                <w:lang w:val="en-US" w:eastAsia="zh-CN"/>
              </w:rPr>
              <w:t>2-5</w:t>
            </w:r>
            <w:r>
              <w:rPr>
                <w:rFonts w:hint="eastAsia"/>
                <w:color w:val="auto"/>
                <w:sz w:val="24"/>
              </w:rPr>
              <w:t>。</w:t>
            </w:r>
          </w:p>
          <w:p w14:paraId="206C7CD9">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rPr>
            </w:pPr>
          </w:p>
          <w:p w14:paraId="625FD028">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rPr>
            </w:pPr>
          </w:p>
          <w:p w14:paraId="73AD4877">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rPr>
            </w:pPr>
          </w:p>
          <w:p w14:paraId="5B2AFD44">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rPr>
            </w:pPr>
          </w:p>
          <w:p w14:paraId="39E6E33C">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rPr>
            </w:pPr>
          </w:p>
          <w:p w14:paraId="26C33144">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rPr>
            </w:pPr>
          </w:p>
          <w:p w14:paraId="21D0EBC1">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rPr>
            </w:pPr>
          </w:p>
          <w:p w14:paraId="27D96FFA">
            <w:pPr>
              <w:keepNext w:val="0"/>
              <w:keepLines w:val="0"/>
              <w:pageBreakBefore w:val="0"/>
              <w:widowControl w:val="0"/>
              <w:kinsoku/>
              <w:wordWrap/>
              <w:overflowPunct/>
              <w:topLinePunct w:val="0"/>
              <w:autoSpaceDE/>
              <w:autoSpaceDN/>
              <w:bidi w:val="0"/>
              <w:adjustRightInd/>
              <w:snapToGrid/>
              <w:spacing w:before="157" w:beforeLines="50" w:line="300" w:lineRule="auto"/>
              <w:jc w:val="center"/>
              <w:textAlignment w:val="auto"/>
              <w:rPr>
                <w:rFonts w:hint="eastAsia" w:ascii="Times New Roman" w:hAnsi="Times New Roman" w:eastAsia="宋体" w:cs="Times New Roman"/>
                <w:b/>
                <w:bCs/>
                <w:color w:val="auto"/>
                <w:lang w:val="en-US" w:eastAsia="zh-CN"/>
              </w:rPr>
            </w:pPr>
            <w:r>
              <w:rPr>
                <w:rFonts w:hint="default"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2-5</w:t>
            </w:r>
            <w:r>
              <w:rPr>
                <w:rFonts w:hint="default" w:ascii="Times New Roman" w:hAnsi="Times New Roman" w:eastAsia="宋体" w:cs="Times New Roman"/>
                <w:b/>
                <w:bCs/>
                <w:color w:val="auto"/>
              </w:rPr>
              <w:t xml:space="preserve"> </w:t>
            </w:r>
            <w:r>
              <w:rPr>
                <w:rFonts w:hint="eastAsia" w:ascii="Times New Roman" w:hAnsi="Times New Roman" w:eastAsia="宋体" w:cs="Times New Roman"/>
                <w:b/>
                <w:bCs/>
                <w:color w:val="auto"/>
                <w:lang w:val="en-US" w:eastAsia="zh-CN"/>
              </w:rPr>
              <w:t>油</w:t>
            </w:r>
            <w:r>
              <w:rPr>
                <w:rFonts w:hint="default" w:ascii="Times New Roman" w:hAnsi="Times New Roman" w:eastAsia="宋体" w:cs="Times New Roman"/>
                <w:b/>
                <w:bCs/>
                <w:color w:val="auto"/>
              </w:rPr>
              <w:t>性漆</w:t>
            </w:r>
            <w:r>
              <w:rPr>
                <w:rFonts w:hint="eastAsia" w:ascii="Times New Roman" w:hAnsi="Times New Roman" w:eastAsia="宋体" w:cs="Times New Roman"/>
                <w:b/>
                <w:bCs/>
                <w:color w:val="auto"/>
                <w:lang w:val="en-US" w:eastAsia="zh-CN"/>
              </w:rPr>
              <w:t>成分</w:t>
            </w:r>
            <w:r>
              <w:rPr>
                <w:rFonts w:hint="default" w:ascii="Times New Roman" w:hAnsi="Times New Roman" w:eastAsia="宋体" w:cs="Times New Roman"/>
                <w:b/>
                <w:bCs/>
                <w:color w:val="auto"/>
              </w:rPr>
              <w:t>组分</w:t>
            </w:r>
            <w:r>
              <w:rPr>
                <w:rFonts w:hint="eastAsia" w:ascii="Times New Roman" w:hAnsi="Times New Roman" w:eastAsia="宋体" w:cs="Times New Roman"/>
                <w:b/>
                <w:bCs/>
                <w:color w:val="auto"/>
                <w:lang w:val="en-US" w:eastAsia="zh-CN"/>
              </w:rPr>
              <w:t>及</w:t>
            </w:r>
            <w:r>
              <w:rPr>
                <w:rFonts w:hint="default" w:ascii="Times New Roman" w:hAnsi="Times New Roman" w:eastAsia="宋体" w:cs="Times New Roman"/>
                <w:b/>
                <w:bCs/>
                <w:color w:val="auto"/>
              </w:rPr>
              <w:t>占比</w:t>
            </w:r>
            <w:r>
              <w:rPr>
                <w:rFonts w:hint="eastAsia" w:ascii="Times New Roman" w:hAnsi="Times New Roman" w:eastAsia="宋体" w:cs="Times New Roman"/>
                <w:b/>
                <w:bCs/>
                <w:color w:val="auto"/>
                <w:lang w:val="en-US" w:eastAsia="zh-CN"/>
              </w:rPr>
              <w:t>一览表</w:t>
            </w:r>
          </w:p>
          <w:tbl>
            <w:tblPr>
              <w:tblStyle w:val="26"/>
              <w:tblW w:w="8169"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1270"/>
              <w:gridCol w:w="1010"/>
              <w:gridCol w:w="1278"/>
              <w:gridCol w:w="864"/>
              <w:gridCol w:w="864"/>
              <w:gridCol w:w="864"/>
              <w:gridCol w:w="866"/>
            </w:tblGrid>
            <w:tr w14:paraId="4931ED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5" w:type="pct"/>
                  <w:tcBorders>
                    <w:bottom w:val="single" w:color="auto" w:sz="12" w:space="0"/>
                  </w:tcBorders>
                  <w:noWrap w:val="0"/>
                  <w:vAlign w:val="center"/>
                </w:tcPr>
                <w:p w14:paraId="0031907A">
                  <w:pPr>
                    <w:adjustRightInd w:val="0"/>
                    <w:snapToGrid w:val="0"/>
                    <w:jc w:val="center"/>
                    <w:rPr>
                      <w:rFonts w:ascii="Times New Roman" w:hAnsi="Times New Roman" w:eastAsia="宋体" w:cs="Times New Roman"/>
                      <w:b/>
                      <w:bCs/>
                      <w:color w:val="auto"/>
                    </w:rPr>
                  </w:pPr>
                  <w:r>
                    <w:rPr>
                      <w:rFonts w:hint="eastAsia" w:ascii="Times New Roman" w:hAnsi="Times New Roman" w:eastAsia="宋体" w:cs="Times New Roman"/>
                      <w:b/>
                      <w:bCs/>
                      <w:color w:val="auto"/>
                    </w:rPr>
                    <w:t>名称</w:t>
                  </w:r>
                </w:p>
              </w:tc>
              <w:tc>
                <w:tcPr>
                  <w:tcW w:w="4294" w:type="pct"/>
                  <w:gridSpan w:val="7"/>
                  <w:tcBorders>
                    <w:bottom w:val="single" w:color="auto" w:sz="12" w:space="0"/>
                  </w:tcBorders>
                  <w:noWrap w:val="0"/>
                  <w:vAlign w:val="center"/>
                </w:tcPr>
                <w:p w14:paraId="6CA9642F">
                  <w:pPr>
                    <w:adjustRightInd w:val="0"/>
                    <w:snapToGrid w:val="0"/>
                    <w:jc w:val="center"/>
                    <w:rPr>
                      <w:rFonts w:ascii="Times New Roman" w:hAnsi="Times New Roman" w:eastAsia="宋体" w:cs="Times New Roman"/>
                      <w:b/>
                      <w:bCs/>
                      <w:color w:val="auto"/>
                    </w:rPr>
                  </w:pPr>
                  <w:r>
                    <w:rPr>
                      <w:rFonts w:hint="default" w:ascii="Times New Roman" w:hAnsi="Times New Roman" w:eastAsia="宋体" w:cs="Times New Roman"/>
                      <w:b/>
                      <w:bCs/>
                      <w:color w:val="auto"/>
                    </w:rPr>
                    <w:t>成分组成（%）</w:t>
                  </w:r>
                </w:p>
              </w:tc>
            </w:tr>
            <w:tr w14:paraId="56B0D1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pct"/>
                  <w:vMerge w:val="restart"/>
                  <w:tcBorders>
                    <w:top w:val="single" w:color="auto" w:sz="12" w:space="0"/>
                  </w:tcBorders>
                  <w:noWrap w:val="0"/>
                  <w:vAlign w:val="center"/>
                </w:tcPr>
                <w:p w14:paraId="27D8478A">
                  <w:pPr>
                    <w:adjustRightInd w:val="0"/>
                    <w:snapToGrid w:val="0"/>
                    <w:jc w:val="center"/>
                    <w:rPr>
                      <w:rFonts w:hint="default" w:ascii="Times New Roman" w:hAnsi="Times New Roman" w:eastAsia="宋体" w:cs="Times New Roman"/>
                      <w:color w:val="auto"/>
                      <w:lang w:val="en-US" w:eastAsia="en-US"/>
                    </w:rPr>
                  </w:pPr>
                  <w:r>
                    <w:rPr>
                      <w:rFonts w:hint="eastAsia" w:ascii="Times New Roman" w:hAnsi="Times New Roman" w:eastAsia="宋体" w:cs="Times New Roman"/>
                      <w:color w:val="auto"/>
                      <w:lang w:val="en-US" w:eastAsia="zh-CN"/>
                    </w:rPr>
                    <w:t>油</w:t>
                  </w:r>
                  <w:r>
                    <w:rPr>
                      <w:rFonts w:hint="default" w:ascii="Times New Roman" w:hAnsi="Times New Roman" w:eastAsia="宋体" w:cs="Times New Roman"/>
                      <w:color w:val="auto"/>
                      <w:lang w:val="en-US" w:eastAsia="zh-CN"/>
                    </w:rPr>
                    <w:t>性底漆（甲）</w:t>
                  </w:r>
                </w:p>
              </w:tc>
              <w:tc>
                <w:tcPr>
                  <w:tcW w:w="777" w:type="pct"/>
                  <w:tcBorders>
                    <w:top w:val="single" w:color="auto" w:sz="12" w:space="0"/>
                    <w:bottom w:val="single" w:color="auto" w:sz="4" w:space="0"/>
                  </w:tcBorders>
                  <w:noWrap w:val="0"/>
                  <w:vAlign w:val="center"/>
                </w:tcPr>
                <w:p w14:paraId="12894581">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环氧树脂</w:t>
                  </w:r>
                </w:p>
              </w:tc>
              <w:tc>
                <w:tcPr>
                  <w:tcW w:w="618" w:type="pct"/>
                  <w:tcBorders>
                    <w:top w:val="single" w:color="auto" w:sz="12" w:space="0"/>
                    <w:bottom w:val="single" w:color="auto" w:sz="4" w:space="0"/>
                  </w:tcBorders>
                  <w:noWrap w:val="0"/>
                  <w:vAlign w:val="center"/>
                </w:tcPr>
                <w:p w14:paraId="67E59CDE">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锌粉</w:t>
                  </w:r>
                </w:p>
              </w:tc>
              <w:tc>
                <w:tcPr>
                  <w:tcW w:w="782" w:type="pct"/>
                  <w:tcBorders>
                    <w:top w:val="single" w:color="auto" w:sz="12" w:space="0"/>
                  </w:tcBorders>
                  <w:noWrap w:val="0"/>
                  <w:vAlign w:val="center"/>
                </w:tcPr>
                <w:p w14:paraId="76D0B0E4">
                  <w:pPr>
                    <w:adjustRightInd w:val="0"/>
                    <w:snapToGrid w:val="0"/>
                    <w:jc w:val="center"/>
                    <w:rPr>
                      <w:rFonts w:hint="default"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防沉剂</w:t>
                  </w:r>
                </w:p>
              </w:tc>
              <w:tc>
                <w:tcPr>
                  <w:tcW w:w="528" w:type="pct"/>
                  <w:tcBorders>
                    <w:top w:val="single" w:color="auto" w:sz="12" w:space="0"/>
                    <w:bottom w:val="single" w:color="auto" w:sz="4" w:space="0"/>
                  </w:tcBorders>
                  <w:noWrap w:val="0"/>
                  <w:vAlign w:val="center"/>
                </w:tcPr>
                <w:p w14:paraId="76A8399C">
                  <w:pPr>
                    <w:adjustRightInd w:val="0"/>
                    <w:snapToGrid w:val="0"/>
                    <w:jc w:val="center"/>
                    <w:rPr>
                      <w:rFonts w:hint="default"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二甲苯</w:t>
                  </w:r>
                </w:p>
              </w:tc>
              <w:tc>
                <w:tcPr>
                  <w:tcW w:w="528" w:type="pct"/>
                  <w:tcBorders>
                    <w:top w:val="single" w:color="auto" w:sz="12" w:space="0"/>
                    <w:bottom w:val="single" w:color="auto" w:sz="4" w:space="0"/>
                  </w:tcBorders>
                  <w:noWrap w:val="0"/>
                  <w:vAlign w:val="center"/>
                </w:tcPr>
                <w:p w14:paraId="1BDFE63E">
                  <w:pPr>
                    <w:adjustRightInd w:val="0"/>
                    <w:snapToGrid w:val="0"/>
                    <w:jc w:val="center"/>
                    <w:rPr>
                      <w:rFonts w:hint="default"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正丁醇</w:t>
                  </w:r>
                </w:p>
              </w:tc>
              <w:tc>
                <w:tcPr>
                  <w:tcW w:w="528" w:type="pct"/>
                  <w:tcBorders>
                    <w:top w:val="single" w:color="auto" w:sz="12" w:space="0"/>
                    <w:bottom w:val="single" w:color="auto" w:sz="4" w:space="0"/>
                  </w:tcBorders>
                  <w:noWrap w:val="0"/>
                  <w:vAlign w:val="center"/>
                </w:tcPr>
                <w:p w14:paraId="5C095406">
                  <w:pPr>
                    <w:adjustRightInd w:val="0"/>
                    <w:snapToGrid w:val="0"/>
                    <w:jc w:val="center"/>
                    <w:rPr>
                      <w:rFonts w:hint="default" w:ascii="Times New Roman" w:hAnsi="Times New Roman" w:eastAsia="宋体" w:cs="Times New Roman"/>
                      <w:color w:val="auto"/>
                      <w:lang w:val="en-US" w:eastAsia="en-US"/>
                    </w:rPr>
                  </w:pPr>
                  <w:r>
                    <w:rPr>
                      <w:rFonts w:hint="eastAsia" w:ascii="Times New Roman" w:hAnsi="Times New Roman" w:eastAsia="宋体" w:cs="Times New Roman"/>
                      <w:color w:val="auto"/>
                      <w:lang w:val="en-US" w:eastAsia="zh-CN"/>
                    </w:rPr>
                    <w:t>/</w:t>
                  </w:r>
                </w:p>
              </w:tc>
              <w:tc>
                <w:tcPr>
                  <w:tcW w:w="530" w:type="pct"/>
                  <w:tcBorders>
                    <w:top w:val="single" w:color="auto" w:sz="12" w:space="0"/>
                    <w:bottom w:val="single" w:color="auto" w:sz="4" w:space="0"/>
                  </w:tcBorders>
                  <w:noWrap w:val="0"/>
                  <w:vAlign w:val="center"/>
                </w:tcPr>
                <w:p w14:paraId="58836750">
                  <w:pPr>
                    <w:adjustRightInd w:val="0"/>
                    <w:snapToGrid w:val="0"/>
                    <w:jc w:val="center"/>
                    <w:rPr>
                      <w:rFonts w:hint="default"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w:t>
                  </w:r>
                </w:p>
              </w:tc>
            </w:tr>
            <w:tr w14:paraId="401EC2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pct"/>
                  <w:vMerge w:val="continue"/>
                  <w:noWrap w:val="0"/>
                  <w:vAlign w:val="center"/>
                </w:tcPr>
                <w:p w14:paraId="6EA137E8">
                  <w:pPr>
                    <w:adjustRightInd w:val="0"/>
                    <w:snapToGrid w:val="0"/>
                    <w:jc w:val="center"/>
                    <w:rPr>
                      <w:rFonts w:hint="default" w:ascii="Times New Roman" w:hAnsi="Times New Roman" w:eastAsia="宋体" w:cs="Times New Roman"/>
                      <w:color w:val="auto"/>
                      <w:lang w:val="en-US" w:eastAsia="zh-CN"/>
                    </w:rPr>
                  </w:pPr>
                </w:p>
              </w:tc>
              <w:tc>
                <w:tcPr>
                  <w:tcW w:w="777" w:type="pct"/>
                  <w:tcBorders>
                    <w:top w:val="single" w:color="auto" w:sz="4" w:space="0"/>
                    <w:bottom w:val="single" w:color="auto" w:sz="4" w:space="0"/>
                  </w:tcBorders>
                  <w:noWrap w:val="0"/>
                  <w:vAlign w:val="center"/>
                </w:tcPr>
                <w:p w14:paraId="6B7B1C40">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25</w:t>
                  </w:r>
                </w:p>
              </w:tc>
              <w:tc>
                <w:tcPr>
                  <w:tcW w:w="618" w:type="pct"/>
                  <w:tcBorders>
                    <w:top w:val="single" w:color="auto" w:sz="4" w:space="0"/>
                    <w:bottom w:val="single" w:color="auto" w:sz="4" w:space="0"/>
                  </w:tcBorders>
                  <w:noWrap w:val="0"/>
                  <w:vAlign w:val="center"/>
                </w:tcPr>
                <w:p w14:paraId="47D8D0CF">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65</w:t>
                  </w:r>
                </w:p>
              </w:tc>
              <w:tc>
                <w:tcPr>
                  <w:tcW w:w="782" w:type="pct"/>
                  <w:tcBorders>
                    <w:bottom w:val="single" w:color="auto" w:sz="4" w:space="0"/>
                  </w:tcBorders>
                  <w:noWrap w:val="0"/>
                  <w:vAlign w:val="center"/>
                </w:tcPr>
                <w:p w14:paraId="71A63B01">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w:t>
                  </w:r>
                </w:p>
              </w:tc>
              <w:tc>
                <w:tcPr>
                  <w:tcW w:w="528" w:type="pct"/>
                  <w:tcBorders>
                    <w:top w:val="single" w:color="auto" w:sz="4" w:space="0"/>
                    <w:bottom w:val="single" w:color="auto" w:sz="4" w:space="0"/>
                  </w:tcBorders>
                  <w:noWrap w:val="0"/>
                  <w:vAlign w:val="center"/>
                </w:tcPr>
                <w:p w14:paraId="04082120">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w:t>
                  </w:r>
                </w:p>
              </w:tc>
              <w:tc>
                <w:tcPr>
                  <w:tcW w:w="528" w:type="pct"/>
                  <w:tcBorders>
                    <w:top w:val="single" w:color="auto" w:sz="4" w:space="0"/>
                    <w:bottom w:val="single" w:color="auto" w:sz="4" w:space="0"/>
                  </w:tcBorders>
                  <w:noWrap w:val="0"/>
                  <w:vAlign w:val="center"/>
                </w:tcPr>
                <w:p w14:paraId="18B94702">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w:t>
                  </w:r>
                </w:p>
              </w:tc>
              <w:tc>
                <w:tcPr>
                  <w:tcW w:w="528" w:type="pct"/>
                  <w:tcBorders>
                    <w:top w:val="single" w:color="auto" w:sz="4" w:space="0"/>
                    <w:bottom w:val="single" w:color="auto" w:sz="4" w:space="0"/>
                  </w:tcBorders>
                  <w:noWrap w:val="0"/>
                  <w:vAlign w:val="center"/>
                </w:tcPr>
                <w:p w14:paraId="1146E813">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530" w:type="pct"/>
                  <w:tcBorders>
                    <w:top w:val="single" w:color="auto" w:sz="4" w:space="0"/>
                    <w:bottom w:val="single" w:color="auto" w:sz="4" w:space="0"/>
                  </w:tcBorders>
                  <w:noWrap w:val="0"/>
                  <w:vAlign w:val="center"/>
                </w:tcPr>
                <w:p w14:paraId="6423115D">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r>
            <w:tr w14:paraId="18D208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pct"/>
                  <w:vMerge w:val="restart"/>
                  <w:shd w:val="clear" w:color="auto" w:fill="auto"/>
                  <w:noWrap w:val="0"/>
                  <w:vAlign w:val="center"/>
                </w:tcPr>
                <w:p w14:paraId="038F3D43">
                  <w:pPr>
                    <w:adjustRightInd w:val="0"/>
                    <w:snapToGrid w:val="0"/>
                    <w:jc w:val="center"/>
                    <w:rPr>
                      <w:rFonts w:hint="eastAsia" w:ascii="Times New Roman" w:hAnsi="Times New Roman" w:eastAsia="宋体" w:cs="Times New Roman"/>
                      <w:color w:val="auto"/>
                      <w:kern w:val="2"/>
                      <w:sz w:val="21"/>
                      <w:szCs w:val="24"/>
                      <w:lang w:val="en-US" w:eastAsia="en-US" w:bidi="ar-SA"/>
                    </w:rPr>
                  </w:pPr>
                  <w:r>
                    <w:rPr>
                      <w:rFonts w:hint="eastAsia" w:ascii="Times New Roman" w:hAnsi="Times New Roman" w:eastAsia="宋体" w:cs="Times New Roman"/>
                      <w:color w:val="auto"/>
                      <w:lang w:val="en-US" w:eastAsia="zh-CN"/>
                    </w:rPr>
                    <w:t>油</w:t>
                  </w:r>
                  <w:r>
                    <w:rPr>
                      <w:rFonts w:hint="default" w:ascii="Times New Roman" w:hAnsi="Times New Roman" w:eastAsia="宋体" w:cs="Times New Roman"/>
                      <w:color w:val="auto"/>
                      <w:lang w:val="en-US" w:eastAsia="zh-CN"/>
                    </w:rPr>
                    <w:t>性底漆（乙）</w:t>
                  </w:r>
                </w:p>
              </w:tc>
              <w:tc>
                <w:tcPr>
                  <w:tcW w:w="777" w:type="pct"/>
                  <w:tcBorders>
                    <w:top w:val="single" w:color="auto" w:sz="4" w:space="0"/>
                    <w:bottom w:val="single" w:color="auto" w:sz="4" w:space="0"/>
                  </w:tcBorders>
                  <w:shd w:val="clear" w:color="auto" w:fill="auto"/>
                  <w:noWrap w:val="0"/>
                  <w:vAlign w:val="center"/>
                </w:tcPr>
                <w:p w14:paraId="62ACA530">
                  <w:pPr>
                    <w:adjustRightInd w:val="0"/>
                    <w:snapToGrid w:val="0"/>
                    <w:jc w:val="center"/>
                    <w:rPr>
                      <w:rFonts w:hint="eastAsia" w:ascii="Times New Roman" w:hAnsi="Times New Roman" w:eastAsia="宋体" w:cs="Times New Roman"/>
                      <w:color w:val="auto"/>
                      <w:kern w:val="2"/>
                      <w:sz w:val="21"/>
                      <w:szCs w:val="24"/>
                      <w:lang w:val="en-US" w:eastAsia="en-US" w:bidi="ar-SA"/>
                    </w:rPr>
                  </w:pPr>
                  <w:r>
                    <w:rPr>
                      <w:rFonts w:hint="default" w:ascii="Times New Roman" w:hAnsi="Times New Roman" w:eastAsia="宋体" w:cs="Times New Roman"/>
                      <w:color w:val="auto"/>
                      <w:lang w:val="en-US" w:eastAsia="zh-CN"/>
                    </w:rPr>
                    <w:t>聚酰胺树脂</w:t>
                  </w:r>
                </w:p>
              </w:tc>
              <w:tc>
                <w:tcPr>
                  <w:tcW w:w="618" w:type="pct"/>
                  <w:tcBorders>
                    <w:top w:val="single" w:color="auto" w:sz="4" w:space="0"/>
                    <w:bottom w:val="single" w:color="auto" w:sz="4" w:space="0"/>
                  </w:tcBorders>
                  <w:shd w:val="clear" w:color="auto" w:fill="auto"/>
                  <w:noWrap w:val="0"/>
                  <w:vAlign w:val="center"/>
                </w:tcPr>
                <w:p w14:paraId="25ED7809">
                  <w:pPr>
                    <w:adjustRightInd w:val="0"/>
                    <w:snapToGrid w:val="0"/>
                    <w:jc w:val="center"/>
                    <w:rPr>
                      <w:rFonts w:hint="eastAsia" w:ascii="Times New Roman" w:hAnsi="Times New Roman" w:eastAsia="宋体" w:cs="Times New Roman"/>
                      <w:color w:val="auto"/>
                      <w:kern w:val="2"/>
                      <w:sz w:val="21"/>
                      <w:szCs w:val="24"/>
                      <w:lang w:val="en-US" w:eastAsia="en-US" w:bidi="ar-SA"/>
                    </w:rPr>
                  </w:pPr>
                  <w:r>
                    <w:rPr>
                      <w:rFonts w:hint="default" w:ascii="Times New Roman" w:hAnsi="Times New Roman" w:eastAsia="宋体" w:cs="Times New Roman"/>
                      <w:color w:val="auto"/>
                      <w:lang w:val="en-US" w:eastAsia="zh-CN"/>
                    </w:rPr>
                    <w:t>二甲苯</w:t>
                  </w:r>
                </w:p>
              </w:tc>
              <w:tc>
                <w:tcPr>
                  <w:tcW w:w="782" w:type="pct"/>
                  <w:tcBorders>
                    <w:top w:val="single" w:color="auto" w:sz="4" w:space="0"/>
                  </w:tcBorders>
                  <w:shd w:val="clear" w:color="auto" w:fill="auto"/>
                  <w:noWrap w:val="0"/>
                  <w:vAlign w:val="center"/>
                </w:tcPr>
                <w:p w14:paraId="429898BD">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正丁醇</w:t>
                  </w:r>
                </w:p>
              </w:tc>
              <w:tc>
                <w:tcPr>
                  <w:tcW w:w="528" w:type="pct"/>
                  <w:tcBorders>
                    <w:top w:val="single" w:color="auto" w:sz="4" w:space="0"/>
                    <w:bottom w:val="single" w:color="auto" w:sz="4" w:space="0"/>
                  </w:tcBorders>
                  <w:shd w:val="clear" w:color="auto" w:fill="auto"/>
                  <w:noWrap w:val="0"/>
                  <w:vAlign w:val="center"/>
                </w:tcPr>
                <w:p w14:paraId="4A6F2BCA">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w:t>
                  </w:r>
                </w:p>
              </w:tc>
              <w:tc>
                <w:tcPr>
                  <w:tcW w:w="528" w:type="pct"/>
                  <w:tcBorders>
                    <w:top w:val="single" w:color="auto" w:sz="4" w:space="0"/>
                    <w:bottom w:val="single" w:color="auto" w:sz="4" w:space="0"/>
                  </w:tcBorders>
                  <w:shd w:val="clear" w:color="auto" w:fill="auto"/>
                  <w:noWrap w:val="0"/>
                  <w:vAlign w:val="center"/>
                </w:tcPr>
                <w:p w14:paraId="2417AF4E">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w:t>
                  </w:r>
                </w:p>
              </w:tc>
              <w:tc>
                <w:tcPr>
                  <w:tcW w:w="528" w:type="pct"/>
                  <w:tcBorders>
                    <w:top w:val="single" w:color="auto" w:sz="4" w:space="0"/>
                    <w:bottom w:val="single" w:color="auto" w:sz="4" w:space="0"/>
                  </w:tcBorders>
                  <w:shd w:val="clear" w:color="auto" w:fill="auto"/>
                  <w:noWrap w:val="0"/>
                  <w:vAlign w:val="center"/>
                </w:tcPr>
                <w:p w14:paraId="7A26D250">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w:t>
                  </w:r>
                </w:p>
              </w:tc>
              <w:tc>
                <w:tcPr>
                  <w:tcW w:w="530" w:type="pct"/>
                  <w:tcBorders>
                    <w:top w:val="single" w:color="auto" w:sz="4" w:space="0"/>
                    <w:bottom w:val="single" w:color="auto" w:sz="4" w:space="0"/>
                  </w:tcBorders>
                  <w:shd w:val="clear" w:color="auto" w:fill="auto"/>
                  <w:noWrap w:val="0"/>
                  <w:vAlign w:val="center"/>
                </w:tcPr>
                <w:p w14:paraId="79548940">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w:t>
                  </w:r>
                </w:p>
              </w:tc>
            </w:tr>
            <w:tr w14:paraId="23BC55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705" w:type="pct"/>
                  <w:vMerge w:val="continue"/>
                  <w:shd w:val="clear" w:color="auto" w:fill="auto"/>
                  <w:noWrap w:val="0"/>
                  <w:vAlign w:val="center"/>
                </w:tcPr>
                <w:p w14:paraId="6532DE66">
                  <w:pPr>
                    <w:adjustRightInd w:val="0"/>
                    <w:snapToGrid w:val="0"/>
                    <w:jc w:val="center"/>
                    <w:rPr>
                      <w:rFonts w:hint="eastAsia" w:ascii="Times New Roman" w:hAnsi="Times New Roman" w:eastAsia="宋体" w:cs="Times New Roman"/>
                      <w:color w:val="auto"/>
                      <w:lang w:val="en-US" w:eastAsia="zh-CN"/>
                    </w:rPr>
                  </w:pPr>
                </w:p>
              </w:tc>
              <w:tc>
                <w:tcPr>
                  <w:tcW w:w="777" w:type="pct"/>
                  <w:shd w:val="clear" w:color="auto" w:fill="auto"/>
                  <w:noWrap w:val="0"/>
                  <w:vAlign w:val="center"/>
                </w:tcPr>
                <w:p w14:paraId="3772A4B6">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60</w:t>
                  </w:r>
                </w:p>
              </w:tc>
              <w:tc>
                <w:tcPr>
                  <w:tcW w:w="618" w:type="pct"/>
                  <w:shd w:val="clear" w:color="auto" w:fill="auto"/>
                  <w:noWrap w:val="0"/>
                  <w:vAlign w:val="center"/>
                </w:tcPr>
                <w:p w14:paraId="1CAFF0DA">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24</w:t>
                  </w:r>
                </w:p>
              </w:tc>
              <w:tc>
                <w:tcPr>
                  <w:tcW w:w="782" w:type="pct"/>
                  <w:shd w:val="clear" w:color="auto" w:fill="auto"/>
                  <w:noWrap w:val="0"/>
                  <w:vAlign w:val="center"/>
                </w:tcPr>
                <w:p w14:paraId="73908DE3">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16</w:t>
                  </w:r>
                </w:p>
              </w:tc>
              <w:tc>
                <w:tcPr>
                  <w:tcW w:w="528" w:type="pct"/>
                  <w:shd w:val="clear" w:color="auto" w:fill="auto"/>
                  <w:noWrap w:val="0"/>
                  <w:vAlign w:val="center"/>
                </w:tcPr>
                <w:p w14:paraId="1B30CA7E">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w:t>
                  </w:r>
                </w:p>
              </w:tc>
              <w:tc>
                <w:tcPr>
                  <w:tcW w:w="528" w:type="pct"/>
                  <w:shd w:val="clear" w:color="auto" w:fill="auto"/>
                  <w:noWrap w:val="0"/>
                  <w:vAlign w:val="center"/>
                </w:tcPr>
                <w:p w14:paraId="3C8D21FC">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w:t>
                  </w:r>
                </w:p>
              </w:tc>
              <w:tc>
                <w:tcPr>
                  <w:tcW w:w="528" w:type="pct"/>
                  <w:shd w:val="clear" w:color="auto" w:fill="auto"/>
                  <w:noWrap w:val="0"/>
                  <w:vAlign w:val="center"/>
                </w:tcPr>
                <w:p w14:paraId="2B42A54F">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w:t>
                  </w:r>
                </w:p>
              </w:tc>
              <w:tc>
                <w:tcPr>
                  <w:tcW w:w="530" w:type="pct"/>
                  <w:shd w:val="clear" w:color="auto" w:fill="auto"/>
                  <w:noWrap w:val="0"/>
                  <w:vAlign w:val="center"/>
                </w:tcPr>
                <w:p w14:paraId="3E1888F9">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w:t>
                  </w:r>
                </w:p>
              </w:tc>
            </w:tr>
            <w:tr w14:paraId="7B459A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705" w:type="pct"/>
                  <w:vMerge w:val="restart"/>
                  <w:shd w:val="clear" w:color="auto" w:fill="auto"/>
                  <w:noWrap w:val="0"/>
                  <w:vAlign w:val="center"/>
                </w:tcPr>
                <w:p w14:paraId="31A73007">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油</w:t>
                  </w:r>
                  <w:r>
                    <w:rPr>
                      <w:rFonts w:hint="default" w:ascii="Times New Roman" w:hAnsi="Times New Roman" w:eastAsia="宋体" w:cs="Times New Roman"/>
                      <w:color w:val="auto"/>
                      <w:lang w:val="en-US" w:eastAsia="zh-CN"/>
                    </w:rPr>
                    <w:t>性中间漆（甲）</w:t>
                  </w:r>
                </w:p>
              </w:tc>
              <w:tc>
                <w:tcPr>
                  <w:tcW w:w="777" w:type="pct"/>
                  <w:shd w:val="clear" w:color="auto" w:fill="auto"/>
                  <w:noWrap w:val="0"/>
                  <w:vAlign w:val="center"/>
                </w:tcPr>
                <w:p w14:paraId="3D24E8C6">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环氧树脂</w:t>
                  </w:r>
                </w:p>
              </w:tc>
              <w:tc>
                <w:tcPr>
                  <w:tcW w:w="618" w:type="pct"/>
                  <w:shd w:val="clear" w:color="auto" w:fill="auto"/>
                  <w:noWrap w:val="0"/>
                  <w:vAlign w:val="center"/>
                </w:tcPr>
                <w:p w14:paraId="034812F0">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钛白粉</w:t>
                  </w:r>
                </w:p>
              </w:tc>
              <w:tc>
                <w:tcPr>
                  <w:tcW w:w="782" w:type="pct"/>
                  <w:shd w:val="clear" w:color="auto" w:fill="auto"/>
                  <w:noWrap w:val="0"/>
                  <w:vAlign w:val="center"/>
                </w:tcPr>
                <w:p w14:paraId="781C005A">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云母氧化铁</w:t>
                  </w:r>
                </w:p>
              </w:tc>
              <w:tc>
                <w:tcPr>
                  <w:tcW w:w="528" w:type="pct"/>
                  <w:shd w:val="clear" w:color="auto" w:fill="auto"/>
                  <w:noWrap w:val="0"/>
                  <w:vAlign w:val="center"/>
                </w:tcPr>
                <w:p w14:paraId="30DD2537">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防锈</w:t>
                  </w:r>
                </w:p>
                <w:p w14:paraId="238EADCC">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颜料</w:t>
                  </w:r>
                </w:p>
              </w:tc>
              <w:tc>
                <w:tcPr>
                  <w:tcW w:w="528" w:type="pct"/>
                  <w:shd w:val="clear" w:color="auto" w:fill="auto"/>
                  <w:noWrap w:val="0"/>
                  <w:vAlign w:val="center"/>
                </w:tcPr>
                <w:p w14:paraId="0421E15F">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防沉剂</w:t>
                  </w:r>
                </w:p>
              </w:tc>
              <w:tc>
                <w:tcPr>
                  <w:tcW w:w="528" w:type="pct"/>
                  <w:shd w:val="clear" w:color="auto" w:fill="auto"/>
                  <w:noWrap w:val="0"/>
                  <w:vAlign w:val="center"/>
                </w:tcPr>
                <w:p w14:paraId="6D1DD0F2">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二甲苯</w:t>
                  </w:r>
                </w:p>
              </w:tc>
              <w:tc>
                <w:tcPr>
                  <w:tcW w:w="530" w:type="pct"/>
                  <w:shd w:val="clear" w:color="auto" w:fill="auto"/>
                  <w:noWrap w:val="0"/>
                  <w:vAlign w:val="center"/>
                </w:tcPr>
                <w:p w14:paraId="38FF23BE">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正丁醇</w:t>
                  </w:r>
                </w:p>
              </w:tc>
            </w:tr>
            <w:tr w14:paraId="5BCE06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pct"/>
                  <w:vMerge w:val="continue"/>
                  <w:shd w:val="clear" w:color="auto" w:fill="auto"/>
                  <w:noWrap w:val="0"/>
                  <w:vAlign w:val="center"/>
                </w:tcPr>
                <w:p w14:paraId="2DCDB657">
                  <w:pPr>
                    <w:adjustRightInd w:val="0"/>
                    <w:snapToGrid w:val="0"/>
                    <w:jc w:val="center"/>
                    <w:rPr>
                      <w:rFonts w:hint="eastAsia" w:ascii="Times New Roman" w:hAnsi="Times New Roman" w:eastAsia="宋体" w:cs="Times New Roman"/>
                      <w:color w:val="auto"/>
                      <w:lang w:val="en-US" w:eastAsia="zh-CN"/>
                    </w:rPr>
                  </w:pPr>
                </w:p>
              </w:tc>
              <w:tc>
                <w:tcPr>
                  <w:tcW w:w="777" w:type="pct"/>
                  <w:shd w:val="clear" w:color="auto" w:fill="auto"/>
                  <w:noWrap w:val="0"/>
                  <w:vAlign w:val="center"/>
                </w:tcPr>
                <w:p w14:paraId="7B32E2CB">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27</w:t>
                  </w:r>
                </w:p>
              </w:tc>
              <w:tc>
                <w:tcPr>
                  <w:tcW w:w="618" w:type="pct"/>
                  <w:shd w:val="clear" w:color="auto" w:fill="auto"/>
                  <w:noWrap w:val="0"/>
                  <w:vAlign w:val="center"/>
                </w:tcPr>
                <w:p w14:paraId="28806B37">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10</w:t>
                  </w:r>
                </w:p>
              </w:tc>
              <w:tc>
                <w:tcPr>
                  <w:tcW w:w="782" w:type="pct"/>
                  <w:shd w:val="clear" w:color="auto" w:fill="auto"/>
                  <w:noWrap w:val="0"/>
                  <w:vAlign w:val="center"/>
                </w:tcPr>
                <w:p w14:paraId="47F9EE23">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40</w:t>
                  </w:r>
                </w:p>
              </w:tc>
              <w:tc>
                <w:tcPr>
                  <w:tcW w:w="528" w:type="pct"/>
                  <w:shd w:val="clear" w:color="auto" w:fill="auto"/>
                  <w:noWrap w:val="0"/>
                  <w:vAlign w:val="center"/>
                </w:tcPr>
                <w:p w14:paraId="2E0B26D4">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10</w:t>
                  </w:r>
                </w:p>
              </w:tc>
              <w:tc>
                <w:tcPr>
                  <w:tcW w:w="528" w:type="pct"/>
                  <w:shd w:val="clear" w:color="auto" w:fill="auto"/>
                  <w:noWrap w:val="0"/>
                  <w:vAlign w:val="center"/>
                </w:tcPr>
                <w:p w14:paraId="553B6A34">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2</w:t>
                  </w:r>
                </w:p>
              </w:tc>
              <w:tc>
                <w:tcPr>
                  <w:tcW w:w="528" w:type="pct"/>
                  <w:shd w:val="clear" w:color="auto" w:fill="auto"/>
                  <w:noWrap w:val="0"/>
                  <w:vAlign w:val="center"/>
                </w:tcPr>
                <w:p w14:paraId="2C0B965A">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7</w:t>
                  </w:r>
                </w:p>
              </w:tc>
              <w:tc>
                <w:tcPr>
                  <w:tcW w:w="530" w:type="pct"/>
                  <w:shd w:val="clear" w:color="auto" w:fill="auto"/>
                  <w:noWrap w:val="0"/>
                  <w:vAlign w:val="center"/>
                </w:tcPr>
                <w:p w14:paraId="0AA3C404">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4</w:t>
                  </w:r>
                </w:p>
              </w:tc>
            </w:tr>
            <w:tr w14:paraId="35347F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pct"/>
                  <w:vMerge w:val="restart"/>
                  <w:shd w:val="clear" w:color="auto" w:fill="auto"/>
                  <w:noWrap w:val="0"/>
                  <w:vAlign w:val="center"/>
                </w:tcPr>
                <w:p w14:paraId="37EEDFAB">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油</w:t>
                  </w:r>
                  <w:r>
                    <w:rPr>
                      <w:rFonts w:hint="default" w:ascii="Times New Roman" w:hAnsi="Times New Roman" w:eastAsia="宋体" w:cs="Times New Roman"/>
                      <w:color w:val="auto"/>
                      <w:lang w:val="en-US" w:eastAsia="zh-CN"/>
                    </w:rPr>
                    <w:t>性中间漆（乙）</w:t>
                  </w:r>
                </w:p>
              </w:tc>
              <w:tc>
                <w:tcPr>
                  <w:tcW w:w="777" w:type="pct"/>
                  <w:shd w:val="clear" w:color="auto" w:fill="auto"/>
                  <w:noWrap w:val="0"/>
                  <w:vAlign w:val="center"/>
                </w:tcPr>
                <w:p w14:paraId="02FCFE0B">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聚酰胺树脂</w:t>
                  </w:r>
                </w:p>
              </w:tc>
              <w:tc>
                <w:tcPr>
                  <w:tcW w:w="618" w:type="pct"/>
                  <w:shd w:val="clear" w:color="auto" w:fill="auto"/>
                  <w:noWrap w:val="0"/>
                  <w:vAlign w:val="center"/>
                </w:tcPr>
                <w:p w14:paraId="034D9906">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二甲苯</w:t>
                  </w:r>
                </w:p>
              </w:tc>
              <w:tc>
                <w:tcPr>
                  <w:tcW w:w="782" w:type="pct"/>
                  <w:shd w:val="clear" w:color="auto" w:fill="auto"/>
                  <w:noWrap w:val="0"/>
                  <w:vAlign w:val="center"/>
                </w:tcPr>
                <w:p w14:paraId="53F56600">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正丁醇</w:t>
                  </w:r>
                </w:p>
              </w:tc>
              <w:tc>
                <w:tcPr>
                  <w:tcW w:w="528" w:type="pct"/>
                  <w:shd w:val="clear" w:color="auto" w:fill="auto"/>
                  <w:noWrap w:val="0"/>
                  <w:vAlign w:val="center"/>
                </w:tcPr>
                <w:p w14:paraId="4DE20B5D">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w:t>
                  </w:r>
                </w:p>
              </w:tc>
              <w:tc>
                <w:tcPr>
                  <w:tcW w:w="528" w:type="pct"/>
                  <w:shd w:val="clear" w:color="auto" w:fill="auto"/>
                  <w:noWrap w:val="0"/>
                  <w:vAlign w:val="center"/>
                </w:tcPr>
                <w:p w14:paraId="199E140B">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w:t>
                  </w:r>
                </w:p>
              </w:tc>
              <w:tc>
                <w:tcPr>
                  <w:tcW w:w="528" w:type="pct"/>
                  <w:shd w:val="clear" w:color="auto" w:fill="auto"/>
                  <w:noWrap w:val="0"/>
                  <w:vAlign w:val="center"/>
                </w:tcPr>
                <w:p w14:paraId="715A4776">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w:t>
                  </w:r>
                </w:p>
              </w:tc>
              <w:tc>
                <w:tcPr>
                  <w:tcW w:w="530" w:type="pct"/>
                  <w:shd w:val="clear" w:color="auto" w:fill="auto"/>
                  <w:noWrap w:val="0"/>
                  <w:vAlign w:val="center"/>
                </w:tcPr>
                <w:p w14:paraId="16C2B182">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w:t>
                  </w:r>
                </w:p>
              </w:tc>
            </w:tr>
            <w:tr w14:paraId="150DE7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pct"/>
                  <w:vMerge w:val="continue"/>
                  <w:noWrap w:val="0"/>
                  <w:vAlign w:val="center"/>
                </w:tcPr>
                <w:p w14:paraId="42050022">
                  <w:pPr>
                    <w:adjustRightInd w:val="0"/>
                    <w:snapToGrid w:val="0"/>
                    <w:jc w:val="center"/>
                    <w:rPr>
                      <w:rFonts w:hint="eastAsia" w:ascii="Times New Roman" w:hAnsi="Times New Roman" w:eastAsia="宋体" w:cs="Times New Roman"/>
                      <w:color w:val="auto"/>
                      <w:lang w:val="en-US" w:eastAsia="zh-CN"/>
                    </w:rPr>
                  </w:pPr>
                </w:p>
              </w:tc>
              <w:tc>
                <w:tcPr>
                  <w:tcW w:w="777" w:type="pct"/>
                  <w:shd w:val="clear" w:color="auto" w:fill="auto"/>
                  <w:noWrap w:val="0"/>
                  <w:vAlign w:val="center"/>
                </w:tcPr>
                <w:p w14:paraId="7BFC1A84">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55</w:t>
                  </w:r>
                </w:p>
              </w:tc>
              <w:tc>
                <w:tcPr>
                  <w:tcW w:w="618" w:type="pct"/>
                  <w:shd w:val="clear" w:color="auto" w:fill="auto"/>
                  <w:noWrap w:val="0"/>
                  <w:vAlign w:val="center"/>
                </w:tcPr>
                <w:p w14:paraId="373408E8">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27</w:t>
                  </w:r>
                </w:p>
              </w:tc>
              <w:tc>
                <w:tcPr>
                  <w:tcW w:w="782" w:type="pct"/>
                  <w:shd w:val="clear" w:color="auto" w:fill="auto"/>
                  <w:noWrap w:val="0"/>
                  <w:vAlign w:val="center"/>
                </w:tcPr>
                <w:p w14:paraId="5028DD70">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18</w:t>
                  </w:r>
                </w:p>
              </w:tc>
              <w:tc>
                <w:tcPr>
                  <w:tcW w:w="528" w:type="pct"/>
                  <w:shd w:val="clear" w:color="auto" w:fill="auto"/>
                  <w:noWrap w:val="0"/>
                  <w:vAlign w:val="center"/>
                </w:tcPr>
                <w:p w14:paraId="4594516C">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w:t>
                  </w:r>
                </w:p>
              </w:tc>
              <w:tc>
                <w:tcPr>
                  <w:tcW w:w="528" w:type="pct"/>
                  <w:shd w:val="clear" w:color="auto" w:fill="auto"/>
                  <w:noWrap w:val="0"/>
                  <w:vAlign w:val="center"/>
                </w:tcPr>
                <w:p w14:paraId="6E83D31E">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w:t>
                  </w:r>
                </w:p>
              </w:tc>
              <w:tc>
                <w:tcPr>
                  <w:tcW w:w="528" w:type="pct"/>
                  <w:shd w:val="clear" w:color="auto" w:fill="auto"/>
                  <w:noWrap w:val="0"/>
                  <w:vAlign w:val="center"/>
                </w:tcPr>
                <w:p w14:paraId="0C0C84DB">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w:t>
                  </w:r>
                </w:p>
              </w:tc>
              <w:tc>
                <w:tcPr>
                  <w:tcW w:w="530" w:type="pct"/>
                  <w:shd w:val="clear" w:color="auto" w:fill="auto"/>
                  <w:noWrap w:val="0"/>
                  <w:vAlign w:val="center"/>
                </w:tcPr>
                <w:p w14:paraId="13C4BB11">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w:t>
                  </w:r>
                </w:p>
              </w:tc>
            </w:tr>
            <w:tr w14:paraId="64252B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705" w:type="pct"/>
                  <w:vMerge w:val="restart"/>
                  <w:noWrap w:val="0"/>
                  <w:vAlign w:val="center"/>
                </w:tcPr>
                <w:p w14:paraId="08F8CB3A">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油</w:t>
                  </w:r>
                  <w:r>
                    <w:rPr>
                      <w:rFonts w:hint="default" w:ascii="Times New Roman" w:hAnsi="Times New Roman" w:eastAsia="宋体" w:cs="Times New Roman"/>
                      <w:color w:val="auto"/>
                      <w:lang w:val="en-US" w:eastAsia="zh-CN"/>
                    </w:rPr>
                    <w:t>性面漆（甲）</w:t>
                  </w:r>
                </w:p>
              </w:tc>
              <w:tc>
                <w:tcPr>
                  <w:tcW w:w="777" w:type="pct"/>
                  <w:shd w:val="clear" w:color="auto" w:fill="auto"/>
                  <w:noWrap w:val="0"/>
                  <w:vAlign w:val="center"/>
                </w:tcPr>
                <w:p w14:paraId="7433A3D3">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羟基丙烯酸树脂</w:t>
                  </w:r>
                </w:p>
              </w:tc>
              <w:tc>
                <w:tcPr>
                  <w:tcW w:w="618" w:type="pct"/>
                  <w:shd w:val="clear" w:color="auto" w:fill="auto"/>
                  <w:noWrap w:val="0"/>
                  <w:vAlign w:val="center"/>
                </w:tcPr>
                <w:p w14:paraId="74335D06">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防沉剂</w:t>
                  </w:r>
                </w:p>
              </w:tc>
              <w:tc>
                <w:tcPr>
                  <w:tcW w:w="782" w:type="pct"/>
                  <w:shd w:val="clear" w:color="auto" w:fill="auto"/>
                  <w:noWrap w:val="0"/>
                  <w:vAlign w:val="center"/>
                </w:tcPr>
                <w:p w14:paraId="6AD175B4">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颜、填料</w:t>
                  </w:r>
                </w:p>
              </w:tc>
              <w:tc>
                <w:tcPr>
                  <w:tcW w:w="528" w:type="pct"/>
                  <w:shd w:val="clear" w:color="auto" w:fill="auto"/>
                  <w:noWrap w:val="0"/>
                  <w:vAlign w:val="center"/>
                </w:tcPr>
                <w:p w14:paraId="68AC6393">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助剂</w:t>
                  </w:r>
                </w:p>
              </w:tc>
              <w:tc>
                <w:tcPr>
                  <w:tcW w:w="528" w:type="pct"/>
                  <w:shd w:val="clear" w:color="auto" w:fill="auto"/>
                  <w:noWrap w:val="0"/>
                  <w:vAlign w:val="center"/>
                </w:tcPr>
                <w:p w14:paraId="11E9B59A">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二甲苯</w:t>
                  </w:r>
                </w:p>
              </w:tc>
              <w:tc>
                <w:tcPr>
                  <w:tcW w:w="528" w:type="pct"/>
                  <w:shd w:val="clear" w:color="auto" w:fill="auto"/>
                  <w:noWrap w:val="0"/>
                  <w:vAlign w:val="center"/>
                </w:tcPr>
                <w:p w14:paraId="1C89BC84">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乙酸</w:t>
                  </w:r>
                </w:p>
                <w:p w14:paraId="0E82D31A">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丁酯</w:t>
                  </w:r>
                </w:p>
              </w:tc>
              <w:tc>
                <w:tcPr>
                  <w:tcW w:w="530" w:type="pct"/>
                  <w:shd w:val="clear" w:color="auto" w:fill="auto"/>
                  <w:noWrap w:val="0"/>
                  <w:vAlign w:val="center"/>
                </w:tcPr>
                <w:p w14:paraId="5B0E694C">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w:t>
                  </w:r>
                </w:p>
              </w:tc>
            </w:tr>
            <w:tr w14:paraId="3D4241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pct"/>
                  <w:vMerge w:val="continue"/>
                  <w:noWrap w:val="0"/>
                  <w:vAlign w:val="center"/>
                </w:tcPr>
                <w:p w14:paraId="6D046976">
                  <w:pPr>
                    <w:adjustRightInd w:val="0"/>
                    <w:snapToGrid w:val="0"/>
                    <w:jc w:val="center"/>
                    <w:rPr>
                      <w:rFonts w:hint="default" w:ascii="Times New Roman" w:hAnsi="Times New Roman" w:eastAsia="宋体" w:cs="Times New Roman"/>
                      <w:color w:val="auto"/>
                      <w:lang w:val="en-US" w:eastAsia="zh-CN"/>
                    </w:rPr>
                  </w:pPr>
                </w:p>
              </w:tc>
              <w:tc>
                <w:tcPr>
                  <w:tcW w:w="777" w:type="pct"/>
                  <w:noWrap w:val="0"/>
                  <w:vAlign w:val="center"/>
                </w:tcPr>
                <w:p w14:paraId="5A043093">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50</w:t>
                  </w:r>
                  <w:r>
                    <w:rPr>
                      <w:rFonts w:hint="eastAsia" w:ascii="宋体" w:hAnsi="宋体" w:eastAsia="宋体" w:cs="宋体"/>
                      <w:color w:val="auto"/>
                      <w:lang w:val="en-US" w:eastAsia="zh-CN"/>
                    </w:rPr>
                    <w:t>～</w:t>
                  </w:r>
                  <w:r>
                    <w:rPr>
                      <w:rFonts w:hint="default" w:ascii="Times New Roman" w:hAnsi="Times New Roman" w:eastAsia="宋体" w:cs="Times New Roman"/>
                      <w:color w:val="auto"/>
                      <w:lang w:val="en-US" w:eastAsia="zh-CN"/>
                    </w:rPr>
                    <w:t>65</w:t>
                  </w:r>
                </w:p>
              </w:tc>
              <w:tc>
                <w:tcPr>
                  <w:tcW w:w="618" w:type="pct"/>
                  <w:noWrap w:val="0"/>
                  <w:vAlign w:val="center"/>
                </w:tcPr>
                <w:p w14:paraId="26FC87A7">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0.8</w:t>
                  </w:r>
                  <w:r>
                    <w:rPr>
                      <w:rFonts w:hint="eastAsia" w:ascii="宋体" w:hAnsi="宋体" w:eastAsia="宋体" w:cs="宋体"/>
                      <w:color w:val="auto"/>
                      <w:lang w:val="en-US" w:eastAsia="zh-CN"/>
                    </w:rPr>
                    <w:t>～</w:t>
                  </w:r>
                  <w:r>
                    <w:rPr>
                      <w:rFonts w:hint="default" w:ascii="Times New Roman" w:hAnsi="Times New Roman" w:eastAsia="宋体" w:cs="Times New Roman"/>
                      <w:color w:val="auto"/>
                      <w:lang w:val="en-US" w:eastAsia="zh-CN"/>
                    </w:rPr>
                    <w:t>1.5</w:t>
                  </w:r>
                </w:p>
              </w:tc>
              <w:tc>
                <w:tcPr>
                  <w:tcW w:w="782" w:type="pct"/>
                  <w:noWrap w:val="0"/>
                  <w:vAlign w:val="center"/>
                </w:tcPr>
                <w:p w14:paraId="084542D0">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15</w:t>
                  </w:r>
                  <w:r>
                    <w:rPr>
                      <w:rFonts w:hint="eastAsia" w:ascii="宋体" w:hAnsi="宋体" w:eastAsia="宋体" w:cs="宋体"/>
                      <w:color w:val="auto"/>
                      <w:lang w:val="en-US" w:eastAsia="zh-CN"/>
                    </w:rPr>
                    <w:t>～</w:t>
                  </w:r>
                  <w:r>
                    <w:rPr>
                      <w:rFonts w:hint="default" w:ascii="Times New Roman" w:hAnsi="Times New Roman" w:eastAsia="宋体" w:cs="Times New Roman"/>
                      <w:color w:val="auto"/>
                      <w:lang w:val="en-US" w:eastAsia="zh-CN"/>
                    </w:rPr>
                    <w:t>30</w:t>
                  </w:r>
                </w:p>
              </w:tc>
              <w:tc>
                <w:tcPr>
                  <w:tcW w:w="528" w:type="pct"/>
                  <w:noWrap w:val="0"/>
                  <w:vAlign w:val="center"/>
                </w:tcPr>
                <w:p w14:paraId="732E4B04">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1</w:t>
                  </w:r>
                  <w:r>
                    <w:rPr>
                      <w:rFonts w:hint="eastAsia" w:ascii="宋体" w:hAnsi="宋体" w:eastAsia="宋体" w:cs="宋体"/>
                      <w:color w:val="auto"/>
                      <w:lang w:val="en-US" w:eastAsia="zh-CN"/>
                    </w:rPr>
                    <w:t>～</w:t>
                  </w:r>
                  <w:r>
                    <w:rPr>
                      <w:rFonts w:hint="default" w:ascii="Times New Roman" w:hAnsi="Times New Roman" w:eastAsia="宋体" w:cs="Times New Roman"/>
                      <w:color w:val="auto"/>
                      <w:lang w:val="en-US" w:eastAsia="zh-CN"/>
                    </w:rPr>
                    <w:t>2</w:t>
                  </w:r>
                </w:p>
              </w:tc>
              <w:tc>
                <w:tcPr>
                  <w:tcW w:w="528" w:type="pct"/>
                  <w:noWrap w:val="0"/>
                  <w:vAlign w:val="center"/>
                </w:tcPr>
                <w:p w14:paraId="456BE361">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8</w:t>
                  </w:r>
                  <w:r>
                    <w:rPr>
                      <w:rFonts w:hint="eastAsia" w:ascii="宋体" w:hAnsi="宋体" w:eastAsia="宋体" w:cs="宋体"/>
                      <w:color w:val="auto"/>
                      <w:lang w:val="en-US" w:eastAsia="zh-CN"/>
                    </w:rPr>
                    <w:t>～</w:t>
                  </w:r>
                  <w:r>
                    <w:rPr>
                      <w:rFonts w:hint="default" w:ascii="Times New Roman" w:hAnsi="Times New Roman" w:eastAsia="宋体" w:cs="Times New Roman"/>
                      <w:color w:val="auto"/>
                      <w:lang w:val="en-US" w:eastAsia="zh-CN"/>
                    </w:rPr>
                    <w:t>10</w:t>
                  </w:r>
                </w:p>
              </w:tc>
              <w:tc>
                <w:tcPr>
                  <w:tcW w:w="528" w:type="pct"/>
                  <w:noWrap w:val="0"/>
                  <w:vAlign w:val="center"/>
                </w:tcPr>
                <w:p w14:paraId="14CC2649">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4</w:t>
                  </w:r>
                  <w:r>
                    <w:rPr>
                      <w:rFonts w:hint="eastAsia" w:ascii="宋体" w:hAnsi="宋体" w:eastAsia="宋体" w:cs="宋体"/>
                      <w:color w:val="auto"/>
                      <w:lang w:val="en-US" w:eastAsia="zh-CN"/>
                    </w:rPr>
                    <w:t>～</w:t>
                  </w:r>
                  <w:r>
                    <w:rPr>
                      <w:rFonts w:hint="default" w:ascii="Times New Roman" w:hAnsi="Times New Roman" w:eastAsia="宋体" w:cs="Times New Roman"/>
                      <w:color w:val="auto"/>
                      <w:lang w:val="en-US" w:eastAsia="zh-CN"/>
                    </w:rPr>
                    <w:t>6</w:t>
                  </w:r>
                </w:p>
              </w:tc>
              <w:tc>
                <w:tcPr>
                  <w:tcW w:w="530" w:type="pct"/>
                  <w:noWrap w:val="0"/>
                  <w:vAlign w:val="center"/>
                </w:tcPr>
                <w:p w14:paraId="22AF73A5">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w:t>
                  </w:r>
                </w:p>
              </w:tc>
            </w:tr>
            <w:tr w14:paraId="6920FE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705" w:type="pct"/>
                  <w:vMerge w:val="restart"/>
                  <w:noWrap w:val="0"/>
                  <w:vAlign w:val="center"/>
                </w:tcPr>
                <w:p w14:paraId="4AC7994A">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油</w:t>
                  </w:r>
                  <w:r>
                    <w:rPr>
                      <w:rFonts w:hint="default" w:ascii="Times New Roman" w:hAnsi="Times New Roman" w:eastAsia="宋体" w:cs="Times New Roman"/>
                      <w:color w:val="auto"/>
                      <w:lang w:val="en-US" w:eastAsia="zh-CN"/>
                    </w:rPr>
                    <w:t>性面漆（乙）</w:t>
                  </w:r>
                </w:p>
              </w:tc>
              <w:tc>
                <w:tcPr>
                  <w:tcW w:w="777" w:type="pct"/>
                  <w:noWrap w:val="0"/>
                  <w:vAlign w:val="center"/>
                </w:tcPr>
                <w:p w14:paraId="51D2C06B">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HDI聚异氰酸酯树脂</w:t>
                  </w:r>
                </w:p>
              </w:tc>
              <w:tc>
                <w:tcPr>
                  <w:tcW w:w="618" w:type="pct"/>
                  <w:noWrap w:val="0"/>
                  <w:vAlign w:val="center"/>
                </w:tcPr>
                <w:p w14:paraId="7BEF7B81">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乙酸丁酯</w:t>
                  </w:r>
                </w:p>
              </w:tc>
              <w:tc>
                <w:tcPr>
                  <w:tcW w:w="782" w:type="pct"/>
                  <w:noWrap w:val="0"/>
                  <w:vAlign w:val="center"/>
                </w:tcPr>
                <w:p w14:paraId="09B7E2EE">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w:t>
                  </w:r>
                </w:p>
              </w:tc>
              <w:tc>
                <w:tcPr>
                  <w:tcW w:w="528" w:type="pct"/>
                  <w:noWrap w:val="0"/>
                  <w:vAlign w:val="center"/>
                </w:tcPr>
                <w:p w14:paraId="4E9CECDC">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w:t>
                  </w:r>
                </w:p>
              </w:tc>
              <w:tc>
                <w:tcPr>
                  <w:tcW w:w="528" w:type="pct"/>
                  <w:noWrap w:val="0"/>
                  <w:vAlign w:val="center"/>
                </w:tcPr>
                <w:p w14:paraId="5639401F">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w:t>
                  </w:r>
                </w:p>
              </w:tc>
              <w:tc>
                <w:tcPr>
                  <w:tcW w:w="528" w:type="pct"/>
                  <w:noWrap w:val="0"/>
                  <w:vAlign w:val="center"/>
                </w:tcPr>
                <w:p w14:paraId="1BEE3FC8">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w:t>
                  </w:r>
                </w:p>
              </w:tc>
              <w:tc>
                <w:tcPr>
                  <w:tcW w:w="530" w:type="pct"/>
                  <w:noWrap w:val="0"/>
                  <w:vAlign w:val="center"/>
                </w:tcPr>
                <w:p w14:paraId="78058879">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w:t>
                  </w:r>
                </w:p>
              </w:tc>
            </w:tr>
            <w:tr w14:paraId="523AEC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pct"/>
                  <w:vMerge w:val="continue"/>
                  <w:noWrap w:val="0"/>
                  <w:vAlign w:val="center"/>
                </w:tcPr>
                <w:p w14:paraId="359F2D12">
                  <w:pPr>
                    <w:adjustRightInd w:val="0"/>
                    <w:snapToGrid w:val="0"/>
                    <w:jc w:val="center"/>
                    <w:rPr>
                      <w:rFonts w:hint="default" w:ascii="Times New Roman" w:hAnsi="Times New Roman" w:eastAsia="宋体" w:cs="Times New Roman"/>
                      <w:color w:val="auto"/>
                      <w:lang w:val="en-US" w:eastAsia="zh-CN"/>
                    </w:rPr>
                  </w:pPr>
                </w:p>
              </w:tc>
              <w:tc>
                <w:tcPr>
                  <w:tcW w:w="777" w:type="pct"/>
                  <w:noWrap w:val="0"/>
                  <w:vAlign w:val="center"/>
                </w:tcPr>
                <w:p w14:paraId="4B59B8F8">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60</w:t>
                  </w:r>
                </w:p>
              </w:tc>
              <w:tc>
                <w:tcPr>
                  <w:tcW w:w="618" w:type="pct"/>
                  <w:noWrap w:val="0"/>
                  <w:vAlign w:val="center"/>
                </w:tcPr>
                <w:p w14:paraId="25964EB7">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40</w:t>
                  </w:r>
                </w:p>
              </w:tc>
              <w:tc>
                <w:tcPr>
                  <w:tcW w:w="782" w:type="pct"/>
                  <w:noWrap w:val="0"/>
                  <w:vAlign w:val="center"/>
                </w:tcPr>
                <w:p w14:paraId="01F17600">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528" w:type="pct"/>
                  <w:noWrap w:val="0"/>
                  <w:vAlign w:val="center"/>
                </w:tcPr>
                <w:p w14:paraId="6258045E">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528" w:type="pct"/>
                  <w:noWrap w:val="0"/>
                  <w:vAlign w:val="center"/>
                </w:tcPr>
                <w:p w14:paraId="32CC1005">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528" w:type="pct"/>
                  <w:noWrap w:val="0"/>
                  <w:vAlign w:val="center"/>
                </w:tcPr>
                <w:p w14:paraId="1804C065">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530" w:type="pct"/>
                  <w:noWrap w:val="0"/>
                  <w:vAlign w:val="center"/>
                </w:tcPr>
                <w:p w14:paraId="32C2FD10">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r>
            <w:tr w14:paraId="4CAD6C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pct"/>
                  <w:vMerge w:val="restart"/>
                  <w:noWrap w:val="0"/>
                  <w:vAlign w:val="center"/>
                </w:tcPr>
                <w:p w14:paraId="3F46EB39">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稀释剂</w:t>
                  </w:r>
                </w:p>
              </w:tc>
              <w:tc>
                <w:tcPr>
                  <w:tcW w:w="777" w:type="pct"/>
                  <w:noWrap w:val="0"/>
                  <w:vAlign w:val="center"/>
                </w:tcPr>
                <w:p w14:paraId="1A336455">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甲苯</w:t>
                  </w:r>
                </w:p>
              </w:tc>
              <w:tc>
                <w:tcPr>
                  <w:tcW w:w="618" w:type="pct"/>
                  <w:noWrap w:val="0"/>
                  <w:vAlign w:val="center"/>
                </w:tcPr>
                <w:p w14:paraId="776DEB9D">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二甲苯</w:t>
                  </w:r>
                </w:p>
              </w:tc>
              <w:tc>
                <w:tcPr>
                  <w:tcW w:w="782" w:type="pct"/>
                  <w:noWrap w:val="0"/>
                  <w:vAlign w:val="center"/>
                </w:tcPr>
                <w:p w14:paraId="7E0515F5">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正丁酯</w:t>
                  </w:r>
                </w:p>
              </w:tc>
              <w:tc>
                <w:tcPr>
                  <w:tcW w:w="528" w:type="pct"/>
                  <w:noWrap w:val="0"/>
                  <w:vAlign w:val="center"/>
                </w:tcPr>
                <w:p w14:paraId="1A4B07E6">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仲丁酯</w:t>
                  </w:r>
                </w:p>
              </w:tc>
              <w:tc>
                <w:tcPr>
                  <w:tcW w:w="528" w:type="pct"/>
                  <w:noWrap w:val="0"/>
                  <w:vAlign w:val="center"/>
                </w:tcPr>
                <w:p w14:paraId="60949D8B">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528" w:type="pct"/>
                  <w:noWrap w:val="0"/>
                  <w:vAlign w:val="center"/>
                </w:tcPr>
                <w:p w14:paraId="668AB500">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530" w:type="pct"/>
                  <w:noWrap w:val="0"/>
                  <w:vAlign w:val="center"/>
                </w:tcPr>
                <w:p w14:paraId="4B0132CB">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r>
            <w:tr w14:paraId="052B37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pct"/>
                  <w:vMerge w:val="continue"/>
                  <w:noWrap w:val="0"/>
                  <w:vAlign w:val="top"/>
                </w:tcPr>
                <w:p w14:paraId="375E867C">
                  <w:pPr>
                    <w:adjustRightInd w:val="0"/>
                    <w:snapToGrid w:val="0"/>
                    <w:jc w:val="center"/>
                    <w:rPr>
                      <w:rFonts w:hint="default" w:ascii="Times New Roman" w:hAnsi="Times New Roman" w:eastAsia="宋体" w:cs="Times New Roman"/>
                      <w:color w:val="auto"/>
                      <w:lang w:val="en-US" w:eastAsia="zh-CN"/>
                    </w:rPr>
                  </w:pPr>
                </w:p>
              </w:tc>
              <w:tc>
                <w:tcPr>
                  <w:tcW w:w="777" w:type="pct"/>
                  <w:noWrap w:val="0"/>
                  <w:vAlign w:val="center"/>
                </w:tcPr>
                <w:p w14:paraId="15D76266">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15</w:t>
                  </w:r>
                </w:p>
              </w:tc>
              <w:tc>
                <w:tcPr>
                  <w:tcW w:w="618" w:type="pct"/>
                  <w:noWrap w:val="0"/>
                  <w:vAlign w:val="center"/>
                </w:tcPr>
                <w:p w14:paraId="5AD84070">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55</w:t>
                  </w:r>
                </w:p>
              </w:tc>
              <w:tc>
                <w:tcPr>
                  <w:tcW w:w="782" w:type="pct"/>
                  <w:noWrap w:val="0"/>
                  <w:vAlign w:val="center"/>
                </w:tcPr>
                <w:p w14:paraId="4170CE92">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18</w:t>
                  </w:r>
                </w:p>
              </w:tc>
              <w:tc>
                <w:tcPr>
                  <w:tcW w:w="528" w:type="pct"/>
                  <w:noWrap w:val="0"/>
                  <w:vAlign w:val="center"/>
                </w:tcPr>
                <w:p w14:paraId="534EE491">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12</w:t>
                  </w:r>
                </w:p>
              </w:tc>
              <w:tc>
                <w:tcPr>
                  <w:tcW w:w="528" w:type="pct"/>
                  <w:noWrap w:val="0"/>
                  <w:vAlign w:val="center"/>
                </w:tcPr>
                <w:p w14:paraId="5DFB2E93">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528" w:type="pct"/>
                  <w:noWrap w:val="0"/>
                  <w:vAlign w:val="center"/>
                </w:tcPr>
                <w:p w14:paraId="007D8824">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530" w:type="pct"/>
                  <w:noWrap w:val="0"/>
                  <w:vAlign w:val="center"/>
                </w:tcPr>
                <w:p w14:paraId="4D5C0AF9">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r>
          </w:tbl>
          <w:p w14:paraId="26CAF935">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sz w:val="24"/>
                <w:lang w:eastAsia="zh-CN"/>
              </w:rPr>
            </w:pPr>
            <w:r>
              <w:rPr>
                <w:rFonts w:hint="eastAsia" w:ascii="Times New Roman" w:hAnsi="Times New Roman" w:eastAsia="宋体" w:cs="Times New Roman"/>
                <w:color w:val="auto"/>
                <w:sz w:val="24"/>
                <w:lang w:val="en-US" w:eastAsia="zh-CN"/>
              </w:rPr>
              <w:t>（2）喷漆</w:t>
            </w:r>
            <w:r>
              <w:rPr>
                <w:rFonts w:hint="eastAsia" w:ascii="Times New Roman" w:hAnsi="Times New Roman" w:eastAsia="宋体" w:cs="Times New Roman"/>
                <w:color w:val="auto"/>
                <w:sz w:val="24"/>
                <w:lang w:eastAsia="zh-CN"/>
              </w:rPr>
              <w:t>用量核算</w:t>
            </w:r>
          </w:p>
          <w:p w14:paraId="52B591D9">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根据建设单位提供的设计资料，本项目钢构件喷漆总面积为</w:t>
            </w:r>
            <w:r>
              <w:rPr>
                <w:rFonts w:hint="eastAsia" w:ascii="Times New Roman" w:hAnsi="Times New Roman" w:eastAsia="宋体" w:cs="Times New Roman"/>
                <w:color w:val="auto"/>
                <w:sz w:val="24"/>
                <w:lang w:val="en-US" w:eastAsia="zh-CN"/>
              </w:rPr>
              <w:t>219252㎡</w:t>
            </w:r>
            <w:r>
              <w:rPr>
                <w:rFonts w:hint="eastAsia" w:ascii="Times New Roman" w:hAnsi="Times New Roman" w:eastAsia="宋体" w:cs="Times New Roman"/>
                <w:color w:val="auto"/>
                <w:sz w:val="24"/>
              </w:rPr>
              <w:t>，其中油性漆底漆</w:t>
            </w:r>
            <w:r>
              <w:rPr>
                <w:rFonts w:hint="eastAsia" w:ascii="Times New Roman" w:hAnsi="Times New Roman" w:eastAsia="宋体" w:cs="Times New Roman"/>
                <w:color w:val="auto"/>
                <w:sz w:val="24"/>
                <w:lang w:val="en-US" w:eastAsia="zh-CN"/>
              </w:rPr>
              <w:t>喷漆</w:t>
            </w:r>
            <w:r>
              <w:rPr>
                <w:rFonts w:hint="eastAsia" w:ascii="Times New Roman" w:hAnsi="Times New Roman" w:eastAsia="宋体" w:cs="Times New Roman"/>
                <w:color w:val="auto"/>
                <w:sz w:val="24"/>
              </w:rPr>
              <w:t>面积为</w:t>
            </w:r>
            <w:r>
              <w:rPr>
                <w:rFonts w:hint="eastAsia" w:ascii="Times New Roman" w:hAnsi="Times New Roman" w:eastAsia="宋体" w:cs="Times New Roman"/>
                <w:color w:val="auto"/>
                <w:sz w:val="24"/>
                <w:lang w:val="en-US" w:eastAsia="zh-CN"/>
              </w:rPr>
              <w:t>37437㎡</w:t>
            </w:r>
            <w:r>
              <w:rPr>
                <w:rFonts w:hint="eastAsia" w:ascii="Times New Roman" w:hAnsi="Times New Roman" w:eastAsia="宋体" w:cs="Times New Roman"/>
                <w:color w:val="auto"/>
                <w:sz w:val="24"/>
              </w:rPr>
              <w:t>，油性漆中间漆</w:t>
            </w:r>
            <w:r>
              <w:rPr>
                <w:rFonts w:hint="eastAsia" w:ascii="Times New Roman" w:hAnsi="Times New Roman" w:eastAsia="宋体" w:cs="Times New Roman"/>
                <w:color w:val="auto"/>
                <w:sz w:val="24"/>
                <w:lang w:val="en-US" w:eastAsia="zh-CN"/>
              </w:rPr>
              <w:t>喷漆</w:t>
            </w:r>
            <w:r>
              <w:rPr>
                <w:rFonts w:hint="eastAsia" w:ascii="Times New Roman" w:hAnsi="Times New Roman" w:eastAsia="宋体" w:cs="Times New Roman"/>
                <w:color w:val="auto"/>
                <w:sz w:val="24"/>
              </w:rPr>
              <w:t>面积为</w:t>
            </w:r>
            <w:r>
              <w:rPr>
                <w:rFonts w:hint="eastAsia" w:ascii="Times New Roman" w:hAnsi="Times New Roman" w:eastAsia="宋体" w:cs="Times New Roman"/>
                <w:color w:val="auto"/>
                <w:sz w:val="24"/>
                <w:lang w:val="en-US" w:eastAsia="zh-CN"/>
              </w:rPr>
              <w:t>25974㎡</w:t>
            </w:r>
            <w:r>
              <w:rPr>
                <w:rFonts w:hint="eastAsia" w:ascii="Times New Roman" w:hAnsi="Times New Roman" w:eastAsia="宋体" w:cs="Times New Roman"/>
                <w:color w:val="auto"/>
                <w:sz w:val="24"/>
              </w:rPr>
              <w:t>，油性漆面漆</w:t>
            </w:r>
            <w:r>
              <w:rPr>
                <w:rFonts w:hint="eastAsia" w:ascii="Times New Roman" w:hAnsi="Times New Roman" w:eastAsia="宋体" w:cs="Times New Roman"/>
                <w:color w:val="auto"/>
                <w:sz w:val="24"/>
                <w:lang w:val="en-US" w:eastAsia="zh-CN"/>
              </w:rPr>
              <w:t>喷漆</w:t>
            </w:r>
            <w:r>
              <w:rPr>
                <w:rFonts w:hint="eastAsia" w:ascii="Times New Roman" w:hAnsi="Times New Roman" w:eastAsia="宋体" w:cs="Times New Roman"/>
                <w:color w:val="auto"/>
                <w:sz w:val="24"/>
              </w:rPr>
              <w:t>面积为</w:t>
            </w:r>
            <w:r>
              <w:rPr>
                <w:rFonts w:hint="eastAsia" w:ascii="Times New Roman" w:hAnsi="Times New Roman" w:eastAsia="宋体" w:cs="Times New Roman"/>
                <w:color w:val="auto"/>
                <w:sz w:val="24"/>
                <w:lang w:val="en-US" w:eastAsia="zh-CN"/>
              </w:rPr>
              <w:t>21555㎡</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水性漆底漆</w:t>
            </w:r>
            <w:r>
              <w:rPr>
                <w:rFonts w:hint="eastAsia" w:ascii="Times New Roman" w:hAnsi="Times New Roman" w:eastAsia="宋体" w:cs="Times New Roman"/>
                <w:color w:val="auto"/>
                <w:sz w:val="24"/>
                <w:lang w:val="en-US" w:eastAsia="zh-CN"/>
              </w:rPr>
              <w:t>喷漆</w:t>
            </w:r>
            <w:r>
              <w:rPr>
                <w:rFonts w:hint="eastAsia" w:ascii="Times New Roman" w:hAnsi="Times New Roman" w:eastAsia="宋体" w:cs="Times New Roman"/>
                <w:color w:val="auto"/>
                <w:sz w:val="24"/>
              </w:rPr>
              <w:t>面积为</w:t>
            </w:r>
            <w:r>
              <w:rPr>
                <w:rFonts w:hint="eastAsia" w:ascii="Times New Roman" w:hAnsi="Times New Roman" w:eastAsia="宋体" w:cs="Times New Roman"/>
                <w:color w:val="auto"/>
                <w:sz w:val="24"/>
                <w:lang w:val="en-US" w:eastAsia="zh-CN"/>
              </w:rPr>
              <w:t>53098㎡</w:t>
            </w:r>
            <w:r>
              <w:rPr>
                <w:rFonts w:hint="eastAsia" w:ascii="Times New Roman" w:hAnsi="Times New Roman" w:eastAsia="宋体" w:cs="Times New Roman"/>
                <w:color w:val="auto"/>
                <w:sz w:val="24"/>
              </w:rPr>
              <w:t>，水性漆中间漆</w:t>
            </w:r>
            <w:r>
              <w:rPr>
                <w:rFonts w:hint="eastAsia" w:cs="Times New Roman"/>
                <w:color w:val="auto"/>
                <w:sz w:val="24"/>
                <w:lang w:val="en-US" w:eastAsia="zh-CN"/>
              </w:rPr>
              <w:t>喷漆</w:t>
            </w:r>
            <w:r>
              <w:rPr>
                <w:rFonts w:hint="eastAsia" w:cs="Times New Roman"/>
                <w:color w:val="auto"/>
                <w:sz w:val="24"/>
                <w:lang w:eastAsia="zh-CN"/>
              </w:rPr>
              <w:t>面积</w:t>
            </w:r>
            <w:r>
              <w:rPr>
                <w:rFonts w:hint="eastAsia" w:ascii="Times New Roman" w:hAnsi="Times New Roman" w:eastAsia="宋体" w:cs="Times New Roman"/>
                <w:color w:val="auto"/>
                <w:sz w:val="24"/>
              </w:rPr>
              <w:t>为</w:t>
            </w:r>
            <w:r>
              <w:rPr>
                <w:rFonts w:hint="eastAsia" w:ascii="Times New Roman" w:hAnsi="Times New Roman" w:eastAsia="宋体" w:cs="Times New Roman"/>
                <w:color w:val="auto"/>
                <w:sz w:val="24"/>
                <w:lang w:val="en-US" w:eastAsia="zh-CN"/>
              </w:rPr>
              <w:t>44964㎡，</w:t>
            </w:r>
            <w:r>
              <w:rPr>
                <w:rFonts w:hint="eastAsia" w:ascii="Times New Roman" w:hAnsi="Times New Roman" w:eastAsia="宋体" w:cs="Times New Roman"/>
                <w:color w:val="auto"/>
                <w:sz w:val="24"/>
              </w:rPr>
              <w:t>水性漆面漆</w:t>
            </w:r>
            <w:r>
              <w:rPr>
                <w:rFonts w:hint="eastAsia" w:ascii="Times New Roman" w:hAnsi="Times New Roman" w:eastAsia="宋体" w:cs="Times New Roman"/>
                <w:color w:val="auto"/>
                <w:sz w:val="24"/>
                <w:lang w:val="en-US" w:eastAsia="zh-CN"/>
              </w:rPr>
              <w:t>喷漆</w:t>
            </w:r>
            <w:r>
              <w:rPr>
                <w:rFonts w:hint="eastAsia" w:ascii="Times New Roman" w:hAnsi="Times New Roman" w:eastAsia="宋体" w:cs="Times New Roman"/>
                <w:color w:val="auto"/>
                <w:sz w:val="24"/>
              </w:rPr>
              <w:t>面积为</w:t>
            </w:r>
            <w:r>
              <w:rPr>
                <w:rFonts w:hint="eastAsia" w:ascii="Times New Roman" w:hAnsi="Times New Roman" w:eastAsia="宋体" w:cs="Times New Roman"/>
                <w:color w:val="auto"/>
                <w:sz w:val="24"/>
                <w:lang w:val="en-US" w:eastAsia="zh-CN"/>
              </w:rPr>
              <w:t>36224㎡</w:t>
            </w:r>
            <w:r>
              <w:rPr>
                <w:rFonts w:hint="eastAsia" w:ascii="Times New Roman" w:hAnsi="Times New Roman" w:eastAsia="宋体" w:cs="Times New Roman"/>
                <w:color w:val="auto"/>
                <w:sz w:val="24"/>
              </w:rPr>
              <w:t>。项目底漆喷漆平均厚度为30μm，中</w:t>
            </w:r>
            <w:r>
              <w:rPr>
                <w:rFonts w:hint="eastAsia" w:ascii="Times New Roman" w:hAnsi="Times New Roman" w:eastAsia="宋体" w:cs="Times New Roman"/>
                <w:color w:val="auto"/>
                <w:sz w:val="24"/>
                <w:lang w:val="en-US" w:eastAsia="zh-CN"/>
              </w:rPr>
              <w:t>间</w:t>
            </w:r>
            <w:r>
              <w:rPr>
                <w:rFonts w:hint="eastAsia" w:ascii="Times New Roman" w:hAnsi="Times New Roman" w:eastAsia="宋体" w:cs="Times New Roman"/>
                <w:color w:val="auto"/>
                <w:sz w:val="24"/>
              </w:rPr>
              <w:t>漆喷漆平均厚度为30μm，面漆喷漆平均厚度为40μm。</w:t>
            </w:r>
          </w:p>
          <w:p w14:paraId="61A4E6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val="en-US" w:eastAsia="zh-CN"/>
              </w:rPr>
              <w:t>根据《涂装技术实用手册》（叶扬祥主编，机械工业出版社出版）中单位面积涂料消耗量计算公式进行估算，具体计算公式如下：</w:t>
            </w:r>
          </w:p>
          <w:p w14:paraId="09F61C5D">
            <w:pPr>
              <w:keepNext w:val="0"/>
              <w:keepLines w:val="0"/>
              <w:pageBreakBefore w:val="0"/>
              <w:widowControl/>
              <w:suppressLineNumbers w:val="0"/>
              <w:kinsoku/>
              <w:wordWrap/>
              <w:overflowPunct/>
              <w:topLinePunct w:val="0"/>
              <w:autoSpaceDE/>
              <w:autoSpaceDN/>
              <w:bidi w:val="0"/>
              <w:adjustRightInd/>
              <w:snapToGrid/>
              <w:spacing w:before="95" w:beforeLines="30" w:after="95" w:afterLines="30" w:line="360" w:lineRule="auto"/>
              <w:ind w:firstLine="0" w:firstLineChars="0"/>
              <w:jc w:val="center"/>
              <w:textAlignment w:val="auto"/>
              <w:rPr>
                <w:rFonts w:hint="default" w:ascii="Times New Roman" w:hAnsi="Times New Roman" w:eastAsia="宋体" w:cs="Times New Roman"/>
                <w:color w:val="auto"/>
                <w:kern w:val="0"/>
                <w:sz w:val="24"/>
                <w:szCs w:val="24"/>
                <w:highlight w:val="none"/>
                <w:lang w:val="en-US" w:eastAsia="zh-CN" w:bidi="ar"/>
              </w:rPr>
            </w:pPr>
          </w:p>
          <w:p w14:paraId="7F2D8877">
            <w:pPr>
              <w:keepNext w:val="0"/>
              <w:keepLines w:val="0"/>
              <w:pageBreakBefore w:val="0"/>
              <w:widowControl/>
              <w:suppressLineNumbers w:val="0"/>
              <w:kinsoku/>
              <w:wordWrap/>
              <w:overflowPunct/>
              <w:topLinePunct w:val="0"/>
              <w:autoSpaceDE/>
              <w:autoSpaceDN/>
              <w:bidi w:val="0"/>
              <w:adjustRightInd/>
              <w:snapToGrid/>
              <w:spacing w:before="95" w:beforeLines="30" w:after="95" w:afterLines="30" w:line="360" w:lineRule="auto"/>
              <w:ind w:firstLine="0" w:firstLineChars="0"/>
              <w:jc w:val="center"/>
              <w:textAlignment w:val="auto"/>
              <w:rPr>
                <w:rFonts w:hint="default" w:ascii="Times New Roman" w:hAnsi="Times New Roman" w:eastAsia="宋体" w:cs="Times New Roman"/>
                <w:color w:val="auto"/>
                <w:kern w:val="0"/>
                <w:sz w:val="24"/>
                <w:szCs w:val="24"/>
                <w:highlight w:val="none"/>
                <w:lang w:val="en-US" w:eastAsia="zh-CN" w:bidi="ar"/>
              </w:rPr>
            </w:pPr>
          </w:p>
          <w:p w14:paraId="3C5A4140">
            <w:pPr>
              <w:keepNext w:val="0"/>
              <w:keepLines w:val="0"/>
              <w:pageBreakBefore w:val="0"/>
              <w:widowControl/>
              <w:suppressLineNumbers w:val="0"/>
              <w:kinsoku/>
              <w:wordWrap/>
              <w:overflowPunct/>
              <w:topLinePunct w:val="0"/>
              <w:autoSpaceDE/>
              <w:autoSpaceDN/>
              <w:bidi w:val="0"/>
              <w:adjustRightInd/>
              <w:snapToGrid/>
              <w:spacing w:before="313" w:beforeLines="100" w:after="95" w:afterLines="30" w:line="360" w:lineRule="auto"/>
              <w:ind w:firstLine="0" w:firstLineChars="0"/>
              <w:jc w:val="center"/>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m=ρδs×10</w:t>
            </w:r>
            <w:r>
              <w:rPr>
                <w:rFonts w:hint="default" w:ascii="Times New Roman" w:hAnsi="Times New Roman" w:eastAsia="宋体" w:cs="Times New Roman"/>
                <w:color w:val="auto"/>
                <w:kern w:val="0"/>
                <w:sz w:val="24"/>
                <w:szCs w:val="24"/>
                <w:highlight w:val="none"/>
                <w:vertAlign w:val="superscript"/>
                <w:lang w:val="en-US" w:eastAsia="zh-CN" w:bidi="ar"/>
              </w:rPr>
              <w:t>-6</w:t>
            </w:r>
            <w:r>
              <w:rPr>
                <w:rFonts w:hint="default" w:ascii="Times New Roman" w:hAnsi="Times New Roman" w:eastAsia="宋体" w:cs="Times New Roman"/>
                <w:color w:val="auto"/>
                <w:kern w:val="0"/>
                <w:sz w:val="24"/>
                <w:szCs w:val="24"/>
                <w:highlight w:val="none"/>
                <w:lang w:val="en-US" w:eastAsia="zh-CN" w:bidi="ar"/>
              </w:rPr>
              <w:t>/（N</w:t>
            </w:r>
            <w:r>
              <w:rPr>
                <w:rFonts w:hint="default" w:ascii="Times New Roman" w:hAnsi="Times New Roman" w:eastAsia="宋体" w:cs="Times New Roman"/>
                <w:color w:val="auto"/>
                <w:kern w:val="0"/>
                <w:sz w:val="24"/>
                <w:szCs w:val="24"/>
                <w:highlight w:val="none"/>
                <w:vertAlign w:val="subscript"/>
                <w:lang w:val="en-US" w:eastAsia="zh-CN" w:bidi="ar"/>
              </w:rPr>
              <w:t>V</w:t>
            </w:r>
            <w:r>
              <w:rPr>
                <w:rFonts w:hint="default" w:ascii="Times New Roman" w:hAnsi="Times New Roman" w:eastAsia="宋体" w:cs="Times New Roman"/>
                <w:color w:val="auto"/>
                <w:kern w:val="0"/>
                <w:sz w:val="24"/>
                <w:szCs w:val="24"/>
                <w:highlight w:val="none"/>
                <w:lang w:val="en-US" w:eastAsia="zh-CN" w:bidi="ar"/>
              </w:rPr>
              <w:t>ε）</w:t>
            </w:r>
          </w:p>
          <w:p w14:paraId="336867C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其中：m—油漆总用量（t/a）；</w:t>
            </w:r>
          </w:p>
          <w:p w14:paraId="1893A0B2">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ρ—漆料密度（g/cm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w:t>
            </w:r>
          </w:p>
          <w:p w14:paraId="43AABBE7">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δ—涂层厚度（μm）；</w:t>
            </w:r>
          </w:p>
          <w:p w14:paraId="1F94B6F8">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s—涂装总面积（</w:t>
            </w:r>
            <w:r>
              <w:rPr>
                <w:rFonts w:hint="default" w:ascii="Times New Roman" w:hAnsi="Times New Roman"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a</w:t>
            </w:r>
            <w:r>
              <w:rPr>
                <w:rFonts w:hint="default" w:ascii="Times New Roman" w:hAnsi="Times New Roman" w:eastAsia="宋体" w:cs="Times New Roman"/>
                <w:color w:val="auto"/>
                <w:kern w:val="0"/>
                <w:sz w:val="24"/>
                <w:szCs w:val="24"/>
                <w:highlight w:val="none"/>
                <w:lang w:val="en-US" w:eastAsia="zh-CN" w:bidi="ar"/>
              </w:rPr>
              <w:t>）；</w:t>
            </w:r>
          </w:p>
          <w:p w14:paraId="59AC8B10">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ε—上漆率（%）；</w:t>
            </w:r>
          </w:p>
          <w:p w14:paraId="00505851">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N</w:t>
            </w:r>
            <w:r>
              <w:rPr>
                <w:rFonts w:hint="default" w:ascii="Times New Roman" w:hAnsi="Times New Roman" w:eastAsia="宋体" w:cs="Times New Roman"/>
                <w:color w:val="auto"/>
                <w:kern w:val="0"/>
                <w:sz w:val="24"/>
                <w:szCs w:val="24"/>
                <w:highlight w:val="none"/>
                <w:vertAlign w:val="subscript"/>
                <w:lang w:val="en-US" w:eastAsia="zh-CN" w:bidi="ar"/>
              </w:rPr>
              <w:t>V</w:t>
            </w:r>
            <w:r>
              <w:rPr>
                <w:rFonts w:hint="default" w:ascii="Times New Roman" w:hAnsi="Times New Roman" w:eastAsia="宋体" w:cs="Times New Roman"/>
                <w:color w:val="auto"/>
                <w:kern w:val="0"/>
                <w:sz w:val="24"/>
                <w:szCs w:val="24"/>
                <w:highlight w:val="none"/>
                <w:lang w:val="en-US" w:eastAsia="zh-CN" w:bidi="ar"/>
              </w:rPr>
              <w:t>—油漆中的体积固体份（%）；</w:t>
            </w:r>
          </w:p>
          <w:p w14:paraId="4CF46179">
            <w:pPr>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根据生产</w:t>
            </w:r>
            <w:r>
              <w:rPr>
                <w:rFonts w:hint="eastAsia" w:ascii="Times New Roman" w:hAnsi="Times New Roman" w:eastAsia="宋体" w:cs="Times New Roman"/>
                <w:color w:val="auto"/>
                <w:sz w:val="24"/>
                <w:lang w:val="en-US" w:eastAsia="zh-CN"/>
              </w:rPr>
              <w:t>需求</w:t>
            </w:r>
            <w:r>
              <w:rPr>
                <w:rFonts w:hint="default" w:ascii="Times New Roman" w:hAnsi="Times New Roman" w:eastAsia="宋体" w:cs="Times New Roman"/>
                <w:color w:val="auto"/>
                <w:sz w:val="24"/>
                <w:lang w:val="en-US" w:eastAsia="zh-CN"/>
              </w:rPr>
              <w:t>，本项目</w:t>
            </w:r>
            <w:r>
              <w:rPr>
                <w:rFonts w:hint="eastAsia" w:cs="Times New Roman"/>
                <w:color w:val="auto"/>
                <w:sz w:val="24"/>
                <w:lang w:val="en-US" w:eastAsia="zh-CN"/>
              </w:rPr>
              <w:t>涂料</w:t>
            </w:r>
            <w:r>
              <w:rPr>
                <w:rFonts w:hint="default" w:ascii="Times New Roman" w:hAnsi="Times New Roman" w:eastAsia="宋体" w:cs="Times New Roman"/>
                <w:color w:val="auto"/>
                <w:sz w:val="24"/>
                <w:lang w:val="en-US" w:eastAsia="zh-CN"/>
              </w:rPr>
              <w:t>使用</w:t>
            </w:r>
            <w:r>
              <w:rPr>
                <w:rFonts w:hint="eastAsia" w:ascii="Times New Roman" w:hAnsi="Times New Roman" w:eastAsia="宋体" w:cs="Times New Roman"/>
                <w:color w:val="auto"/>
                <w:sz w:val="24"/>
                <w:lang w:val="en-US" w:eastAsia="zh-CN"/>
              </w:rPr>
              <w:t>量</w:t>
            </w:r>
            <w:r>
              <w:rPr>
                <w:rFonts w:hint="default" w:ascii="Times New Roman" w:hAnsi="Times New Roman" w:eastAsia="宋体" w:cs="Times New Roman"/>
                <w:color w:val="auto"/>
                <w:sz w:val="24"/>
                <w:lang w:val="en-US" w:eastAsia="zh-CN"/>
              </w:rPr>
              <w:t>计算</w:t>
            </w:r>
            <w:r>
              <w:rPr>
                <w:rFonts w:hint="eastAsia" w:ascii="Times New Roman" w:hAnsi="Times New Roman" w:eastAsia="宋体" w:cs="Times New Roman"/>
                <w:color w:val="auto"/>
                <w:sz w:val="24"/>
                <w:lang w:val="en-US" w:eastAsia="zh-CN"/>
              </w:rPr>
              <w:t>及</w:t>
            </w:r>
            <w:r>
              <w:rPr>
                <w:rFonts w:hint="default" w:ascii="Times New Roman" w:hAnsi="Times New Roman" w:eastAsia="宋体" w:cs="Times New Roman"/>
                <w:color w:val="auto"/>
                <w:sz w:val="24"/>
                <w:lang w:val="en-US" w:eastAsia="zh-CN"/>
              </w:rPr>
              <w:t>参数见表</w:t>
            </w:r>
            <w:r>
              <w:rPr>
                <w:rFonts w:hint="eastAsia" w:ascii="Times New Roman" w:hAnsi="Times New Roman" w:eastAsia="宋体" w:cs="Times New Roman"/>
                <w:color w:val="auto"/>
                <w:sz w:val="24"/>
                <w:lang w:val="en-US" w:eastAsia="zh-CN"/>
              </w:rPr>
              <w:t>2-6</w:t>
            </w:r>
            <w:r>
              <w:rPr>
                <w:rFonts w:hint="default" w:ascii="Times New Roman" w:hAnsi="Times New Roman" w:eastAsia="宋体" w:cs="Times New Roman"/>
                <w:color w:val="auto"/>
                <w:sz w:val="24"/>
                <w:lang w:val="en-US" w:eastAsia="zh-CN"/>
              </w:rPr>
              <w:t>。</w:t>
            </w:r>
          </w:p>
          <w:p w14:paraId="77EC49E9">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imes New Roman" w:hAnsi="Times New Roman" w:eastAsia="宋体" w:cs="Times New Roman"/>
                <w:b/>
                <w:bCs/>
                <w:color w:val="auto"/>
                <w:lang w:val="en-US" w:eastAsia="zh-CN"/>
              </w:rPr>
            </w:pPr>
            <w:r>
              <w:rPr>
                <w:rFonts w:hint="default"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2-6</w:t>
            </w:r>
            <w:r>
              <w:rPr>
                <w:rFonts w:hint="default" w:ascii="Times New Roman" w:hAnsi="Times New Roman" w:eastAsia="宋体" w:cs="Times New Roman"/>
                <w:b/>
                <w:bCs/>
                <w:color w:val="auto"/>
              </w:rPr>
              <w:t xml:space="preserve"> </w:t>
            </w:r>
            <w:r>
              <w:rPr>
                <w:rFonts w:hint="eastAsia" w:cs="Times New Roman"/>
                <w:b/>
                <w:bCs/>
                <w:color w:val="auto"/>
                <w:lang w:val="en-US" w:eastAsia="zh-CN"/>
              </w:rPr>
              <w:t>涂料</w:t>
            </w:r>
            <w:r>
              <w:rPr>
                <w:rFonts w:hint="eastAsia" w:ascii="Times New Roman" w:hAnsi="Times New Roman" w:eastAsia="宋体" w:cs="Times New Roman"/>
                <w:b/>
                <w:bCs/>
                <w:color w:val="auto"/>
                <w:lang w:val="en-US" w:eastAsia="zh-CN"/>
              </w:rPr>
              <w:t>用量计算及参数一览表</w:t>
            </w:r>
          </w:p>
          <w:tbl>
            <w:tblPr>
              <w:tblStyle w:val="26"/>
              <w:tblW w:w="8169"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83"/>
              <w:gridCol w:w="960"/>
              <w:gridCol w:w="1160"/>
              <w:gridCol w:w="1090"/>
              <w:gridCol w:w="1680"/>
              <w:gridCol w:w="870"/>
              <w:gridCol w:w="1120"/>
              <w:gridCol w:w="806"/>
            </w:tblGrid>
            <w:tr w14:paraId="578E7C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883" w:type="pct"/>
                  <w:gridSpan w:val="2"/>
                  <w:tcBorders>
                    <w:bottom w:val="single" w:color="auto" w:sz="12" w:space="0"/>
                  </w:tcBorders>
                  <w:noWrap w:val="0"/>
                  <w:vAlign w:val="center"/>
                </w:tcPr>
                <w:p w14:paraId="343D379F">
                  <w:pPr>
                    <w:adjustRightInd w:val="0"/>
                    <w:snapToGrid w:val="0"/>
                    <w:jc w:val="center"/>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喷涂类型</w:t>
                  </w:r>
                </w:p>
              </w:tc>
              <w:tc>
                <w:tcPr>
                  <w:tcW w:w="710" w:type="pct"/>
                  <w:tcBorders>
                    <w:bottom w:val="single" w:color="auto" w:sz="12" w:space="0"/>
                  </w:tcBorders>
                  <w:noWrap w:val="0"/>
                  <w:vAlign w:val="center"/>
                </w:tcPr>
                <w:p w14:paraId="4CE70D5B">
                  <w:pPr>
                    <w:adjustRightInd w:val="0"/>
                    <w:snapToGrid w:val="0"/>
                    <w:jc w:val="center"/>
                    <w:rPr>
                      <w:rFonts w:hint="default" w:ascii="Times New Roman" w:hAnsi="Times New Roman" w:eastAsia="宋体" w:cs="Times New Roman"/>
                      <w:b/>
                      <w:bCs/>
                      <w:color w:val="auto"/>
                      <w:lang w:val="en-US" w:eastAsia="zh-CN"/>
                    </w:rPr>
                  </w:pPr>
                  <w:r>
                    <w:rPr>
                      <w:rFonts w:hint="eastAsia" w:cs="Times New Roman"/>
                      <w:b/>
                      <w:bCs/>
                      <w:color w:val="auto"/>
                      <w:lang w:val="en-US" w:eastAsia="zh-CN"/>
                    </w:rPr>
                    <w:t>涂料</w:t>
                  </w:r>
                  <w:r>
                    <w:rPr>
                      <w:rFonts w:hint="default" w:ascii="Times New Roman" w:hAnsi="Times New Roman" w:eastAsia="宋体" w:cs="Times New Roman"/>
                      <w:b/>
                      <w:bCs/>
                      <w:color w:val="auto"/>
                      <w:lang w:val="en-US" w:eastAsia="zh-CN"/>
                    </w:rPr>
                    <w:t>密度ρ（g/c</w:t>
                  </w:r>
                  <w:r>
                    <w:rPr>
                      <w:rFonts w:hint="eastAsia" w:ascii="Times New Roman" w:hAnsi="Times New Roman" w:eastAsia="宋体" w:cs="Times New Roman"/>
                      <w:b/>
                      <w:bCs/>
                      <w:color w:val="auto"/>
                      <w:lang w:val="en-US" w:eastAsia="zh-CN"/>
                    </w:rPr>
                    <w:t>m³</w:t>
                  </w:r>
                  <w:r>
                    <w:rPr>
                      <w:rFonts w:hint="default" w:ascii="Times New Roman" w:hAnsi="Times New Roman" w:eastAsia="宋体" w:cs="Times New Roman"/>
                      <w:b/>
                      <w:bCs/>
                      <w:color w:val="auto"/>
                      <w:lang w:val="en-US" w:eastAsia="zh-CN"/>
                    </w:rPr>
                    <w:t>）</w:t>
                  </w:r>
                </w:p>
              </w:tc>
              <w:tc>
                <w:tcPr>
                  <w:tcW w:w="667" w:type="pct"/>
                  <w:tcBorders>
                    <w:bottom w:val="single" w:color="auto" w:sz="12" w:space="0"/>
                  </w:tcBorders>
                  <w:noWrap w:val="0"/>
                  <w:vAlign w:val="center"/>
                </w:tcPr>
                <w:p w14:paraId="7357FC93">
                  <w:pPr>
                    <w:adjustRightInd w:val="0"/>
                    <w:snapToGrid w:val="0"/>
                    <w:jc w:val="center"/>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涂层厚度δ（μm）</w:t>
                  </w:r>
                </w:p>
              </w:tc>
              <w:tc>
                <w:tcPr>
                  <w:tcW w:w="1028" w:type="pct"/>
                  <w:tcBorders>
                    <w:bottom w:val="single" w:color="auto" w:sz="12" w:space="0"/>
                  </w:tcBorders>
                  <w:noWrap w:val="0"/>
                  <w:vAlign w:val="center"/>
                </w:tcPr>
                <w:p w14:paraId="20BC3E91">
                  <w:pPr>
                    <w:adjustRightInd w:val="0"/>
                    <w:snapToGrid w:val="0"/>
                    <w:jc w:val="center"/>
                    <w:rPr>
                      <w:rFonts w:hint="default" w:ascii="Times New Roman" w:hAnsi="Times New Roman" w:eastAsia="宋体" w:cs="Times New Roman"/>
                      <w:b/>
                      <w:bCs/>
                      <w:color w:val="auto"/>
                      <w:lang w:val="en-US" w:eastAsia="zh-CN"/>
                    </w:rPr>
                  </w:pPr>
                  <w:r>
                    <w:rPr>
                      <w:rFonts w:hint="eastAsia" w:cs="Times New Roman"/>
                      <w:b/>
                      <w:bCs/>
                      <w:color w:val="auto"/>
                      <w:lang w:val="en-US" w:eastAsia="zh-CN"/>
                    </w:rPr>
                    <w:t>涂料</w:t>
                  </w:r>
                  <w:r>
                    <w:rPr>
                      <w:rFonts w:hint="default" w:ascii="Times New Roman" w:hAnsi="Times New Roman" w:eastAsia="宋体" w:cs="Times New Roman"/>
                      <w:b/>
                      <w:bCs/>
                      <w:color w:val="auto"/>
                      <w:lang w:val="en-US" w:eastAsia="zh-CN"/>
                    </w:rPr>
                    <w:t>中的体积固体份N</w:t>
                  </w:r>
                  <w:r>
                    <w:rPr>
                      <w:rFonts w:hint="default" w:ascii="Times New Roman" w:hAnsi="Times New Roman" w:eastAsia="宋体" w:cs="Times New Roman"/>
                      <w:b/>
                      <w:bCs/>
                      <w:color w:val="auto"/>
                      <w:vertAlign w:val="subscript"/>
                      <w:lang w:val="en-US" w:eastAsia="zh-CN"/>
                    </w:rPr>
                    <w:t>V</w:t>
                  </w:r>
                  <w:r>
                    <w:rPr>
                      <w:rFonts w:hint="default" w:ascii="Times New Roman" w:hAnsi="Times New Roman" w:eastAsia="宋体" w:cs="Times New Roman"/>
                      <w:b/>
                      <w:bCs/>
                      <w:color w:val="auto"/>
                      <w:lang w:val="en-US" w:eastAsia="zh-CN"/>
                    </w:rPr>
                    <w:t>（%）</w:t>
                  </w:r>
                </w:p>
              </w:tc>
              <w:tc>
                <w:tcPr>
                  <w:tcW w:w="532" w:type="pct"/>
                  <w:tcBorders>
                    <w:bottom w:val="single" w:color="auto" w:sz="12" w:space="0"/>
                  </w:tcBorders>
                  <w:noWrap w:val="0"/>
                  <w:vAlign w:val="center"/>
                </w:tcPr>
                <w:p w14:paraId="32115F7A">
                  <w:pPr>
                    <w:adjustRightInd w:val="0"/>
                    <w:snapToGrid w:val="0"/>
                    <w:jc w:val="center"/>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上漆率ε（%）</w:t>
                  </w:r>
                </w:p>
              </w:tc>
              <w:tc>
                <w:tcPr>
                  <w:tcW w:w="685" w:type="pct"/>
                  <w:tcBorders>
                    <w:bottom w:val="single" w:color="auto" w:sz="12" w:space="0"/>
                  </w:tcBorders>
                  <w:noWrap w:val="0"/>
                  <w:vAlign w:val="center"/>
                </w:tcPr>
                <w:p w14:paraId="318BBF1C">
                  <w:pPr>
                    <w:adjustRightInd w:val="0"/>
                    <w:snapToGrid w:val="0"/>
                    <w:jc w:val="center"/>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涂装面积s（㎡/a）</w:t>
                  </w:r>
                </w:p>
              </w:tc>
              <w:tc>
                <w:tcPr>
                  <w:tcW w:w="493" w:type="pct"/>
                  <w:tcBorders>
                    <w:bottom w:val="single" w:color="auto" w:sz="12" w:space="0"/>
                  </w:tcBorders>
                  <w:noWrap w:val="0"/>
                  <w:vAlign w:val="center"/>
                </w:tcPr>
                <w:p w14:paraId="71D3ED8A">
                  <w:pPr>
                    <w:adjustRightInd w:val="0"/>
                    <w:snapToGrid w:val="0"/>
                    <w:jc w:val="center"/>
                    <w:rPr>
                      <w:rFonts w:hint="default" w:ascii="Times New Roman" w:hAnsi="Times New Roman" w:eastAsia="宋体" w:cs="Times New Roman"/>
                      <w:b/>
                      <w:bCs/>
                      <w:color w:val="auto"/>
                      <w:lang w:val="en-US" w:eastAsia="zh-CN"/>
                    </w:rPr>
                  </w:pPr>
                  <w:r>
                    <w:rPr>
                      <w:rFonts w:hint="eastAsia" w:cs="Times New Roman"/>
                      <w:b/>
                      <w:bCs/>
                      <w:color w:val="auto"/>
                      <w:lang w:val="en-US" w:eastAsia="zh-CN"/>
                    </w:rPr>
                    <w:t>涂料</w:t>
                  </w:r>
                  <w:r>
                    <w:rPr>
                      <w:rFonts w:hint="default" w:ascii="Times New Roman" w:hAnsi="Times New Roman" w:eastAsia="宋体" w:cs="Times New Roman"/>
                      <w:b/>
                      <w:bCs/>
                      <w:color w:val="auto"/>
                      <w:lang w:val="en-US" w:eastAsia="zh-CN"/>
                    </w:rPr>
                    <w:t>用量（t/a）</w:t>
                  </w:r>
                </w:p>
              </w:tc>
            </w:tr>
            <w:tr w14:paraId="74DB35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5" w:type="pct"/>
                  <w:vMerge w:val="restart"/>
                  <w:tcBorders>
                    <w:top w:val="single" w:color="auto" w:sz="12" w:space="0"/>
                  </w:tcBorders>
                  <w:noWrap w:val="0"/>
                  <w:vAlign w:val="center"/>
                </w:tcPr>
                <w:p w14:paraId="631CFCCC">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油性漆</w:t>
                  </w:r>
                </w:p>
              </w:tc>
              <w:tc>
                <w:tcPr>
                  <w:tcW w:w="587" w:type="pct"/>
                  <w:tcBorders>
                    <w:top w:val="single" w:color="auto" w:sz="12" w:space="0"/>
                    <w:bottom w:val="single" w:color="auto" w:sz="4" w:space="0"/>
                  </w:tcBorders>
                  <w:noWrap w:val="0"/>
                  <w:vAlign w:val="center"/>
                </w:tcPr>
                <w:p w14:paraId="706D4DC7">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底漆</w:t>
                  </w:r>
                </w:p>
              </w:tc>
              <w:tc>
                <w:tcPr>
                  <w:tcW w:w="710" w:type="pct"/>
                  <w:tcBorders>
                    <w:top w:val="single" w:color="auto" w:sz="12" w:space="0"/>
                    <w:bottom w:val="single" w:color="auto" w:sz="4" w:space="0"/>
                  </w:tcBorders>
                  <w:noWrap w:val="0"/>
                  <w:vAlign w:val="center"/>
                </w:tcPr>
                <w:p w14:paraId="1392FCCF">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1.95</w:t>
                  </w:r>
                </w:p>
              </w:tc>
              <w:tc>
                <w:tcPr>
                  <w:tcW w:w="667" w:type="pct"/>
                  <w:tcBorders>
                    <w:top w:val="single" w:color="auto" w:sz="12" w:space="0"/>
                  </w:tcBorders>
                  <w:noWrap w:val="0"/>
                  <w:vAlign w:val="center"/>
                </w:tcPr>
                <w:p w14:paraId="2B7AED14">
                  <w:pPr>
                    <w:adjustRightInd w:val="0"/>
                    <w:snapToGrid w:val="0"/>
                    <w:jc w:val="center"/>
                    <w:rPr>
                      <w:rFonts w:hint="default"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30</w:t>
                  </w:r>
                </w:p>
              </w:tc>
              <w:tc>
                <w:tcPr>
                  <w:tcW w:w="1028" w:type="pct"/>
                  <w:tcBorders>
                    <w:top w:val="single" w:color="auto" w:sz="12" w:space="0"/>
                    <w:bottom w:val="single" w:color="auto" w:sz="4" w:space="0"/>
                  </w:tcBorders>
                  <w:noWrap w:val="0"/>
                  <w:vAlign w:val="center"/>
                </w:tcPr>
                <w:p w14:paraId="4CF71D05">
                  <w:pPr>
                    <w:adjustRightInd w:val="0"/>
                    <w:snapToGrid w:val="0"/>
                    <w:jc w:val="center"/>
                    <w:rPr>
                      <w:rFonts w:hint="default"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78.89</w:t>
                  </w:r>
                </w:p>
              </w:tc>
              <w:tc>
                <w:tcPr>
                  <w:tcW w:w="532" w:type="pct"/>
                  <w:tcBorders>
                    <w:top w:val="single" w:color="auto" w:sz="12" w:space="0"/>
                    <w:bottom w:val="single" w:color="auto" w:sz="4" w:space="0"/>
                  </w:tcBorders>
                  <w:noWrap w:val="0"/>
                  <w:vAlign w:val="center"/>
                </w:tcPr>
                <w:p w14:paraId="41C4EAE9">
                  <w:pPr>
                    <w:adjustRightInd w:val="0"/>
                    <w:snapToGrid w:val="0"/>
                    <w:jc w:val="center"/>
                    <w:rPr>
                      <w:rFonts w:hint="default"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70</w:t>
                  </w:r>
                </w:p>
              </w:tc>
              <w:tc>
                <w:tcPr>
                  <w:tcW w:w="685" w:type="pct"/>
                  <w:tcBorders>
                    <w:top w:val="single" w:color="auto" w:sz="12" w:space="0"/>
                    <w:bottom w:val="single" w:color="auto" w:sz="4" w:space="0"/>
                  </w:tcBorders>
                  <w:noWrap w:val="0"/>
                  <w:vAlign w:val="center"/>
                </w:tcPr>
                <w:p w14:paraId="44DEDB95">
                  <w:pPr>
                    <w:adjustRightInd w:val="0"/>
                    <w:snapToGrid w:val="0"/>
                    <w:jc w:val="center"/>
                    <w:rPr>
                      <w:rFonts w:hint="default"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37437</w:t>
                  </w:r>
                </w:p>
              </w:tc>
              <w:tc>
                <w:tcPr>
                  <w:tcW w:w="493" w:type="pct"/>
                  <w:tcBorders>
                    <w:top w:val="single" w:color="auto" w:sz="12" w:space="0"/>
                    <w:bottom w:val="single" w:color="auto" w:sz="4" w:space="0"/>
                  </w:tcBorders>
                  <w:noWrap w:val="0"/>
                  <w:vAlign w:val="center"/>
                </w:tcPr>
                <w:p w14:paraId="63FF3039">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3.97</w:t>
                  </w:r>
                </w:p>
              </w:tc>
            </w:tr>
            <w:tr w14:paraId="65677B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5" w:type="pct"/>
                  <w:vMerge w:val="continue"/>
                  <w:noWrap w:val="0"/>
                  <w:vAlign w:val="center"/>
                </w:tcPr>
                <w:p w14:paraId="750F07FF">
                  <w:pPr>
                    <w:adjustRightInd w:val="0"/>
                    <w:snapToGrid w:val="0"/>
                    <w:jc w:val="center"/>
                    <w:rPr>
                      <w:rFonts w:hint="default" w:ascii="Times New Roman" w:hAnsi="Times New Roman" w:eastAsia="宋体" w:cs="Times New Roman"/>
                      <w:color w:val="auto"/>
                      <w:lang w:val="en-US" w:eastAsia="zh-CN"/>
                    </w:rPr>
                  </w:pPr>
                </w:p>
              </w:tc>
              <w:tc>
                <w:tcPr>
                  <w:tcW w:w="587" w:type="pct"/>
                  <w:tcBorders>
                    <w:top w:val="single" w:color="auto" w:sz="4" w:space="0"/>
                    <w:bottom w:val="single" w:color="auto" w:sz="4" w:space="0"/>
                  </w:tcBorders>
                  <w:noWrap w:val="0"/>
                  <w:vAlign w:val="center"/>
                </w:tcPr>
                <w:p w14:paraId="2C0CB4A3">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中间漆</w:t>
                  </w:r>
                </w:p>
              </w:tc>
              <w:tc>
                <w:tcPr>
                  <w:tcW w:w="710" w:type="pct"/>
                  <w:tcBorders>
                    <w:top w:val="single" w:color="auto" w:sz="4" w:space="0"/>
                    <w:bottom w:val="single" w:color="auto" w:sz="4" w:space="0"/>
                  </w:tcBorders>
                  <w:noWrap w:val="0"/>
                  <w:vAlign w:val="center"/>
                </w:tcPr>
                <w:p w14:paraId="730F0F5A">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1.54</w:t>
                  </w:r>
                </w:p>
              </w:tc>
              <w:tc>
                <w:tcPr>
                  <w:tcW w:w="667" w:type="pct"/>
                  <w:noWrap w:val="0"/>
                  <w:vAlign w:val="center"/>
                </w:tcPr>
                <w:p w14:paraId="030C1C6A">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30</w:t>
                  </w:r>
                </w:p>
              </w:tc>
              <w:tc>
                <w:tcPr>
                  <w:tcW w:w="1028" w:type="pct"/>
                  <w:tcBorders>
                    <w:top w:val="single" w:color="auto" w:sz="4" w:space="0"/>
                    <w:bottom w:val="single" w:color="auto" w:sz="4" w:space="0"/>
                  </w:tcBorders>
                  <w:noWrap w:val="0"/>
                  <w:vAlign w:val="center"/>
                </w:tcPr>
                <w:p w14:paraId="67EFBE8C">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83.43</w:t>
                  </w:r>
                </w:p>
              </w:tc>
              <w:tc>
                <w:tcPr>
                  <w:tcW w:w="532" w:type="pct"/>
                  <w:tcBorders>
                    <w:top w:val="single" w:color="auto" w:sz="4" w:space="0"/>
                    <w:bottom w:val="single" w:color="auto" w:sz="4" w:space="0"/>
                  </w:tcBorders>
                  <w:noWrap w:val="0"/>
                  <w:vAlign w:val="center"/>
                </w:tcPr>
                <w:p w14:paraId="1C8E2EFA">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70</w:t>
                  </w:r>
                </w:p>
              </w:tc>
              <w:tc>
                <w:tcPr>
                  <w:tcW w:w="685" w:type="pct"/>
                  <w:tcBorders>
                    <w:top w:val="single" w:color="auto" w:sz="4" w:space="0"/>
                    <w:bottom w:val="single" w:color="auto" w:sz="4" w:space="0"/>
                  </w:tcBorders>
                  <w:noWrap w:val="0"/>
                  <w:vAlign w:val="center"/>
                </w:tcPr>
                <w:p w14:paraId="5F3E483D">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25974</w:t>
                  </w:r>
                </w:p>
              </w:tc>
              <w:tc>
                <w:tcPr>
                  <w:tcW w:w="493" w:type="pct"/>
                  <w:tcBorders>
                    <w:top w:val="single" w:color="auto" w:sz="4" w:space="0"/>
                    <w:bottom w:val="single" w:color="auto" w:sz="4" w:space="0"/>
                  </w:tcBorders>
                  <w:noWrap w:val="0"/>
                  <w:vAlign w:val="center"/>
                </w:tcPr>
                <w:p w14:paraId="380A1953">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2.05</w:t>
                  </w:r>
                </w:p>
              </w:tc>
            </w:tr>
            <w:tr w14:paraId="4B7398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5" w:type="pct"/>
                  <w:vMerge w:val="continue"/>
                  <w:noWrap w:val="0"/>
                  <w:vAlign w:val="center"/>
                </w:tcPr>
                <w:p w14:paraId="32A6B828">
                  <w:pPr>
                    <w:adjustRightInd w:val="0"/>
                    <w:snapToGrid w:val="0"/>
                    <w:jc w:val="center"/>
                    <w:rPr>
                      <w:rFonts w:hint="default" w:ascii="Times New Roman" w:hAnsi="Times New Roman" w:eastAsia="宋体" w:cs="Times New Roman"/>
                      <w:color w:val="auto"/>
                      <w:lang w:val="en-US" w:eastAsia="en-US"/>
                    </w:rPr>
                  </w:pPr>
                </w:p>
              </w:tc>
              <w:tc>
                <w:tcPr>
                  <w:tcW w:w="587" w:type="pct"/>
                  <w:tcBorders>
                    <w:top w:val="single" w:color="auto" w:sz="4" w:space="0"/>
                    <w:bottom w:val="single" w:color="auto" w:sz="4" w:space="0"/>
                  </w:tcBorders>
                  <w:noWrap w:val="0"/>
                  <w:vAlign w:val="center"/>
                </w:tcPr>
                <w:p w14:paraId="7F32E0AF">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面漆</w:t>
                  </w:r>
                </w:p>
              </w:tc>
              <w:tc>
                <w:tcPr>
                  <w:tcW w:w="710" w:type="pct"/>
                  <w:tcBorders>
                    <w:top w:val="single" w:color="auto" w:sz="4" w:space="0"/>
                    <w:bottom w:val="single" w:color="auto" w:sz="4" w:space="0"/>
                  </w:tcBorders>
                  <w:noWrap w:val="0"/>
                  <w:vAlign w:val="center"/>
                </w:tcPr>
                <w:p w14:paraId="17467C98">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1.38</w:t>
                  </w:r>
                </w:p>
              </w:tc>
              <w:tc>
                <w:tcPr>
                  <w:tcW w:w="667" w:type="pct"/>
                  <w:noWrap w:val="0"/>
                  <w:vAlign w:val="center"/>
                </w:tcPr>
                <w:p w14:paraId="6954FB34">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40</w:t>
                  </w:r>
                </w:p>
              </w:tc>
              <w:tc>
                <w:tcPr>
                  <w:tcW w:w="1028" w:type="pct"/>
                  <w:tcBorders>
                    <w:top w:val="single" w:color="auto" w:sz="4" w:space="0"/>
                    <w:bottom w:val="single" w:color="auto" w:sz="4" w:space="0"/>
                  </w:tcBorders>
                  <w:noWrap w:val="0"/>
                  <w:vAlign w:val="center"/>
                </w:tcPr>
                <w:p w14:paraId="72FBE593">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65.33</w:t>
                  </w:r>
                </w:p>
              </w:tc>
              <w:tc>
                <w:tcPr>
                  <w:tcW w:w="532" w:type="pct"/>
                  <w:tcBorders>
                    <w:top w:val="single" w:color="auto" w:sz="4" w:space="0"/>
                    <w:bottom w:val="single" w:color="auto" w:sz="4" w:space="0"/>
                  </w:tcBorders>
                  <w:noWrap w:val="0"/>
                  <w:vAlign w:val="center"/>
                </w:tcPr>
                <w:p w14:paraId="1F1DA199">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70</w:t>
                  </w:r>
                </w:p>
              </w:tc>
              <w:tc>
                <w:tcPr>
                  <w:tcW w:w="685" w:type="pct"/>
                  <w:tcBorders>
                    <w:top w:val="single" w:color="auto" w:sz="4" w:space="0"/>
                    <w:bottom w:val="single" w:color="auto" w:sz="4" w:space="0"/>
                  </w:tcBorders>
                  <w:noWrap w:val="0"/>
                  <w:vAlign w:val="center"/>
                </w:tcPr>
                <w:p w14:paraId="3286C0E8">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21555</w:t>
                  </w:r>
                </w:p>
              </w:tc>
              <w:tc>
                <w:tcPr>
                  <w:tcW w:w="493" w:type="pct"/>
                  <w:tcBorders>
                    <w:top w:val="single" w:color="auto" w:sz="4" w:space="0"/>
                    <w:bottom w:val="single" w:color="auto" w:sz="4" w:space="0"/>
                  </w:tcBorders>
                  <w:noWrap w:val="0"/>
                  <w:vAlign w:val="center"/>
                </w:tcPr>
                <w:p w14:paraId="7144C441">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 xml:space="preserve">2.60 </w:t>
                  </w:r>
                </w:p>
              </w:tc>
            </w:tr>
            <w:tr w14:paraId="07ECD5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21" w:type="pct"/>
                  <w:gridSpan w:val="6"/>
                  <w:noWrap w:val="0"/>
                  <w:vAlign w:val="center"/>
                </w:tcPr>
                <w:p w14:paraId="0DCE2750">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小计（油性漆）</w:t>
                  </w:r>
                </w:p>
              </w:tc>
              <w:tc>
                <w:tcPr>
                  <w:tcW w:w="685" w:type="pct"/>
                  <w:tcBorders>
                    <w:top w:val="single" w:color="auto" w:sz="4" w:space="0"/>
                    <w:bottom w:val="single" w:color="auto" w:sz="4" w:space="0"/>
                  </w:tcBorders>
                  <w:noWrap w:val="0"/>
                  <w:vAlign w:val="center"/>
                </w:tcPr>
                <w:p w14:paraId="38A1147E">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84966</w:t>
                  </w:r>
                </w:p>
              </w:tc>
              <w:tc>
                <w:tcPr>
                  <w:tcW w:w="493" w:type="pct"/>
                  <w:tcBorders>
                    <w:top w:val="single" w:color="auto" w:sz="4" w:space="0"/>
                    <w:bottom w:val="single" w:color="auto" w:sz="4" w:space="0"/>
                  </w:tcBorders>
                  <w:noWrap w:val="0"/>
                  <w:vAlign w:val="center"/>
                </w:tcPr>
                <w:p w14:paraId="1FE0FCBB">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8.62</w:t>
                  </w:r>
                </w:p>
              </w:tc>
            </w:tr>
            <w:tr w14:paraId="24E7F5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5" w:type="pct"/>
                  <w:vMerge w:val="restart"/>
                  <w:noWrap w:val="0"/>
                  <w:vAlign w:val="center"/>
                </w:tcPr>
                <w:p w14:paraId="11C2086B">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水性漆</w:t>
                  </w:r>
                </w:p>
              </w:tc>
              <w:tc>
                <w:tcPr>
                  <w:tcW w:w="587" w:type="pct"/>
                  <w:tcBorders>
                    <w:top w:val="single" w:color="auto" w:sz="4" w:space="0"/>
                    <w:bottom w:val="single" w:color="auto" w:sz="4" w:space="0"/>
                  </w:tcBorders>
                  <w:noWrap w:val="0"/>
                  <w:vAlign w:val="center"/>
                </w:tcPr>
                <w:p w14:paraId="237A8F9A">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底漆</w:t>
                  </w:r>
                </w:p>
              </w:tc>
              <w:tc>
                <w:tcPr>
                  <w:tcW w:w="710" w:type="pct"/>
                  <w:tcBorders>
                    <w:top w:val="single" w:color="auto" w:sz="4" w:space="0"/>
                    <w:bottom w:val="single" w:color="auto" w:sz="4" w:space="0"/>
                  </w:tcBorders>
                  <w:noWrap w:val="0"/>
                  <w:vAlign w:val="center"/>
                </w:tcPr>
                <w:p w14:paraId="3526A05A">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1.45</w:t>
                  </w:r>
                </w:p>
              </w:tc>
              <w:tc>
                <w:tcPr>
                  <w:tcW w:w="667" w:type="pct"/>
                  <w:noWrap w:val="0"/>
                  <w:vAlign w:val="center"/>
                </w:tcPr>
                <w:p w14:paraId="091C46C4">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30</w:t>
                  </w:r>
                </w:p>
              </w:tc>
              <w:tc>
                <w:tcPr>
                  <w:tcW w:w="1028" w:type="pct"/>
                  <w:tcBorders>
                    <w:top w:val="single" w:color="auto" w:sz="4" w:space="0"/>
                    <w:bottom w:val="single" w:color="auto" w:sz="4" w:space="0"/>
                  </w:tcBorders>
                  <w:noWrap w:val="0"/>
                  <w:vAlign w:val="center"/>
                </w:tcPr>
                <w:p w14:paraId="234B2297">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60</w:t>
                  </w:r>
                </w:p>
              </w:tc>
              <w:tc>
                <w:tcPr>
                  <w:tcW w:w="532" w:type="pct"/>
                  <w:tcBorders>
                    <w:top w:val="single" w:color="auto" w:sz="4" w:space="0"/>
                    <w:bottom w:val="single" w:color="auto" w:sz="4" w:space="0"/>
                  </w:tcBorders>
                  <w:noWrap w:val="0"/>
                  <w:vAlign w:val="center"/>
                </w:tcPr>
                <w:p w14:paraId="67947B83">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70</w:t>
                  </w:r>
                </w:p>
              </w:tc>
              <w:tc>
                <w:tcPr>
                  <w:tcW w:w="685" w:type="pct"/>
                  <w:tcBorders>
                    <w:top w:val="single" w:color="auto" w:sz="4" w:space="0"/>
                    <w:bottom w:val="single" w:color="auto" w:sz="4" w:space="0"/>
                  </w:tcBorders>
                  <w:noWrap w:val="0"/>
                  <w:vAlign w:val="center"/>
                </w:tcPr>
                <w:p w14:paraId="320800B0">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53098</w:t>
                  </w:r>
                </w:p>
              </w:tc>
              <w:tc>
                <w:tcPr>
                  <w:tcW w:w="493" w:type="pct"/>
                  <w:tcBorders>
                    <w:top w:val="single" w:color="auto" w:sz="4" w:space="0"/>
                    <w:bottom w:val="single" w:color="auto" w:sz="4" w:space="0"/>
                  </w:tcBorders>
                  <w:noWrap w:val="0"/>
                  <w:vAlign w:val="center"/>
                </w:tcPr>
                <w:p w14:paraId="59EA5420">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 xml:space="preserve">5.50 </w:t>
                  </w:r>
                </w:p>
              </w:tc>
            </w:tr>
            <w:tr w14:paraId="4048FA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5" w:type="pct"/>
                  <w:vMerge w:val="continue"/>
                  <w:noWrap w:val="0"/>
                  <w:vAlign w:val="center"/>
                </w:tcPr>
                <w:p w14:paraId="06E664B5">
                  <w:pPr>
                    <w:adjustRightInd w:val="0"/>
                    <w:snapToGrid w:val="0"/>
                    <w:jc w:val="center"/>
                    <w:rPr>
                      <w:rFonts w:hint="eastAsia" w:ascii="Times New Roman" w:hAnsi="Times New Roman" w:eastAsia="宋体" w:cs="Times New Roman"/>
                      <w:color w:val="auto"/>
                      <w:lang w:val="en-US" w:eastAsia="zh-CN"/>
                    </w:rPr>
                  </w:pPr>
                </w:p>
              </w:tc>
              <w:tc>
                <w:tcPr>
                  <w:tcW w:w="587" w:type="pct"/>
                  <w:tcBorders>
                    <w:top w:val="single" w:color="auto" w:sz="4" w:space="0"/>
                    <w:bottom w:val="single" w:color="auto" w:sz="4" w:space="0"/>
                  </w:tcBorders>
                  <w:noWrap w:val="0"/>
                  <w:vAlign w:val="center"/>
                </w:tcPr>
                <w:p w14:paraId="4F4A3A69">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中间漆</w:t>
                  </w:r>
                </w:p>
              </w:tc>
              <w:tc>
                <w:tcPr>
                  <w:tcW w:w="710" w:type="pct"/>
                  <w:tcBorders>
                    <w:top w:val="single" w:color="auto" w:sz="4" w:space="0"/>
                    <w:bottom w:val="single" w:color="auto" w:sz="4" w:space="0"/>
                  </w:tcBorders>
                  <w:noWrap w:val="0"/>
                  <w:vAlign w:val="center"/>
                </w:tcPr>
                <w:p w14:paraId="0F308183">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1.45</w:t>
                  </w:r>
                </w:p>
              </w:tc>
              <w:tc>
                <w:tcPr>
                  <w:tcW w:w="667" w:type="pct"/>
                  <w:noWrap w:val="0"/>
                  <w:vAlign w:val="center"/>
                </w:tcPr>
                <w:p w14:paraId="47FCA50C">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30</w:t>
                  </w:r>
                </w:p>
              </w:tc>
              <w:tc>
                <w:tcPr>
                  <w:tcW w:w="1028" w:type="pct"/>
                  <w:tcBorders>
                    <w:top w:val="single" w:color="auto" w:sz="4" w:space="0"/>
                    <w:bottom w:val="single" w:color="auto" w:sz="4" w:space="0"/>
                  </w:tcBorders>
                  <w:noWrap w:val="0"/>
                  <w:vAlign w:val="center"/>
                </w:tcPr>
                <w:p w14:paraId="2A1879FA">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60</w:t>
                  </w:r>
                </w:p>
              </w:tc>
              <w:tc>
                <w:tcPr>
                  <w:tcW w:w="532" w:type="pct"/>
                  <w:tcBorders>
                    <w:top w:val="single" w:color="auto" w:sz="4" w:space="0"/>
                    <w:bottom w:val="single" w:color="auto" w:sz="4" w:space="0"/>
                  </w:tcBorders>
                  <w:noWrap w:val="0"/>
                  <w:vAlign w:val="center"/>
                </w:tcPr>
                <w:p w14:paraId="1B05F858">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70</w:t>
                  </w:r>
                </w:p>
              </w:tc>
              <w:tc>
                <w:tcPr>
                  <w:tcW w:w="685" w:type="pct"/>
                  <w:tcBorders>
                    <w:top w:val="single" w:color="auto" w:sz="4" w:space="0"/>
                    <w:bottom w:val="single" w:color="auto" w:sz="4" w:space="0"/>
                  </w:tcBorders>
                  <w:noWrap w:val="0"/>
                  <w:vAlign w:val="center"/>
                </w:tcPr>
                <w:p w14:paraId="07C35FE4">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44964</w:t>
                  </w:r>
                </w:p>
              </w:tc>
              <w:tc>
                <w:tcPr>
                  <w:tcW w:w="493" w:type="pct"/>
                  <w:tcBorders>
                    <w:top w:val="single" w:color="auto" w:sz="4" w:space="0"/>
                    <w:bottom w:val="single" w:color="auto" w:sz="4" w:space="0"/>
                  </w:tcBorders>
                  <w:noWrap w:val="0"/>
                  <w:vAlign w:val="center"/>
                </w:tcPr>
                <w:p w14:paraId="5D8732E0">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4.66</w:t>
                  </w:r>
                </w:p>
              </w:tc>
            </w:tr>
            <w:tr w14:paraId="4CDFA6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5" w:type="pct"/>
                  <w:vMerge w:val="continue"/>
                  <w:noWrap w:val="0"/>
                  <w:vAlign w:val="top"/>
                </w:tcPr>
                <w:p w14:paraId="5EC8F8ED">
                  <w:pPr>
                    <w:adjustRightInd w:val="0"/>
                    <w:snapToGrid w:val="0"/>
                    <w:jc w:val="center"/>
                    <w:rPr>
                      <w:rFonts w:hint="default" w:ascii="Times New Roman" w:hAnsi="Times New Roman" w:eastAsia="宋体" w:cs="Times New Roman"/>
                      <w:color w:val="auto"/>
                      <w:lang w:val="en-US" w:eastAsia="zh-CN"/>
                    </w:rPr>
                  </w:pPr>
                </w:p>
              </w:tc>
              <w:tc>
                <w:tcPr>
                  <w:tcW w:w="587" w:type="pct"/>
                  <w:noWrap w:val="0"/>
                  <w:vAlign w:val="center"/>
                </w:tcPr>
                <w:p w14:paraId="57590A9E">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面漆</w:t>
                  </w:r>
                </w:p>
              </w:tc>
              <w:tc>
                <w:tcPr>
                  <w:tcW w:w="710" w:type="pct"/>
                  <w:noWrap w:val="0"/>
                  <w:vAlign w:val="center"/>
                </w:tcPr>
                <w:p w14:paraId="0525DFC6">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1.25</w:t>
                  </w:r>
                </w:p>
              </w:tc>
              <w:tc>
                <w:tcPr>
                  <w:tcW w:w="667" w:type="pct"/>
                  <w:noWrap w:val="0"/>
                  <w:vAlign w:val="center"/>
                </w:tcPr>
                <w:p w14:paraId="7682A03B">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40</w:t>
                  </w:r>
                </w:p>
              </w:tc>
              <w:tc>
                <w:tcPr>
                  <w:tcW w:w="1028" w:type="pct"/>
                  <w:noWrap w:val="0"/>
                  <w:vAlign w:val="center"/>
                </w:tcPr>
                <w:p w14:paraId="58965B6D">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60</w:t>
                  </w:r>
                </w:p>
              </w:tc>
              <w:tc>
                <w:tcPr>
                  <w:tcW w:w="532" w:type="pct"/>
                  <w:noWrap w:val="0"/>
                  <w:vAlign w:val="center"/>
                </w:tcPr>
                <w:p w14:paraId="058454C9">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70</w:t>
                  </w:r>
                </w:p>
              </w:tc>
              <w:tc>
                <w:tcPr>
                  <w:tcW w:w="685" w:type="pct"/>
                  <w:noWrap w:val="0"/>
                  <w:vAlign w:val="center"/>
                </w:tcPr>
                <w:p w14:paraId="4FE90884">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36224</w:t>
                  </w:r>
                </w:p>
              </w:tc>
              <w:tc>
                <w:tcPr>
                  <w:tcW w:w="493" w:type="pct"/>
                  <w:noWrap w:val="0"/>
                  <w:vAlign w:val="center"/>
                </w:tcPr>
                <w:p w14:paraId="7A590721">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4.31</w:t>
                  </w:r>
                </w:p>
              </w:tc>
            </w:tr>
            <w:tr w14:paraId="01E8AE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21" w:type="pct"/>
                  <w:gridSpan w:val="6"/>
                  <w:noWrap w:val="0"/>
                  <w:vAlign w:val="center"/>
                </w:tcPr>
                <w:p w14:paraId="660D6FE4">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小计（水性漆）</w:t>
                  </w:r>
                </w:p>
              </w:tc>
              <w:tc>
                <w:tcPr>
                  <w:tcW w:w="685" w:type="pct"/>
                  <w:noWrap w:val="0"/>
                  <w:vAlign w:val="center"/>
                </w:tcPr>
                <w:p w14:paraId="2C5D48E3">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134286</w:t>
                  </w:r>
                </w:p>
              </w:tc>
              <w:tc>
                <w:tcPr>
                  <w:tcW w:w="493" w:type="pct"/>
                  <w:noWrap w:val="0"/>
                  <w:vAlign w:val="center"/>
                </w:tcPr>
                <w:p w14:paraId="5587E5F9">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14.47</w:t>
                  </w:r>
                </w:p>
              </w:tc>
            </w:tr>
            <w:tr w14:paraId="578213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21" w:type="pct"/>
                  <w:gridSpan w:val="6"/>
                  <w:noWrap w:val="0"/>
                  <w:vAlign w:val="center"/>
                </w:tcPr>
                <w:p w14:paraId="56057899">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合计</w:t>
                  </w:r>
                </w:p>
              </w:tc>
              <w:tc>
                <w:tcPr>
                  <w:tcW w:w="685" w:type="pct"/>
                  <w:noWrap w:val="0"/>
                  <w:vAlign w:val="center"/>
                </w:tcPr>
                <w:p w14:paraId="3BC31FF3">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219252</w:t>
                  </w:r>
                </w:p>
              </w:tc>
              <w:tc>
                <w:tcPr>
                  <w:tcW w:w="493" w:type="pct"/>
                  <w:noWrap w:val="0"/>
                  <w:vAlign w:val="center"/>
                </w:tcPr>
                <w:p w14:paraId="0CA575DD">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23.09</w:t>
                  </w:r>
                </w:p>
              </w:tc>
            </w:tr>
          </w:tbl>
          <w:p w14:paraId="6F45B5FC">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0000FF"/>
                <w:sz w:val="24"/>
                <w:lang w:val="en-US" w:eastAsia="zh-CN"/>
              </w:rPr>
            </w:pPr>
            <w:r>
              <w:rPr>
                <w:rFonts w:hint="eastAsia" w:ascii="Times New Roman" w:hAnsi="Times New Roman" w:eastAsia="宋体" w:cs="Times New Roman"/>
                <w:color w:val="0000FF"/>
                <w:sz w:val="24"/>
                <w:lang w:val="en-US" w:eastAsia="zh-CN"/>
              </w:rPr>
              <w:t>（3）涂料平衡分析</w:t>
            </w:r>
          </w:p>
          <w:p w14:paraId="151A5DC5">
            <w:pPr>
              <w:spacing w:line="360" w:lineRule="auto"/>
              <w:ind w:firstLine="480" w:firstLineChars="200"/>
              <w:rPr>
                <w:rFonts w:hint="eastAsia" w:ascii="Times New Roman" w:hAnsi="Times New Roman" w:eastAsia="宋体" w:cs="Times New Roman"/>
                <w:color w:val="0000FF"/>
                <w:sz w:val="24"/>
                <w:lang w:val="en-US" w:eastAsia="zh-CN"/>
              </w:rPr>
            </w:pPr>
            <w:r>
              <w:rPr>
                <w:rFonts w:hint="eastAsia" w:ascii="Times New Roman" w:hAnsi="Times New Roman" w:eastAsia="宋体" w:cs="Times New Roman"/>
                <w:color w:val="0000FF"/>
                <w:sz w:val="24"/>
                <w:lang w:val="en-US" w:eastAsia="zh-CN"/>
              </w:rPr>
              <w:t>本项目涂料VOC</w:t>
            </w:r>
            <w:r>
              <w:rPr>
                <w:rFonts w:hint="eastAsia" w:ascii="Times New Roman" w:hAnsi="Times New Roman" w:eastAsia="宋体" w:cs="Times New Roman"/>
                <w:color w:val="0000FF"/>
                <w:sz w:val="24"/>
                <w:vertAlign w:val="subscript"/>
                <w:lang w:val="en-US" w:eastAsia="zh-CN"/>
              </w:rPr>
              <w:t>S</w:t>
            </w:r>
            <w:r>
              <w:rPr>
                <w:rFonts w:hint="eastAsia" w:ascii="Times New Roman" w:hAnsi="Times New Roman" w:eastAsia="宋体" w:cs="Times New Roman"/>
                <w:color w:val="0000FF"/>
                <w:sz w:val="24"/>
                <w:lang w:val="en-US" w:eastAsia="zh-CN"/>
              </w:rPr>
              <w:t>（非甲烷总烃）平衡见表2-7，甲苯平衡见表2-8，二甲苯平衡见表2-9。</w:t>
            </w:r>
          </w:p>
          <w:p w14:paraId="469DCA40">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0000FF"/>
                <w:lang w:val="en-US" w:eastAsia="zh-CN"/>
              </w:rPr>
            </w:pPr>
          </w:p>
          <w:p w14:paraId="04185372">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0000FF"/>
                <w:lang w:val="en-US" w:eastAsia="zh-CN"/>
              </w:rPr>
            </w:pPr>
          </w:p>
          <w:p w14:paraId="235974C5">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0000FF"/>
                <w:lang w:val="en-US" w:eastAsia="zh-CN"/>
              </w:rPr>
            </w:pPr>
          </w:p>
          <w:p w14:paraId="31E04583">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0000FF"/>
                <w:lang w:val="en-US" w:eastAsia="zh-CN"/>
              </w:rPr>
            </w:pPr>
          </w:p>
          <w:p w14:paraId="7F809A4D">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0000FF"/>
                <w:lang w:val="en-US" w:eastAsia="zh-CN"/>
              </w:rPr>
            </w:pPr>
          </w:p>
          <w:p w14:paraId="46EE775C">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0000FF"/>
                <w:lang w:val="en-US" w:eastAsia="zh-CN"/>
              </w:rPr>
            </w:pPr>
          </w:p>
          <w:p w14:paraId="724FDB9D">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0000FF"/>
                <w:lang w:val="en-US" w:eastAsia="zh-CN"/>
              </w:rPr>
            </w:pPr>
          </w:p>
          <w:p w14:paraId="63FC890A">
            <w:pPr>
              <w:keepNext w:val="0"/>
              <w:keepLines w:val="0"/>
              <w:pageBreakBefore w:val="0"/>
              <w:widowControl w:val="0"/>
              <w:kinsoku/>
              <w:wordWrap/>
              <w:overflowPunct/>
              <w:topLinePunct w:val="0"/>
              <w:autoSpaceDE/>
              <w:autoSpaceDN/>
              <w:bidi w:val="0"/>
              <w:adjustRightInd/>
              <w:snapToGrid/>
              <w:spacing w:before="157" w:beforeLines="50" w:line="300" w:lineRule="auto"/>
              <w:jc w:val="center"/>
              <w:textAlignment w:val="auto"/>
              <w:rPr>
                <w:rFonts w:hint="default" w:ascii="Times New Roman" w:hAnsi="Times New Roman" w:eastAsia="宋体" w:cs="Times New Roman"/>
                <w:b/>
                <w:bCs/>
                <w:color w:val="0000FF"/>
                <w:lang w:val="en-US" w:eastAsia="zh-CN"/>
              </w:rPr>
            </w:pPr>
            <w:r>
              <w:rPr>
                <w:rFonts w:hint="default" w:ascii="Times New Roman" w:hAnsi="Times New Roman" w:eastAsia="宋体" w:cs="Times New Roman"/>
                <w:b/>
                <w:bCs/>
                <w:color w:val="0000FF"/>
                <w:lang w:val="en-US" w:eastAsia="zh-CN"/>
              </w:rPr>
              <w:t>表</w:t>
            </w:r>
            <w:r>
              <w:rPr>
                <w:rFonts w:hint="eastAsia" w:ascii="Times New Roman" w:hAnsi="Times New Roman" w:eastAsia="宋体" w:cs="Times New Roman"/>
                <w:b/>
                <w:bCs/>
                <w:color w:val="0000FF"/>
                <w:lang w:val="en-US" w:eastAsia="zh-CN"/>
              </w:rPr>
              <w:t>2-7 涂装</w:t>
            </w:r>
            <w:r>
              <w:rPr>
                <w:rFonts w:hint="default" w:ascii="Times New Roman" w:hAnsi="Times New Roman" w:eastAsia="宋体" w:cs="Times New Roman"/>
                <w:b/>
                <w:bCs/>
                <w:color w:val="0000FF"/>
                <w:lang w:val="en-US" w:eastAsia="zh-CN"/>
              </w:rPr>
              <w:t>VOC</w:t>
            </w:r>
            <w:r>
              <w:rPr>
                <w:rFonts w:hint="eastAsia" w:ascii="Times New Roman" w:hAnsi="Times New Roman" w:eastAsia="宋体" w:cs="Times New Roman"/>
                <w:b/>
                <w:bCs/>
                <w:color w:val="0000FF"/>
                <w:vertAlign w:val="subscript"/>
                <w:lang w:val="en-US" w:eastAsia="zh-CN"/>
              </w:rPr>
              <w:t>S</w:t>
            </w:r>
            <w:r>
              <w:rPr>
                <w:rFonts w:hint="eastAsia" w:ascii="Times New Roman" w:hAnsi="Times New Roman" w:eastAsia="宋体" w:cs="Times New Roman"/>
                <w:b/>
                <w:bCs/>
                <w:color w:val="0000FF"/>
                <w:lang w:val="en-US" w:eastAsia="zh-CN"/>
              </w:rPr>
              <w:t>（非甲烷总烃计）</w:t>
            </w:r>
            <w:r>
              <w:rPr>
                <w:rFonts w:hint="default" w:ascii="Times New Roman" w:hAnsi="Times New Roman" w:eastAsia="宋体" w:cs="Times New Roman"/>
                <w:b/>
                <w:bCs/>
                <w:color w:val="0000FF"/>
                <w:lang w:val="en-US" w:eastAsia="zh-CN"/>
              </w:rPr>
              <w:t>平衡一览表</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4"/>
              <w:gridCol w:w="1180"/>
              <w:gridCol w:w="903"/>
              <w:gridCol w:w="1194"/>
              <w:gridCol w:w="1375"/>
              <w:gridCol w:w="1764"/>
              <w:gridCol w:w="1225"/>
            </w:tblGrid>
            <w:tr w14:paraId="6CBB51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146" w:type="pct"/>
                  <w:gridSpan w:val="5"/>
                  <w:tcBorders>
                    <w:bottom w:val="single" w:color="auto" w:sz="4" w:space="0"/>
                    <w:right w:val="single" w:color="auto" w:sz="12" w:space="0"/>
                  </w:tcBorders>
                  <w:noWrap w:val="0"/>
                  <w:vAlign w:val="center"/>
                </w:tcPr>
                <w:p w14:paraId="5A42B31D">
                  <w:pPr>
                    <w:adjustRightInd w:val="0"/>
                    <w:snapToGrid w:val="0"/>
                    <w:jc w:val="center"/>
                    <w:rPr>
                      <w:rFonts w:hint="default" w:ascii="Times New Roman" w:hAnsi="Times New Roman" w:eastAsia="宋体" w:cs="Times New Roman"/>
                      <w:b/>
                      <w:bCs/>
                      <w:color w:val="0000FF"/>
                      <w:lang w:val="en-US" w:eastAsia="zh-CN"/>
                    </w:rPr>
                  </w:pPr>
                  <w:r>
                    <w:rPr>
                      <w:rFonts w:hint="eastAsia" w:ascii="Times New Roman" w:hAnsi="Times New Roman" w:eastAsia="宋体" w:cs="Times New Roman"/>
                      <w:b/>
                      <w:bCs/>
                      <w:color w:val="0000FF"/>
                      <w:lang w:val="en-US" w:eastAsia="zh-CN"/>
                    </w:rPr>
                    <w:t>投入（t/a）</w:t>
                  </w:r>
                </w:p>
              </w:tc>
              <w:tc>
                <w:tcPr>
                  <w:tcW w:w="1853" w:type="pct"/>
                  <w:gridSpan w:val="2"/>
                  <w:tcBorders>
                    <w:left w:val="single" w:color="auto" w:sz="12" w:space="0"/>
                    <w:bottom w:val="single" w:color="auto" w:sz="4" w:space="0"/>
                  </w:tcBorders>
                  <w:noWrap w:val="0"/>
                  <w:vAlign w:val="center"/>
                </w:tcPr>
                <w:p w14:paraId="5D21F4A1">
                  <w:pPr>
                    <w:adjustRightInd w:val="0"/>
                    <w:snapToGrid w:val="0"/>
                    <w:jc w:val="center"/>
                    <w:rPr>
                      <w:rFonts w:hint="eastAsia" w:ascii="Times New Roman" w:hAnsi="Times New Roman" w:eastAsia="宋体" w:cs="Times New Roman"/>
                      <w:b/>
                      <w:bCs/>
                      <w:color w:val="0000FF"/>
                      <w:lang w:val="en-US" w:eastAsia="zh-CN"/>
                    </w:rPr>
                  </w:pPr>
                  <w:r>
                    <w:rPr>
                      <w:rFonts w:hint="eastAsia" w:ascii="Times New Roman" w:hAnsi="Times New Roman" w:eastAsia="宋体" w:cs="Times New Roman"/>
                      <w:b/>
                      <w:bCs/>
                      <w:color w:val="0000FF"/>
                      <w:lang w:val="en-US" w:eastAsia="zh-CN"/>
                    </w:rPr>
                    <w:t>产出（t/a）</w:t>
                  </w:r>
                </w:p>
              </w:tc>
            </w:tr>
            <w:tr w14:paraId="6B6274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4" w:type="pct"/>
                  <w:gridSpan w:val="2"/>
                  <w:tcBorders>
                    <w:top w:val="single" w:color="auto" w:sz="4" w:space="0"/>
                    <w:bottom w:val="single" w:color="auto" w:sz="12" w:space="0"/>
                    <w:right w:val="single" w:color="auto" w:sz="4" w:space="0"/>
                  </w:tcBorders>
                  <w:noWrap w:val="0"/>
                  <w:vAlign w:val="center"/>
                </w:tcPr>
                <w:p w14:paraId="1FE4536A">
                  <w:pPr>
                    <w:adjustRightInd w:val="0"/>
                    <w:snapToGrid w:val="0"/>
                    <w:jc w:val="center"/>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名称</w:t>
                  </w:r>
                </w:p>
              </w:tc>
              <w:tc>
                <w:tcPr>
                  <w:tcW w:w="559" w:type="pct"/>
                  <w:tcBorders>
                    <w:top w:val="single" w:color="auto" w:sz="4" w:space="0"/>
                    <w:left w:val="single" w:color="auto" w:sz="4" w:space="0"/>
                    <w:bottom w:val="single" w:color="auto" w:sz="12" w:space="0"/>
                    <w:right w:val="single" w:color="auto" w:sz="4" w:space="0"/>
                  </w:tcBorders>
                  <w:shd w:val="clear" w:color="auto" w:fill="auto"/>
                  <w:noWrap w:val="0"/>
                  <w:vAlign w:val="center"/>
                </w:tcPr>
                <w:p w14:paraId="178D01E8">
                  <w:pPr>
                    <w:adjustRightInd w:val="0"/>
                    <w:snapToGrid w:val="0"/>
                    <w:jc w:val="center"/>
                    <w:rPr>
                      <w:rFonts w:hint="eastAsia"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用量</w:t>
                  </w:r>
                </w:p>
              </w:tc>
              <w:tc>
                <w:tcPr>
                  <w:tcW w:w="740" w:type="pct"/>
                  <w:tcBorders>
                    <w:top w:val="single" w:color="auto" w:sz="4" w:space="0"/>
                    <w:left w:val="single" w:color="auto" w:sz="4" w:space="0"/>
                    <w:bottom w:val="single" w:color="auto" w:sz="12" w:space="0"/>
                    <w:right w:val="single" w:color="auto" w:sz="4" w:space="0"/>
                  </w:tcBorders>
                  <w:shd w:val="clear" w:color="auto" w:fill="auto"/>
                  <w:noWrap w:val="0"/>
                  <w:vAlign w:val="center"/>
                </w:tcPr>
                <w:p w14:paraId="6E0D3BFA">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挥发比例</w:t>
                  </w:r>
                </w:p>
              </w:tc>
              <w:tc>
                <w:tcPr>
                  <w:tcW w:w="852" w:type="pct"/>
                  <w:tcBorders>
                    <w:top w:val="single" w:color="auto" w:sz="4" w:space="0"/>
                    <w:left w:val="single" w:color="auto" w:sz="4" w:space="0"/>
                    <w:bottom w:val="single" w:color="auto" w:sz="12" w:space="0"/>
                    <w:right w:val="single" w:color="auto" w:sz="12" w:space="0"/>
                  </w:tcBorders>
                  <w:shd w:val="clear" w:color="auto" w:fill="auto"/>
                  <w:noWrap w:val="0"/>
                  <w:vAlign w:val="center"/>
                </w:tcPr>
                <w:p w14:paraId="29D44FDB">
                  <w:pPr>
                    <w:adjustRightInd w:val="0"/>
                    <w:snapToGrid w:val="0"/>
                    <w:jc w:val="center"/>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VOC</w:t>
                  </w:r>
                  <w:r>
                    <w:rPr>
                      <w:rFonts w:hint="eastAsia" w:ascii="Times New Roman" w:hAnsi="Times New Roman" w:eastAsia="宋体" w:cs="Times New Roman"/>
                      <w:color w:val="0000FF"/>
                      <w:vertAlign w:val="subscript"/>
                      <w:lang w:val="en-US" w:eastAsia="zh-CN"/>
                    </w:rPr>
                    <w:t>S</w:t>
                  </w:r>
                  <w:r>
                    <w:rPr>
                      <w:rFonts w:hint="default" w:ascii="Times New Roman" w:hAnsi="Times New Roman" w:eastAsia="宋体" w:cs="Times New Roman"/>
                      <w:color w:val="0000FF"/>
                      <w:lang w:val="en-US" w:eastAsia="zh-CN"/>
                    </w:rPr>
                    <w:t>量</w:t>
                  </w:r>
                </w:p>
              </w:tc>
              <w:tc>
                <w:tcPr>
                  <w:tcW w:w="1093" w:type="pct"/>
                  <w:tcBorders>
                    <w:top w:val="single" w:color="auto" w:sz="4" w:space="0"/>
                    <w:left w:val="single" w:color="auto" w:sz="12" w:space="0"/>
                    <w:bottom w:val="single" w:color="auto" w:sz="12" w:space="0"/>
                    <w:right w:val="single" w:color="auto" w:sz="4" w:space="0"/>
                  </w:tcBorders>
                  <w:shd w:val="clear" w:color="auto" w:fill="auto"/>
                  <w:noWrap w:val="0"/>
                  <w:vAlign w:val="center"/>
                </w:tcPr>
                <w:p w14:paraId="54908063">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类别</w:t>
                  </w:r>
                </w:p>
              </w:tc>
              <w:tc>
                <w:tcPr>
                  <w:tcW w:w="759" w:type="pct"/>
                  <w:tcBorders>
                    <w:top w:val="single" w:color="auto" w:sz="4" w:space="0"/>
                    <w:left w:val="single" w:color="auto" w:sz="4" w:space="0"/>
                    <w:bottom w:val="single" w:color="auto" w:sz="12" w:space="0"/>
                  </w:tcBorders>
                  <w:shd w:val="clear" w:color="auto" w:fill="auto"/>
                  <w:noWrap w:val="0"/>
                  <w:vAlign w:val="center"/>
                </w:tcPr>
                <w:p w14:paraId="0FA00EA7">
                  <w:pPr>
                    <w:adjustRightInd w:val="0"/>
                    <w:snapToGrid w:val="0"/>
                    <w:jc w:val="center"/>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VOC</w:t>
                  </w:r>
                  <w:r>
                    <w:rPr>
                      <w:rFonts w:hint="eastAsia" w:ascii="Times New Roman" w:hAnsi="Times New Roman" w:eastAsia="宋体" w:cs="Times New Roman"/>
                      <w:color w:val="0000FF"/>
                      <w:vertAlign w:val="subscript"/>
                      <w:lang w:val="en-US" w:eastAsia="zh-CN"/>
                    </w:rPr>
                    <w:t>S</w:t>
                  </w:r>
                  <w:r>
                    <w:rPr>
                      <w:rFonts w:hint="default" w:ascii="Times New Roman" w:hAnsi="Times New Roman" w:eastAsia="宋体" w:cs="Times New Roman"/>
                      <w:color w:val="0000FF"/>
                      <w:lang w:val="en-US" w:eastAsia="zh-CN"/>
                    </w:rPr>
                    <w:t>量</w:t>
                  </w:r>
                </w:p>
              </w:tc>
            </w:tr>
            <w:tr w14:paraId="499598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262" w:type="pct"/>
                  <w:vMerge w:val="restart"/>
                  <w:tcBorders>
                    <w:top w:val="single" w:color="auto" w:sz="12" w:space="0"/>
                  </w:tcBorders>
                  <w:noWrap w:val="0"/>
                  <w:vAlign w:val="center"/>
                </w:tcPr>
                <w:p w14:paraId="76AA6E0F">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油性漆</w:t>
                  </w:r>
                </w:p>
              </w:tc>
              <w:tc>
                <w:tcPr>
                  <w:tcW w:w="731" w:type="pct"/>
                  <w:tcBorders>
                    <w:top w:val="single" w:color="auto" w:sz="12" w:space="0"/>
                  </w:tcBorders>
                  <w:shd w:val="clear" w:color="auto" w:fill="auto"/>
                  <w:noWrap w:val="0"/>
                  <w:vAlign w:val="center"/>
                </w:tcPr>
                <w:p w14:paraId="0ABE7A54">
                  <w:pPr>
                    <w:adjustRightInd w:val="0"/>
                    <w:snapToGrid w:val="0"/>
                    <w:jc w:val="center"/>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底漆</w:t>
                  </w:r>
                </w:p>
                <w:p w14:paraId="5FD75A36">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（甲、</w:t>
                  </w:r>
                  <w:r>
                    <w:rPr>
                      <w:rFonts w:hint="default" w:ascii="Times New Roman" w:hAnsi="Times New Roman" w:eastAsia="宋体" w:cs="Times New Roman"/>
                      <w:color w:val="0000FF"/>
                      <w:lang w:val="en-US" w:eastAsia="zh-CN"/>
                    </w:rPr>
                    <w:t>乙、稀释剂）</w:t>
                  </w:r>
                </w:p>
              </w:tc>
              <w:tc>
                <w:tcPr>
                  <w:tcW w:w="559" w:type="pct"/>
                  <w:tcBorders>
                    <w:top w:val="single" w:color="auto" w:sz="12" w:space="0"/>
                  </w:tcBorders>
                  <w:shd w:val="clear" w:color="auto" w:fill="auto"/>
                  <w:noWrap w:val="0"/>
                  <w:vAlign w:val="center"/>
                </w:tcPr>
                <w:p w14:paraId="69A6B447">
                  <w:pPr>
                    <w:adjustRightInd w:val="0"/>
                    <w:snapToGrid w:val="0"/>
                    <w:jc w:val="center"/>
                    <w:rPr>
                      <w:rFonts w:hint="eastAsia"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3.97</w:t>
                  </w:r>
                </w:p>
              </w:tc>
              <w:tc>
                <w:tcPr>
                  <w:tcW w:w="740" w:type="pct"/>
                  <w:vMerge w:val="restart"/>
                  <w:tcBorders>
                    <w:top w:val="single" w:color="auto" w:sz="12" w:space="0"/>
                    <w:right w:val="single" w:color="auto" w:sz="4" w:space="0"/>
                  </w:tcBorders>
                  <w:shd w:val="clear" w:color="auto" w:fill="auto"/>
                  <w:noWrap w:val="0"/>
                  <w:vAlign w:val="center"/>
                </w:tcPr>
                <w:p w14:paraId="0F4BC7D4">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655.6kg/t-原料</w:t>
                  </w:r>
                </w:p>
              </w:tc>
              <w:tc>
                <w:tcPr>
                  <w:tcW w:w="852" w:type="pct"/>
                  <w:tcBorders>
                    <w:top w:val="single" w:color="auto" w:sz="12" w:space="0"/>
                    <w:left w:val="single" w:color="auto" w:sz="4" w:space="0"/>
                    <w:right w:val="single" w:color="auto" w:sz="12" w:space="0"/>
                  </w:tcBorders>
                  <w:shd w:val="clear" w:color="auto" w:fill="auto"/>
                  <w:noWrap w:val="0"/>
                  <w:vAlign w:val="center"/>
                </w:tcPr>
                <w:p w14:paraId="6CEAE7DE">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2.60</w:t>
                  </w:r>
                </w:p>
              </w:tc>
              <w:tc>
                <w:tcPr>
                  <w:tcW w:w="1093" w:type="pct"/>
                  <w:tcBorders>
                    <w:top w:val="single" w:color="auto" w:sz="12" w:space="0"/>
                    <w:left w:val="single" w:color="auto" w:sz="12" w:space="0"/>
                    <w:bottom w:val="single" w:color="auto" w:sz="4" w:space="0"/>
                    <w:right w:val="single" w:color="auto" w:sz="4" w:space="0"/>
                  </w:tcBorders>
                  <w:shd w:val="clear" w:color="auto" w:fill="auto"/>
                  <w:noWrap w:val="0"/>
                  <w:vAlign w:val="center"/>
                </w:tcPr>
                <w:p w14:paraId="5DA7E956">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有组织排放</w:t>
                  </w:r>
                </w:p>
              </w:tc>
              <w:tc>
                <w:tcPr>
                  <w:tcW w:w="759" w:type="pct"/>
                  <w:tcBorders>
                    <w:top w:val="single" w:color="auto" w:sz="12" w:space="0"/>
                    <w:left w:val="single" w:color="auto" w:sz="4" w:space="0"/>
                    <w:bottom w:val="single" w:color="auto" w:sz="4" w:space="0"/>
                  </w:tcBorders>
                  <w:noWrap w:val="0"/>
                  <w:vAlign w:val="center"/>
                </w:tcPr>
                <w:p w14:paraId="48F27388">
                  <w:pPr>
                    <w:adjustRightInd w:val="0"/>
                    <w:snapToGrid w:val="0"/>
                    <w:jc w:val="center"/>
                    <w:rPr>
                      <w:rFonts w:hint="default" w:ascii="Times New Roman" w:hAnsi="Times New Roman" w:eastAsia="宋体" w:cs="Times New Roman"/>
                      <w:color w:val="0000FF"/>
                      <w:lang w:val="en-US" w:eastAsia="zh-CN"/>
                    </w:rPr>
                  </w:pPr>
                  <w:r>
                    <w:rPr>
                      <w:rFonts w:hint="eastAsia" w:cs="Times New Roman"/>
                      <w:color w:val="0000FF"/>
                      <w:lang w:val="en-US" w:eastAsia="zh-CN"/>
                    </w:rPr>
                    <w:t>0.79</w:t>
                  </w:r>
                </w:p>
              </w:tc>
            </w:tr>
            <w:tr w14:paraId="1FB39E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262" w:type="pct"/>
                  <w:vMerge w:val="continue"/>
                  <w:noWrap w:val="0"/>
                  <w:vAlign w:val="center"/>
                </w:tcPr>
                <w:p w14:paraId="300E2044">
                  <w:pPr>
                    <w:adjustRightInd w:val="0"/>
                    <w:snapToGrid w:val="0"/>
                    <w:jc w:val="center"/>
                    <w:rPr>
                      <w:rFonts w:hint="eastAsia" w:ascii="Times New Roman" w:hAnsi="Times New Roman" w:eastAsia="宋体" w:cs="Times New Roman"/>
                      <w:color w:val="0000FF"/>
                      <w:lang w:val="en-US" w:eastAsia="zh-CN"/>
                    </w:rPr>
                  </w:pPr>
                </w:p>
              </w:tc>
              <w:tc>
                <w:tcPr>
                  <w:tcW w:w="731" w:type="pct"/>
                  <w:shd w:val="clear" w:color="auto" w:fill="auto"/>
                  <w:noWrap w:val="0"/>
                  <w:vAlign w:val="center"/>
                </w:tcPr>
                <w:p w14:paraId="6CB5A754">
                  <w:pPr>
                    <w:adjustRightInd w:val="0"/>
                    <w:snapToGrid w:val="0"/>
                    <w:jc w:val="center"/>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中间漆</w:t>
                  </w:r>
                </w:p>
                <w:p w14:paraId="541310E4">
                  <w:pPr>
                    <w:adjustRightInd w:val="0"/>
                    <w:snapToGrid w:val="0"/>
                    <w:jc w:val="center"/>
                    <w:rPr>
                      <w:rFonts w:hint="eastAsia"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（甲、</w:t>
                  </w:r>
                  <w:r>
                    <w:rPr>
                      <w:rFonts w:hint="default" w:ascii="Times New Roman" w:hAnsi="Times New Roman" w:eastAsia="宋体" w:cs="Times New Roman"/>
                      <w:color w:val="0000FF"/>
                      <w:lang w:val="en-US" w:eastAsia="zh-CN"/>
                    </w:rPr>
                    <w:t>乙、稀释剂）</w:t>
                  </w:r>
                </w:p>
              </w:tc>
              <w:tc>
                <w:tcPr>
                  <w:tcW w:w="559" w:type="pct"/>
                  <w:shd w:val="clear" w:color="auto" w:fill="auto"/>
                  <w:noWrap w:val="0"/>
                  <w:vAlign w:val="center"/>
                </w:tcPr>
                <w:p w14:paraId="3033B7CA">
                  <w:pPr>
                    <w:adjustRightInd w:val="0"/>
                    <w:snapToGrid w:val="0"/>
                    <w:jc w:val="center"/>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2.05</w:t>
                  </w:r>
                </w:p>
              </w:tc>
              <w:tc>
                <w:tcPr>
                  <w:tcW w:w="740" w:type="pct"/>
                  <w:vMerge w:val="continue"/>
                  <w:tcBorders>
                    <w:right w:val="single" w:color="auto" w:sz="4" w:space="0"/>
                  </w:tcBorders>
                  <w:shd w:val="clear" w:color="auto" w:fill="auto"/>
                  <w:noWrap w:val="0"/>
                  <w:vAlign w:val="center"/>
                </w:tcPr>
                <w:p w14:paraId="4EC6E124">
                  <w:pPr>
                    <w:adjustRightInd w:val="0"/>
                    <w:snapToGrid w:val="0"/>
                    <w:jc w:val="center"/>
                    <w:rPr>
                      <w:rFonts w:hint="default" w:ascii="Times New Roman" w:hAnsi="Times New Roman" w:eastAsia="宋体" w:cs="Times New Roman"/>
                      <w:color w:val="0000FF"/>
                      <w:lang w:val="en-US" w:eastAsia="zh-CN"/>
                    </w:rPr>
                  </w:pPr>
                </w:p>
              </w:tc>
              <w:tc>
                <w:tcPr>
                  <w:tcW w:w="852" w:type="pct"/>
                  <w:tcBorders>
                    <w:left w:val="single" w:color="auto" w:sz="4" w:space="0"/>
                    <w:right w:val="single" w:color="auto" w:sz="12" w:space="0"/>
                  </w:tcBorders>
                  <w:shd w:val="clear" w:color="auto" w:fill="auto"/>
                  <w:noWrap w:val="0"/>
                  <w:vAlign w:val="center"/>
                </w:tcPr>
                <w:p w14:paraId="5CEDCD7A">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1.34</w:t>
                  </w:r>
                </w:p>
              </w:tc>
              <w:tc>
                <w:tcPr>
                  <w:tcW w:w="1093" w:type="pct"/>
                  <w:tcBorders>
                    <w:top w:val="single" w:color="auto" w:sz="4" w:space="0"/>
                    <w:left w:val="single" w:color="auto" w:sz="12" w:space="0"/>
                    <w:bottom w:val="single" w:color="auto" w:sz="4" w:space="0"/>
                    <w:right w:val="single" w:color="auto" w:sz="4" w:space="0"/>
                  </w:tcBorders>
                  <w:shd w:val="clear" w:color="auto" w:fill="auto"/>
                  <w:noWrap w:val="0"/>
                  <w:vAlign w:val="center"/>
                </w:tcPr>
                <w:p w14:paraId="06BFCC91">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无组织排放</w:t>
                  </w:r>
                </w:p>
              </w:tc>
              <w:tc>
                <w:tcPr>
                  <w:tcW w:w="759" w:type="pct"/>
                  <w:tcBorders>
                    <w:top w:val="single" w:color="auto" w:sz="4" w:space="0"/>
                    <w:left w:val="single" w:color="auto" w:sz="4" w:space="0"/>
                    <w:bottom w:val="single" w:color="auto" w:sz="4" w:space="0"/>
                  </w:tcBorders>
                  <w:noWrap w:val="0"/>
                  <w:vAlign w:val="center"/>
                </w:tcPr>
                <w:p w14:paraId="6CA19170">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0.08</w:t>
                  </w:r>
                </w:p>
              </w:tc>
            </w:tr>
            <w:tr w14:paraId="0AE103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262" w:type="pct"/>
                  <w:vMerge w:val="continue"/>
                  <w:noWrap w:val="0"/>
                  <w:vAlign w:val="center"/>
                </w:tcPr>
                <w:p w14:paraId="5074B4A7">
                  <w:pPr>
                    <w:adjustRightInd w:val="0"/>
                    <w:snapToGrid w:val="0"/>
                    <w:jc w:val="center"/>
                    <w:rPr>
                      <w:rFonts w:hint="default" w:ascii="Times New Roman" w:hAnsi="Times New Roman" w:eastAsia="宋体" w:cs="Times New Roman"/>
                      <w:color w:val="0000FF"/>
                      <w:lang w:val="en-US" w:eastAsia="zh-CN"/>
                    </w:rPr>
                  </w:pPr>
                </w:p>
              </w:tc>
              <w:tc>
                <w:tcPr>
                  <w:tcW w:w="731" w:type="pct"/>
                  <w:shd w:val="clear" w:color="auto" w:fill="auto"/>
                  <w:noWrap w:val="0"/>
                  <w:vAlign w:val="center"/>
                </w:tcPr>
                <w:p w14:paraId="4485CC9F">
                  <w:pPr>
                    <w:adjustRightInd w:val="0"/>
                    <w:snapToGrid w:val="0"/>
                    <w:jc w:val="center"/>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面漆</w:t>
                  </w:r>
                </w:p>
                <w:p w14:paraId="19B22A07">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（甲、</w:t>
                  </w:r>
                  <w:r>
                    <w:rPr>
                      <w:rFonts w:hint="default" w:ascii="Times New Roman" w:hAnsi="Times New Roman" w:eastAsia="宋体" w:cs="Times New Roman"/>
                      <w:color w:val="0000FF"/>
                      <w:lang w:val="en-US" w:eastAsia="zh-CN"/>
                    </w:rPr>
                    <w:t>乙、稀释剂）</w:t>
                  </w:r>
                </w:p>
              </w:tc>
              <w:tc>
                <w:tcPr>
                  <w:tcW w:w="559" w:type="pct"/>
                  <w:shd w:val="clear" w:color="auto" w:fill="auto"/>
                  <w:noWrap w:val="0"/>
                  <w:vAlign w:val="center"/>
                </w:tcPr>
                <w:p w14:paraId="1112F4E8">
                  <w:pPr>
                    <w:adjustRightInd w:val="0"/>
                    <w:snapToGrid w:val="0"/>
                    <w:jc w:val="center"/>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 xml:space="preserve">2.60 </w:t>
                  </w:r>
                </w:p>
              </w:tc>
              <w:tc>
                <w:tcPr>
                  <w:tcW w:w="740" w:type="pct"/>
                  <w:vMerge w:val="continue"/>
                  <w:tcBorders>
                    <w:right w:val="single" w:color="auto" w:sz="4" w:space="0"/>
                  </w:tcBorders>
                  <w:shd w:val="clear" w:color="auto" w:fill="auto"/>
                  <w:noWrap w:val="0"/>
                  <w:vAlign w:val="center"/>
                </w:tcPr>
                <w:p w14:paraId="37E042F7">
                  <w:pPr>
                    <w:adjustRightInd w:val="0"/>
                    <w:snapToGrid w:val="0"/>
                    <w:jc w:val="center"/>
                    <w:rPr>
                      <w:rFonts w:hint="default" w:ascii="Times New Roman" w:hAnsi="Times New Roman" w:eastAsia="宋体" w:cs="Times New Roman"/>
                      <w:color w:val="0000FF"/>
                      <w:lang w:val="en-US" w:eastAsia="zh-CN"/>
                    </w:rPr>
                  </w:pPr>
                </w:p>
              </w:tc>
              <w:tc>
                <w:tcPr>
                  <w:tcW w:w="852" w:type="pct"/>
                  <w:tcBorders>
                    <w:left w:val="single" w:color="auto" w:sz="4" w:space="0"/>
                    <w:right w:val="single" w:color="auto" w:sz="12" w:space="0"/>
                  </w:tcBorders>
                  <w:shd w:val="clear" w:color="auto" w:fill="auto"/>
                  <w:noWrap w:val="0"/>
                  <w:vAlign w:val="center"/>
                </w:tcPr>
                <w:p w14:paraId="230F1D02">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1.7</w:t>
                  </w:r>
                  <w:r>
                    <w:rPr>
                      <w:rFonts w:hint="eastAsia" w:cs="Times New Roman"/>
                      <w:color w:val="0000FF"/>
                      <w:lang w:val="en-US" w:eastAsia="zh-CN"/>
                    </w:rPr>
                    <w:t>0</w:t>
                  </w:r>
                </w:p>
              </w:tc>
              <w:tc>
                <w:tcPr>
                  <w:tcW w:w="1093" w:type="pct"/>
                  <w:tcBorders>
                    <w:top w:val="single" w:color="auto" w:sz="4" w:space="0"/>
                    <w:left w:val="single" w:color="auto" w:sz="12" w:space="0"/>
                    <w:bottom w:val="single" w:color="auto" w:sz="4" w:space="0"/>
                    <w:right w:val="single" w:color="auto" w:sz="4" w:space="0"/>
                  </w:tcBorders>
                  <w:shd w:val="clear" w:color="auto" w:fill="auto"/>
                  <w:noWrap w:val="0"/>
                  <w:vAlign w:val="center"/>
                </w:tcPr>
                <w:p w14:paraId="1391717A">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活性炭吸附-脱附+催化燃烧</w:t>
                  </w:r>
                </w:p>
              </w:tc>
              <w:tc>
                <w:tcPr>
                  <w:tcW w:w="759" w:type="pct"/>
                  <w:tcBorders>
                    <w:top w:val="single" w:color="auto" w:sz="4" w:space="0"/>
                    <w:left w:val="single" w:color="auto" w:sz="4" w:space="0"/>
                    <w:bottom w:val="single" w:color="auto" w:sz="4" w:space="0"/>
                  </w:tcBorders>
                  <w:noWrap w:val="0"/>
                  <w:vAlign w:val="center"/>
                </w:tcPr>
                <w:p w14:paraId="279E7C75">
                  <w:pPr>
                    <w:adjustRightInd w:val="0"/>
                    <w:snapToGrid w:val="0"/>
                    <w:jc w:val="center"/>
                    <w:rPr>
                      <w:rFonts w:hint="default" w:ascii="Times New Roman" w:hAnsi="Times New Roman" w:eastAsia="宋体" w:cs="Times New Roman"/>
                      <w:color w:val="0000FF"/>
                      <w:lang w:val="en-US" w:eastAsia="zh-CN"/>
                    </w:rPr>
                  </w:pPr>
                  <w:r>
                    <w:rPr>
                      <w:rFonts w:hint="eastAsia" w:cs="Times New Roman"/>
                      <w:color w:val="0000FF"/>
                      <w:lang w:val="en-US" w:eastAsia="zh-CN"/>
                    </w:rPr>
                    <w:t>7.14</w:t>
                  </w:r>
                </w:p>
              </w:tc>
            </w:tr>
            <w:tr w14:paraId="713284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2" w:type="pct"/>
                  <w:vMerge w:val="restart"/>
                  <w:noWrap w:val="0"/>
                  <w:vAlign w:val="center"/>
                </w:tcPr>
                <w:p w14:paraId="4783DA7E">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水性漆</w:t>
                  </w:r>
                </w:p>
              </w:tc>
              <w:tc>
                <w:tcPr>
                  <w:tcW w:w="731" w:type="pct"/>
                  <w:shd w:val="clear" w:color="auto" w:fill="auto"/>
                  <w:noWrap w:val="0"/>
                  <w:vAlign w:val="center"/>
                </w:tcPr>
                <w:p w14:paraId="2497B07C">
                  <w:pPr>
                    <w:adjustRightInd w:val="0"/>
                    <w:snapToGrid w:val="0"/>
                    <w:jc w:val="center"/>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底漆</w:t>
                  </w:r>
                </w:p>
              </w:tc>
              <w:tc>
                <w:tcPr>
                  <w:tcW w:w="559" w:type="pct"/>
                  <w:shd w:val="clear" w:color="auto" w:fill="auto"/>
                  <w:noWrap w:val="0"/>
                  <w:vAlign w:val="center"/>
                </w:tcPr>
                <w:p w14:paraId="17C70872">
                  <w:pPr>
                    <w:adjustRightInd w:val="0"/>
                    <w:snapToGrid w:val="0"/>
                    <w:jc w:val="center"/>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 xml:space="preserve">5.50 </w:t>
                  </w:r>
                </w:p>
              </w:tc>
              <w:tc>
                <w:tcPr>
                  <w:tcW w:w="740" w:type="pct"/>
                  <w:vMerge w:val="restart"/>
                  <w:tcBorders>
                    <w:right w:val="single" w:color="auto" w:sz="4" w:space="0"/>
                  </w:tcBorders>
                  <w:shd w:val="clear" w:color="auto" w:fill="auto"/>
                  <w:noWrap w:val="0"/>
                  <w:vAlign w:val="center"/>
                </w:tcPr>
                <w:p w14:paraId="16A47282">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163.5kg/t-原料</w:t>
                  </w:r>
                </w:p>
              </w:tc>
              <w:tc>
                <w:tcPr>
                  <w:tcW w:w="852" w:type="pct"/>
                  <w:tcBorders>
                    <w:left w:val="single" w:color="auto" w:sz="4" w:space="0"/>
                    <w:right w:val="single" w:color="auto" w:sz="12" w:space="0"/>
                  </w:tcBorders>
                  <w:shd w:val="clear" w:color="auto" w:fill="auto"/>
                  <w:noWrap w:val="0"/>
                  <w:vAlign w:val="center"/>
                </w:tcPr>
                <w:p w14:paraId="2ABD9907">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0.90</w:t>
                  </w:r>
                </w:p>
              </w:tc>
              <w:tc>
                <w:tcPr>
                  <w:tcW w:w="1093" w:type="pct"/>
                  <w:tcBorders>
                    <w:top w:val="single" w:color="auto" w:sz="4" w:space="0"/>
                    <w:left w:val="single" w:color="auto" w:sz="12" w:space="0"/>
                    <w:bottom w:val="single" w:color="auto" w:sz="4" w:space="0"/>
                    <w:right w:val="single" w:color="auto" w:sz="4" w:space="0"/>
                  </w:tcBorders>
                  <w:noWrap w:val="0"/>
                  <w:vAlign w:val="center"/>
                </w:tcPr>
                <w:p w14:paraId="0A111BEA">
                  <w:pPr>
                    <w:adjustRightInd w:val="0"/>
                    <w:snapToGrid w:val="0"/>
                    <w:jc w:val="center"/>
                    <w:rPr>
                      <w:rFonts w:hint="default" w:ascii="Times New Roman" w:hAnsi="Times New Roman" w:eastAsia="宋体" w:cs="Times New Roman"/>
                      <w:color w:val="0000FF"/>
                      <w:lang w:val="en-US" w:eastAsia="zh-CN"/>
                    </w:rPr>
                  </w:pPr>
                </w:p>
              </w:tc>
              <w:tc>
                <w:tcPr>
                  <w:tcW w:w="759" w:type="pct"/>
                  <w:tcBorders>
                    <w:top w:val="single" w:color="auto" w:sz="4" w:space="0"/>
                    <w:left w:val="single" w:color="auto" w:sz="4" w:space="0"/>
                    <w:bottom w:val="single" w:color="auto" w:sz="4" w:space="0"/>
                  </w:tcBorders>
                  <w:noWrap w:val="0"/>
                  <w:vAlign w:val="center"/>
                </w:tcPr>
                <w:p w14:paraId="272EC144">
                  <w:pPr>
                    <w:adjustRightInd w:val="0"/>
                    <w:snapToGrid w:val="0"/>
                    <w:jc w:val="center"/>
                    <w:rPr>
                      <w:rFonts w:hint="eastAsia" w:ascii="Times New Roman" w:hAnsi="Times New Roman" w:eastAsia="宋体" w:cs="Times New Roman"/>
                      <w:color w:val="0000FF"/>
                      <w:lang w:val="en-US" w:eastAsia="zh-CN"/>
                    </w:rPr>
                  </w:pPr>
                </w:p>
              </w:tc>
            </w:tr>
            <w:tr w14:paraId="133ED5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262" w:type="pct"/>
                  <w:vMerge w:val="continue"/>
                  <w:noWrap w:val="0"/>
                  <w:vAlign w:val="center"/>
                </w:tcPr>
                <w:p w14:paraId="7F1D083A">
                  <w:pPr>
                    <w:adjustRightInd w:val="0"/>
                    <w:snapToGrid w:val="0"/>
                    <w:jc w:val="center"/>
                    <w:rPr>
                      <w:rFonts w:hint="default" w:ascii="Times New Roman" w:hAnsi="Times New Roman" w:eastAsia="宋体" w:cs="Times New Roman"/>
                      <w:color w:val="0000FF"/>
                      <w:lang w:val="en-US" w:eastAsia="zh-CN"/>
                    </w:rPr>
                  </w:pPr>
                </w:p>
              </w:tc>
              <w:tc>
                <w:tcPr>
                  <w:tcW w:w="731" w:type="pct"/>
                  <w:shd w:val="clear" w:color="auto" w:fill="auto"/>
                  <w:noWrap w:val="0"/>
                  <w:vAlign w:val="center"/>
                </w:tcPr>
                <w:p w14:paraId="544D2917">
                  <w:pPr>
                    <w:adjustRightInd w:val="0"/>
                    <w:snapToGrid w:val="0"/>
                    <w:jc w:val="center"/>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中间漆</w:t>
                  </w:r>
                </w:p>
              </w:tc>
              <w:tc>
                <w:tcPr>
                  <w:tcW w:w="559" w:type="pct"/>
                  <w:shd w:val="clear" w:color="auto" w:fill="auto"/>
                  <w:noWrap w:val="0"/>
                  <w:vAlign w:val="center"/>
                </w:tcPr>
                <w:p w14:paraId="4D6B62A3">
                  <w:pPr>
                    <w:adjustRightInd w:val="0"/>
                    <w:snapToGrid w:val="0"/>
                    <w:jc w:val="center"/>
                    <w:rPr>
                      <w:rFonts w:hint="eastAsia"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4.66</w:t>
                  </w:r>
                </w:p>
              </w:tc>
              <w:tc>
                <w:tcPr>
                  <w:tcW w:w="740" w:type="pct"/>
                  <w:vMerge w:val="continue"/>
                  <w:tcBorders>
                    <w:right w:val="single" w:color="auto" w:sz="4" w:space="0"/>
                  </w:tcBorders>
                  <w:shd w:val="clear" w:color="auto" w:fill="auto"/>
                  <w:noWrap w:val="0"/>
                  <w:vAlign w:val="center"/>
                </w:tcPr>
                <w:p w14:paraId="55A10D31">
                  <w:pPr>
                    <w:adjustRightInd w:val="0"/>
                    <w:snapToGrid w:val="0"/>
                    <w:jc w:val="center"/>
                    <w:rPr>
                      <w:rFonts w:hint="default" w:ascii="Times New Roman" w:hAnsi="Times New Roman" w:eastAsia="宋体" w:cs="Times New Roman"/>
                      <w:color w:val="0000FF"/>
                      <w:lang w:val="en-US" w:eastAsia="zh-CN"/>
                    </w:rPr>
                  </w:pPr>
                </w:p>
              </w:tc>
              <w:tc>
                <w:tcPr>
                  <w:tcW w:w="852" w:type="pct"/>
                  <w:tcBorders>
                    <w:left w:val="single" w:color="auto" w:sz="4" w:space="0"/>
                    <w:right w:val="single" w:color="auto" w:sz="12" w:space="0"/>
                  </w:tcBorders>
                  <w:shd w:val="clear" w:color="auto" w:fill="auto"/>
                  <w:noWrap w:val="0"/>
                  <w:vAlign w:val="center"/>
                </w:tcPr>
                <w:p w14:paraId="2A6D0B44">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0.76</w:t>
                  </w:r>
                </w:p>
              </w:tc>
              <w:tc>
                <w:tcPr>
                  <w:tcW w:w="1093" w:type="pct"/>
                  <w:tcBorders>
                    <w:top w:val="single" w:color="auto" w:sz="4" w:space="0"/>
                    <w:left w:val="single" w:color="auto" w:sz="12" w:space="0"/>
                    <w:bottom w:val="single" w:color="auto" w:sz="4" w:space="0"/>
                    <w:right w:val="single" w:color="auto" w:sz="4" w:space="0"/>
                  </w:tcBorders>
                  <w:noWrap w:val="0"/>
                  <w:vAlign w:val="center"/>
                </w:tcPr>
                <w:p w14:paraId="4150855C">
                  <w:pPr>
                    <w:adjustRightInd w:val="0"/>
                    <w:snapToGrid w:val="0"/>
                    <w:jc w:val="center"/>
                    <w:rPr>
                      <w:rFonts w:hint="default" w:ascii="Times New Roman" w:hAnsi="Times New Roman" w:eastAsia="宋体" w:cs="Times New Roman"/>
                      <w:color w:val="0000FF"/>
                      <w:lang w:val="en-US" w:eastAsia="zh-CN"/>
                    </w:rPr>
                  </w:pPr>
                </w:p>
              </w:tc>
              <w:tc>
                <w:tcPr>
                  <w:tcW w:w="759" w:type="pct"/>
                  <w:tcBorders>
                    <w:top w:val="single" w:color="auto" w:sz="4" w:space="0"/>
                    <w:left w:val="single" w:color="auto" w:sz="4" w:space="0"/>
                    <w:bottom w:val="single" w:color="auto" w:sz="4" w:space="0"/>
                  </w:tcBorders>
                  <w:noWrap w:val="0"/>
                  <w:vAlign w:val="center"/>
                </w:tcPr>
                <w:p w14:paraId="041BAA74">
                  <w:pPr>
                    <w:adjustRightInd w:val="0"/>
                    <w:snapToGrid w:val="0"/>
                    <w:jc w:val="center"/>
                    <w:rPr>
                      <w:rFonts w:hint="eastAsia" w:ascii="Times New Roman" w:hAnsi="Times New Roman" w:eastAsia="宋体" w:cs="Times New Roman"/>
                      <w:color w:val="0000FF"/>
                      <w:lang w:val="en-US" w:eastAsia="zh-CN"/>
                    </w:rPr>
                  </w:pPr>
                </w:p>
              </w:tc>
            </w:tr>
            <w:tr w14:paraId="5CC2BE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262" w:type="pct"/>
                  <w:vMerge w:val="continue"/>
                  <w:noWrap w:val="0"/>
                  <w:vAlign w:val="center"/>
                </w:tcPr>
                <w:p w14:paraId="0F115CE1">
                  <w:pPr>
                    <w:adjustRightInd w:val="0"/>
                    <w:snapToGrid w:val="0"/>
                    <w:jc w:val="center"/>
                    <w:rPr>
                      <w:rFonts w:hint="default" w:ascii="Times New Roman" w:hAnsi="Times New Roman" w:eastAsia="宋体" w:cs="Times New Roman"/>
                      <w:color w:val="0000FF"/>
                      <w:lang w:val="en-US" w:eastAsia="zh-CN"/>
                    </w:rPr>
                  </w:pPr>
                </w:p>
              </w:tc>
              <w:tc>
                <w:tcPr>
                  <w:tcW w:w="731" w:type="pct"/>
                  <w:shd w:val="clear" w:color="auto" w:fill="auto"/>
                  <w:noWrap w:val="0"/>
                  <w:vAlign w:val="center"/>
                </w:tcPr>
                <w:p w14:paraId="0DCC7B82">
                  <w:pPr>
                    <w:adjustRightInd w:val="0"/>
                    <w:snapToGrid w:val="0"/>
                    <w:jc w:val="center"/>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面漆</w:t>
                  </w:r>
                </w:p>
              </w:tc>
              <w:tc>
                <w:tcPr>
                  <w:tcW w:w="559" w:type="pct"/>
                  <w:shd w:val="clear" w:color="auto" w:fill="auto"/>
                  <w:noWrap w:val="0"/>
                  <w:vAlign w:val="center"/>
                </w:tcPr>
                <w:p w14:paraId="4CF5B163">
                  <w:pPr>
                    <w:adjustRightInd w:val="0"/>
                    <w:snapToGrid w:val="0"/>
                    <w:jc w:val="center"/>
                    <w:rPr>
                      <w:rFonts w:hint="eastAsia"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4.31</w:t>
                  </w:r>
                </w:p>
              </w:tc>
              <w:tc>
                <w:tcPr>
                  <w:tcW w:w="740" w:type="pct"/>
                  <w:vMerge w:val="continue"/>
                  <w:tcBorders>
                    <w:right w:val="single" w:color="auto" w:sz="4" w:space="0"/>
                  </w:tcBorders>
                  <w:shd w:val="clear" w:color="auto" w:fill="auto"/>
                  <w:noWrap w:val="0"/>
                  <w:vAlign w:val="center"/>
                </w:tcPr>
                <w:p w14:paraId="32DB2B95">
                  <w:pPr>
                    <w:adjustRightInd w:val="0"/>
                    <w:snapToGrid w:val="0"/>
                    <w:jc w:val="center"/>
                    <w:rPr>
                      <w:rFonts w:hint="default" w:ascii="Times New Roman" w:hAnsi="Times New Roman" w:eastAsia="宋体" w:cs="Times New Roman"/>
                      <w:color w:val="0000FF"/>
                      <w:lang w:val="en-US" w:eastAsia="zh-CN"/>
                    </w:rPr>
                  </w:pPr>
                </w:p>
              </w:tc>
              <w:tc>
                <w:tcPr>
                  <w:tcW w:w="852" w:type="pct"/>
                  <w:tcBorders>
                    <w:left w:val="single" w:color="auto" w:sz="4" w:space="0"/>
                    <w:right w:val="single" w:color="auto" w:sz="12" w:space="0"/>
                  </w:tcBorders>
                  <w:shd w:val="clear" w:color="auto" w:fill="auto"/>
                  <w:noWrap w:val="0"/>
                  <w:vAlign w:val="center"/>
                </w:tcPr>
                <w:p w14:paraId="40908480">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0.71</w:t>
                  </w:r>
                </w:p>
              </w:tc>
              <w:tc>
                <w:tcPr>
                  <w:tcW w:w="1093" w:type="pct"/>
                  <w:tcBorders>
                    <w:top w:val="single" w:color="auto" w:sz="4" w:space="0"/>
                    <w:left w:val="single" w:color="auto" w:sz="12" w:space="0"/>
                    <w:bottom w:val="single" w:color="auto" w:sz="4" w:space="0"/>
                    <w:right w:val="single" w:color="auto" w:sz="4" w:space="0"/>
                  </w:tcBorders>
                  <w:noWrap w:val="0"/>
                  <w:vAlign w:val="center"/>
                </w:tcPr>
                <w:p w14:paraId="7FDC8280">
                  <w:pPr>
                    <w:adjustRightInd w:val="0"/>
                    <w:snapToGrid w:val="0"/>
                    <w:jc w:val="center"/>
                    <w:rPr>
                      <w:rFonts w:hint="default" w:ascii="Times New Roman" w:hAnsi="Times New Roman" w:eastAsia="宋体" w:cs="Times New Roman"/>
                      <w:color w:val="0000FF"/>
                      <w:lang w:val="en-US" w:eastAsia="zh-CN"/>
                    </w:rPr>
                  </w:pPr>
                </w:p>
              </w:tc>
              <w:tc>
                <w:tcPr>
                  <w:tcW w:w="759" w:type="pct"/>
                  <w:tcBorders>
                    <w:top w:val="single" w:color="auto" w:sz="4" w:space="0"/>
                    <w:left w:val="single" w:color="auto" w:sz="4" w:space="0"/>
                    <w:bottom w:val="single" w:color="auto" w:sz="4" w:space="0"/>
                  </w:tcBorders>
                  <w:noWrap w:val="0"/>
                  <w:vAlign w:val="center"/>
                </w:tcPr>
                <w:p w14:paraId="3C9A9BFC">
                  <w:pPr>
                    <w:adjustRightInd w:val="0"/>
                    <w:snapToGrid w:val="0"/>
                    <w:jc w:val="center"/>
                    <w:rPr>
                      <w:rFonts w:hint="eastAsia" w:ascii="Times New Roman" w:hAnsi="Times New Roman" w:eastAsia="宋体" w:cs="Times New Roman"/>
                      <w:color w:val="0000FF"/>
                      <w:lang w:val="en-US" w:eastAsia="zh-CN"/>
                    </w:rPr>
                  </w:pPr>
                </w:p>
              </w:tc>
            </w:tr>
            <w:tr w14:paraId="6A5428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54" w:type="pct"/>
                  <w:gridSpan w:val="3"/>
                  <w:noWrap w:val="0"/>
                  <w:vAlign w:val="center"/>
                </w:tcPr>
                <w:p w14:paraId="71C1BC0B">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合计</w:t>
                  </w:r>
                </w:p>
              </w:tc>
              <w:tc>
                <w:tcPr>
                  <w:tcW w:w="740" w:type="pct"/>
                  <w:tcBorders>
                    <w:right w:val="single" w:color="auto" w:sz="4" w:space="0"/>
                  </w:tcBorders>
                  <w:noWrap w:val="0"/>
                  <w:vAlign w:val="center"/>
                </w:tcPr>
                <w:p w14:paraId="79B51677">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w:t>
                  </w:r>
                </w:p>
              </w:tc>
              <w:tc>
                <w:tcPr>
                  <w:tcW w:w="852" w:type="pct"/>
                  <w:tcBorders>
                    <w:left w:val="single" w:color="auto" w:sz="4" w:space="0"/>
                    <w:right w:val="single" w:color="auto" w:sz="12" w:space="0"/>
                  </w:tcBorders>
                  <w:noWrap w:val="0"/>
                  <w:vAlign w:val="center"/>
                </w:tcPr>
                <w:p w14:paraId="3B6D83AA">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8.01</w:t>
                  </w:r>
                </w:p>
              </w:tc>
              <w:tc>
                <w:tcPr>
                  <w:tcW w:w="1093" w:type="pct"/>
                  <w:tcBorders>
                    <w:top w:val="single" w:color="auto" w:sz="4" w:space="0"/>
                    <w:left w:val="single" w:color="auto" w:sz="12" w:space="0"/>
                    <w:right w:val="single" w:color="auto" w:sz="4" w:space="0"/>
                  </w:tcBorders>
                  <w:noWrap w:val="0"/>
                  <w:vAlign w:val="center"/>
                </w:tcPr>
                <w:p w14:paraId="321C5A1D">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合计</w:t>
                  </w:r>
                </w:p>
              </w:tc>
              <w:tc>
                <w:tcPr>
                  <w:tcW w:w="759" w:type="pct"/>
                  <w:tcBorders>
                    <w:top w:val="single" w:color="auto" w:sz="4" w:space="0"/>
                    <w:left w:val="single" w:color="auto" w:sz="4" w:space="0"/>
                  </w:tcBorders>
                  <w:noWrap w:val="0"/>
                  <w:vAlign w:val="center"/>
                </w:tcPr>
                <w:p w14:paraId="625F7DE9">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8.01</w:t>
                  </w:r>
                </w:p>
              </w:tc>
            </w:tr>
          </w:tbl>
          <w:p w14:paraId="1E26FDAA">
            <w:pPr>
              <w:keepNext w:val="0"/>
              <w:keepLines w:val="0"/>
              <w:pageBreakBefore w:val="0"/>
              <w:widowControl w:val="0"/>
              <w:kinsoku/>
              <w:wordWrap/>
              <w:overflowPunct/>
              <w:topLinePunct w:val="0"/>
              <w:autoSpaceDE/>
              <w:autoSpaceDN/>
              <w:bidi w:val="0"/>
              <w:adjustRightInd/>
              <w:snapToGrid/>
              <w:spacing w:before="157" w:beforeLines="50" w:line="300" w:lineRule="auto"/>
              <w:jc w:val="center"/>
              <w:textAlignment w:val="auto"/>
              <w:rPr>
                <w:rFonts w:hint="default" w:ascii="Times New Roman" w:hAnsi="Times New Roman" w:eastAsia="宋体" w:cs="Times New Roman"/>
                <w:b/>
                <w:bCs/>
                <w:color w:val="0000FF"/>
                <w:lang w:val="en-US" w:eastAsia="zh-CN"/>
              </w:rPr>
            </w:pPr>
            <w:r>
              <w:rPr>
                <w:rFonts w:hint="default" w:ascii="Times New Roman" w:hAnsi="Times New Roman" w:eastAsia="宋体" w:cs="Times New Roman"/>
                <w:b/>
                <w:bCs/>
                <w:color w:val="0000FF"/>
                <w:lang w:val="en-US" w:eastAsia="zh-CN"/>
              </w:rPr>
              <w:t>表</w:t>
            </w:r>
            <w:r>
              <w:rPr>
                <w:rFonts w:hint="eastAsia" w:ascii="Times New Roman" w:hAnsi="Times New Roman" w:eastAsia="宋体" w:cs="Times New Roman"/>
                <w:b/>
                <w:bCs/>
                <w:color w:val="0000FF"/>
                <w:lang w:val="en-US" w:eastAsia="zh-CN"/>
              </w:rPr>
              <w:t>2-8 甲苯</w:t>
            </w:r>
            <w:r>
              <w:rPr>
                <w:rFonts w:hint="default" w:ascii="Times New Roman" w:hAnsi="Times New Roman" w:eastAsia="宋体" w:cs="Times New Roman"/>
                <w:b/>
                <w:bCs/>
                <w:color w:val="0000FF"/>
                <w:lang w:val="en-US" w:eastAsia="zh-CN"/>
              </w:rPr>
              <w:t>平衡一览表</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4"/>
              <w:gridCol w:w="1180"/>
              <w:gridCol w:w="903"/>
              <w:gridCol w:w="1194"/>
              <w:gridCol w:w="1375"/>
              <w:gridCol w:w="1764"/>
              <w:gridCol w:w="1225"/>
            </w:tblGrid>
            <w:tr w14:paraId="533341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146" w:type="pct"/>
                  <w:gridSpan w:val="5"/>
                  <w:tcBorders>
                    <w:bottom w:val="single" w:color="auto" w:sz="8" w:space="0"/>
                    <w:right w:val="single" w:color="auto" w:sz="12" w:space="0"/>
                  </w:tcBorders>
                  <w:noWrap w:val="0"/>
                  <w:vAlign w:val="center"/>
                </w:tcPr>
                <w:p w14:paraId="495E9E7D">
                  <w:pPr>
                    <w:adjustRightInd w:val="0"/>
                    <w:snapToGrid w:val="0"/>
                    <w:jc w:val="center"/>
                    <w:rPr>
                      <w:rFonts w:hint="default" w:ascii="Times New Roman" w:hAnsi="Times New Roman" w:eastAsia="宋体" w:cs="Times New Roman"/>
                      <w:b/>
                      <w:bCs/>
                      <w:color w:val="0000FF"/>
                      <w:lang w:val="en-US" w:eastAsia="zh-CN"/>
                    </w:rPr>
                  </w:pPr>
                  <w:r>
                    <w:rPr>
                      <w:rFonts w:hint="eastAsia" w:ascii="Times New Roman" w:hAnsi="Times New Roman" w:eastAsia="宋体" w:cs="Times New Roman"/>
                      <w:b/>
                      <w:bCs/>
                      <w:color w:val="0000FF"/>
                      <w:lang w:val="en-US" w:eastAsia="zh-CN"/>
                    </w:rPr>
                    <w:t>投入（t/a）</w:t>
                  </w:r>
                </w:p>
              </w:tc>
              <w:tc>
                <w:tcPr>
                  <w:tcW w:w="1853" w:type="pct"/>
                  <w:gridSpan w:val="2"/>
                  <w:tcBorders>
                    <w:left w:val="single" w:color="auto" w:sz="12" w:space="0"/>
                    <w:bottom w:val="single" w:color="auto" w:sz="8" w:space="0"/>
                  </w:tcBorders>
                  <w:noWrap w:val="0"/>
                  <w:vAlign w:val="center"/>
                </w:tcPr>
                <w:p w14:paraId="2FA80358">
                  <w:pPr>
                    <w:adjustRightInd w:val="0"/>
                    <w:snapToGrid w:val="0"/>
                    <w:jc w:val="center"/>
                    <w:rPr>
                      <w:rFonts w:hint="eastAsia" w:ascii="Times New Roman" w:hAnsi="Times New Roman" w:eastAsia="宋体" w:cs="Times New Roman"/>
                      <w:b/>
                      <w:bCs/>
                      <w:color w:val="0000FF"/>
                      <w:lang w:val="en-US" w:eastAsia="zh-CN"/>
                    </w:rPr>
                  </w:pPr>
                  <w:r>
                    <w:rPr>
                      <w:rFonts w:hint="eastAsia" w:ascii="Times New Roman" w:hAnsi="Times New Roman" w:eastAsia="宋体" w:cs="Times New Roman"/>
                      <w:b/>
                      <w:bCs/>
                      <w:color w:val="0000FF"/>
                      <w:lang w:val="en-US" w:eastAsia="zh-CN"/>
                    </w:rPr>
                    <w:t>产出（t/a）</w:t>
                  </w:r>
                </w:p>
              </w:tc>
            </w:tr>
            <w:tr w14:paraId="3CFA4A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4" w:type="pct"/>
                  <w:gridSpan w:val="2"/>
                  <w:tcBorders>
                    <w:top w:val="single" w:color="auto" w:sz="8" w:space="0"/>
                    <w:bottom w:val="single" w:color="auto" w:sz="12" w:space="0"/>
                    <w:right w:val="single" w:color="auto" w:sz="4" w:space="0"/>
                  </w:tcBorders>
                  <w:noWrap w:val="0"/>
                  <w:vAlign w:val="center"/>
                </w:tcPr>
                <w:p w14:paraId="54417854">
                  <w:pPr>
                    <w:adjustRightInd w:val="0"/>
                    <w:snapToGrid w:val="0"/>
                    <w:jc w:val="center"/>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名称</w:t>
                  </w:r>
                </w:p>
              </w:tc>
              <w:tc>
                <w:tcPr>
                  <w:tcW w:w="559" w:type="pct"/>
                  <w:tcBorders>
                    <w:top w:val="single" w:color="auto" w:sz="8" w:space="0"/>
                    <w:left w:val="single" w:color="auto" w:sz="4" w:space="0"/>
                    <w:bottom w:val="single" w:color="auto" w:sz="12" w:space="0"/>
                    <w:right w:val="single" w:color="auto" w:sz="4" w:space="0"/>
                  </w:tcBorders>
                  <w:shd w:val="clear" w:color="auto" w:fill="auto"/>
                  <w:noWrap w:val="0"/>
                  <w:vAlign w:val="center"/>
                </w:tcPr>
                <w:p w14:paraId="1F99C173">
                  <w:pPr>
                    <w:adjustRightInd w:val="0"/>
                    <w:snapToGrid w:val="0"/>
                    <w:jc w:val="center"/>
                    <w:rPr>
                      <w:rFonts w:hint="eastAsia"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用量</w:t>
                  </w:r>
                </w:p>
              </w:tc>
              <w:tc>
                <w:tcPr>
                  <w:tcW w:w="740" w:type="pct"/>
                  <w:tcBorders>
                    <w:top w:val="single" w:color="auto" w:sz="8" w:space="0"/>
                    <w:left w:val="single" w:color="auto" w:sz="4" w:space="0"/>
                    <w:bottom w:val="single" w:color="auto" w:sz="12" w:space="0"/>
                    <w:right w:val="single" w:color="auto" w:sz="4" w:space="0"/>
                  </w:tcBorders>
                  <w:shd w:val="clear" w:color="auto" w:fill="auto"/>
                  <w:noWrap w:val="0"/>
                  <w:vAlign w:val="center"/>
                </w:tcPr>
                <w:p w14:paraId="22B57183">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挥发比例</w:t>
                  </w:r>
                </w:p>
              </w:tc>
              <w:tc>
                <w:tcPr>
                  <w:tcW w:w="852" w:type="pct"/>
                  <w:tcBorders>
                    <w:top w:val="single" w:color="auto" w:sz="8" w:space="0"/>
                    <w:left w:val="single" w:color="auto" w:sz="4" w:space="0"/>
                    <w:bottom w:val="single" w:color="auto" w:sz="12" w:space="0"/>
                    <w:right w:val="single" w:color="auto" w:sz="12" w:space="0"/>
                  </w:tcBorders>
                  <w:shd w:val="clear" w:color="auto" w:fill="auto"/>
                  <w:noWrap w:val="0"/>
                  <w:vAlign w:val="center"/>
                </w:tcPr>
                <w:p w14:paraId="1978EFD4">
                  <w:pPr>
                    <w:adjustRightInd w:val="0"/>
                    <w:snapToGrid w:val="0"/>
                    <w:jc w:val="center"/>
                    <w:rPr>
                      <w:rFonts w:hint="default" w:ascii="Times New Roman" w:hAnsi="Times New Roman" w:eastAsia="宋体" w:cs="Times New Roman"/>
                      <w:color w:val="0000FF"/>
                      <w:lang w:val="en-US" w:eastAsia="zh-CN"/>
                    </w:rPr>
                  </w:pPr>
                  <w:r>
                    <w:rPr>
                      <w:rFonts w:hint="eastAsia" w:cs="Times New Roman"/>
                      <w:color w:val="0000FF"/>
                      <w:lang w:val="en-US" w:eastAsia="zh-CN"/>
                    </w:rPr>
                    <w:t>甲苯</w:t>
                  </w:r>
                  <w:r>
                    <w:rPr>
                      <w:rFonts w:hint="default" w:ascii="Times New Roman" w:hAnsi="Times New Roman" w:eastAsia="宋体" w:cs="Times New Roman"/>
                      <w:color w:val="0000FF"/>
                      <w:lang w:val="en-US" w:eastAsia="zh-CN"/>
                    </w:rPr>
                    <w:t>量</w:t>
                  </w:r>
                </w:p>
              </w:tc>
              <w:tc>
                <w:tcPr>
                  <w:tcW w:w="1093" w:type="pct"/>
                  <w:tcBorders>
                    <w:top w:val="single" w:color="auto" w:sz="8" w:space="0"/>
                    <w:left w:val="single" w:color="auto" w:sz="12" w:space="0"/>
                    <w:bottom w:val="single" w:color="auto" w:sz="12" w:space="0"/>
                    <w:right w:val="single" w:color="auto" w:sz="4" w:space="0"/>
                  </w:tcBorders>
                  <w:shd w:val="clear" w:color="auto" w:fill="auto"/>
                  <w:noWrap w:val="0"/>
                  <w:vAlign w:val="center"/>
                </w:tcPr>
                <w:p w14:paraId="0EB4EB08">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类别</w:t>
                  </w:r>
                </w:p>
              </w:tc>
              <w:tc>
                <w:tcPr>
                  <w:tcW w:w="759" w:type="pct"/>
                  <w:tcBorders>
                    <w:top w:val="single" w:color="auto" w:sz="8" w:space="0"/>
                    <w:left w:val="single" w:color="auto" w:sz="4" w:space="0"/>
                    <w:bottom w:val="single" w:color="auto" w:sz="12" w:space="0"/>
                  </w:tcBorders>
                  <w:shd w:val="clear" w:color="auto" w:fill="auto"/>
                  <w:noWrap w:val="0"/>
                  <w:vAlign w:val="center"/>
                </w:tcPr>
                <w:p w14:paraId="3B050113">
                  <w:pPr>
                    <w:adjustRightInd w:val="0"/>
                    <w:snapToGrid w:val="0"/>
                    <w:jc w:val="center"/>
                    <w:rPr>
                      <w:rFonts w:hint="default" w:ascii="Times New Roman" w:hAnsi="Times New Roman" w:eastAsia="宋体" w:cs="Times New Roman"/>
                      <w:color w:val="0000FF"/>
                      <w:lang w:val="en-US" w:eastAsia="zh-CN"/>
                    </w:rPr>
                  </w:pPr>
                  <w:r>
                    <w:rPr>
                      <w:rFonts w:hint="eastAsia" w:cs="Times New Roman"/>
                      <w:color w:val="0000FF"/>
                      <w:lang w:val="en-US" w:eastAsia="zh-CN"/>
                    </w:rPr>
                    <w:t>甲苯</w:t>
                  </w:r>
                  <w:r>
                    <w:rPr>
                      <w:rFonts w:hint="default" w:ascii="Times New Roman" w:hAnsi="Times New Roman" w:eastAsia="宋体" w:cs="Times New Roman"/>
                      <w:color w:val="0000FF"/>
                      <w:lang w:val="en-US" w:eastAsia="zh-CN"/>
                    </w:rPr>
                    <w:t>量</w:t>
                  </w:r>
                </w:p>
              </w:tc>
            </w:tr>
            <w:tr w14:paraId="6A45C3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262" w:type="pct"/>
                  <w:vMerge w:val="restart"/>
                  <w:tcBorders>
                    <w:top w:val="single" w:color="auto" w:sz="12" w:space="0"/>
                  </w:tcBorders>
                  <w:noWrap w:val="0"/>
                  <w:vAlign w:val="center"/>
                </w:tcPr>
                <w:p w14:paraId="3E67E360">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油性漆</w:t>
                  </w:r>
                </w:p>
              </w:tc>
              <w:tc>
                <w:tcPr>
                  <w:tcW w:w="731" w:type="pct"/>
                  <w:tcBorders>
                    <w:top w:val="single" w:color="auto" w:sz="12" w:space="0"/>
                  </w:tcBorders>
                  <w:shd w:val="clear" w:color="auto" w:fill="auto"/>
                  <w:noWrap w:val="0"/>
                  <w:vAlign w:val="center"/>
                </w:tcPr>
                <w:p w14:paraId="7B4FAE15">
                  <w:pPr>
                    <w:adjustRightInd w:val="0"/>
                    <w:snapToGrid w:val="0"/>
                    <w:jc w:val="center"/>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底漆</w:t>
                  </w:r>
                </w:p>
                <w:p w14:paraId="4FF5E399">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（甲、</w:t>
                  </w:r>
                  <w:r>
                    <w:rPr>
                      <w:rFonts w:hint="default" w:ascii="Times New Roman" w:hAnsi="Times New Roman" w:eastAsia="宋体" w:cs="Times New Roman"/>
                      <w:color w:val="0000FF"/>
                      <w:lang w:val="en-US" w:eastAsia="zh-CN"/>
                    </w:rPr>
                    <w:t>乙、稀释剂）</w:t>
                  </w:r>
                </w:p>
              </w:tc>
              <w:tc>
                <w:tcPr>
                  <w:tcW w:w="559" w:type="pct"/>
                  <w:tcBorders>
                    <w:top w:val="single" w:color="auto" w:sz="12" w:space="0"/>
                  </w:tcBorders>
                  <w:shd w:val="clear" w:color="auto" w:fill="auto"/>
                  <w:noWrap w:val="0"/>
                  <w:vAlign w:val="center"/>
                </w:tcPr>
                <w:p w14:paraId="3B6E910B">
                  <w:pPr>
                    <w:adjustRightInd w:val="0"/>
                    <w:snapToGrid w:val="0"/>
                    <w:jc w:val="center"/>
                    <w:rPr>
                      <w:rFonts w:hint="eastAsia"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3.97</w:t>
                  </w:r>
                </w:p>
              </w:tc>
              <w:tc>
                <w:tcPr>
                  <w:tcW w:w="740" w:type="pct"/>
                  <w:tcBorders>
                    <w:top w:val="single" w:color="auto" w:sz="12" w:space="0"/>
                    <w:right w:val="single" w:color="auto" w:sz="4" w:space="0"/>
                  </w:tcBorders>
                  <w:shd w:val="clear" w:color="auto" w:fill="auto"/>
                  <w:noWrap w:val="0"/>
                  <w:vAlign w:val="center"/>
                </w:tcPr>
                <w:p w14:paraId="1F3C4FBC">
                  <w:pPr>
                    <w:adjustRightInd w:val="0"/>
                    <w:snapToGrid w:val="0"/>
                    <w:jc w:val="center"/>
                    <w:rPr>
                      <w:rFonts w:hint="default" w:ascii="Times New Roman" w:hAnsi="Times New Roman" w:eastAsia="宋体" w:cs="Times New Roman"/>
                      <w:color w:val="0000FF"/>
                      <w:lang w:val="en-US" w:eastAsia="zh-CN"/>
                    </w:rPr>
                  </w:pPr>
                  <w:r>
                    <w:rPr>
                      <w:rFonts w:hint="eastAsia" w:cs="Times New Roman"/>
                      <w:color w:val="0000FF"/>
                      <w:lang w:val="en-US" w:eastAsia="zh-CN"/>
                    </w:rPr>
                    <w:t>8.17</w:t>
                  </w:r>
                  <w:r>
                    <w:rPr>
                      <w:rFonts w:hint="eastAsia" w:ascii="Times New Roman" w:hAnsi="Times New Roman" w:eastAsia="宋体" w:cs="Times New Roman"/>
                      <w:color w:val="0000FF"/>
                      <w:lang w:val="en-US" w:eastAsia="zh-CN"/>
                    </w:rPr>
                    <w:t>kg/t-原料</w:t>
                  </w:r>
                </w:p>
              </w:tc>
              <w:tc>
                <w:tcPr>
                  <w:tcW w:w="852" w:type="pct"/>
                  <w:tcBorders>
                    <w:top w:val="single" w:color="auto" w:sz="12" w:space="0"/>
                    <w:left w:val="single" w:color="auto" w:sz="4" w:space="0"/>
                    <w:right w:val="single" w:color="auto" w:sz="12" w:space="0"/>
                  </w:tcBorders>
                  <w:shd w:val="clear" w:color="auto" w:fill="auto"/>
                  <w:noWrap w:val="0"/>
                  <w:vAlign w:val="center"/>
                </w:tcPr>
                <w:p w14:paraId="210704C7">
                  <w:pPr>
                    <w:adjustRightInd w:val="0"/>
                    <w:snapToGrid w:val="0"/>
                    <w:jc w:val="center"/>
                    <w:rPr>
                      <w:rFonts w:hint="default" w:ascii="Times New Roman" w:hAnsi="Times New Roman" w:eastAsia="宋体" w:cs="Times New Roman"/>
                      <w:color w:val="0000FF"/>
                      <w:lang w:val="en-US" w:eastAsia="zh-CN"/>
                    </w:rPr>
                  </w:pPr>
                  <w:r>
                    <w:rPr>
                      <w:rFonts w:hint="eastAsia" w:cs="Times New Roman"/>
                      <w:color w:val="0000FF"/>
                      <w:lang w:val="en-US" w:eastAsia="zh-CN"/>
                    </w:rPr>
                    <w:t>0.03</w:t>
                  </w:r>
                </w:p>
              </w:tc>
              <w:tc>
                <w:tcPr>
                  <w:tcW w:w="1093" w:type="pct"/>
                  <w:tcBorders>
                    <w:top w:val="single" w:color="auto" w:sz="12" w:space="0"/>
                    <w:left w:val="single" w:color="auto" w:sz="12" w:space="0"/>
                    <w:bottom w:val="single" w:color="auto" w:sz="4" w:space="0"/>
                    <w:right w:val="single" w:color="auto" w:sz="4" w:space="0"/>
                  </w:tcBorders>
                  <w:shd w:val="clear" w:color="auto" w:fill="auto"/>
                  <w:noWrap w:val="0"/>
                  <w:vAlign w:val="center"/>
                </w:tcPr>
                <w:p w14:paraId="006C743D">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有组织排放</w:t>
                  </w:r>
                </w:p>
              </w:tc>
              <w:tc>
                <w:tcPr>
                  <w:tcW w:w="759" w:type="pct"/>
                  <w:tcBorders>
                    <w:top w:val="single" w:color="auto" w:sz="12" w:space="0"/>
                    <w:left w:val="single" w:color="auto" w:sz="4" w:space="0"/>
                    <w:bottom w:val="single" w:color="auto" w:sz="4" w:space="0"/>
                  </w:tcBorders>
                  <w:noWrap w:val="0"/>
                  <w:vAlign w:val="center"/>
                </w:tcPr>
                <w:p w14:paraId="77BCC1B1">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0.0</w:t>
                  </w:r>
                  <w:r>
                    <w:rPr>
                      <w:rFonts w:hint="eastAsia" w:cs="Times New Roman"/>
                      <w:color w:val="0000FF"/>
                      <w:lang w:val="en-US" w:eastAsia="zh-CN"/>
                    </w:rPr>
                    <w:t>08</w:t>
                  </w:r>
                </w:p>
              </w:tc>
            </w:tr>
            <w:tr w14:paraId="2B1530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262" w:type="pct"/>
                  <w:vMerge w:val="continue"/>
                  <w:noWrap w:val="0"/>
                  <w:vAlign w:val="center"/>
                </w:tcPr>
                <w:p w14:paraId="15607806">
                  <w:pPr>
                    <w:adjustRightInd w:val="0"/>
                    <w:snapToGrid w:val="0"/>
                    <w:jc w:val="center"/>
                    <w:rPr>
                      <w:rFonts w:hint="eastAsia" w:ascii="Times New Roman" w:hAnsi="Times New Roman" w:eastAsia="宋体" w:cs="Times New Roman"/>
                      <w:color w:val="0000FF"/>
                      <w:lang w:val="en-US" w:eastAsia="zh-CN"/>
                    </w:rPr>
                  </w:pPr>
                </w:p>
              </w:tc>
              <w:tc>
                <w:tcPr>
                  <w:tcW w:w="731" w:type="pct"/>
                  <w:shd w:val="clear" w:color="auto" w:fill="auto"/>
                  <w:noWrap w:val="0"/>
                  <w:vAlign w:val="center"/>
                </w:tcPr>
                <w:p w14:paraId="75E3D18D">
                  <w:pPr>
                    <w:adjustRightInd w:val="0"/>
                    <w:snapToGrid w:val="0"/>
                    <w:jc w:val="center"/>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中间漆</w:t>
                  </w:r>
                </w:p>
                <w:p w14:paraId="21388653">
                  <w:pPr>
                    <w:adjustRightInd w:val="0"/>
                    <w:snapToGrid w:val="0"/>
                    <w:jc w:val="center"/>
                    <w:rPr>
                      <w:rFonts w:hint="eastAsia"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（甲、</w:t>
                  </w:r>
                  <w:r>
                    <w:rPr>
                      <w:rFonts w:hint="default" w:ascii="Times New Roman" w:hAnsi="Times New Roman" w:eastAsia="宋体" w:cs="Times New Roman"/>
                      <w:color w:val="0000FF"/>
                      <w:lang w:val="en-US" w:eastAsia="zh-CN"/>
                    </w:rPr>
                    <w:t>乙、稀释剂）</w:t>
                  </w:r>
                </w:p>
              </w:tc>
              <w:tc>
                <w:tcPr>
                  <w:tcW w:w="559" w:type="pct"/>
                  <w:shd w:val="clear" w:color="auto" w:fill="auto"/>
                  <w:noWrap w:val="0"/>
                  <w:vAlign w:val="center"/>
                </w:tcPr>
                <w:p w14:paraId="46F842F3">
                  <w:pPr>
                    <w:adjustRightInd w:val="0"/>
                    <w:snapToGrid w:val="0"/>
                    <w:jc w:val="center"/>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2.05</w:t>
                  </w:r>
                </w:p>
              </w:tc>
              <w:tc>
                <w:tcPr>
                  <w:tcW w:w="740" w:type="pct"/>
                  <w:tcBorders>
                    <w:right w:val="single" w:color="auto" w:sz="4" w:space="0"/>
                  </w:tcBorders>
                  <w:shd w:val="clear" w:color="auto" w:fill="auto"/>
                  <w:noWrap w:val="0"/>
                  <w:vAlign w:val="center"/>
                </w:tcPr>
                <w:p w14:paraId="1F0967E0">
                  <w:pPr>
                    <w:adjustRightInd w:val="0"/>
                    <w:snapToGrid w:val="0"/>
                    <w:jc w:val="center"/>
                    <w:rPr>
                      <w:rFonts w:hint="default" w:ascii="Times New Roman" w:hAnsi="Times New Roman" w:eastAsia="宋体" w:cs="Times New Roman"/>
                      <w:color w:val="0000FF"/>
                      <w:lang w:val="en-US" w:eastAsia="zh-CN"/>
                    </w:rPr>
                  </w:pPr>
                  <w:r>
                    <w:rPr>
                      <w:rFonts w:hint="eastAsia" w:cs="Times New Roman"/>
                      <w:color w:val="0000FF"/>
                      <w:lang w:val="en-US" w:eastAsia="zh-CN"/>
                    </w:rPr>
                    <w:t>11.27</w:t>
                  </w:r>
                  <w:r>
                    <w:rPr>
                      <w:rFonts w:hint="eastAsia" w:ascii="Times New Roman" w:hAnsi="Times New Roman" w:eastAsia="宋体" w:cs="Times New Roman"/>
                      <w:color w:val="0000FF"/>
                      <w:lang w:val="en-US" w:eastAsia="zh-CN"/>
                    </w:rPr>
                    <w:t>kg/t-原料</w:t>
                  </w:r>
                </w:p>
              </w:tc>
              <w:tc>
                <w:tcPr>
                  <w:tcW w:w="852" w:type="pct"/>
                  <w:tcBorders>
                    <w:left w:val="single" w:color="auto" w:sz="4" w:space="0"/>
                    <w:right w:val="single" w:color="auto" w:sz="12" w:space="0"/>
                  </w:tcBorders>
                  <w:shd w:val="clear" w:color="auto" w:fill="auto"/>
                  <w:noWrap w:val="0"/>
                  <w:vAlign w:val="center"/>
                </w:tcPr>
                <w:p w14:paraId="4EFE71C9">
                  <w:pPr>
                    <w:adjustRightInd w:val="0"/>
                    <w:snapToGrid w:val="0"/>
                    <w:jc w:val="center"/>
                    <w:rPr>
                      <w:rFonts w:hint="default" w:ascii="Times New Roman" w:hAnsi="Times New Roman" w:eastAsia="宋体" w:cs="Times New Roman"/>
                      <w:color w:val="0000FF"/>
                      <w:lang w:val="en-US" w:eastAsia="zh-CN"/>
                    </w:rPr>
                  </w:pPr>
                  <w:r>
                    <w:rPr>
                      <w:rFonts w:hint="eastAsia" w:cs="Times New Roman"/>
                      <w:color w:val="0000FF"/>
                      <w:lang w:val="en-US" w:eastAsia="zh-CN"/>
                    </w:rPr>
                    <w:t>0.02</w:t>
                  </w:r>
                </w:p>
              </w:tc>
              <w:tc>
                <w:tcPr>
                  <w:tcW w:w="1093" w:type="pct"/>
                  <w:tcBorders>
                    <w:top w:val="single" w:color="auto" w:sz="4" w:space="0"/>
                    <w:left w:val="single" w:color="auto" w:sz="12" w:space="0"/>
                    <w:bottom w:val="single" w:color="auto" w:sz="4" w:space="0"/>
                    <w:right w:val="single" w:color="auto" w:sz="4" w:space="0"/>
                  </w:tcBorders>
                  <w:shd w:val="clear" w:color="auto" w:fill="auto"/>
                  <w:noWrap w:val="0"/>
                  <w:vAlign w:val="center"/>
                </w:tcPr>
                <w:p w14:paraId="6A9C3D26">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无组织排放</w:t>
                  </w:r>
                </w:p>
              </w:tc>
              <w:tc>
                <w:tcPr>
                  <w:tcW w:w="759" w:type="pct"/>
                  <w:tcBorders>
                    <w:top w:val="single" w:color="auto" w:sz="4" w:space="0"/>
                    <w:left w:val="single" w:color="auto" w:sz="4" w:space="0"/>
                    <w:bottom w:val="single" w:color="auto" w:sz="4" w:space="0"/>
                  </w:tcBorders>
                  <w:noWrap w:val="0"/>
                  <w:vAlign w:val="center"/>
                </w:tcPr>
                <w:p w14:paraId="31E17371">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0.001</w:t>
                  </w:r>
                </w:p>
              </w:tc>
            </w:tr>
            <w:tr w14:paraId="4E8E90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262" w:type="pct"/>
                  <w:vMerge w:val="continue"/>
                  <w:noWrap w:val="0"/>
                  <w:vAlign w:val="center"/>
                </w:tcPr>
                <w:p w14:paraId="2444DBD1">
                  <w:pPr>
                    <w:adjustRightInd w:val="0"/>
                    <w:snapToGrid w:val="0"/>
                    <w:jc w:val="center"/>
                    <w:rPr>
                      <w:rFonts w:hint="default" w:ascii="Times New Roman" w:hAnsi="Times New Roman" w:eastAsia="宋体" w:cs="Times New Roman"/>
                      <w:color w:val="0000FF"/>
                      <w:lang w:val="en-US" w:eastAsia="zh-CN"/>
                    </w:rPr>
                  </w:pPr>
                </w:p>
              </w:tc>
              <w:tc>
                <w:tcPr>
                  <w:tcW w:w="731" w:type="pct"/>
                  <w:shd w:val="clear" w:color="auto" w:fill="auto"/>
                  <w:noWrap w:val="0"/>
                  <w:vAlign w:val="center"/>
                </w:tcPr>
                <w:p w14:paraId="318AE37A">
                  <w:pPr>
                    <w:adjustRightInd w:val="0"/>
                    <w:snapToGrid w:val="0"/>
                    <w:jc w:val="center"/>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面漆</w:t>
                  </w:r>
                </w:p>
                <w:p w14:paraId="09D5BCB7">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（甲、</w:t>
                  </w:r>
                  <w:r>
                    <w:rPr>
                      <w:rFonts w:hint="default" w:ascii="Times New Roman" w:hAnsi="Times New Roman" w:eastAsia="宋体" w:cs="Times New Roman"/>
                      <w:color w:val="0000FF"/>
                      <w:lang w:val="en-US" w:eastAsia="zh-CN"/>
                    </w:rPr>
                    <w:t>乙、稀释剂）</w:t>
                  </w:r>
                </w:p>
              </w:tc>
              <w:tc>
                <w:tcPr>
                  <w:tcW w:w="559" w:type="pct"/>
                  <w:shd w:val="clear" w:color="auto" w:fill="auto"/>
                  <w:noWrap w:val="0"/>
                  <w:vAlign w:val="center"/>
                </w:tcPr>
                <w:p w14:paraId="4BB7E420">
                  <w:pPr>
                    <w:adjustRightInd w:val="0"/>
                    <w:snapToGrid w:val="0"/>
                    <w:jc w:val="center"/>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 xml:space="preserve">2.60 </w:t>
                  </w:r>
                </w:p>
              </w:tc>
              <w:tc>
                <w:tcPr>
                  <w:tcW w:w="740" w:type="pct"/>
                  <w:tcBorders>
                    <w:right w:val="single" w:color="auto" w:sz="4" w:space="0"/>
                  </w:tcBorders>
                  <w:shd w:val="clear" w:color="auto" w:fill="auto"/>
                  <w:noWrap w:val="0"/>
                  <w:vAlign w:val="center"/>
                </w:tcPr>
                <w:p w14:paraId="366B403C">
                  <w:pPr>
                    <w:adjustRightInd w:val="0"/>
                    <w:snapToGrid w:val="0"/>
                    <w:jc w:val="center"/>
                    <w:rPr>
                      <w:rFonts w:hint="default" w:ascii="Times New Roman" w:hAnsi="Times New Roman" w:eastAsia="宋体" w:cs="Times New Roman"/>
                      <w:color w:val="0000FF"/>
                      <w:lang w:val="en-US" w:eastAsia="zh-CN"/>
                    </w:rPr>
                  </w:pPr>
                  <w:r>
                    <w:rPr>
                      <w:rFonts w:hint="eastAsia" w:cs="Times New Roman"/>
                      <w:color w:val="0000FF"/>
                      <w:lang w:val="en-US" w:eastAsia="zh-CN"/>
                    </w:rPr>
                    <w:t>10.59</w:t>
                  </w:r>
                  <w:r>
                    <w:rPr>
                      <w:rFonts w:hint="eastAsia" w:ascii="Times New Roman" w:hAnsi="Times New Roman" w:eastAsia="宋体" w:cs="Times New Roman"/>
                      <w:color w:val="0000FF"/>
                      <w:lang w:val="en-US" w:eastAsia="zh-CN"/>
                    </w:rPr>
                    <w:t>kg/t-原料</w:t>
                  </w:r>
                </w:p>
              </w:tc>
              <w:tc>
                <w:tcPr>
                  <w:tcW w:w="852" w:type="pct"/>
                  <w:tcBorders>
                    <w:left w:val="single" w:color="auto" w:sz="4" w:space="0"/>
                    <w:right w:val="single" w:color="auto" w:sz="12" w:space="0"/>
                  </w:tcBorders>
                  <w:shd w:val="clear" w:color="auto" w:fill="auto"/>
                  <w:noWrap w:val="0"/>
                  <w:vAlign w:val="center"/>
                </w:tcPr>
                <w:p w14:paraId="04395CD6">
                  <w:pPr>
                    <w:adjustRightInd w:val="0"/>
                    <w:snapToGrid w:val="0"/>
                    <w:jc w:val="center"/>
                    <w:rPr>
                      <w:rFonts w:hint="default" w:ascii="Times New Roman" w:hAnsi="Times New Roman" w:eastAsia="宋体" w:cs="Times New Roman"/>
                      <w:color w:val="0000FF"/>
                      <w:lang w:val="en-US" w:eastAsia="zh-CN"/>
                    </w:rPr>
                  </w:pPr>
                  <w:r>
                    <w:rPr>
                      <w:rFonts w:hint="eastAsia" w:cs="Times New Roman"/>
                      <w:color w:val="0000FF"/>
                      <w:lang w:val="en-US" w:eastAsia="zh-CN"/>
                    </w:rPr>
                    <w:t>0.03</w:t>
                  </w:r>
                </w:p>
              </w:tc>
              <w:tc>
                <w:tcPr>
                  <w:tcW w:w="1093" w:type="pct"/>
                  <w:tcBorders>
                    <w:top w:val="single" w:color="auto" w:sz="4" w:space="0"/>
                    <w:left w:val="single" w:color="auto" w:sz="12" w:space="0"/>
                    <w:bottom w:val="single" w:color="auto" w:sz="4" w:space="0"/>
                    <w:right w:val="single" w:color="auto" w:sz="4" w:space="0"/>
                  </w:tcBorders>
                  <w:shd w:val="clear" w:color="auto" w:fill="auto"/>
                  <w:noWrap w:val="0"/>
                  <w:vAlign w:val="center"/>
                </w:tcPr>
                <w:p w14:paraId="2EC5E0B7">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活性炭吸附-脱附+催化燃烧</w:t>
                  </w:r>
                </w:p>
              </w:tc>
              <w:tc>
                <w:tcPr>
                  <w:tcW w:w="759" w:type="pct"/>
                  <w:tcBorders>
                    <w:top w:val="single" w:color="auto" w:sz="4" w:space="0"/>
                    <w:left w:val="single" w:color="auto" w:sz="4" w:space="0"/>
                    <w:bottom w:val="single" w:color="auto" w:sz="4" w:space="0"/>
                  </w:tcBorders>
                  <w:noWrap w:val="0"/>
                  <w:vAlign w:val="center"/>
                </w:tcPr>
                <w:p w14:paraId="7F2C5A40">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0.0</w:t>
                  </w:r>
                  <w:r>
                    <w:rPr>
                      <w:rFonts w:hint="eastAsia" w:cs="Times New Roman"/>
                      <w:color w:val="0000FF"/>
                      <w:lang w:val="en-US" w:eastAsia="zh-CN"/>
                    </w:rPr>
                    <w:t>71</w:t>
                  </w:r>
                </w:p>
              </w:tc>
            </w:tr>
            <w:tr w14:paraId="4BF00E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54" w:type="pct"/>
                  <w:gridSpan w:val="3"/>
                  <w:noWrap w:val="0"/>
                  <w:vAlign w:val="center"/>
                </w:tcPr>
                <w:p w14:paraId="454C2F26">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合计</w:t>
                  </w:r>
                </w:p>
              </w:tc>
              <w:tc>
                <w:tcPr>
                  <w:tcW w:w="740" w:type="pct"/>
                  <w:tcBorders>
                    <w:right w:val="single" w:color="auto" w:sz="4" w:space="0"/>
                  </w:tcBorders>
                  <w:shd w:val="clear" w:color="auto" w:fill="auto"/>
                  <w:noWrap w:val="0"/>
                  <w:vAlign w:val="center"/>
                </w:tcPr>
                <w:p w14:paraId="06973BF7">
                  <w:pPr>
                    <w:adjustRightInd w:val="0"/>
                    <w:snapToGrid w:val="0"/>
                    <w:jc w:val="center"/>
                    <w:rPr>
                      <w:rFonts w:hint="default" w:ascii="Times New Roman" w:hAnsi="Times New Roman" w:eastAsia="宋体" w:cs="Times New Roman"/>
                      <w:color w:val="0000FF"/>
                      <w:lang w:val="en-US" w:eastAsia="zh-CN"/>
                    </w:rPr>
                  </w:pPr>
                  <w:r>
                    <w:rPr>
                      <w:rFonts w:hint="eastAsia" w:cs="Times New Roman"/>
                      <w:color w:val="0000FF"/>
                      <w:lang w:val="en-US" w:eastAsia="zh-CN"/>
                    </w:rPr>
                    <w:t>/</w:t>
                  </w:r>
                </w:p>
              </w:tc>
              <w:tc>
                <w:tcPr>
                  <w:tcW w:w="852" w:type="pct"/>
                  <w:tcBorders>
                    <w:left w:val="single" w:color="auto" w:sz="4" w:space="0"/>
                    <w:right w:val="single" w:color="auto" w:sz="12" w:space="0"/>
                  </w:tcBorders>
                  <w:shd w:val="clear" w:color="auto" w:fill="auto"/>
                  <w:noWrap w:val="0"/>
                  <w:vAlign w:val="center"/>
                </w:tcPr>
                <w:p w14:paraId="5491CA04">
                  <w:pPr>
                    <w:adjustRightInd w:val="0"/>
                    <w:snapToGrid w:val="0"/>
                    <w:jc w:val="center"/>
                    <w:rPr>
                      <w:rFonts w:hint="default" w:ascii="Times New Roman" w:hAnsi="Times New Roman" w:eastAsia="宋体" w:cs="Times New Roman"/>
                      <w:color w:val="0000FF"/>
                      <w:lang w:val="en-US" w:eastAsia="zh-CN"/>
                    </w:rPr>
                  </w:pPr>
                  <w:r>
                    <w:rPr>
                      <w:rFonts w:hint="eastAsia" w:cs="Times New Roman"/>
                      <w:color w:val="0000FF"/>
                      <w:lang w:val="en-US" w:eastAsia="zh-CN"/>
                    </w:rPr>
                    <w:t>0.08</w:t>
                  </w:r>
                </w:p>
              </w:tc>
              <w:tc>
                <w:tcPr>
                  <w:tcW w:w="1093" w:type="pct"/>
                  <w:tcBorders>
                    <w:top w:val="single" w:color="auto" w:sz="4" w:space="0"/>
                    <w:left w:val="single" w:color="auto" w:sz="12" w:space="0"/>
                    <w:bottom w:val="single" w:color="auto" w:sz="12" w:space="0"/>
                    <w:right w:val="single" w:color="auto" w:sz="4" w:space="0"/>
                  </w:tcBorders>
                  <w:shd w:val="clear" w:color="auto" w:fill="auto"/>
                  <w:noWrap w:val="0"/>
                  <w:vAlign w:val="center"/>
                </w:tcPr>
                <w:p w14:paraId="35A376D8">
                  <w:pPr>
                    <w:adjustRightInd w:val="0"/>
                    <w:snapToGrid w:val="0"/>
                    <w:jc w:val="center"/>
                    <w:rPr>
                      <w:rFonts w:hint="default" w:ascii="Times New Roman" w:hAnsi="Times New Roman" w:eastAsia="宋体" w:cs="Times New Roman"/>
                      <w:color w:val="0000FF"/>
                      <w:lang w:val="en-US" w:eastAsia="zh-CN"/>
                    </w:rPr>
                  </w:pPr>
                  <w:r>
                    <w:rPr>
                      <w:rFonts w:hint="eastAsia" w:cs="Times New Roman"/>
                      <w:color w:val="0000FF"/>
                      <w:lang w:val="en-US" w:eastAsia="zh-CN"/>
                    </w:rPr>
                    <w:t>合计</w:t>
                  </w:r>
                </w:p>
              </w:tc>
              <w:tc>
                <w:tcPr>
                  <w:tcW w:w="759" w:type="pct"/>
                  <w:tcBorders>
                    <w:top w:val="single" w:color="auto" w:sz="4" w:space="0"/>
                    <w:left w:val="single" w:color="auto" w:sz="4" w:space="0"/>
                    <w:bottom w:val="single" w:color="auto" w:sz="12" w:space="0"/>
                  </w:tcBorders>
                  <w:noWrap w:val="0"/>
                  <w:vAlign w:val="center"/>
                </w:tcPr>
                <w:p w14:paraId="643E8055">
                  <w:pPr>
                    <w:adjustRightInd w:val="0"/>
                    <w:snapToGrid w:val="0"/>
                    <w:jc w:val="center"/>
                    <w:rPr>
                      <w:rFonts w:hint="eastAsia"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0.08</w:t>
                  </w:r>
                </w:p>
              </w:tc>
            </w:tr>
          </w:tbl>
          <w:p w14:paraId="5E2750EE">
            <w:pPr>
              <w:keepNext w:val="0"/>
              <w:keepLines w:val="0"/>
              <w:pageBreakBefore w:val="0"/>
              <w:widowControl w:val="0"/>
              <w:kinsoku/>
              <w:wordWrap/>
              <w:overflowPunct/>
              <w:topLinePunct w:val="0"/>
              <w:autoSpaceDE/>
              <w:autoSpaceDN/>
              <w:bidi w:val="0"/>
              <w:adjustRightInd/>
              <w:snapToGrid/>
              <w:spacing w:before="95" w:beforeLines="30" w:line="360" w:lineRule="auto"/>
              <w:ind w:firstLine="420" w:firstLineChars="200"/>
              <w:textAlignment w:val="auto"/>
              <w:rPr>
                <w:rFonts w:hint="default" w:ascii="Times New Roman" w:hAnsi="Times New Roman" w:eastAsia="宋体" w:cs="Times New Roman"/>
                <w:color w:val="0000FF"/>
                <w:sz w:val="21"/>
                <w:szCs w:val="21"/>
                <w:lang w:val="en-US" w:eastAsia="zh-CN"/>
              </w:rPr>
            </w:pPr>
            <w:r>
              <w:rPr>
                <w:rFonts w:hint="eastAsia" w:cs="Times New Roman"/>
                <w:color w:val="0000FF"/>
                <w:sz w:val="21"/>
                <w:szCs w:val="21"/>
                <w:lang w:val="en-US" w:eastAsia="zh-CN"/>
              </w:rPr>
              <w:t>注：由表2-4，水性漆不含甲苯、二甲苯。</w:t>
            </w:r>
          </w:p>
          <w:p w14:paraId="0A21186B">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0000FF"/>
                <w:lang w:val="en-US" w:eastAsia="zh-CN"/>
              </w:rPr>
            </w:pPr>
          </w:p>
          <w:p w14:paraId="2587E3DA">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0000FF"/>
                <w:lang w:val="en-US" w:eastAsia="zh-CN"/>
              </w:rPr>
            </w:pPr>
          </w:p>
          <w:p w14:paraId="7218BA58">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0000FF"/>
                <w:lang w:val="en-US" w:eastAsia="zh-CN"/>
              </w:rPr>
            </w:pPr>
          </w:p>
          <w:p w14:paraId="0C38966B">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0000FF"/>
                <w:lang w:val="en-US" w:eastAsia="zh-CN"/>
              </w:rPr>
            </w:pPr>
          </w:p>
          <w:p w14:paraId="2A4A7B7A">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0000FF"/>
                <w:lang w:val="en-US" w:eastAsia="zh-CN"/>
              </w:rPr>
            </w:pPr>
          </w:p>
          <w:p w14:paraId="6064E816">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0000FF"/>
                <w:lang w:val="en-US" w:eastAsia="zh-CN"/>
              </w:rPr>
            </w:pPr>
          </w:p>
          <w:p w14:paraId="662187F5">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0000FF"/>
                <w:lang w:val="en-US" w:eastAsia="zh-CN"/>
              </w:rPr>
            </w:pPr>
          </w:p>
          <w:p w14:paraId="5788EDC8">
            <w:pPr>
              <w:keepNext w:val="0"/>
              <w:keepLines w:val="0"/>
              <w:pageBreakBefore w:val="0"/>
              <w:widowControl w:val="0"/>
              <w:kinsoku/>
              <w:wordWrap/>
              <w:overflowPunct/>
              <w:topLinePunct w:val="0"/>
              <w:autoSpaceDE/>
              <w:autoSpaceDN/>
              <w:bidi w:val="0"/>
              <w:adjustRightInd/>
              <w:snapToGrid/>
              <w:spacing w:before="157" w:beforeLines="50" w:line="300" w:lineRule="auto"/>
              <w:jc w:val="center"/>
              <w:textAlignment w:val="auto"/>
              <w:rPr>
                <w:rFonts w:hint="default" w:ascii="Times New Roman" w:hAnsi="Times New Roman" w:eastAsia="宋体" w:cs="Times New Roman"/>
                <w:b/>
                <w:bCs/>
                <w:color w:val="0000FF"/>
                <w:lang w:val="en-US" w:eastAsia="zh-CN"/>
              </w:rPr>
            </w:pPr>
            <w:r>
              <w:rPr>
                <w:rFonts w:hint="default" w:ascii="Times New Roman" w:hAnsi="Times New Roman" w:eastAsia="宋体" w:cs="Times New Roman"/>
                <w:b/>
                <w:bCs/>
                <w:color w:val="0000FF"/>
                <w:lang w:val="en-US" w:eastAsia="zh-CN"/>
              </w:rPr>
              <w:t>表</w:t>
            </w:r>
            <w:r>
              <w:rPr>
                <w:rFonts w:hint="eastAsia" w:ascii="Times New Roman" w:hAnsi="Times New Roman" w:eastAsia="宋体" w:cs="Times New Roman"/>
                <w:b/>
                <w:bCs/>
                <w:color w:val="0000FF"/>
                <w:lang w:val="en-US" w:eastAsia="zh-CN"/>
              </w:rPr>
              <w:t>2-</w:t>
            </w:r>
            <w:r>
              <w:rPr>
                <w:rFonts w:hint="eastAsia" w:cs="Times New Roman"/>
                <w:b/>
                <w:bCs/>
                <w:color w:val="0000FF"/>
                <w:lang w:val="en-US" w:eastAsia="zh-CN"/>
              </w:rPr>
              <w:t>9</w:t>
            </w:r>
            <w:r>
              <w:rPr>
                <w:rFonts w:hint="eastAsia" w:ascii="Times New Roman" w:hAnsi="Times New Roman" w:eastAsia="宋体" w:cs="Times New Roman"/>
                <w:b/>
                <w:bCs/>
                <w:color w:val="0000FF"/>
                <w:lang w:val="en-US" w:eastAsia="zh-CN"/>
              </w:rPr>
              <w:t xml:space="preserve"> </w:t>
            </w:r>
            <w:r>
              <w:rPr>
                <w:rFonts w:hint="eastAsia" w:cs="Times New Roman"/>
                <w:b/>
                <w:bCs/>
                <w:color w:val="0000FF"/>
                <w:lang w:val="en-US" w:eastAsia="zh-CN"/>
              </w:rPr>
              <w:t>二</w:t>
            </w:r>
            <w:r>
              <w:rPr>
                <w:rFonts w:hint="eastAsia" w:ascii="Times New Roman" w:hAnsi="Times New Roman" w:eastAsia="宋体" w:cs="Times New Roman"/>
                <w:b/>
                <w:bCs/>
                <w:color w:val="0000FF"/>
                <w:lang w:val="en-US" w:eastAsia="zh-CN"/>
              </w:rPr>
              <w:t>甲苯</w:t>
            </w:r>
            <w:r>
              <w:rPr>
                <w:rFonts w:hint="default" w:ascii="Times New Roman" w:hAnsi="Times New Roman" w:eastAsia="宋体" w:cs="Times New Roman"/>
                <w:b/>
                <w:bCs/>
                <w:color w:val="0000FF"/>
                <w:lang w:val="en-US" w:eastAsia="zh-CN"/>
              </w:rPr>
              <w:t>平衡一览表</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4"/>
              <w:gridCol w:w="1180"/>
              <w:gridCol w:w="903"/>
              <w:gridCol w:w="1194"/>
              <w:gridCol w:w="1375"/>
              <w:gridCol w:w="1764"/>
              <w:gridCol w:w="1225"/>
            </w:tblGrid>
            <w:tr w14:paraId="3A4EF7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146" w:type="pct"/>
                  <w:gridSpan w:val="5"/>
                  <w:tcBorders>
                    <w:bottom w:val="single" w:color="auto" w:sz="4" w:space="0"/>
                    <w:right w:val="single" w:color="auto" w:sz="12" w:space="0"/>
                  </w:tcBorders>
                  <w:noWrap w:val="0"/>
                  <w:vAlign w:val="center"/>
                </w:tcPr>
                <w:p w14:paraId="415EDB2F">
                  <w:pPr>
                    <w:adjustRightInd w:val="0"/>
                    <w:snapToGrid w:val="0"/>
                    <w:jc w:val="center"/>
                    <w:rPr>
                      <w:rFonts w:hint="default" w:ascii="Times New Roman" w:hAnsi="Times New Roman" w:eastAsia="宋体" w:cs="Times New Roman"/>
                      <w:b/>
                      <w:bCs/>
                      <w:color w:val="0000FF"/>
                      <w:lang w:val="en-US" w:eastAsia="zh-CN"/>
                    </w:rPr>
                  </w:pPr>
                  <w:r>
                    <w:rPr>
                      <w:rFonts w:hint="eastAsia" w:ascii="Times New Roman" w:hAnsi="Times New Roman" w:eastAsia="宋体" w:cs="Times New Roman"/>
                      <w:b/>
                      <w:bCs/>
                      <w:color w:val="0000FF"/>
                      <w:lang w:val="en-US" w:eastAsia="zh-CN"/>
                    </w:rPr>
                    <w:t>投入（t/a）</w:t>
                  </w:r>
                </w:p>
              </w:tc>
              <w:tc>
                <w:tcPr>
                  <w:tcW w:w="1853" w:type="pct"/>
                  <w:gridSpan w:val="2"/>
                  <w:tcBorders>
                    <w:left w:val="single" w:color="auto" w:sz="12" w:space="0"/>
                    <w:bottom w:val="single" w:color="auto" w:sz="4" w:space="0"/>
                  </w:tcBorders>
                  <w:noWrap w:val="0"/>
                  <w:vAlign w:val="center"/>
                </w:tcPr>
                <w:p w14:paraId="350B7D94">
                  <w:pPr>
                    <w:adjustRightInd w:val="0"/>
                    <w:snapToGrid w:val="0"/>
                    <w:jc w:val="center"/>
                    <w:rPr>
                      <w:rFonts w:hint="eastAsia" w:ascii="Times New Roman" w:hAnsi="Times New Roman" w:eastAsia="宋体" w:cs="Times New Roman"/>
                      <w:b/>
                      <w:bCs/>
                      <w:color w:val="0000FF"/>
                      <w:lang w:val="en-US" w:eastAsia="zh-CN"/>
                    </w:rPr>
                  </w:pPr>
                  <w:r>
                    <w:rPr>
                      <w:rFonts w:hint="eastAsia" w:ascii="Times New Roman" w:hAnsi="Times New Roman" w:eastAsia="宋体" w:cs="Times New Roman"/>
                      <w:b/>
                      <w:bCs/>
                      <w:color w:val="0000FF"/>
                      <w:lang w:val="en-US" w:eastAsia="zh-CN"/>
                    </w:rPr>
                    <w:t>产出（t/a）</w:t>
                  </w:r>
                </w:p>
              </w:tc>
            </w:tr>
            <w:tr w14:paraId="58F239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4" w:type="pct"/>
                  <w:gridSpan w:val="2"/>
                  <w:tcBorders>
                    <w:top w:val="single" w:color="auto" w:sz="4" w:space="0"/>
                    <w:bottom w:val="single" w:color="auto" w:sz="12" w:space="0"/>
                    <w:right w:val="single" w:color="auto" w:sz="4" w:space="0"/>
                  </w:tcBorders>
                  <w:noWrap w:val="0"/>
                  <w:vAlign w:val="center"/>
                </w:tcPr>
                <w:p w14:paraId="79383865">
                  <w:pPr>
                    <w:adjustRightInd w:val="0"/>
                    <w:snapToGrid w:val="0"/>
                    <w:jc w:val="center"/>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名称</w:t>
                  </w:r>
                </w:p>
              </w:tc>
              <w:tc>
                <w:tcPr>
                  <w:tcW w:w="559" w:type="pct"/>
                  <w:tcBorders>
                    <w:top w:val="single" w:color="auto" w:sz="4" w:space="0"/>
                    <w:left w:val="single" w:color="auto" w:sz="4" w:space="0"/>
                    <w:bottom w:val="single" w:color="auto" w:sz="12" w:space="0"/>
                    <w:right w:val="single" w:color="auto" w:sz="4" w:space="0"/>
                  </w:tcBorders>
                  <w:shd w:val="clear" w:color="auto" w:fill="auto"/>
                  <w:noWrap w:val="0"/>
                  <w:vAlign w:val="center"/>
                </w:tcPr>
                <w:p w14:paraId="054AC324">
                  <w:pPr>
                    <w:adjustRightInd w:val="0"/>
                    <w:snapToGrid w:val="0"/>
                    <w:jc w:val="center"/>
                    <w:rPr>
                      <w:rFonts w:hint="eastAsia"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用量</w:t>
                  </w:r>
                </w:p>
              </w:tc>
              <w:tc>
                <w:tcPr>
                  <w:tcW w:w="740" w:type="pct"/>
                  <w:tcBorders>
                    <w:top w:val="single" w:color="auto" w:sz="4" w:space="0"/>
                    <w:left w:val="single" w:color="auto" w:sz="4" w:space="0"/>
                    <w:bottom w:val="single" w:color="auto" w:sz="12" w:space="0"/>
                    <w:right w:val="single" w:color="auto" w:sz="4" w:space="0"/>
                  </w:tcBorders>
                  <w:shd w:val="clear" w:color="auto" w:fill="auto"/>
                  <w:noWrap w:val="0"/>
                  <w:vAlign w:val="center"/>
                </w:tcPr>
                <w:p w14:paraId="6E779870">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挥发比例</w:t>
                  </w:r>
                </w:p>
              </w:tc>
              <w:tc>
                <w:tcPr>
                  <w:tcW w:w="852" w:type="pct"/>
                  <w:tcBorders>
                    <w:top w:val="single" w:color="auto" w:sz="4" w:space="0"/>
                    <w:left w:val="single" w:color="auto" w:sz="4" w:space="0"/>
                    <w:bottom w:val="single" w:color="auto" w:sz="12" w:space="0"/>
                    <w:right w:val="single" w:color="auto" w:sz="12" w:space="0"/>
                  </w:tcBorders>
                  <w:shd w:val="clear" w:color="auto" w:fill="auto"/>
                  <w:noWrap w:val="0"/>
                  <w:vAlign w:val="center"/>
                </w:tcPr>
                <w:p w14:paraId="041191DE">
                  <w:pPr>
                    <w:adjustRightInd w:val="0"/>
                    <w:snapToGrid w:val="0"/>
                    <w:jc w:val="center"/>
                    <w:rPr>
                      <w:rFonts w:hint="default" w:ascii="Times New Roman" w:hAnsi="Times New Roman" w:eastAsia="宋体" w:cs="Times New Roman"/>
                      <w:color w:val="0000FF"/>
                      <w:lang w:val="en-US" w:eastAsia="zh-CN"/>
                    </w:rPr>
                  </w:pPr>
                  <w:r>
                    <w:rPr>
                      <w:rFonts w:hint="eastAsia" w:cs="Times New Roman"/>
                      <w:color w:val="0000FF"/>
                      <w:lang w:val="en-US" w:eastAsia="zh-CN"/>
                    </w:rPr>
                    <w:t>二甲苯</w:t>
                  </w:r>
                  <w:r>
                    <w:rPr>
                      <w:rFonts w:hint="default" w:ascii="Times New Roman" w:hAnsi="Times New Roman" w:eastAsia="宋体" w:cs="Times New Roman"/>
                      <w:color w:val="0000FF"/>
                      <w:lang w:val="en-US" w:eastAsia="zh-CN"/>
                    </w:rPr>
                    <w:t>量</w:t>
                  </w:r>
                </w:p>
              </w:tc>
              <w:tc>
                <w:tcPr>
                  <w:tcW w:w="1093" w:type="pct"/>
                  <w:tcBorders>
                    <w:top w:val="single" w:color="auto" w:sz="4" w:space="0"/>
                    <w:left w:val="single" w:color="auto" w:sz="12" w:space="0"/>
                    <w:bottom w:val="single" w:color="auto" w:sz="12" w:space="0"/>
                    <w:right w:val="single" w:color="auto" w:sz="4" w:space="0"/>
                  </w:tcBorders>
                  <w:shd w:val="clear" w:color="auto" w:fill="auto"/>
                  <w:noWrap w:val="0"/>
                  <w:vAlign w:val="center"/>
                </w:tcPr>
                <w:p w14:paraId="3BDEFF35">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类别</w:t>
                  </w:r>
                </w:p>
              </w:tc>
              <w:tc>
                <w:tcPr>
                  <w:tcW w:w="759" w:type="pct"/>
                  <w:tcBorders>
                    <w:top w:val="single" w:color="auto" w:sz="4" w:space="0"/>
                    <w:left w:val="single" w:color="auto" w:sz="4" w:space="0"/>
                    <w:bottom w:val="single" w:color="auto" w:sz="12" w:space="0"/>
                  </w:tcBorders>
                  <w:shd w:val="clear" w:color="auto" w:fill="auto"/>
                  <w:noWrap w:val="0"/>
                  <w:vAlign w:val="center"/>
                </w:tcPr>
                <w:p w14:paraId="07799A90">
                  <w:pPr>
                    <w:adjustRightInd w:val="0"/>
                    <w:snapToGrid w:val="0"/>
                    <w:jc w:val="center"/>
                    <w:rPr>
                      <w:rFonts w:hint="default" w:ascii="Times New Roman" w:hAnsi="Times New Roman" w:eastAsia="宋体" w:cs="Times New Roman"/>
                      <w:color w:val="0000FF"/>
                      <w:lang w:val="en-US" w:eastAsia="zh-CN"/>
                    </w:rPr>
                  </w:pPr>
                  <w:r>
                    <w:rPr>
                      <w:rFonts w:hint="eastAsia" w:cs="Times New Roman"/>
                      <w:color w:val="0000FF"/>
                      <w:lang w:val="en-US" w:eastAsia="zh-CN"/>
                    </w:rPr>
                    <w:t>二甲苯</w:t>
                  </w:r>
                  <w:r>
                    <w:rPr>
                      <w:rFonts w:hint="default" w:ascii="Times New Roman" w:hAnsi="Times New Roman" w:eastAsia="宋体" w:cs="Times New Roman"/>
                      <w:color w:val="0000FF"/>
                      <w:lang w:val="en-US" w:eastAsia="zh-CN"/>
                    </w:rPr>
                    <w:t>量</w:t>
                  </w:r>
                </w:p>
              </w:tc>
            </w:tr>
            <w:tr w14:paraId="65CF23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262" w:type="pct"/>
                  <w:vMerge w:val="restart"/>
                  <w:tcBorders>
                    <w:top w:val="single" w:color="auto" w:sz="12" w:space="0"/>
                  </w:tcBorders>
                  <w:noWrap w:val="0"/>
                  <w:vAlign w:val="center"/>
                </w:tcPr>
                <w:p w14:paraId="533FFD3D">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油性漆</w:t>
                  </w:r>
                </w:p>
              </w:tc>
              <w:tc>
                <w:tcPr>
                  <w:tcW w:w="731" w:type="pct"/>
                  <w:tcBorders>
                    <w:top w:val="single" w:color="auto" w:sz="12" w:space="0"/>
                  </w:tcBorders>
                  <w:shd w:val="clear" w:color="auto" w:fill="auto"/>
                  <w:noWrap w:val="0"/>
                  <w:vAlign w:val="center"/>
                </w:tcPr>
                <w:p w14:paraId="710A54D5">
                  <w:pPr>
                    <w:adjustRightInd w:val="0"/>
                    <w:snapToGrid w:val="0"/>
                    <w:jc w:val="center"/>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底漆</w:t>
                  </w:r>
                </w:p>
                <w:p w14:paraId="45C391B2">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（甲、</w:t>
                  </w:r>
                  <w:r>
                    <w:rPr>
                      <w:rFonts w:hint="default" w:ascii="Times New Roman" w:hAnsi="Times New Roman" w:eastAsia="宋体" w:cs="Times New Roman"/>
                      <w:color w:val="0000FF"/>
                      <w:lang w:val="en-US" w:eastAsia="zh-CN"/>
                    </w:rPr>
                    <w:t>乙、稀释剂）</w:t>
                  </w:r>
                </w:p>
              </w:tc>
              <w:tc>
                <w:tcPr>
                  <w:tcW w:w="559" w:type="pct"/>
                  <w:tcBorders>
                    <w:top w:val="single" w:color="auto" w:sz="12" w:space="0"/>
                  </w:tcBorders>
                  <w:shd w:val="clear" w:color="auto" w:fill="auto"/>
                  <w:noWrap w:val="0"/>
                  <w:vAlign w:val="center"/>
                </w:tcPr>
                <w:p w14:paraId="46BE9BC1">
                  <w:pPr>
                    <w:adjustRightInd w:val="0"/>
                    <w:snapToGrid w:val="0"/>
                    <w:jc w:val="center"/>
                    <w:rPr>
                      <w:rFonts w:hint="eastAsia"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3.97</w:t>
                  </w:r>
                </w:p>
              </w:tc>
              <w:tc>
                <w:tcPr>
                  <w:tcW w:w="740" w:type="pct"/>
                  <w:tcBorders>
                    <w:top w:val="single" w:color="auto" w:sz="12" w:space="0"/>
                    <w:right w:val="single" w:color="auto" w:sz="4" w:space="0"/>
                  </w:tcBorders>
                  <w:shd w:val="clear" w:color="auto" w:fill="auto"/>
                  <w:noWrap w:val="0"/>
                  <w:vAlign w:val="center"/>
                </w:tcPr>
                <w:p w14:paraId="7BC242B1">
                  <w:pPr>
                    <w:adjustRightInd w:val="0"/>
                    <w:snapToGrid w:val="0"/>
                    <w:jc w:val="center"/>
                    <w:rPr>
                      <w:rFonts w:hint="default" w:ascii="Times New Roman" w:hAnsi="Times New Roman" w:eastAsia="宋体" w:cs="Times New Roman"/>
                      <w:color w:val="0000FF"/>
                      <w:lang w:val="en-US" w:eastAsia="zh-CN"/>
                    </w:rPr>
                  </w:pPr>
                  <w:r>
                    <w:rPr>
                      <w:rFonts w:hint="eastAsia" w:cs="Times New Roman"/>
                      <w:color w:val="0000FF"/>
                      <w:lang w:val="en-US" w:eastAsia="zh-CN"/>
                    </w:rPr>
                    <w:t>70.38</w:t>
                  </w:r>
                  <w:r>
                    <w:rPr>
                      <w:rFonts w:hint="eastAsia" w:ascii="Times New Roman" w:hAnsi="Times New Roman" w:eastAsia="宋体" w:cs="Times New Roman"/>
                      <w:color w:val="0000FF"/>
                      <w:lang w:val="en-US" w:eastAsia="zh-CN"/>
                    </w:rPr>
                    <w:t>kg/t-原料</w:t>
                  </w:r>
                </w:p>
              </w:tc>
              <w:tc>
                <w:tcPr>
                  <w:tcW w:w="852" w:type="pct"/>
                  <w:tcBorders>
                    <w:top w:val="single" w:color="auto" w:sz="12" w:space="0"/>
                    <w:left w:val="single" w:color="auto" w:sz="4" w:space="0"/>
                    <w:right w:val="single" w:color="auto" w:sz="12" w:space="0"/>
                  </w:tcBorders>
                  <w:shd w:val="clear" w:color="auto" w:fill="auto"/>
                  <w:noWrap w:val="0"/>
                  <w:vAlign w:val="center"/>
                </w:tcPr>
                <w:p w14:paraId="157FE07E">
                  <w:pPr>
                    <w:adjustRightInd w:val="0"/>
                    <w:snapToGrid w:val="0"/>
                    <w:jc w:val="center"/>
                    <w:rPr>
                      <w:rFonts w:hint="default" w:ascii="Times New Roman" w:hAnsi="Times New Roman" w:eastAsia="宋体" w:cs="Times New Roman"/>
                      <w:color w:val="0000FF"/>
                      <w:lang w:val="en-US" w:eastAsia="zh-CN"/>
                    </w:rPr>
                  </w:pPr>
                  <w:r>
                    <w:rPr>
                      <w:rFonts w:hint="eastAsia" w:cs="Times New Roman"/>
                      <w:color w:val="0000FF"/>
                      <w:lang w:val="en-US" w:eastAsia="zh-CN"/>
                    </w:rPr>
                    <w:t>0.28</w:t>
                  </w:r>
                </w:p>
              </w:tc>
              <w:tc>
                <w:tcPr>
                  <w:tcW w:w="1093" w:type="pct"/>
                  <w:tcBorders>
                    <w:top w:val="single" w:color="auto" w:sz="12" w:space="0"/>
                    <w:left w:val="single" w:color="auto" w:sz="12" w:space="0"/>
                    <w:bottom w:val="single" w:color="auto" w:sz="4" w:space="0"/>
                    <w:right w:val="single" w:color="auto" w:sz="4" w:space="0"/>
                  </w:tcBorders>
                  <w:shd w:val="clear" w:color="auto" w:fill="auto"/>
                  <w:noWrap w:val="0"/>
                  <w:vAlign w:val="center"/>
                </w:tcPr>
                <w:p w14:paraId="127BEFFE">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有组织排放</w:t>
                  </w:r>
                </w:p>
              </w:tc>
              <w:tc>
                <w:tcPr>
                  <w:tcW w:w="759" w:type="pct"/>
                  <w:tcBorders>
                    <w:top w:val="single" w:color="auto" w:sz="12" w:space="0"/>
                    <w:left w:val="single" w:color="auto" w:sz="4" w:space="0"/>
                    <w:bottom w:val="single" w:color="auto" w:sz="4" w:space="0"/>
                  </w:tcBorders>
                  <w:noWrap w:val="0"/>
                  <w:vAlign w:val="center"/>
                </w:tcPr>
                <w:p w14:paraId="6425D249">
                  <w:pPr>
                    <w:adjustRightInd w:val="0"/>
                    <w:snapToGrid w:val="0"/>
                    <w:jc w:val="center"/>
                    <w:rPr>
                      <w:rFonts w:hint="default" w:ascii="Times New Roman" w:hAnsi="Times New Roman" w:eastAsia="宋体" w:cs="Times New Roman"/>
                      <w:color w:val="0000FF"/>
                      <w:lang w:val="en-US" w:eastAsia="zh-CN"/>
                    </w:rPr>
                  </w:pPr>
                  <w:r>
                    <w:rPr>
                      <w:rFonts w:hint="eastAsia" w:cs="Times New Roman"/>
                      <w:color w:val="0000FF"/>
                      <w:lang w:val="en-US" w:eastAsia="zh-CN"/>
                    </w:rPr>
                    <w:t>0.069</w:t>
                  </w:r>
                </w:p>
              </w:tc>
            </w:tr>
            <w:tr w14:paraId="7C3998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262" w:type="pct"/>
                  <w:vMerge w:val="continue"/>
                  <w:noWrap w:val="0"/>
                  <w:vAlign w:val="center"/>
                </w:tcPr>
                <w:p w14:paraId="5D38389B">
                  <w:pPr>
                    <w:adjustRightInd w:val="0"/>
                    <w:snapToGrid w:val="0"/>
                    <w:jc w:val="center"/>
                    <w:rPr>
                      <w:rFonts w:hint="eastAsia" w:ascii="Times New Roman" w:hAnsi="Times New Roman" w:eastAsia="宋体" w:cs="Times New Roman"/>
                      <w:color w:val="0000FF"/>
                      <w:lang w:val="en-US" w:eastAsia="zh-CN"/>
                    </w:rPr>
                  </w:pPr>
                </w:p>
              </w:tc>
              <w:tc>
                <w:tcPr>
                  <w:tcW w:w="731" w:type="pct"/>
                  <w:shd w:val="clear" w:color="auto" w:fill="auto"/>
                  <w:noWrap w:val="0"/>
                  <w:vAlign w:val="center"/>
                </w:tcPr>
                <w:p w14:paraId="23966039">
                  <w:pPr>
                    <w:adjustRightInd w:val="0"/>
                    <w:snapToGrid w:val="0"/>
                    <w:jc w:val="center"/>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中间漆</w:t>
                  </w:r>
                </w:p>
                <w:p w14:paraId="099CC2F2">
                  <w:pPr>
                    <w:adjustRightInd w:val="0"/>
                    <w:snapToGrid w:val="0"/>
                    <w:jc w:val="center"/>
                    <w:rPr>
                      <w:rFonts w:hint="eastAsia"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（甲、</w:t>
                  </w:r>
                  <w:r>
                    <w:rPr>
                      <w:rFonts w:hint="default" w:ascii="Times New Roman" w:hAnsi="Times New Roman" w:eastAsia="宋体" w:cs="Times New Roman"/>
                      <w:color w:val="0000FF"/>
                      <w:lang w:val="en-US" w:eastAsia="zh-CN"/>
                    </w:rPr>
                    <w:t>乙、稀释剂）</w:t>
                  </w:r>
                </w:p>
              </w:tc>
              <w:tc>
                <w:tcPr>
                  <w:tcW w:w="559" w:type="pct"/>
                  <w:shd w:val="clear" w:color="auto" w:fill="auto"/>
                  <w:noWrap w:val="0"/>
                  <w:vAlign w:val="center"/>
                </w:tcPr>
                <w:p w14:paraId="1F4FE55C">
                  <w:pPr>
                    <w:adjustRightInd w:val="0"/>
                    <w:snapToGrid w:val="0"/>
                    <w:jc w:val="center"/>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2.05</w:t>
                  </w:r>
                </w:p>
              </w:tc>
              <w:tc>
                <w:tcPr>
                  <w:tcW w:w="740" w:type="pct"/>
                  <w:tcBorders>
                    <w:right w:val="single" w:color="auto" w:sz="4" w:space="0"/>
                  </w:tcBorders>
                  <w:shd w:val="clear" w:color="auto" w:fill="auto"/>
                  <w:noWrap w:val="0"/>
                  <w:vAlign w:val="center"/>
                </w:tcPr>
                <w:p w14:paraId="2E037F02">
                  <w:pPr>
                    <w:adjustRightInd w:val="0"/>
                    <w:snapToGrid w:val="0"/>
                    <w:jc w:val="center"/>
                    <w:rPr>
                      <w:rFonts w:hint="default" w:ascii="Times New Roman" w:hAnsi="Times New Roman" w:eastAsia="宋体" w:cs="Times New Roman"/>
                      <w:color w:val="0000FF"/>
                      <w:lang w:val="en-US" w:eastAsia="zh-CN"/>
                    </w:rPr>
                  </w:pPr>
                  <w:r>
                    <w:rPr>
                      <w:rFonts w:hint="eastAsia" w:cs="Times New Roman"/>
                      <w:color w:val="0000FF"/>
                      <w:lang w:val="en-US" w:eastAsia="zh-CN"/>
                    </w:rPr>
                    <w:t>97</w:t>
                  </w:r>
                  <w:r>
                    <w:rPr>
                      <w:rFonts w:hint="eastAsia" w:ascii="Times New Roman" w:hAnsi="Times New Roman" w:eastAsia="宋体" w:cs="Times New Roman"/>
                      <w:color w:val="0000FF"/>
                      <w:lang w:val="en-US" w:eastAsia="zh-CN"/>
                    </w:rPr>
                    <w:t>kg/t-原料</w:t>
                  </w:r>
                </w:p>
              </w:tc>
              <w:tc>
                <w:tcPr>
                  <w:tcW w:w="852" w:type="pct"/>
                  <w:tcBorders>
                    <w:left w:val="single" w:color="auto" w:sz="4" w:space="0"/>
                    <w:right w:val="single" w:color="auto" w:sz="12" w:space="0"/>
                  </w:tcBorders>
                  <w:shd w:val="clear" w:color="auto" w:fill="auto"/>
                  <w:noWrap w:val="0"/>
                  <w:vAlign w:val="center"/>
                </w:tcPr>
                <w:p w14:paraId="7DF39A01">
                  <w:pPr>
                    <w:adjustRightInd w:val="0"/>
                    <w:snapToGrid w:val="0"/>
                    <w:jc w:val="center"/>
                    <w:rPr>
                      <w:rFonts w:hint="default" w:ascii="Times New Roman" w:hAnsi="Times New Roman" w:eastAsia="宋体" w:cs="Times New Roman"/>
                      <w:color w:val="0000FF"/>
                      <w:lang w:val="en-US" w:eastAsia="zh-CN"/>
                    </w:rPr>
                  </w:pPr>
                  <w:r>
                    <w:rPr>
                      <w:rFonts w:hint="eastAsia" w:cs="Times New Roman"/>
                      <w:color w:val="0000FF"/>
                      <w:lang w:val="en-US" w:eastAsia="zh-CN"/>
                    </w:rPr>
                    <w:t>0.20</w:t>
                  </w:r>
                </w:p>
              </w:tc>
              <w:tc>
                <w:tcPr>
                  <w:tcW w:w="1093" w:type="pct"/>
                  <w:tcBorders>
                    <w:top w:val="single" w:color="auto" w:sz="4" w:space="0"/>
                    <w:left w:val="single" w:color="auto" w:sz="12" w:space="0"/>
                    <w:bottom w:val="single" w:color="auto" w:sz="4" w:space="0"/>
                    <w:right w:val="single" w:color="auto" w:sz="4" w:space="0"/>
                  </w:tcBorders>
                  <w:shd w:val="clear" w:color="auto" w:fill="auto"/>
                  <w:noWrap w:val="0"/>
                  <w:vAlign w:val="center"/>
                </w:tcPr>
                <w:p w14:paraId="25AD35AE">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无组织排放</w:t>
                  </w:r>
                </w:p>
              </w:tc>
              <w:tc>
                <w:tcPr>
                  <w:tcW w:w="759" w:type="pct"/>
                  <w:tcBorders>
                    <w:top w:val="single" w:color="auto" w:sz="4" w:space="0"/>
                    <w:left w:val="single" w:color="auto" w:sz="4" w:space="0"/>
                    <w:bottom w:val="single" w:color="auto" w:sz="4" w:space="0"/>
                  </w:tcBorders>
                  <w:noWrap w:val="0"/>
                  <w:vAlign w:val="center"/>
                </w:tcPr>
                <w:p w14:paraId="14C6B992">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0.007</w:t>
                  </w:r>
                </w:p>
              </w:tc>
            </w:tr>
            <w:tr w14:paraId="38863C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262" w:type="pct"/>
                  <w:vMerge w:val="continue"/>
                  <w:noWrap w:val="0"/>
                  <w:vAlign w:val="center"/>
                </w:tcPr>
                <w:p w14:paraId="6139A2B4">
                  <w:pPr>
                    <w:adjustRightInd w:val="0"/>
                    <w:snapToGrid w:val="0"/>
                    <w:jc w:val="center"/>
                    <w:rPr>
                      <w:rFonts w:hint="default" w:ascii="Times New Roman" w:hAnsi="Times New Roman" w:eastAsia="宋体" w:cs="Times New Roman"/>
                      <w:color w:val="0000FF"/>
                      <w:lang w:val="en-US" w:eastAsia="zh-CN"/>
                    </w:rPr>
                  </w:pPr>
                </w:p>
              </w:tc>
              <w:tc>
                <w:tcPr>
                  <w:tcW w:w="731" w:type="pct"/>
                  <w:shd w:val="clear" w:color="auto" w:fill="auto"/>
                  <w:noWrap w:val="0"/>
                  <w:vAlign w:val="center"/>
                </w:tcPr>
                <w:p w14:paraId="11BF1E5C">
                  <w:pPr>
                    <w:adjustRightInd w:val="0"/>
                    <w:snapToGrid w:val="0"/>
                    <w:jc w:val="center"/>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面漆</w:t>
                  </w:r>
                </w:p>
                <w:p w14:paraId="51E64B10">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（甲、</w:t>
                  </w:r>
                  <w:r>
                    <w:rPr>
                      <w:rFonts w:hint="default" w:ascii="Times New Roman" w:hAnsi="Times New Roman" w:eastAsia="宋体" w:cs="Times New Roman"/>
                      <w:color w:val="0000FF"/>
                      <w:lang w:val="en-US" w:eastAsia="zh-CN"/>
                    </w:rPr>
                    <w:t>乙、稀释剂）</w:t>
                  </w:r>
                </w:p>
              </w:tc>
              <w:tc>
                <w:tcPr>
                  <w:tcW w:w="559" w:type="pct"/>
                  <w:shd w:val="clear" w:color="auto" w:fill="auto"/>
                  <w:noWrap w:val="0"/>
                  <w:vAlign w:val="center"/>
                </w:tcPr>
                <w:p w14:paraId="3B080525">
                  <w:pPr>
                    <w:adjustRightInd w:val="0"/>
                    <w:snapToGrid w:val="0"/>
                    <w:jc w:val="center"/>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 xml:space="preserve">2.60 </w:t>
                  </w:r>
                </w:p>
              </w:tc>
              <w:tc>
                <w:tcPr>
                  <w:tcW w:w="740" w:type="pct"/>
                  <w:tcBorders>
                    <w:right w:val="single" w:color="auto" w:sz="4" w:space="0"/>
                  </w:tcBorders>
                  <w:shd w:val="clear" w:color="auto" w:fill="auto"/>
                  <w:noWrap w:val="0"/>
                  <w:vAlign w:val="center"/>
                </w:tcPr>
                <w:p w14:paraId="40FE3F78">
                  <w:pPr>
                    <w:adjustRightInd w:val="0"/>
                    <w:snapToGrid w:val="0"/>
                    <w:jc w:val="center"/>
                    <w:rPr>
                      <w:rFonts w:hint="default" w:ascii="Times New Roman" w:hAnsi="Times New Roman" w:eastAsia="宋体" w:cs="Times New Roman"/>
                      <w:color w:val="0000FF"/>
                      <w:lang w:val="en-US" w:eastAsia="zh-CN"/>
                    </w:rPr>
                  </w:pPr>
                  <w:r>
                    <w:rPr>
                      <w:rFonts w:hint="eastAsia" w:cs="Times New Roman"/>
                      <w:color w:val="0000FF"/>
                      <w:lang w:val="en-US" w:eastAsia="zh-CN"/>
                    </w:rPr>
                    <w:t>85.73</w:t>
                  </w:r>
                  <w:r>
                    <w:rPr>
                      <w:rFonts w:hint="eastAsia" w:ascii="Times New Roman" w:hAnsi="Times New Roman" w:eastAsia="宋体" w:cs="Times New Roman"/>
                      <w:color w:val="0000FF"/>
                      <w:lang w:val="en-US" w:eastAsia="zh-CN"/>
                    </w:rPr>
                    <w:t>kg/t-原料</w:t>
                  </w:r>
                </w:p>
              </w:tc>
              <w:tc>
                <w:tcPr>
                  <w:tcW w:w="852" w:type="pct"/>
                  <w:tcBorders>
                    <w:left w:val="single" w:color="auto" w:sz="4" w:space="0"/>
                    <w:right w:val="single" w:color="auto" w:sz="12" w:space="0"/>
                  </w:tcBorders>
                  <w:shd w:val="clear" w:color="auto" w:fill="auto"/>
                  <w:noWrap w:val="0"/>
                  <w:vAlign w:val="center"/>
                </w:tcPr>
                <w:p w14:paraId="6C2419C2">
                  <w:pPr>
                    <w:adjustRightInd w:val="0"/>
                    <w:snapToGrid w:val="0"/>
                    <w:jc w:val="center"/>
                    <w:rPr>
                      <w:rFonts w:hint="default" w:ascii="Times New Roman" w:hAnsi="Times New Roman" w:eastAsia="宋体" w:cs="Times New Roman"/>
                      <w:color w:val="0000FF"/>
                      <w:lang w:val="en-US" w:eastAsia="zh-CN"/>
                    </w:rPr>
                  </w:pPr>
                  <w:r>
                    <w:rPr>
                      <w:rFonts w:hint="eastAsia" w:cs="Times New Roman"/>
                      <w:color w:val="0000FF"/>
                      <w:lang w:val="en-US" w:eastAsia="zh-CN"/>
                    </w:rPr>
                    <w:t>0.22</w:t>
                  </w:r>
                </w:p>
              </w:tc>
              <w:tc>
                <w:tcPr>
                  <w:tcW w:w="1093" w:type="pct"/>
                  <w:tcBorders>
                    <w:top w:val="single" w:color="auto" w:sz="4" w:space="0"/>
                    <w:left w:val="single" w:color="auto" w:sz="12" w:space="0"/>
                    <w:bottom w:val="single" w:color="auto" w:sz="4" w:space="0"/>
                    <w:right w:val="single" w:color="auto" w:sz="4" w:space="0"/>
                  </w:tcBorders>
                  <w:shd w:val="clear" w:color="auto" w:fill="auto"/>
                  <w:noWrap w:val="0"/>
                  <w:vAlign w:val="center"/>
                </w:tcPr>
                <w:p w14:paraId="06C23371">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活性炭吸附-脱附+催化燃烧</w:t>
                  </w:r>
                </w:p>
              </w:tc>
              <w:tc>
                <w:tcPr>
                  <w:tcW w:w="759" w:type="pct"/>
                  <w:tcBorders>
                    <w:top w:val="single" w:color="auto" w:sz="4" w:space="0"/>
                    <w:left w:val="single" w:color="auto" w:sz="4" w:space="0"/>
                    <w:bottom w:val="single" w:color="auto" w:sz="4" w:space="0"/>
                  </w:tcBorders>
                  <w:noWrap w:val="0"/>
                  <w:vAlign w:val="center"/>
                </w:tcPr>
                <w:p w14:paraId="72F46D04">
                  <w:pPr>
                    <w:adjustRightInd w:val="0"/>
                    <w:snapToGrid w:val="0"/>
                    <w:jc w:val="center"/>
                    <w:rPr>
                      <w:rFonts w:hint="default" w:ascii="Times New Roman" w:hAnsi="Times New Roman" w:eastAsia="宋体" w:cs="Times New Roman"/>
                      <w:color w:val="0000FF"/>
                      <w:lang w:val="en-US" w:eastAsia="zh-CN"/>
                    </w:rPr>
                  </w:pPr>
                  <w:r>
                    <w:rPr>
                      <w:rFonts w:hint="eastAsia" w:cs="Times New Roman"/>
                      <w:color w:val="0000FF"/>
                      <w:lang w:val="en-US" w:eastAsia="zh-CN"/>
                    </w:rPr>
                    <w:t>0.624</w:t>
                  </w:r>
                </w:p>
              </w:tc>
            </w:tr>
            <w:tr w14:paraId="15DAA6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54" w:type="pct"/>
                  <w:gridSpan w:val="3"/>
                  <w:noWrap w:val="0"/>
                  <w:vAlign w:val="center"/>
                </w:tcPr>
                <w:p w14:paraId="0EC903E8">
                  <w:pPr>
                    <w:adjustRightInd w:val="0"/>
                    <w:snapToGrid w:val="0"/>
                    <w:jc w:val="center"/>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合计</w:t>
                  </w:r>
                </w:p>
              </w:tc>
              <w:tc>
                <w:tcPr>
                  <w:tcW w:w="740" w:type="pct"/>
                  <w:tcBorders>
                    <w:right w:val="single" w:color="auto" w:sz="4" w:space="0"/>
                  </w:tcBorders>
                  <w:shd w:val="clear" w:color="auto" w:fill="auto"/>
                  <w:noWrap w:val="0"/>
                  <w:vAlign w:val="center"/>
                </w:tcPr>
                <w:p w14:paraId="2FF72E9A">
                  <w:pPr>
                    <w:adjustRightInd w:val="0"/>
                    <w:snapToGrid w:val="0"/>
                    <w:jc w:val="center"/>
                    <w:rPr>
                      <w:rFonts w:hint="default" w:ascii="Times New Roman" w:hAnsi="Times New Roman" w:eastAsia="宋体" w:cs="Times New Roman"/>
                      <w:color w:val="0000FF"/>
                      <w:lang w:val="en-US" w:eastAsia="zh-CN"/>
                    </w:rPr>
                  </w:pPr>
                  <w:r>
                    <w:rPr>
                      <w:rFonts w:hint="eastAsia" w:cs="Times New Roman"/>
                      <w:color w:val="0000FF"/>
                      <w:lang w:val="en-US" w:eastAsia="zh-CN"/>
                    </w:rPr>
                    <w:t>/</w:t>
                  </w:r>
                </w:p>
              </w:tc>
              <w:tc>
                <w:tcPr>
                  <w:tcW w:w="852" w:type="pct"/>
                  <w:tcBorders>
                    <w:left w:val="single" w:color="auto" w:sz="4" w:space="0"/>
                    <w:right w:val="single" w:color="auto" w:sz="12" w:space="0"/>
                  </w:tcBorders>
                  <w:shd w:val="clear" w:color="auto" w:fill="auto"/>
                  <w:noWrap w:val="0"/>
                  <w:vAlign w:val="center"/>
                </w:tcPr>
                <w:p w14:paraId="3BBEDADC">
                  <w:pPr>
                    <w:adjustRightInd w:val="0"/>
                    <w:snapToGrid w:val="0"/>
                    <w:jc w:val="center"/>
                    <w:rPr>
                      <w:rFonts w:hint="default" w:ascii="Times New Roman" w:hAnsi="Times New Roman" w:eastAsia="宋体" w:cs="Times New Roman"/>
                      <w:color w:val="0000FF"/>
                      <w:lang w:val="en-US" w:eastAsia="zh-CN"/>
                    </w:rPr>
                  </w:pPr>
                  <w:r>
                    <w:rPr>
                      <w:rFonts w:hint="eastAsia" w:cs="Times New Roman"/>
                      <w:color w:val="0000FF"/>
                      <w:lang w:val="en-US" w:eastAsia="zh-CN"/>
                    </w:rPr>
                    <w:t>0.70</w:t>
                  </w:r>
                </w:p>
              </w:tc>
              <w:tc>
                <w:tcPr>
                  <w:tcW w:w="1093" w:type="pct"/>
                  <w:tcBorders>
                    <w:top w:val="single" w:color="auto" w:sz="4" w:space="0"/>
                    <w:left w:val="single" w:color="auto" w:sz="12" w:space="0"/>
                    <w:bottom w:val="single" w:color="auto" w:sz="12" w:space="0"/>
                    <w:right w:val="single" w:color="auto" w:sz="4" w:space="0"/>
                  </w:tcBorders>
                  <w:shd w:val="clear" w:color="auto" w:fill="auto"/>
                  <w:noWrap w:val="0"/>
                  <w:vAlign w:val="center"/>
                </w:tcPr>
                <w:p w14:paraId="6615389B">
                  <w:pPr>
                    <w:adjustRightInd w:val="0"/>
                    <w:snapToGrid w:val="0"/>
                    <w:jc w:val="center"/>
                    <w:rPr>
                      <w:rFonts w:hint="default" w:ascii="Times New Roman" w:hAnsi="Times New Roman" w:eastAsia="宋体" w:cs="Times New Roman"/>
                      <w:color w:val="0000FF"/>
                      <w:lang w:val="en-US" w:eastAsia="zh-CN"/>
                    </w:rPr>
                  </w:pPr>
                  <w:r>
                    <w:rPr>
                      <w:rFonts w:hint="eastAsia" w:cs="Times New Roman"/>
                      <w:color w:val="0000FF"/>
                      <w:lang w:val="en-US" w:eastAsia="zh-CN"/>
                    </w:rPr>
                    <w:t>合计</w:t>
                  </w:r>
                </w:p>
              </w:tc>
              <w:tc>
                <w:tcPr>
                  <w:tcW w:w="759" w:type="pct"/>
                  <w:tcBorders>
                    <w:top w:val="single" w:color="auto" w:sz="4" w:space="0"/>
                    <w:left w:val="single" w:color="auto" w:sz="4" w:space="0"/>
                    <w:bottom w:val="single" w:color="auto" w:sz="12" w:space="0"/>
                  </w:tcBorders>
                  <w:noWrap w:val="0"/>
                  <w:vAlign w:val="center"/>
                </w:tcPr>
                <w:p w14:paraId="6D6E4967">
                  <w:pPr>
                    <w:adjustRightInd w:val="0"/>
                    <w:snapToGrid w:val="0"/>
                    <w:jc w:val="center"/>
                    <w:rPr>
                      <w:rFonts w:hint="eastAsia" w:ascii="Times New Roman" w:hAnsi="Times New Roman" w:eastAsia="宋体" w:cs="Times New Roman"/>
                      <w:color w:val="0000FF"/>
                      <w:lang w:val="en-US" w:eastAsia="zh-CN"/>
                    </w:rPr>
                  </w:pPr>
                  <w:r>
                    <w:rPr>
                      <w:rFonts w:hint="eastAsia" w:ascii="Times New Roman" w:hAnsi="Times New Roman" w:eastAsia="宋体" w:cs="Times New Roman"/>
                      <w:color w:val="0000FF"/>
                      <w:lang w:val="en-US" w:eastAsia="zh-CN"/>
                    </w:rPr>
                    <w:t>0.70</w:t>
                  </w:r>
                  <w:bookmarkStart w:id="14" w:name="_GoBack"/>
                  <w:bookmarkEnd w:id="14"/>
                </w:p>
              </w:tc>
            </w:tr>
          </w:tbl>
          <w:p w14:paraId="1D3D2E4D">
            <w:pPr>
              <w:keepNext w:val="0"/>
              <w:keepLines w:val="0"/>
              <w:pageBreakBefore w:val="0"/>
              <w:widowControl w:val="0"/>
              <w:kinsoku/>
              <w:wordWrap/>
              <w:overflowPunct/>
              <w:topLinePunct w:val="0"/>
              <w:autoSpaceDE/>
              <w:autoSpaceDN/>
              <w:bidi w:val="0"/>
              <w:adjustRightInd/>
              <w:snapToGrid/>
              <w:spacing w:before="95" w:beforeLines="30" w:line="360" w:lineRule="auto"/>
              <w:ind w:firstLine="420" w:firstLineChars="200"/>
              <w:textAlignment w:val="auto"/>
              <w:rPr>
                <w:rFonts w:hint="default" w:ascii="Times New Roman" w:hAnsi="Times New Roman" w:eastAsia="宋体" w:cs="Times New Roman"/>
                <w:color w:val="0000FF"/>
                <w:sz w:val="21"/>
                <w:szCs w:val="21"/>
                <w:lang w:val="en-US" w:eastAsia="zh-CN"/>
              </w:rPr>
            </w:pPr>
            <w:r>
              <w:rPr>
                <w:rFonts w:hint="eastAsia" w:cs="Times New Roman"/>
                <w:color w:val="0000FF"/>
                <w:sz w:val="21"/>
                <w:szCs w:val="21"/>
                <w:lang w:val="en-US" w:eastAsia="zh-CN"/>
              </w:rPr>
              <w:t>注：由表2-4，水性漆不含甲苯、二甲苯。</w:t>
            </w:r>
          </w:p>
          <w:p w14:paraId="51FF65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w:t>
            </w:r>
            <w:r>
              <w:rPr>
                <w:rFonts w:hint="eastAsia" w:cs="Times New Roman"/>
                <w:color w:val="auto"/>
                <w:sz w:val="24"/>
                <w:lang w:val="en-US" w:eastAsia="zh-CN"/>
              </w:rPr>
              <w:t>4</w:t>
            </w:r>
            <w:r>
              <w:rPr>
                <w:rFonts w:hint="eastAsia" w:ascii="Times New Roman" w:hAnsi="Times New Roman" w:eastAsia="宋体" w:cs="Times New Roman"/>
                <w:color w:val="auto"/>
                <w:sz w:val="24"/>
                <w:lang w:val="en-US" w:eastAsia="zh-CN"/>
              </w:rPr>
              <w:t>）原辅料及能源消耗</w:t>
            </w:r>
          </w:p>
          <w:p w14:paraId="768DDC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本项目</w:t>
            </w:r>
            <w:r>
              <w:rPr>
                <w:rFonts w:ascii="Times New Roman" w:hAnsi="Times New Roman" w:eastAsia="宋体" w:cs="Times New Roman"/>
                <w:color w:val="auto"/>
                <w:sz w:val="24"/>
              </w:rPr>
              <w:t>主要原辅材料及能源消耗详见表</w:t>
            </w:r>
            <w:r>
              <w:rPr>
                <w:rFonts w:hint="eastAsia" w:ascii="Times New Roman" w:hAnsi="Times New Roman" w:eastAsia="宋体" w:cs="Times New Roman"/>
                <w:color w:val="auto"/>
                <w:sz w:val="24"/>
                <w:lang w:val="en-US" w:eastAsia="zh-CN"/>
              </w:rPr>
              <w:t>2-</w:t>
            </w:r>
            <w:r>
              <w:rPr>
                <w:rFonts w:hint="eastAsia" w:cs="Times New Roman"/>
                <w:color w:val="auto"/>
                <w:sz w:val="24"/>
                <w:lang w:val="en-US" w:eastAsia="zh-CN"/>
              </w:rPr>
              <w:t>10</w:t>
            </w:r>
            <w:r>
              <w:rPr>
                <w:rFonts w:ascii="Times New Roman" w:hAnsi="Times New Roman" w:eastAsia="宋体" w:cs="Times New Roman"/>
                <w:color w:val="auto"/>
                <w:sz w:val="24"/>
              </w:rPr>
              <w:t>。</w:t>
            </w:r>
          </w:p>
          <w:p w14:paraId="6A72A234">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2-</w:t>
            </w:r>
            <w:r>
              <w:rPr>
                <w:rFonts w:hint="eastAsia" w:cs="Times New Roman"/>
                <w:b/>
                <w:bCs/>
                <w:color w:val="auto"/>
                <w:lang w:val="en-US" w:eastAsia="zh-CN"/>
              </w:rPr>
              <w:t>10</w:t>
            </w:r>
            <w:r>
              <w:rPr>
                <w:rFonts w:hint="default" w:ascii="Times New Roman" w:hAnsi="Times New Roman" w:eastAsia="宋体" w:cs="Times New Roman"/>
                <w:b/>
                <w:bCs/>
                <w:color w:val="auto"/>
              </w:rPr>
              <w:t xml:space="preserve"> 主要原辅材料及能源消耗一览表</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28"/>
              <w:gridCol w:w="834"/>
              <w:gridCol w:w="2194"/>
              <w:gridCol w:w="1160"/>
              <w:gridCol w:w="1160"/>
              <w:gridCol w:w="1989"/>
            </w:tblGrid>
            <w:tr w14:paraId="0C4E12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51" w:type="pct"/>
                  <w:tcBorders>
                    <w:bottom w:val="single" w:color="auto" w:sz="12" w:space="0"/>
                  </w:tcBorders>
                  <w:noWrap w:val="0"/>
                  <w:vAlign w:val="center"/>
                </w:tcPr>
                <w:p w14:paraId="03986DDB">
                  <w:pPr>
                    <w:adjustRightInd w:val="0"/>
                    <w:snapToGrid w:val="0"/>
                    <w:jc w:val="center"/>
                    <w:rPr>
                      <w:b/>
                      <w:bCs/>
                      <w:color w:val="auto"/>
                    </w:rPr>
                  </w:pPr>
                  <w:r>
                    <w:rPr>
                      <w:b/>
                      <w:bCs/>
                      <w:color w:val="auto"/>
                    </w:rPr>
                    <w:t>序号</w:t>
                  </w:r>
                </w:p>
              </w:tc>
              <w:tc>
                <w:tcPr>
                  <w:tcW w:w="1877" w:type="pct"/>
                  <w:gridSpan w:val="2"/>
                  <w:tcBorders>
                    <w:bottom w:val="single" w:color="auto" w:sz="12" w:space="0"/>
                  </w:tcBorders>
                  <w:noWrap w:val="0"/>
                  <w:vAlign w:val="center"/>
                </w:tcPr>
                <w:p w14:paraId="4533C78F">
                  <w:pPr>
                    <w:adjustRightInd w:val="0"/>
                    <w:snapToGrid w:val="0"/>
                    <w:jc w:val="center"/>
                    <w:rPr>
                      <w:b/>
                      <w:bCs/>
                      <w:color w:val="auto"/>
                    </w:rPr>
                  </w:pPr>
                  <w:r>
                    <w:rPr>
                      <w:b/>
                      <w:bCs/>
                      <w:color w:val="auto"/>
                    </w:rPr>
                    <w:t>名称</w:t>
                  </w:r>
                </w:p>
              </w:tc>
              <w:tc>
                <w:tcPr>
                  <w:tcW w:w="719" w:type="pct"/>
                  <w:tcBorders>
                    <w:bottom w:val="single" w:color="auto" w:sz="12" w:space="0"/>
                  </w:tcBorders>
                  <w:noWrap w:val="0"/>
                  <w:vAlign w:val="center"/>
                </w:tcPr>
                <w:p w14:paraId="2A5EFDC4">
                  <w:pPr>
                    <w:adjustRightInd w:val="0"/>
                    <w:snapToGrid w:val="0"/>
                    <w:jc w:val="center"/>
                    <w:rPr>
                      <w:b/>
                      <w:bCs/>
                      <w:color w:val="auto"/>
                    </w:rPr>
                  </w:pPr>
                  <w:r>
                    <w:rPr>
                      <w:b/>
                      <w:bCs/>
                      <w:color w:val="auto"/>
                    </w:rPr>
                    <w:t>单位</w:t>
                  </w:r>
                </w:p>
              </w:tc>
              <w:tc>
                <w:tcPr>
                  <w:tcW w:w="719" w:type="pct"/>
                  <w:tcBorders>
                    <w:bottom w:val="single" w:color="auto" w:sz="12" w:space="0"/>
                  </w:tcBorders>
                  <w:noWrap w:val="0"/>
                  <w:vAlign w:val="center"/>
                </w:tcPr>
                <w:p w14:paraId="7B68A337">
                  <w:pPr>
                    <w:adjustRightInd w:val="0"/>
                    <w:snapToGrid w:val="0"/>
                    <w:jc w:val="center"/>
                    <w:rPr>
                      <w:b/>
                      <w:bCs/>
                      <w:color w:val="auto"/>
                    </w:rPr>
                  </w:pPr>
                  <w:r>
                    <w:rPr>
                      <w:b/>
                      <w:bCs/>
                      <w:color w:val="auto"/>
                    </w:rPr>
                    <w:t>消耗量</w:t>
                  </w:r>
                </w:p>
              </w:tc>
              <w:tc>
                <w:tcPr>
                  <w:tcW w:w="1233" w:type="pct"/>
                  <w:tcBorders>
                    <w:bottom w:val="single" w:color="auto" w:sz="12" w:space="0"/>
                  </w:tcBorders>
                  <w:noWrap w:val="0"/>
                  <w:vAlign w:val="center"/>
                </w:tcPr>
                <w:p w14:paraId="6A9B74AD">
                  <w:pPr>
                    <w:adjustRightInd w:val="0"/>
                    <w:snapToGrid w:val="0"/>
                    <w:jc w:val="center"/>
                    <w:rPr>
                      <w:b/>
                      <w:bCs/>
                      <w:color w:val="auto"/>
                    </w:rPr>
                  </w:pPr>
                  <w:r>
                    <w:rPr>
                      <w:b/>
                      <w:bCs/>
                      <w:color w:val="auto"/>
                    </w:rPr>
                    <w:t>备注</w:t>
                  </w:r>
                </w:p>
              </w:tc>
            </w:tr>
            <w:tr w14:paraId="1520C4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 w:type="pct"/>
                  <w:tcBorders>
                    <w:top w:val="single" w:color="auto" w:sz="12" w:space="0"/>
                  </w:tcBorders>
                  <w:noWrap w:val="0"/>
                  <w:vAlign w:val="center"/>
                </w:tcPr>
                <w:p w14:paraId="530393EB">
                  <w:pPr>
                    <w:adjustRightInd w:val="0"/>
                    <w:snapToGrid w:val="0"/>
                    <w:jc w:val="center"/>
                    <w:rPr>
                      <w:color w:val="auto"/>
                    </w:rPr>
                  </w:pPr>
                  <w:r>
                    <w:rPr>
                      <w:color w:val="auto"/>
                    </w:rPr>
                    <w:t>1</w:t>
                  </w:r>
                </w:p>
              </w:tc>
              <w:tc>
                <w:tcPr>
                  <w:tcW w:w="517" w:type="pct"/>
                  <w:tcBorders>
                    <w:top w:val="single" w:color="auto" w:sz="12" w:space="0"/>
                  </w:tcBorders>
                  <w:noWrap w:val="0"/>
                  <w:vAlign w:val="center"/>
                </w:tcPr>
                <w:p w14:paraId="6CC03FFE">
                  <w:pPr>
                    <w:adjustRightInd w:val="0"/>
                    <w:snapToGrid w:val="0"/>
                    <w:jc w:val="center"/>
                    <w:rPr>
                      <w:color w:val="auto"/>
                    </w:rPr>
                  </w:pPr>
                  <w:r>
                    <w:rPr>
                      <w:rFonts w:hint="eastAsia"/>
                      <w:color w:val="auto"/>
                    </w:rPr>
                    <w:t>原料</w:t>
                  </w:r>
                </w:p>
              </w:tc>
              <w:tc>
                <w:tcPr>
                  <w:tcW w:w="1360" w:type="pct"/>
                  <w:tcBorders>
                    <w:top w:val="single" w:color="auto" w:sz="12" w:space="0"/>
                  </w:tcBorders>
                  <w:noWrap w:val="0"/>
                  <w:vAlign w:val="center"/>
                </w:tcPr>
                <w:p w14:paraId="18E6D9AD">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钢材</w:t>
                  </w:r>
                </w:p>
              </w:tc>
              <w:tc>
                <w:tcPr>
                  <w:tcW w:w="719" w:type="pct"/>
                  <w:tcBorders>
                    <w:top w:val="single" w:color="auto" w:sz="12" w:space="0"/>
                  </w:tcBorders>
                  <w:noWrap w:val="0"/>
                  <w:vAlign w:val="center"/>
                </w:tcPr>
                <w:p w14:paraId="0D27768D">
                  <w:pPr>
                    <w:adjustRightInd w:val="0"/>
                    <w:snapToGrid w:val="0"/>
                    <w:jc w:val="center"/>
                    <w:rPr>
                      <w:color w:val="auto"/>
                    </w:rPr>
                  </w:pPr>
                  <w:r>
                    <w:rPr>
                      <w:color w:val="auto"/>
                    </w:rPr>
                    <w:t>t/a</w:t>
                  </w:r>
                </w:p>
              </w:tc>
              <w:tc>
                <w:tcPr>
                  <w:tcW w:w="719" w:type="pct"/>
                  <w:tcBorders>
                    <w:top w:val="single" w:color="auto" w:sz="12" w:space="0"/>
                  </w:tcBorders>
                  <w:noWrap w:val="0"/>
                  <w:vAlign w:val="center"/>
                </w:tcPr>
                <w:p w14:paraId="08E3BDFC">
                  <w:pPr>
                    <w:adjustRightInd w:val="0"/>
                    <w:snapToGrid w:val="0"/>
                    <w:jc w:val="center"/>
                    <w:rPr>
                      <w:rFonts w:hint="default" w:eastAsia="宋体"/>
                      <w:color w:val="auto"/>
                      <w:lang w:val="en-US" w:eastAsia="zh-CN"/>
                    </w:rPr>
                  </w:pPr>
                  <w:r>
                    <w:rPr>
                      <w:rFonts w:hint="eastAsia"/>
                      <w:color w:val="auto"/>
                      <w:lang w:val="en-US" w:eastAsia="zh-CN"/>
                    </w:rPr>
                    <w:t>20750</w:t>
                  </w:r>
                </w:p>
              </w:tc>
              <w:tc>
                <w:tcPr>
                  <w:tcW w:w="1233" w:type="pct"/>
                  <w:tcBorders>
                    <w:top w:val="single" w:color="auto" w:sz="12" w:space="0"/>
                  </w:tcBorders>
                  <w:noWrap w:val="0"/>
                  <w:vAlign w:val="center"/>
                </w:tcPr>
                <w:p w14:paraId="2F196E2C">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原料堆放区储存</w:t>
                  </w:r>
                </w:p>
              </w:tc>
            </w:tr>
            <w:tr w14:paraId="460D62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 w:type="pct"/>
                  <w:noWrap w:val="0"/>
                  <w:vAlign w:val="center"/>
                </w:tcPr>
                <w:p w14:paraId="7D054AC4">
                  <w:pPr>
                    <w:adjustRightInd w:val="0"/>
                    <w:snapToGrid w:val="0"/>
                    <w:jc w:val="center"/>
                    <w:rPr>
                      <w:rFonts w:hint="eastAsia" w:eastAsia="宋体"/>
                      <w:color w:val="auto"/>
                      <w:lang w:val="en-US" w:eastAsia="zh-CN"/>
                    </w:rPr>
                  </w:pPr>
                  <w:r>
                    <w:rPr>
                      <w:rFonts w:hint="eastAsia"/>
                      <w:color w:val="auto"/>
                      <w:lang w:val="en-US" w:eastAsia="zh-CN"/>
                    </w:rPr>
                    <w:t>2</w:t>
                  </w:r>
                </w:p>
              </w:tc>
              <w:tc>
                <w:tcPr>
                  <w:tcW w:w="517" w:type="pct"/>
                  <w:vMerge w:val="restart"/>
                  <w:noWrap w:val="0"/>
                  <w:vAlign w:val="center"/>
                </w:tcPr>
                <w:p w14:paraId="4FB474C6">
                  <w:pPr>
                    <w:adjustRightInd w:val="0"/>
                    <w:snapToGrid w:val="0"/>
                    <w:jc w:val="center"/>
                    <w:rPr>
                      <w:color w:val="auto"/>
                    </w:rPr>
                  </w:pPr>
                  <w:r>
                    <w:rPr>
                      <w:rFonts w:hint="eastAsia"/>
                      <w:color w:val="auto"/>
                    </w:rPr>
                    <w:t>辅料</w:t>
                  </w:r>
                </w:p>
              </w:tc>
              <w:tc>
                <w:tcPr>
                  <w:tcW w:w="1360" w:type="pct"/>
                  <w:noWrap w:val="0"/>
                  <w:vAlign w:val="center"/>
                </w:tcPr>
                <w:p w14:paraId="2799E0C3">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焊丝</w:t>
                  </w:r>
                </w:p>
              </w:tc>
              <w:tc>
                <w:tcPr>
                  <w:tcW w:w="719" w:type="pct"/>
                  <w:noWrap w:val="0"/>
                  <w:vAlign w:val="center"/>
                </w:tcPr>
                <w:p w14:paraId="5199F954">
                  <w:pPr>
                    <w:adjustRightInd w:val="0"/>
                    <w:snapToGrid w:val="0"/>
                    <w:jc w:val="center"/>
                    <w:rPr>
                      <w:color w:val="auto"/>
                    </w:rPr>
                  </w:pPr>
                  <w:r>
                    <w:rPr>
                      <w:color w:val="auto"/>
                    </w:rPr>
                    <w:t>t/a</w:t>
                  </w:r>
                </w:p>
              </w:tc>
              <w:tc>
                <w:tcPr>
                  <w:tcW w:w="719" w:type="pct"/>
                  <w:noWrap w:val="0"/>
                  <w:vAlign w:val="center"/>
                </w:tcPr>
                <w:p w14:paraId="74C4B46D">
                  <w:pPr>
                    <w:adjustRightInd w:val="0"/>
                    <w:snapToGrid w:val="0"/>
                    <w:jc w:val="center"/>
                    <w:rPr>
                      <w:rFonts w:hint="default" w:eastAsia="宋体"/>
                      <w:color w:val="auto"/>
                      <w:lang w:val="en-US" w:eastAsia="zh-CN"/>
                    </w:rPr>
                  </w:pPr>
                  <w:r>
                    <w:rPr>
                      <w:rFonts w:hint="eastAsia"/>
                      <w:color w:val="auto"/>
                      <w:lang w:val="en-US" w:eastAsia="zh-CN"/>
                    </w:rPr>
                    <w:t>60</w:t>
                  </w:r>
                </w:p>
              </w:tc>
              <w:tc>
                <w:tcPr>
                  <w:tcW w:w="1233" w:type="pct"/>
                  <w:noWrap w:val="0"/>
                  <w:vAlign w:val="center"/>
                </w:tcPr>
                <w:p w14:paraId="69AA1D79">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辅材配件区储存</w:t>
                  </w:r>
                </w:p>
              </w:tc>
            </w:tr>
            <w:tr w14:paraId="43C904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 w:type="pct"/>
                  <w:noWrap w:val="0"/>
                  <w:vAlign w:val="center"/>
                </w:tcPr>
                <w:p w14:paraId="7853F490">
                  <w:pPr>
                    <w:adjustRightInd w:val="0"/>
                    <w:snapToGrid w:val="0"/>
                    <w:jc w:val="center"/>
                    <w:rPr>
                      <w:rFonts w:hint="eastAsia" w:eastAsia="宋体"/>
                      <w:color w:val="auto"/>
                      <w:lang w:val="en-US" w:eastAsia="zh-CN"/>
                    </w:rPr>
                  </w:pPr>
                  <w:r>
                    <w:rPr>
                      <w:rFonts w:hint="eastAsia"/>
                      <w:color w:val="auto"/>
                      <w:lang w:val="en-US" w:eastAsia="zh-CN"/>
                    </w:rPr>
                    <w:t>3</w:t>
                  </w:r>
                </w:p>
              </w:tc>
              <w:tc>
                <w:tcPr>
                  <w:tcW w:w="517" w:type="pct"/>
                  <w:vMerge w:val="continue"/>
                  <w:noWrap w:val="0"/>
                  <w:vAlign w:val="center"/>
                </w:tcPr>
                <w:p w14:paraId="7C72496F">
                  <w:pPr>
                    <w:adjustRightInd w:val="0"/>
                    <w:snapToGrid w:val="0"/>
                    <w:jc w:val="center"/>
                    <w:rPr>
                      <w:rFonts w:hint="eastAsia"/>
                      <w:color w:val="auto"/>
                    </w:rPr>
                  </w:pPr>
                </w:p>
              </w:tc>
              <w:tc>
                <w:tcPr>
                  <w:tcW w:w="1360" w:type="pct"/>
                  <w:noWrap w:val="0"/>
                  <w:vAlign w:val="center"/>
                </w:tcPr>
                <w:p w14:paraId="50217CF6">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焊剂</w:t>
                  </w:r>
                </w:p>
              </w:tc>
              <w:tc>
                <w:tcPr>
                  <w:tcW w:w="719" w:type="pct"/>
                  <w:noWrap w:val="0"/>
                  <w:vAlign w:val="center"/>
                </w:tcPr>
                <w:p w14:paraId="2E5A2402">
                  <w:pPr>
                    <w:adjustRightInd w:val="0"/>
                    <w:snapToGrid w:val="0"/>
                    <w:jc w:val="center"/>
                    <w:rPr>
                      <w:color w:val="auto"/>
                      <w:kern w:val="2"/>
                      <w:sz w:val="21"/>
                      <w:szCs w:val="24"/>
                      <w:lang w:val="en-US" w:eastAsia="zh-CN" w:bidi="ar-SA"/>
                    </w:rPr>
                  </w:pPr>
                  <w:r>
                    <w:rPr>
                      <w:color w:val="auto"/>
                    </w:rPr>
                    <w:t>t/a</w:t>
                  </w:r>
                </w:p>
              </w:tc>
              <w:tc>
                <w:tcPr>
                  <w:tcW w:w="719" w:type="pct"/>
                  <w:noWrap w:val="0"/>
                  <w:vAlign w:val="center"/>
                </w:tcPr>
                <w:p w14:paraId="5AC3CF44">
                  <w:pPr>
                    <w:adjustRightInd w:val="0"/>
                    <w:snapToGrid w:val="0"/>
                    <w:jc w:val="center"/>
                    <w:rPr>
                      <w:rFonts w:hint="eastAsia" w:eastAsia="宋体"/>
                      <w:color w:val="auto"/>
                      <w:kern w:val="2"/>
                      <w:sz w:val="21"/>
                      <w:szCs w:val="24"/>
                      <w:lang w:val="en-US" w:eastAsia="zh-CN" w:bidi="ar-SA"/>
                    </w:rPr>
                  </w:pPr>
                  <w:r>
                    <w:rPr>
                      <w:rFonts w:hint="eastAsia"/>
                      <w:color w:val="auto"/>
                      <w:lang w:val="en-US" w:eastAsia="zh-CN"/>
                    </w:rPr>
                    <w:t>5</w:t>
                  </w:r>
                </w:p>
              </w:tc>
              <w:tc>
                <w:tcPr>
                  <w:tcW w:w="1233" w:type="pct"/>
                  <w:noWrap w:val="0"/>
                  <w:vAlign w:val="center"/>
                </w:tcPr>
                <w:p w14:paraId="50AF9106">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辅材配件区储存</w:t>
                  </w:r>
                </w:p>
              </w:tc>
            </w:tr>
            <w:tr w14:paraId="72795A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 w:type="pct"/>
                  <w:noWrap w:val="0"/>
                  <w:vAlign w:val="center"/>
                </w:tcPr>
                <w:p w14:paraId="2D791DEF">
                  <w:pPr>
                    <w:adjustRightInd w:val="0"/>
                    <w:snapToGrid w:val="0"/>
                    <w:jc w:val="center"/>
                    <w:rPr>
                      <w:rFonts w:hint="default"/>
                      <w:color w:val="auto"/>
                      <w:kern w:val="2"/>
                      <w:sz w:val="21"/>
                      <w:szCs w:val="24"/>
                      <w:lang w:val="en-US" w:eastAsia="zh-CN" w:bidi="ar-SA"/>
                    </w:rPr>
                  </w:pPr>
                  <w:r>
                    <w:rPr>
                      <w:rFonts w:hint="eastAsia"/>
                      <w:color w:val="auto"/>
                      <w:kern w:val="2"/>
                      <w:sz w:val="21"/>
                      <w:szCs w:val="24"/>
                      <w:lang w:val="en-US" w:eastAsia="zh-CN" w:bidi="ar-SA"/>
                    </w:rPr>
                    <w:t>4</w:t>
                  </w:r>
                </w:p>
              </w:tc>
              <w:tc>
                <w:tcPr>
                  <w:tcW w:w="517" w:type="pct"/>
                  <w:vMerge w:val="continue"/>
                  <w:noWrap w:val="0"/>
                  <w:vAlign w:val="center"/>
                </w:tcPr>
                <w:p w14:paraId="4F6F204F">
                  <w:pPr>
                    <w:adjustRightInd w:val="0"/>
                    <w:snapToGrid w:val="0"/>
                    <w:jc w:val="center"/>
                    <w:rPr>
                      <w:color w:val="auto"/>
                    </w:rPr>
                  </w:pPr>
                </w:p>
              </w:tc>
              <w:tc>
                <w:tcPr>
                  <w:tcW w:w="1360" w:type="pct"/>
                  <w:noWrap w:val="0"/>
                  <w:vAlign w:val="center"/>
                </w:tcPr>
                <w:p w14:paraId="2C1BB5A6">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钢丸</w:t>
                  </w:r>
                </w:p>
              </w:tc>
              <w:tc>
                <w:tcPr>
                  <w:tcW w:w="719" w:type="pct"/>
                  <w:noWrap w:val="0"/>
                  <w:vAlign w:val="center"/>
                </w:tcPr>
                <w:p w14:paraId="3DE3E96E">
                  <w:pPr>
                    <w:adjustRightInd w:val="0"/>
                    <w:snapToGrid w:val="0"/>
                    <w:jc w:val="center"/>
                    <w:rPr>
                      <w:color w:val="auto"/>
                    </w:rPr>
                  </w:pPr>
                  <w:r>
                    <w:rPr>
                      <w:color w:val="auto"/>
                    </w:rPr>
                    <w:t>t/a</w:t>
                  </w:r>
                </w:p>
              </w:tc>
              <w:tc>
                <w:tcPr>
                  <w:tcW w:w="719" w:type="pct"/>
                  <w:noWrap w:val="0"/>
                  <w:vAlign w:val="center"/>
                </w:tcPr>
                <w:p w14:paraId="0D1E1576">
                  <w:pPr>
                    <w:adjustRightInd w:val="0"/>
                    <w:snapToGrid w:val="0"/>
                    <w:jc w:val="center"/>
                    <w:rPr>
                      <w:rFonts w:hint="default" w:eastAsia="宋体"/>
                      <w:color w:val="auto"/>
                      <w:lang w:val="en-US" w:eastAsia="zh-CN"/>
                    </w:rPr>
                  </w:pPr>
                  <w:r>
                    <w:rPr>
                      <w:rFonts w:hint="eastAsia"/>
                      <w:color w:val="auto"/>
                      <w:lang w:val="en-US" w:eastAsia="zh-CN"/>
                    </w:rPr>
                    <w:t>30</w:t>
                  </w:r>
                </w:p>
              </w:tc>
              <w:tc>
                <w:tcPr>
                  <w:tcW w:w="1233" w:type="pct"/>
                  <w:noWrap w:val="0"/>
                  <w:vAlign w:val="center"/>
                </w:tcPr>
                <w:p w14:paraId="08E2A1AF">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辅材配件区储存</w:t>
                  </w:r>
                </w:p>
              </w:tc>
            </w:tr>
            <w:tr w14:paraId="6A8074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 w:type="pct"/>
                  <w:shd w:val="clear" w:color="auto" w:fill="auto"/>
                  <w:noWrap w:val="0"/>
                  <w:vAlign w:val="center"/>
                </w:tcPr>
                <w:p w14:paraId="0CDCF744">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color w:val="auto"/>
                      <w:kern w:val="2"/>
                      <w:sz w:val="21"/>
                      <w:szCs w:val="24"/>
                      <w:lang w:val="en-US" w:eastAsia="zh-CN" w:bidi="ar-SA"/>
                    </w:rPr>
                    <w:t>5</w:t>
                  </w:r>
                </w:p>
              </w:tc>
              <w:tc>
                <w:tcPr>
                  <w:tcW w:w="517" w:type="pct"/>
                  <w:vMerge w:val="continue"/>
                  <w:noWrap w:val="0"/>
                  <w:vAlign w:val="center"/>
                </w:tcPr>
                <w:p w14:paraId="17F02005">
                  <w:pPr>
                    <w:adjustRightInd w:val="0"/>
                    <w:snapToGrid w:val="0"/>
                    <w:jc w:val="center"/>
                    <w:rPr>
                      <w:color w:val="auto"/>
                    </w:rPr>
                  </w:pPr>
                </w:p>
              </w:tc>
              <w:tc>
                <w:tcPr>
                  <w:tcW w:w="1360" w:type="pct"/>
                  <w:shd w:val="clear" w:color="auto" w:fill="auto"/>
                  <w:noWrap w:val="0"/>
                  <w:vAlign w:val="center"/>
                </w:tcPr>
                <w:p w14:paraId="2A6EB671">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氧气</w:t>
                  </w:r>
                </w:p>
              </w:tc>
              <w:tc>
                <w:tcPr>
                  <w:tcW w:w="719" w:type="pct"/>
                  <w:shd w:val="clear" w:color="auto" w:fill="auto"/>
                  <w:noWrap w:val="0"/>
                  <w:vAlign w:val="center"/>
                </w:tcPr>
                <w:p w14:paraId="4838CDBD">
                  <w:pPr>
                    <w:adjustRightInd w:val="0"/>
                    <w:snapToGrid w:val="0"/>
                    <w:jc w:val="center"/>
                    <w:rPr>
                      <w:rFonts w:ascii="Times New Roman" w:hAnsi="Times New Roman" w:eastAsia="宋体" w:cs="Times New Roman"/>
                      <w:color w:val="auto"/>
                      <w:kern w:val="2"/>
                      <w:sz w:val="21"/>
                      <w:szCs w:val="24"/>
                      <w:lang w:val="en-US" w:eastAsia="zh-CN" w:bidi="ar-SA"/>
                    </w:rPr>
                  </w:pPr>
                  <w:r>
                    <w:rPr>
                      <w:rFonts w:hint="eastAsia"/>
                      <w:color w:val="auto"/>
                    </w:rPr>
                    <w:t>瓶</w:t>
                  </w:r>
                  <w:r>
                    <w:rPr>
                      <w:color w:val="auto"/>
                    </w:rPr>
                    <w:t>/a</w:t>
                  </w:r>
                </w:p>
              </w:tc>
              <w:tc>
                <w:tcPr>
                  <w:tcW w:w="719" w:type="pct"/>
                  <w:shd w:val="clear" w:color="auto" w:fill="auto"/>
                  <w:noWrap w:val="0"/>
                  <w:vAlign w:val="center"/>
                </w:tcPr>
                <w:p w14:paraId="25CF223E">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color w:val="auto"/>
                    </w:rPr>
                    <w:t>1500</w:t>
                  </w:r>
                </w:p>
              </w:tc>
              <w:tc>
                <w:tcPr>
                  <w:tcW w:w="1233" w:type="pct"/>
                  <w:shd w:val="clear" w:color="auto" w:fill="auto"/>
                  <w:noWrap w:val="0"/>
                  <w:vAlign w:val="center"/>
                </w:tcPr>
                <w:p w14:paraId="78D37177">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气瓶放置区</w:t>
                  </w:r>
                  <w:r>
                    <w:rPr>
                      <w:rFonts w:hint="eastAsia" w:ascii="Times New Roman" w:hAnsi="Times New Roman" w:eastAsia="宋体" w:cs="Times New Roman"/>
                      <w:color w:val="auto"/>
                      <w:lang w:val="en-US" w:eastAsia="zh-CN"/>
                    </w:rPr>
                    <w:t>储存</w:t>
                  </w:r>
                </w:p>
              </w:tc>
            </w:tr>
            <w:tr w14:paraId="47A79D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451" w:type="pct"/>
                  <w:shd w:val="clear" w:color="auto" w:fill="auto"/>
                  <w:noWrap w:val="0"/>
                  <w:vAlign w:val="center"/>
                </w:tcPr>
                <w:p w14:paraId="3C8767EB">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color w:val="auto"/>
                      <w:kern w:val="2"/>
                      <w:sz w:val="21"/>
                      <w:szCs w:val="24"/>
                      <w:lang w:val="en-US" w:eastAsia="zh-CN" w:bidi="ar-SA"/>
                    </w:rPr>
                    <w:t>6</w:t>
                  </w:r>
                </w:p>
              </w:tc>
              <w:tc>
                <w:tcPr>
                  <w:tcW w:w="517" w:type="pct"/>
                  <w:vMerge w:val="continue"/>
                  <w:noWrap w:val="0"/>
                  <w:vAlign w:val="center"/>
                </w:tcPr>
                <w:p w14:paraId="3F56F9B0">
                  <w:pPr>
                    <w:adjustRightInd w:val="0"/>
                    <w:snapToGrid w:val="0"/>
                    <w:jc w:val="center"/>
                    <w:rPr>
                      <w:color w:val="auto"/>
                    </w:rPr>
                  </w:pPr>
                </w:p>
              </w:tc>
              <w:tc>
                <w:tcPr>
                  <w:tcW w:w="1360" w:type="pct"/>
                  <w:shd w:val="clear" w:color="auto" w:fill="auto"/>
                  <w:noWrap w:val="0"/>
                  <w:vAlign w:val="center"/>
                </w:tcPr>
                <w:p w14:paraId="4582785E">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二氧化碳</w:t>
                  </w:r>
                </w:p>
              </w:tc>
              <w:tc>
                <w:tcPr>
                  <w:tcW w:w="719" w:type="pct"/>
                  <w:shd w:val="clear" w:color="auto" w:fill="auto"/>
                  <w:noWrap w:val="0"/>
                  <w:vAlign w:val="center"/>
                </w:tcPr>
                <w:p w14:paraId="40055D0C">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color w:val="auto"/>
                    </w:rPr>
                    <w:t>瓶</w:t>
                  </w:r>
                  <w:r>
                    <w:rPr>
                      <w:color w:val="auto"/>
                    </w:rPr>
                    <w:t>/a</w:t>
                  </w:r>
                </w:p>
              </w:tc>
              <w:tc>
                <w:tcPr>
                  <w:tcW w:w="719" w:type="pct"/>
                  <w:shd w:val="clear" w:color="auto" w:fill="auto"/>
                  <w:noWrap w:val="0"/>
                  <w:vAlign w:val="center"/>
                </w:tcPr>
                <w:p w14:paraId="2E940316">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color w:val="auto"/>
                    </w:rPr>
                    <w:t>2200</w:t>
                  </w:r>
                </w:p>
              </w:tc>
              <w:tc>
                <w:tcPr>
                  <w:tcW w:w="1233" w:type="pct"/>
                  <w:shd w:val="clear" w:color="auto" w:fill="auto"/>
                  <w:noWrap w:val="0"/>
                  <w:vAlign w:val="center"/>
                </w:tcPr>
                <w:p w14:paraId="4047EBE3">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气瓶放置区</w:t>
                  </w:r>
                  <w:r>
                    <w:rPr>
                      <w:rFonts w:hint="eastAsia" w:ascii="Times New Roman" w:hAnsi="Times New Roman" w:eastAsia="宋体" w:cs="Times New Roman"/>
                      <w:color w:val="auto"/>
                      <w:lang w:val="en-US" w:eastAsia="zh-CN"/>
                    </w:rPr>
                    <w:t>储存</w:t>
                  </w:r>
                </w:p>
              </w:tc>
            </w:tr>
            <w:tr w14:paraId="547835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 w:type="pct"/>
                  <w:shd w:val="clear" w:color="auto" w:fill="auto"/>
                  <w:noWrap w:val="0"/>
                  <w:vAlign w:val="center"/>
                </w:tcPr>
                <w:p w14:paraId="1BFAAAA5">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color w:val="auto"/>
                      <w:kern w:val="2"/>
                      <w:sz w:val="21"/>
                      <w:szCs w:val="24"/>
                      <w:lang w:val="en-US" w:eastAsia="zh-CN" w:bidi="ar-SA"/>
                    </w:rPr>
                    <w:t>7</w:t>
                  </w:r>
                </w:p>
              </w:tc>
              <w:tc>
                <w:tcPr>
                  <w:tcW w:w="517" w:type="pct"/>
                  <w:vMerge w:val="continue"/>
                  <w:noWrap w:val="0"/>
                  <w:vAlign w:val="center"/>
                </w:tcPr>
                <w:p w14:paraId="3B8BCEA0">
                  <w:pPr>
                    <w:adjustRightInd w:val="0"/>
                    <w:snapToGrid w:val="0"/>
                    <w:jc w:val="center"/>
                    <w:rPr>
                      <w:color w:val="auto"/>
                    </w:rPr>
                  </w:pPr>
                </w:p>
              </w:tc>
              <w:tc>
                <w:tcPr>
                  <w:tcW w:w="1360" w:type="pct"/>
                  <w:shd w:val="clear" w:color="auto" w:fill="auto"/>
                  <w:noWrap w:val="0"/>
                  <w:vAlign w:val="center"/>
                </w:tcPr>
                <w:p w14:paraId="06B5A7AD">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丙烷</w:t>
                  </w:r>
                </w:p>
              </w:tc>
              <w:tc>
                <w:tcPr>
                  <w:tcW w:w="719" w:type="pct"/>
                  <w:shd w:val="clear" w:color="auto" w:fill="auto"/>
                  <w:noWrap w:val="0"/>
                  <w:vAlign w:val="center"/>
                </w:tcPr>
                <w:p w14:paraId="18802BFA">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瓶/a</w:t>
                  </w:r>
                </w:p>
              </w:tc>
              <w:tc>
                <w:tcPr>
                  <w:tcW w:w="719" w:type="pct"/>
                  <w:shd w:val="clear" w:color="auto" w:fill="auto"/>
                  <w:noWrap w:val="0"/>
                  <w:vAlign w:val="center"/>
                </w:tcPr>
                <w:p w14:paraId="19A39269">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700</w:t>
                  </w:r>
                </w:p>
              </w:tc>
              <w:tc>
                <w:tcPr>
                  <w:tcW w:w="1233" w:type="pct"/>
                  <w:shd w:val="clear" w:color="auto" w:fill="auto"/>
                  <w:noWrap w:val="0"/>
                  <w:vAlign w:val="center"/>
                </w:tcPr>
                <w:p w14:paraId="1C90CC0C">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气瓶放置区</w:t>
                  </w:r>
                  <w:r>
                    <w:rPr>
                      <w:rFonts w:hint="eastAsia" w:ascii="Times New Roman" w:hAnsi="Times New Roman" w:eastAsia="宋体" w:cs="Times New Roman"/>
                      <w:color w:val="auto"/>
                      <w:lang w:val="en-US" w:eastAsia="zh-CN"/>
                    </w:rPr>
                    <w:t>储存</w:t>
                  </w:r>
                </w:p>
              </w:tc>
            </w:tr>
            <w:tr w14:paraId="33E705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 w:type="pct"/>
                  <w:shd w:val="clear" w:color="auto" w:fill="auto"/>
                  <w:noWrap w:val="0"/>
                  <w:vAlign w:val="center"/>
                </w:tcPr>
                <w:p w14:paraId="59D47762">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8</w:t>
                  </w:r>
                </w:p>
              </w:tc>
              <w:tc>
                <w:tcPr>
                  <w:tcW w:w="517" w:type="pct"/>
                  <w:vMerge w:val="continue"/>
                  <w:noWrap w:val="0"/>
                  <w:vAlign w:val="center"/>
                </w:tcPr>
                <w:p w14:paraId="5067EF4E">
                  <w:pPr>
                    <w:adjustRightInd w:val="0"/>
                    <w:snapToGrid w:val="0"/>
                    <w:jc w:val="center"/>
                    <w:rPr>
                      <w:color w:val="auto"/>
                    </w:rPr>
                  </w:pPr>
                </w:p>
              </w:tc>
              <w:tc>
                <w:tcPr>
                  <w:tcW w:w="1360" w:type="pct"/>
                  <w:shd w:val="clear" w:color="auto" w:fill="auto"/>
                  <w:noWrap w:val="0"/>
                  <w:vAlign w:val="center"/>
                </w:tcPr>
                <w:p w14:paraId="4721859D">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油性底漆</w:t>
                  </w:r>
                  <w:r>
                    <w:rPr>
                      <w:rFonts w:hint="eastAsia" w:ascii="Times New Roman" w:hAnsi="Times New Roman" w:eastAsia="宋体" w:cs="Times New Roman"/>
                      <w:color w:val="auto"/>
                      <w:lang w:val="en-US" w:eastAsia="zh-CN"/>
                    </w:rPr>
                    <w:t>（甲）</w:t>
                  </w:r>
                </w:p>
              </w:tc>
              <w:tc>
                <w:tcPr>
                  <w:tcW w:w="719" w:type="pct"/>
                  <w:shd w:val="clear" w:color="auto" w:fill="auto"/>
                  <w:noWrap w:val="0"/>
                  <w:vAlign w:val="center"/>
                </w:tcPr>
                <w:p w14:paraId="3C53323D">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t/a</w:t>
                  </w:r>
                </w:p>
              </w:tc>
              <w:tc>
                <w:tcPr>
                  <w:tcW w:w="719" w:type="pct"/>
                  <w:shd w:val="clear" w:color="auto" w:fill="auto"/>
                  <w:noWrap w:val="0"/>
                  <w:vAlign w:val="center"/>
                </w:tcPr>
                <w:p w14:paraId="2A9C45EF">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3.31</w:t>
                  </w:r>
                </w:p>
              </w:tc>
              <w:tc>
                <w:tcPr>
                  <w:tcW w:w="1233" w:type="pct"/>
                  <w:shd w:val="clear" w:color="auto" w:fill="auto"/>
                  <w:noWrap w:val="0"/>
                  <w:vAlign w:val="center"/>
                </w:tcPr>
                <w:p w14:paraId="202C63B1">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油漆库</w:t>
                  </w:r>
                  <w:r>
                    <w:rPr>
                      <w:rFonts w:hint="eastAsia" w:ascii="Times New Roman" w:hAnsi="Times New Roman" w:eastAsia="宋体" w:cs="Times New Roman"/>
                      <w:color w:val="auto"/>
                      <w:lang w:val="en-US" w:eastAsia="zh-CN"/>
                    </w:rPr>
                    <w:t>储存</w:t>
                  </w:r>
                </w:p>
              </w:tc>
            </w:tr>
            <w:tr w14:paraId="3CDCCE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 w:type="pct"/>
                  <w:shd w:val="clear" w:color="auto" w:fill="auto"/>
                  <w:noWrap w:val="0"/>
                  <w:vAlign w:val="center"/>
                </w:tcPr>
                <w:p w14:paraId="4923ACED">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9</w:t>
                  </w:r>
                </w:p>
              </w:tc>
              <w:tc>
                <w:tcPr>
                  <w:tcW w:w="517" w:type="pct"/>
                  <w:vMerge w:val="continue"/>
                  <w:noWrap w:val="0"/>
                  <w:vAlign w:val="center"/>
                </w:tcPr>
                <w:p w14:paraId="58BCD4D6">
                  <w:pPr>
                    <w:adjustRightInd w:val="0"/>
                    <w:snapToGrid w:val="0"/>
                    <w:jc w:val="center"/>
                    <w:rPr>
                      <w:color w:val="auto"/>
                    </w:rPr>
                  </w:pPr>
                </w:p>
              </w:tc>
              <w:tc>
                <w:tcPr>
                  <w:tcW w:w="1360" w:type="pct"/>
                  <w:shd w:val="clear" w:color="auto" w:fill="auto"/>
                  <w:noWrap w:val="0"/>
                  <w:vAlign w:val="center"/>
                </w:tcPr>
                <w:p w14:paraId="455393EE">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底漆</w:t>
                  </w:r>
                  <w:r>
                    <w:rPr>
                      <w:rFonts w:hint="default" w:ascii="Times New Roman" w:hAnsi="Times New Roman" w:eastAsia="宋体" w:cs="Times New Roman"/>
                      <w:color w:val="auto"/>
                      <w:lang w:val="en-US" w:eastAsia="zh-CN"/>
                    </w:rPr>
                    <w:t>固化剂</w:t>
                  </w:r>
                  <w:r>
                    <w:rPr>
                      <w:rFonts w:hint="eastAsia" w:ascii="Times New Roman" w:hAnsi="Times New Roman" w:eastAsia="宋体" w:cs="Times New Roman"/>
                      <w:color w:val="auto"/>
                      <w:lang w:val="en-US" w:eastAsia="zh-CN"/>
                    </w:rPr>
                    <w:t>（乙）</w:t>
                  </w:r>
                </w:p>
              </w:tc>
              <w:tc>
                <w:tcPr>
                  <w:tcW w:w="719" w:type="pct"/>
                  <w:shd w:val="clear" w:color="auto" w:fill="auto"/>
                  <w:noWrap w:val="0"/>
                  <w:vAlign w:val="center"/>
                </w:tcPr>
                <w:p w14:paraId="3224BC25">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t/a</w:t>
                  </w:r>
                </w:p>
              </w:tc>
              <w:tc>
                <w:tcPr>
                  <w:tcW w:w="719" w:type="pct"/>
                  <w:shd w:val="clear" w:color="auto" w:fill="auto"/>
                  <w:noWrap w:val="0"/>
                  <w:vAlign w:val="center"/>
                </w:tcPr>
                <w:p w14:paraId="3CA39D60">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0.33</w:t>
                  </w:r>
                </w:p>
              </w:tc>
              <w:tc>
                <w:tcPr>
                  <w:tcW w:w="1233" w:type="pct"/>
                  <w:shd w:val="clear" w:color="auto" w:fill="auto"/>
                  <w:noWrap w:val="0"/>
                  <w:vAlign w:val="center"/>
                </w:tcPr>
                <w:p w14:paraId="109FEE0E">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油漆库</w:t>
                  </w:r>
                  <w:r>
                    <w:rPr>
                      <w:rFonts w:hint="eastAsia" w:ascii="Times New Roman" w:hAnsi="Times New Roman" w:eastAsia="宋体" w:cs="Times New Roman"/>
                      <w:color w:val="auto"/>
                      <w:lang w:val="en-US" w:eastAsia="zh-CN"/>
                    </w:rPr>
                    <w:t>储存</w:t>
                  </w:r>
                </w:p>
              </w:tc>
            </w:tr>
            <w:tr w14:paraId="64FA8A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 w:type="pct"/>
                  <w:shd w:val="clear" w:color="auto" w:fill="auto"/>
                  <w:noWrap w:val="0"/>
                  <w:vAlign w:val="center"/>
                </w:tcPr>
                <w:p w14:paraId="315F6858">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10</w:t>
                  </w:r>
                </w:p>
              </w:tc>
              <w:tc>
                <w:tcPr>
                  <w:tcW w:w="517" w:type="pct"/>
                  <w:vMerge w:val="continue"/>
                  <w:noWrap w:val="0"/>
                  <w:vAlign w:val="center"/>
                </w:tcPr>
                <w:p w14:paraId="1492C832">
                  <w:pPr>
                    <w:adjustRightInd w:val="0"/>
                    <w:snapToGrid w:val="0"/>
                    <w:jc w:val="center"/>
                    <w:rPr>
                      <w:color w:val="auto"/>
                    </w:rPr>
                  </w:pPr>
                </w:p>
              </w:tc>
              <w:tc>
                <w:tcPr>
                  <w:tcW w:w="1360" w:type="pct"/>
                  <w:shd w:val="clear" w:color="auto" w:fill="auto"/>
                  <w:noWrap w:val="0"/>
                  <w:vAlign w:val="center"/>
                </w:tcPr>
                <w:p w14:paraId="3668DDD4">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油性</w:t>
                  </w:r>
                  <w:r>
                    <w:rPr>
                      <w:rFonts w:hint="eastAsia" w:ascii="Times New Roman" w:hAnsi="Times New Roman" w:eastAsia="宋体" w:cs="Times New Roman"/>
                      <w:color w:val="auto"/>
                      <w:lang w:val="en-US" w:eastAsia="zh-CN"/>
                    </w:rPr>
                    <w:t>中间</w:t>
                  </w:r>
                  <w:r>
                    <w:rPr>
                      <w:rFonts w:hint="default" w:ascii="Times New Roman" w:hAnsi="Times New Roman" w:eastAsia="宋体" w:cs="Times New Roman"/>
                      <w:color w:val="auto"/>
                      <w:lang w:val="en-US" w:eastAsia="zh-CN"/>
                    </w:rPr>
                    <w:t>漆</w:t>
                  </w:r>
                  <w:r>
                    <w:rPr>
                      <w:rFonts w:hint="eastAsia" w:ascii="Times New Roman" w:hAnsi="Times New Roman" w:eastAsia="宋体" w:cs="Times New Roman"/>
                      <w:color w:val="auto"/>
                      <w:lang w:val="en-US" w:eastAsia="zh-CN"/>
                    </w:rPr>
                    <w:t>（甲）</w:t>
                  </w:r>
                </w:p>
              </w:tc>
              <w:tc>
                <w:tcPr>
                  <w:tcW w:w="719" w:type="pct"/>
                  <w:shd w:val="clear" w:color="auto" w:fill="auto"/>
                  <w:noWrap w:val="0"/>
                  <w:vAlign w:val="center"/>
                </w:tcPr>
                <w:p w14:paraId="60473572">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t/a</w:t>
                  </w:r>
                </w:p>
              </w:tc>
              <w:tc>
                <w:tcPr>
                  <w:tcW w:w="719" w:type="pct"/>
                  <w:shd w:val="clear" w:color="auto" w:fill="auto"/>
                  <w:noWrap w:val="0"/>
                  <w:vAlign w:val="center"/>
                </w:tcPr>
                <w:p w14:paraId="61C4B2CF">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1.58</w:t>
                  </w:r>
                </w:p>
              </w:tc>
              <w:tc>
                <w:tcPr>
                  <w:tcW w:w="1233" w:type="pct"/>
                  <w:shd w:val="clear" w:color="auto" w:fill="auto"/>
                  <w:noWrap w:val="0"/>
                  <w:vAlign w:val="center"/>
                </w:tcPr>
                <w:p w14:paraId="011578A9">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油漆库</w:t>
                  </w:r>
                  <w:r>
                    <w:rPr>
                      <w:rFonts w:hint="eastAsia" w:ascii="Times New Roman" w:hAnsi="Times New Roman" w:eastAsia="宋体" w:cs="Times New Roman"/>
                      <w:color w:val="auto"/>
                      <w:lang w:val="en-US" w:eastAsia="zh-CN"/>
                    </w:rPr>
                    <w:t>储存</w:t>
                  </w:r>
                </w:p>
              </w:tc>
            </w:tr>
            <w:tr w14:paraId="35647F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 w:type="pct"/>
                  <w:shd w:val="clear" w:color="auto" w:fill="auto"/>
                  <w:noWrap w:val="0"/>
                  <w:vAlign w:val="center"/>
                </w:tcPr>
                <w:p w14:paraId="1B1CD25A">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11</w:t>
                  </w:r>
                </w:p>
              </w:tc>
              <w:tc>
                <w:tcPr>
                  <w:tcW w:w="517" w:type="pct"/>
                  <w:vMerge w:val="continue"/>
                  <w:noWrap w:val="0"/>
                  <w:vAlign w:val="center"/>
                </w:tcPr>
                <w:p w14:paraId="2B6BAAB4">
                  <w:pPr>
                    <w:adjustRightInd w:val="0"/>
                    <w:snapToGrid w:val="0"/>
                    <w:jc w:val="center"/>
                    <w:rPr>
                      <w:color w:val="auto"/>
                    </w:rPr>
                  </w:pPr>
                </w:p>
              </w:tc>
              <w:tc>
                <w:tcPr>
                  <w:tcW w:w="1360" w:type="pct"/>
                  <w:shd w:val="clear" w:color="auto" w:fill="auto"/>
                  <w:noWrap w:val="0"/>
                  <w:vAlign w:val="center"/>
                </w:tcPr>
                <w:p w14:paraId="06C58C90">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中间</w:t>
                  </w:r>
                  <w:r>
                    <w:rPr>
                      <w:rFonts w:hint="default" w:ascii="Times New Roman" w:hAnsi="Times New Roman" w:eastAsia="宋体" w:cs="Times New Roman"/>
                      <w:color w:val="auto"/>
                      <w:lang w:val="en-US" w:eastAsia="zh-CN"/>
                    </w:rPr>
                    <w:t>漆固化剂</w:t>
                  </w:r>
                  <w:r>
                    <w:rPr>
                      <w:rFonts w:hint="eastAsia" w:ascii="Times New Roman" w:hAnsi="Times New Roman" w:eastAsia="宋体" w:cs="Times New Roman"/>
                      <w:color w:val="auto"/>
                      <w:lang w:val="en-US" w:eastAsia="zh-CN"/>
                    </w:rPr>
                    <w:t>（乙）</w:t>
                  </w:r>
                </w:p>
              </w:tc>
              <w:tc>
                <w:tcPr>
                  <w:tcW w:w="719" w:type="pct"/>
                  <w:shd w:val="clear" w:color="auto" w:fill="auto"/>
                  <w:noWrap w:val="0"/>
                  <w:vAlign w:val="center"/>
                </w:tcPr>
                <w:p w14:paraId="379CDA49">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t/a</w:t>
                  </w:r>
                </w:p>
              </w:tc>
              <w:tc>
                <w:tcPr>
                  <w:tcW w:w="719" w:type="pct"/>
                  <w:shd w:val="clear" w:color="auto" w:fill="auto"/>
                  <w:noWrap w:val="0"/>
                  <w:vAlign w:val="center"/>
                </w:tcPr>
                <w:p w14:paraId="7907B666">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0.235</w:t>
                  </w:r>
                </w:p>
              </w:tc>
              <w:tc>
                <w:tcPr>
                  <w:tcW w:w="1233" w:type="pct"/>
                  <w:shd w:val="clear" w:color="auto" w:fill="auto"/>
                  <w:noWrap w:val="0"/>
                  <w:vAlign w:val="center"/>
                </w:tcPr>
                <w:p w14:paraId="4DBAADDA">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油漆库</w:t>
                  </w:r>
                  <w:r>
                    <w:rPr>
                      <w:rFonts w:hint="eastAsia" w:ascii="Times New Roman" w:hAnsi="Times New Roman" w:eastAsia="宋体" w:cs="Times New Roman"/>
                      <w:color w:val="auto"/>
                      <w:lang w:val="en-US" w:eastAsia="zh-CN"/>
                    </w:rPr>
                    <w:t>储存</w:t>
                  </w:r>
                </w:p>
              </w:tc>
            </w:tr>
            <w:tr w14:paraId="49691A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 w:type="pct"/>
                  <w:shd w:val="clear" w:color="auto" w:fill="auto"/>
                  <w:noWrap w:val="0"/>
                  <w:vAlign w:val="center"/>
                </w:tcPr>
                <w:p w14:paraId="1474E7F8">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12</w:t>
                  </w:r>
                </w:p>
              </w:tc>
              <w:tc>
                <w:tcPr>
                  <w:tcW w:w="517" w:type="pct"/>
                  <w:vMerge w:val="continue"/>
                  <w:noWrap w:val="0"/>
                  <w:vAlign w:val="center"/>
                </w:tcPr>
                <w:p w14:paraId="7F6BB850">
                  <w:pPr>
                    <w:adjustRightInd w:val="0"/>
                    <w:snapToGrid w:val="0"/>
                    <w:jc w:val="center"/>
                    <w:rPr>
                      <w:color w:val="auto"/>
                    </w:rPr>
                  </w:pPr>
                </w:p>
              </w:tc>
              <w:tc>
                <w:tcPr>
                  <w:tcW w:w="1360" w:type="pct"/>
                  <w:shd w:val="clear" w:color="auto" w:fill="auto"/>
                  <w:noWrap w:val="0"/>
                  <w:vAlign w:val="center"/>
                </w:tcPr>
                <w:p w14:paraId="0EB97A5B">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油性</w:t>
                  </w:r>
                  <w:r>
                    <w:rPr>
                      <w:rFonts w:hint="eastAsia" w:ascii="Times New Roman" w:hAnsi="Times New Roman" w:eastAsia="宋体" w:cs="Times New Roman"/>
                      <w:color w:val="auto"/>
                      <w:lang w:val="en-US" w:eastAsia="zh-CN"/>
                    </w:rPr>
                    <w:t>面漆（甲）</w:t>
                  </w:r>
                </w:p>
              </w:tc>
              <w:tc>
                <w:tcPr>
                  <w:tcW w:w="719" w:type="pct"/>
                  <w:shd w:val="clear" w:color="auto" w:fill="auto"/>
                  <w:noWrap w:val="0"/>
                  <w:vAlign w:val="center"/>
                </w:tcPr>
                <w:p w14:paraId="0BE642F1">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t/a</w:t>
                  </w:r>
                </w:p>
              </w:tc>
              <w:tc>
                <w:tcPr>
                  <w:tcW w:w="719" w:type="pct"/>
                  <w:shd w:val="clear" w:color="auto" w:fill="auto"/>
                  <w:noWrap w:val="0"/>
                  <w:vAlign w:val="center"/>
                </w:tcPr>
                <w:p w14:paraId="5D6CA5D1">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1.86</w:t>
                  </w:r>
                </w:p>
              </w:tc>
              <w:tc>
                <w:tcPr>
                  <w:tcW w:w="1233" w:type="pct"/>
                  <w:shd w:val="clear" w:color="auto" w:fill="auto"/>
                  <w:noWrap w:val="0"/>
                  <w:vAlign w:val="center"/>
                </w:tcPr>
                <w:p w14:paraId="19C46D26">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油漆库</w:t>
                  </w:r>
                  <w:r>
                    <w:rPr>
                      <w:rFonts w:hint="eastAsia" w:ascii="Times New Roman" w:hAnsi="Times New Roman" w:eastAsia="宋体" w:cs="Times New Roman"/>
                      <w:color w:val="auto"/>
                      <w:lang w:val="en-US" w:eastAsia="zh-CN"/>
                    </w:rPr>
                    <w:t>储存</w:t>
                  </w:r>
                </w:p>
              </w:tc>
            </w:tr>
            <w:tr w14:paraId="215862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 w:type="pct"/>
                  <w:shd w:val="clear" w:color="auto" w:fill="auto"/>
                  <w:noWrap w:val="0"/>
                  <w:vAlign w:val="center"/>
                </w:tcPr>
                <w:p w14:paraId="148A6ABC">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13</w:t>
                  </w:r>
                </w:p>
              </w:tc>
              <w:tc>
                <w:tcPr>
                  <w:tcW w:w="517" w:type="pct"/>
                  <w:vMerge w:val="continue"/>
                  <w:noWrap w:val="0"/>
                  <w:vAlign w:val="center"/>
                </w:tcPr>
                <w:p w14:paraId="354CE8EC">
                  <w:pPr>
                    <w:adjustRightInd w:val="0"/>
                    <w:snapToGrid w:val="0"/>
                    <w:jc w:val="center"/>
                    <w:rPr>
                      <w:color w:val="auto"/>
                    </w:rPr>
                  </w:pPr>
                </w:p>
              </w:tc>
              <w:tc>
                <w:tcPr>
                  <w:tcW w:w="1360" w:type="pct"/>
                  <w:shd w:val="clear" w:color="auto" w:fill="auto"/>
                  <w:noWrap w:val="0"/>
                  <w:vAlign w:val="center"/>
                </w:tcPr>
                <w:p w14:paraId="65D99850">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面漆固化剂（乙）</w:t>
                  </w:r>
                </w:p>
              </w:tc>
              <w:tc>
                <w:tcPr>
                  <w:tcW w:w="719" w:type="pct"/>
                  <w:shd w:val="clear" w:color="auto" w:fill="auto"/>
                  <w:noWrap w:val="0"/>
                  <w:vAlign w:val="center"/>
                </w:tcPr>
                <w:p w14:paraId="46DF8DBA">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t/a</w:t>
                  </w:r>
                </w:p>
              </w:tc>
              <w:tc>
                <w:tcPr>
                  <w:tcW w:w="719" w:type="pct"/>
                  <w:shd w:val="clear" w:color="auto" w:fill="auto"/>
                  <w:noWrap w:val="0"/>
                  <w:vAlign w:val="center"/>
                </w:tcPr>
                <w:p w14:paraId="3C5D444C">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0.46</w:t>
                  </w:r>
                </w:p>
              </w:tc>
              <w:tc>
                <w:tcPr>
                  <w:tcW w:w="1233" w:type="pct"/>
                  <w:shd w:val="clear" w:color="auto" w:fill="auto"/>
                  <w:noWrap w:val="0"/>
                  <w:vAlign w:val="center"/>
                </w:tcPr>
                <w:p w14:paraId="39E3CEAA">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油漆库</w:t>
                  </w:r>
                  <w:r>
                    <w:rPr>
                      <w:rFonts w:hint="eastAsia" w:ascii="Times New Roman" w:hAnsi="Times New Roman" w:eastAsia="宋体" w:cs="Times New Roman"/>
                      <w:color w:val="auto"/>
                      <w:lang w:val="en-US" w:eastAsia="zh-CN"/>
                    </w:rPr>
                    <w:t>储存</w:t>
                  </w:r>
                </w:p>
              </w:tc>
            </w:tr>
            <w:tr w14:paraId="793EBE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 w:type="pct"/>
                  <w:noWrap w:val="0"/>
                  <w:vAlign w:val="center"/>
                </w:tcPr>
                <w:p w14:paraId="557D34E0">
                  <w:pPr>
                    <w:adjustRightInd w:val="0"/>
                    <w:snapToGrid w:val="0"/>
                    <w:jc w:val="center"/>
                    <w:rPr>
                      <w:rFonts w:hint="default"/>
                      <w:color w:val="auto"/>
                      <w:kern w:val="2"/>
                      <w:sz w:val="21"/>
                      <w:szCs w:val="24"/>
                      <w:lang w:val="en-US" w:eastAsia="zh-CN" w:bidi="ar-SA"/>
                    </w:rPr>
                  </w:pPr>
                  <w:r>
                    <w:rPr>
                      <w:rFonts w:hint="eastAsia"/>
                      <w:color w:val="auto"/>
                      <w:kern w:val="2"/>
                      <w:sz w:val="21"/>
                      <w:szCs w:val="24"/>
                      <w:lang w:val="en-US" w:eastAsia="zh-CN" w:bidi="ar-SA"/>
                    </w:rPr>
                    <w:t>14</w:t>
                  </w:r>
                </w:p>
              </w:tc>
              <w:tc>
                <w:tcPr>
                  <w:tcW w:w="517" w:type="pct"/>
                  <w:vMerge w:val="continue"/>
                  <w:noWrap w:val="0"/>
                  <w:vAlign w:val="center"/>
                </w:tcPr>
                <w:p w14:paraId="4B06A173">
                  <w:pPr>
                    <w:adjustRightInd w:val="0"/>
                    <w:snapToGrid w:val="0"/>
                    <w:jc w:val="center"/>
                    <w:rPr>
                      <w:color w:val="auto"/>
                    </w:rPr>
                  </w:pPr>
                </w:p>
              </w:tc>
              <w:tc>
                <w:tcPr>
                  <w:tcW w:w="1360" w:type="pct"/>
                  <w:shd w:val="clear" w:color="auto" w:fill="auto"/>
                  <w:noWrap w:val="0"/>
                  <w:vAlign w:val="center"/>
                </w:tcPr>
                <w:p w14:paraId="032EA06B">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稀释剂</w:t>
                  </w:r>
                </w:p>
              </w:tc>
              <w:tc>
                <w:tcPr>
                  <w:tcW w:w="719" w:type="pct"/>
                  <w:shd w:val="clear" w:color="auto" w:fill="auto"/>
                  <w:noWrap w:val="0"/>
                  <w:vAlign w:val="center"/>
                </w:tcPr>
                <w:p w14:paraId="453093B6">
                  <w:pPr>
                    <w:adjustRightInd w:val="0"/>
                    <w:snapToGrid w:val="0"/>
                    <w:jc w:val="center"/>
                    <w:rPr>
                      <w:rFonts w:ascii="Times New Roman" w:hAnsi="Times New Roman" w:eastAsia="宋体" w:cs="Times New Roman"/>
                      <w:color w:val="auto"/>
                      <w:kern w:val="2"/>
                      <w:sz w:val="21"/>
                      <w:szCs w:val="24"/>
                      <w:lang w:val="en-US" w:eastAsia="zh-CN" w:bidi="ar-SA"/>
                    </w:rPr>
                  </w:pPr>
                  <w:r>
                    <w:rPr>
                      <w:color w:val="auto"/>
                    </w:rPr>
                    <w:t>t/a</w:t>
                  </w:r>
                </w:p>
              </w:tc>
              <w:tc>
                <w:tcPr>
                  <w:tcW w:w="719" w:type="pct"/>
                  <w:shd w:val="clear" w:color="auto" w:fill="auto"/>
                  <w:noWrap w:val="0"/>
                  <w:vAlign w:val="center"/>
                </w:tcPr>
                <w:p w14:paraId="1A32398C">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0.845</w:t>
                  </w:r>
                </w:p>
              </w:tc>
              <w:tc>
                <w:tcPr>
                  <w:tcW w:w="1233" w:type="pct"/>
                  <w:shd w:val="clear" w:color="auto" w:fill="auto"/>
                  <w:noWrap w:val="0"/>
                  <w:vAlign w:val="center"/>
                </w:tcPr>
                <w:p w14:paraId="4AA75F48">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油漆库</w:t>
                  </w:r>
                  <w:r>
                    <w:rPr>
                      <w:rFonts w:hint="eastAsia" w:ascii="Times New Roman" w:hAnsi="Times New Roman" w:eastAsia="宋体" w:cs="Times New Roman"/>
                      <w:color w:val="auto"/>
                      <w:lang w:val="en-US" w:eastAsia="zh-CN"/>
                    </w:rPr>
                    <w:t>储存</w:t>
                  </w:r>
                </w:p>
              </w:tc>
            </w:tr>
          </w:tbl>
          <w:p w14:paraId="6524A2A3">
            <w:pPr>
              <w:keepNext w:val="0"/>
              <w:keepLines w:val="0"/>
              <w:pageBreakBefore w:val="0"/>
              <w:widowControl w:val="0"/>
              <w:kinsoku/>
              <w:wordWrap/>
              <w:overflowPunct/>
              <w:topLinePunct w:val="0"/>
              <w:autoSpaceDE/>
              <w:autoSpaceDN/>
              <w:bidi w:val="0"/>
              <w:adjustRightInd/>
              <w:snapToGrid/>
              <w:spacing w:before="157" w:beforeLines="50" w:line="300" w:lineRule="auto"/>
              <w:jc w:val="right"/>
              <w:textAlignment w:val="auto"/>
              <w:rPr>
                <w:rFonts w:hint="default" w:ascii="Times New Roman" w:hAnsi="Times New Roman" w:eastAsia="宋体" w:cs="Times New Roman"/>
                <w:b/>
                <w:bCs/>
                <w:color w:val="auto"/>
              </w:rPr>
            </w:pPr>
            <w:r>
              <w:rPr>
                <w:rFonts w:hint="eastAsia" w:cs="Times New Roman"/>
                <w:b/>
                <w:bCs/>
                <w:color w:val="auto"/>
                <w:lang w:val="en-US" w:eastAsia="zh-CN"/>
              </w:rPr>
              <w:t>续</w:t>
            </w:r>
            <w:r>
              <w:rPr>
                <w:rFonts w:hint="default"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2-</w:t>
            </w:r>
            <w:r>
              <w:rPr>
                <w:rFonts w:hint="eastAsia" w:cs="Times New Roman"/>
                <w:b/>
                <w:bCs/>
                <w:color w:val="auto"/>
                <w:lang w:val="en-US" w:eastAsia="zh-CN"/>
              </w:rPr>
              <w:t>10</w:t>
            </w:r>
            <w:r>
              <w:rPr>
                <w:rFonts w:hint="default" w:ascii="Times New Roman" w:hAnsi="Times New Roman" w:eastAsia="宋体" w:cs="Times New Roman"/>
                <w:b/>
                <w:bCs/>
                <w:color w:val="auto"/>
              </w:rPr>
              <w:t xml:space="preserve"> </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28"/>
              <w:gridCol w:w="834"/>
              <w:gridCol w:w="2194"/>
              <w:gridCol w:w="1160"/>
              <w:gridCol w:w="1160"/>
              <w:gridCol w:w="1989"/>
            </w:tblGrid>
            <w:tr w14:paraId="670531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51" w:type="pct"/>
                  <w:tcBorders>
                    <w:bottom w:val="single" w:color="auto" w:sz="12" w:space="0"/>
                  </w:tcBorders>
                  <w:noWrap w:val="0"/>
                  <w:vAlign w:val="center"/>
                </w:tcPr>
                <w:p w14:paraId="72AB83CB">
                  <w:pPr>
                    <w:adjustRightInd w:val="0"/>
                    <w:snapToGrid w:val="0"/>
                    <w:jc w:val="center"/>
                    <w:rPr>
                      <w:b/>
                      <w:bCs/>
                      <w:color w:val="auto"/>
                    </w:rPr>
                  </w:pPr>
                  <w:r>
                    <w:rPr>
                      <w:b/>
                      <w:bCs/>
                      <w:color w:val="auto"/>
                    </w:rPr>
                    <w:t>序号</w:t>
                  </w:r>
                </w:p>
              </w:tc>
              <w:tc>
                <w:tcPr>
                  <w:tcW w:w="1877" w:type="pct"/>
                  <w:gridSpan w:val="2"/>
                  <w:tcBorders>
                    <w:bottom w:val="single" w:color="auto" w:sz="12" w:space="0"/>
                  </w:tcBorders>
                  <w:noWrap w:val="0"/>
                  <w:vAlign w:val="center"/>
                </w:tcPr>
                <w:p w14:paraId="00C17B25">
                  <w:pPr>
                    <w:adjustRightInd w:val="0"/>
                    <w:snapToGrid w:val="0"/>
                    <w:jc w:val="center"/>
                    <w:rPr>
                      <w:b/>
                      <w:bCs/>
                      <w:color w:val="auto"/>
                    </w:rPr>
                  </w:pPr>
                  <w:r>
                    <w:rPr>
                      <w:b/>
                      <w:bCs/>
                      <w:color w:val="auto"/>
                    </w:rPr>
                    <w:t>名称</w:t>
                  </w:r>
                </w:p>
              </w:tc>
              <w:tc>
                <w:tcPr>
                  <w:tcW w:w="719" w:type="pct"/>
                  <w:tcBorders>
                    <w:bottom w:val="single" w:color="auto" w:sz="12" w:space="0"/>
                  </w:tcBorders>
                  <w:noWrap w:val="0"/>
                  <w:vAlign w:val="center"/>
                </w:tcPr>
                <w:p w14:paraId="5462BD6C">
                  <w:pPr>
                    <w:adjustRightInd w:val="0"/>
                    <w:snapToGrid w:val="0"/>
                    <w:jc w:val="center"/>
                    <w:rPr>
                      <w:b/>
                      <w:bCs/>
                      <w:color w:val="auto"/>
                    </w:rPr>
                  </w:pPr>
                  <w:r>
                    <w:rPr>
                      <w:b/>
                      <w:bCs/>
                      <w:color w:val="auto"/>
                    </w:rPr>
                    <w:t>单位</w:t>
                  </w:r>
                </w:p>
              </w:tc>
              <w:tc>
                <w:tcPr>
                  <w:tcW w:w="719" w:type="pct"/>
                  <w:tcBorders>
                    <w:bottom w:val="single" w:color="auto" w:sz="12" w:space="0"/>
                  </w:tcBorders>
                  <w:noWrap w:val="0"/>
                  <w:vAlign w:val="center"/>
                </w:tcPr>
                <w:p w14:paraId="17B26E9C">
                  <w:pPr>
                    <w:adjustRightInd w:val="0"/>
                    <w:snapToGrid w:val="0"/>
                    <w:jc w:val="center"/>
                    <w:rPr>
                      <w:b/>
                      <w:bCs/>
                      <w:color w:val="auto"/>
                    </w:rPr>
                  </w:pPr>
                  <w:r>
                    <w:rPr>
                      <w:b/>
                      <w:bCs/>
                      <w:color w:val="auto"/>
                    </w:rPr>
                    <w:t>消耗量</w:t>
                  </w:r>
                </w:p>
              </w:tc>
              <w:tc>
                <w:tcPr>
                  <w:tcW w:w="1233" w:type="pct"/>
                  <w:tcBorders>
                    <w:bottom w:val="single" w:color="auto" w:sz="12" w:space="0"/>
                  </w:tcBorders>
                  <w:noWrap w:val="0"/>
                  <w:vAlign w:val="center"/>
                </w:tcPr>
                <w:p w14:paraId="669D4A76">
                  <w:pPr>
                    <w:adjustRightInd w:val="0"/>
                    <w:snapToGrid w:val="0"/>
                    <w:jc w:val="center"/>
                    <w:rPr>
                      <w:b/>
                      <w:bCs/>
                      <w:color w:val="auto"/>
                    </w:rPr>
                  </w:pPr>
                  <w:r>
                    <w:rPr>
                      <w:b/>
                      <w:bCs/>
                      <w:color w:val="auto"/>
                    </w:rPr>
                    <w:t>备注</w:t>
                  </w:r>
                </w:p>
              </w:tc>
            </w:tr>
            <w:tr w14:paraId="100298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 w:type="pct"/>
                  <w:shd w:val="clear" w:color="auto" w:fill="auto"/>
                  <w:noWrap w:val="0"/>
                  <w:vAlign w:val="center"/>
                </w:tcPr>
                <w:p w14:paraId="0E2C719D">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15</w:t>
                  </w:r>
                </w:p>
              </w:tc>
              <w:tc>
                <w:tcPr>
                  <w:tcW w:w="517" w:type="pct"/>
                  <w:vMerge w:val="restart"/>
                  <w:noWrap w:val="0"/>
                  <w:vAlign w:val="center"/>
                </w:tcPr>
                <w:p w14:paraId="4DA730AF">
                  <w:pPr>
                    <w:adjustRightInd w:val="0"/>
                    <w:snapToGrid w:val="0"/>
                    <w:jc w:val="center"/>
                    <w:rPr>
                      <w:color w:val="auto"/>
                    </w:rPr>
                  </w:pPr>
                  <w:r>
                    <w:rPr>
                      <w:rFonts w:hint="eastAsia"/>
                      <w:color w:val="auto"/>
                    </w:rPr>
                    <w:t>辅料</w:t>
                  </w:r>
                </w:p>
              </w:tc>
              <w:tc>
                <w:tcPr>
                  <w:tcW w:w="1360" w:type="pct"/>
                  <w:shd w:val="clear" w:color="auto" w:fill="auto"/>
                  <w:noWrap w:val="0"/>
                  <w:vAlign w:val="center"/>
                </w:tcPr>
                <w:p w14:paraId="0410390F">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水性底漆</w:t>
                  </w:r>
                </w:p>
              </w:tc>
              <w:tc>
                <w:tcPr>
                  <w:tcW w:w="719" w:type="pct"/>
                  <w:shd w:val="clear" w:color="auto" w:fill="auto"/>
                  <w:noWrap w:val="0"/>
                  <w:vAlign w:val="center"/>
                </w:tcPr>
                <w:p w14:paraId="446A9440">
                  <w:pPr>
                    <w:adjustRightInd w:val="0"/>
                    <w:snapToGrid w:val="0"/>
                    <w:jc w:val="center"/>
                    <w:rPr>
                      <w:rFonts w:ascii="Times New Roman" w:hAnsi="Times New Roman" w:eastAsia="宋体" w:cs="Times New Roman"/>
                      <w:color w:val="auto"/>
                      <w:kern w:val="2"/>
                      <w:sz w:val="21"/>
                      <w:szCs w:val="24"/>
                      <w:lang w:val="en-US" w:eastAsia="zh-CN" w:bidi="ar-SA"/>
                    </w:rPr>
                  </w:pPr>
                  <w:r>
                    <w:rPr>
                      <w:color w:val="auto"/>
                    </w:rPr>
                    <w:t>t/a</w:t>
                  </w:r>
                </w:p>
              </w:tc>
              <w:tc>
                <w:tcPr>
                  <w:tcW w:w="719" w:type="pct"/>
                  <w:shd w:val="clear" w:color="auto" w:fill="auto"/>
                  <w:noWrap w:val="0"/>
                  <w:vAlign w:val="center"/>
                </w:tcPr>
                <w:p w14:paraId="12ECFA54">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5.50</w:t>
                  </w:r>
                </w:p>
              </w:tc>
              <w:tc>
                <w:tcPr>
                  <w:tcW w:w="1233" w:type="pct"/>
                  <w:shd w:val="clear" w:color="auto" w:fill="auto"/>
                  <w:noWrap w:val="0"/>
                  <w:vAlign w:val="center"/>
                </w:tcPr>
                <w:p w14:paraId="060B851F">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油漆库</w:t>
                  </w:r>
                  <w:r>
                    <w:rPr>
                      <w:rFonts w:hint="eastAsia" w:ascii="Times New Roman" w:hAnsi="Times New Roman" w:eastAsia="宋体" w:cs="Times New Roman"/>
                      <w:color w:val="auto"/>
                      <w:lang w:val="en-US" w:eastAsia="zh-CN"/>
                    </w:rPr>
                    <w:t>储存</w:t>
                  </w:r>
                </w:p>
              </w:tc>
            </w:tr>
            <w:tr w14:paraId="0D096A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 w:type="pct"/>
                  <w:shd w:val="clear" w:color="auto" w:fill="auto"/>
                  <w:noWrap w:val="0"/>
                  <w:vAlign w:val="center"/>
                </w:tcPr>
                <w:p w14:paraId="20B26D1F">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16</w:t>
                  </w:r>
                </w:p>
              </w:tc>
              <w:tc>
                <w:tcPr>
                  <w:tcW w:w="517" w:type="pct"/>
                  <w:vMerge w:val="continue"/>
                  <w:noWrap w:val="0"/>
                  <w:vAlign w:val="center"/>
                </w:tcPr>
                <w:p w14:paraId="69D80C13">
                  <w:pPr>
                    <w:adjustRightInd w:val="0"/>
                    <w:snapToGrid w:val="0"/>
                    <w:jc w:val="center"/>
                    <w:rPr>
                      <w:color w:val="auto"/>
                    </w:rPr>
                  </w:pPr>
                </w:p>
              </w:tc>
              <w:tc>
                <w:tcPr>
                  <w:tcW w:w="1360" w:type="pct"/>
                  <w:shd w:val="clear" w:color="auto" w:fill="auto"/>
                  <w:noWrap w:val="0"/>
                  <w:vAlign w:val="center"/>
                </w:tcPr>
                <w:p w14:paraId="162E51DE">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水性中间漆</w:t>
                  </w:r>
                </w:p>
              </w:tc>
              <w:tc>
                <w:tcPr>
                  <w:tcW w:w="719" w:type="pct"/>
                  <w:shd w:val="clear" w:color="auto" w:fill="auto"/>
                  <w:noWrap w:val="0"/>
                  <w:vAlign w:val="center"/>
                </w:tcPr>
                <w:p w14:paraId="3BF87EAC">
                  <w:pPr>
                    <w:adjustRightInd w:val="0"/>
                    <w:snapToGrid w:val="0"/>
                    <w:jc w:val="center"/>
                    <w:rPr>
                      <w:rFonts w:hint="eastAsia" w:ascii="Times New Roman" w:hAnsi="Times New Roman" w:eastAsia="宋体" w:cs="Times New Roman"/>
                      <w:color w:val="auto"/>
                      <w:kern w:val="2"/>
                      <w:sz w:val="21"/>
                      <w:szCs w:val="24"/>
                      <w:lang w:val="en-US" w:eastAsia="zh-CN" w:bidi="ar-SA"/>
                    </w:rPr>
                  </w:pPr>
                  <w:r>
                    <w:rPr>
                      <w:color w:val="auto"/>
                    </w:rPr>
                    <w:t>t/a</w:t>
                  </w:r>
                </w:p>
              </w:tc>
              <w:tc>
                <w:tcPr>
                  <w:tcW w:w="719" w:type="pct"/>
                  <w:shd w:val="clear" w:color="auto" w:fill="auto"/>
                  <w:noWrap w:val="0"/>
                  <w:vAlign w:val="center"/>
                </w:tcPr>
                <w:p w14:paraId="1942699D">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4.66</w:t>
                  </w:r>
                </w:p>
              </w:tc>
              <w:tc>
                <w:tcPr>
                  <w:tcW w:w="1233" w:type="pct"/>
                  <w:shd w:val="clear" w:color="auto" w:fill="auto"/>
                  <w:noWrap w:val="0"/>
                  <w:vAlign w:val="center"/>
                </w:tcPr>
                <w:p w14:paraId="4CFDC569">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油漆库</w:t>
                  </w:r>
                  <w:r>
                    <w:rPr>
                      <w:rFonts w:hint="eastAsia" w:ascii="Times New Roman" w:hAnsi="Times New Roman" w:eastAsia="宋体" w:cs="Times New Roman"/>
                      <w:color w:val="auto"/>
                      <w:lang w:val="en-US" w:eastAsia="zh-CN"/>
                    </w:rPr>
                    <w:t>储存</w:t>
                  </w:r>
                </w:p>
              </w:tc>
            </w:tr>
            <w:tr w14:paraId="01D600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 w:type="pct"/>
                  <w:shd w:val="clear" w:color="auto" w:fill="auto"/>
                  <w:noWrap w:val="0"/>
                  <w:vAlign w:val="center"/>
                </w:tcPr>
                <w:p w14:paraId="22704849">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17</w:t>
                  </w:r>
                </w:p>
              </w:tc>
              <w:tc>
                <w:tcPr>
                  <w:tcW w:w="517" w:type="pct"/>
                  <w:vMerge w:val="continue"/>
                  <w:noWrap w:val="0"/>
                  <w:vAlign w:val="center"/>
                </w:tcPr>
                <w:p w14:paraId="322DF31B">
                  <w:pPr>
                    <w:adjustRightInd w:val="0"/>
                    <w:snapToGrid w:val="0"/>
                    <w:jc w:val="center"/>
                    <w:rPr>
                      <w:color w:val="auto"/>
                    </w:rPr>
                  </w:pPr>
                </w:p>
              </w:tc>
              <w:tc>
                <w:tcPr>
                  <w:tcW w:w="1360" w:type="pct"/>
                  <w:shd w:val="clear" w:color="auto" w:fill="auto"/>
                  <w:noWrap w:val="0"/>
                  <w:vAlign w:val="center"/>
                </w:tcPr>
                <w:p w14:paraId="1377911A">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水性面漆</w:t>
                  </w:r>
                </w:p>
              </w:tc>
              <w:tc>
                <w:tcPr>
                  <w:tcW w:w="719" w:type="pct"/>
                  <w:shd w:val="clear" w:color="auto" w:fill="auto"/>
                  <w:noWrap w:val="0"/>
                  <w:vAlign w:val="center"/>
                </w:tcPr>
                <w:p w14:paraId="6CC629B9">
                  <w:pPr>
                    <w:adjustRightInd w:val="0"/>
                    <w:snapToGrid w:val="0"/>
                    <w:jc w:val="center"/>
                    <w:rPr>
                      <w:rFonts w:hint="eastAsia" w:ascii="Times New Roman" w:hAnsi="Times New Roman" w:eastAsia="宋体" w:cs="Times New Roman"/>
                      <w:color w:val="auto"/>
                      <w:kern w:val="2"/>
                      <w:sz w:val="21"/>
                      <w:szCs w:val="24"/>
                      <w:lang w:val="en-US" w:eastAsia="zh-CN" w:bidi="ar-SA"/>
                    </w:rPr>
                  </w:pPr>
                  <w:r>
                    <w:rPr>
                      <w:color w:val="auto"/>
                    </w:rPr>
                    <w:t>t/a</w:t>
                  </w:r>
                </w:p>
              </w:tc>
              <w:tc>
                <w:tcPr>
                  <w:tcW w:w="719" w:type="pct"/>
                  <w:shd w:val="clear" w:color="auto" w:fill="auto"/>
                  <w:noWrap w:val="0"/>
                  <w:vAlign w:val="center"/>
                </w:tcPr>
                <w:p w14:paraId="0C217D83">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4.31</w:t>
                  </w:r>
                </w:p>
              </w:tc>
              <w:tc>
                <w:tcPr>
                  <w:tcW w:w="1233" w:type="pct"/>
                  <w:shd w:val="clear" w:color="auto" w:fill="auto"/>
                  <w:noWrap w:val="0"/>
                  <w:vAlign w:val="center"/>
                </w:tcPr>
                <w:p w14:paraId="56419FD8">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油漆库</w:t>
                  </w:r>
                  <w:r>
                    <w:rPr>
                      <w:rFonts w:hint="eastAsia" w:ascii="Times New Roman" w:hAnsi="Times New Roman" w:eastAsia="宋体" w:cs="Times New Roman"/>
                      <w:color w:val="auto"/>
                      <w:lang w:val="en-US" w:eastAsia="zh-CN"/>
                    </w:rPr>
                    <w:t>储存</w:t>
                  </w:r>
                </w:p>
              </w:tc>
            </w:tr>
            <w:tr w14:paraId="320418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 w:type="pct"/>
                  <w:shd w:val="clear" w:color="auto" w:fill="auto"/>
                  <w:noWrap w:val="0"/>
                  <w:vAlign w:val="center"/>
                </w:tcPr>
                <w:p w14:paraId="54843EA3">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eastAsia"/>
                      <w:color w:val="auto"/>
                      <w:lang w:val="en-US" w:eastAsia="zh-CN"/>
                    </w:rPr>
                    <w:t>18</w:t>
                  </w:r>
                </w:p>
              </w:tc>
              <w:tc>
                <w:tcPr>
                  <w:tcW w:w="517" w:type="pct"/>
                  <w:vMerge w:val="restart"/>
                  <w:shd w:val="clear" w:color="auto" w:fill="auto"/>
                  <w:noWrap w:val="0"/>
                  <w:vAlign w:val="center"/>
                </w:tcPr>
                <w:p w14:paraId="2ECAF57E">
                  <w:pPr>
                    <w:adjustRightInd w:val="0"/>
                    <w:snapToGrid w:val="0"/>
                    <w:jc w:val="center"/>
                    <w:rPr>
                      <w:rFonts w:ascii="Times New Roman" w:hAnsi="Times New Roman" w:eastAsia="宋体" w:cs="Times New Roman"/>
                      <w:color w:val="auto"/>
                      <w:kern w:val="2"/>
                      <w:sz w:val="21"/>
                      <w:szCs w:val="24"/>
                      <w:lang w:val="en-US" w:eastAsia="zh-CN" w:bidi="ar-SA"/>
                    </w:rPr>
                  </w:pPr>
                  <w:r>
                    <w:rPr>
                      <w:rFonts w:hint="eastAsia"/>
                      <w:color w:val="auto"/>
                    </w:rPr>
                    <w:t>能源</w:t>
                  </w:r>
                </w:p>
              </w:tc>
              <w:tc>
                <w:tcPr>
                  <w:tcW w:w="1360" w:type="pct"/>
                  <w:shd w:val="clear" w:color="auto" w:fill="auto"/>
                  <w:noWrap w:val="0"/>
                  <w:vAlign w:val="center"/>
                </w:tcPr>
                <w:p w14:paraId="141EFE34">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水</w:t>
                  </w:r>
                </w:p>
              </w:tc>
              <w:tc>
                <w:tcPr>
                  <w:tcW w:w="719" w:type="pct"/>
                  <w:shd w:val="clear" w:color="auto" w:fill="auto"/>
                  <w:noWrap w:val="0"/>
                  <w:vAlign w:val="center"/>
                </w:tcPr>
                <w:p w14:paraId="22014259">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m³/a</w:t>
                  </w:r>
                </w:p>
              </w:tc>
              <w:tc>
                <w:tcPr>
                  <w:tcW w:w="719" w:type="pct"/>
                  <w:shd w:val="clear" w:color="auto" w:fill="auto"/>
                  <w:noWrap w:val="0"/>
                  <w:vAlign w:val="center"/>
                </w:tcPr>
                <w:p w14:paraId="0C0D4384">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1591.8</w:t>
                  </w:r>
                </w:p>
              </w:tc>
              <w:tc>
                <w:tcPr>
                  <w:tcW w:w="1233" w:type="pct"/>
                  <w:shd w:val="clear" w:color="auto" w:fill="auto"/>
                  <w:noWrap w:val="0"/>
                  <w:vAlign w:val="center"/>
                </w:tcPr>
                <w:p w14:paraId="69543C1C">
                  <w:pPr>
                    <w:adjustRightInd w:val="0"/>
                    <w:snapToGrid w:val="0"/>
                    <w:jc w:val="center"/>
                    <w:rPr>
                      <w:rFonts w:ascii="Times New Roman" w:hAnsi="Times New Roman" w:eastAsia="宋体" w:cs="Times New Roman"/>
                      <w:color w:val="auto"/>
                      <w:kern w:val="2"/>
                      <w:sz w:val="21"/>
                      <w:szCs w:val="24"/>
                      <w:lang w:val="en-US" w:eastAsia="zh-CN" w:bidi="ar-SA"/>
                    </w:rPr>
                  </w:pPr>
                  <w:r>
                    <w:rPr>
                      <w:rFonts w:hint="eastAsia"/>
                      <w:color w:val="auto"/>
                    </w:rPr>
                    <w:t>园区</w:t>
                  </w:r>
                  <w:r>
                    <w:rPr>
                      <w:color w:val="auto"/>
                    </w:rPr>
                    <w:t>供水管网</w:t>
                  </w:r>
                </w:p>
              </w:tc>
            </w:tr>
            <w:tr w14:paraId="1058F6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1" w:type="pct"/>
                  <w:shd w:val="clear" w:color="auto" w:fill="auto"/>
                  <w:noWrap w:val="0"/>
                  <w:vAlign w:val="center"/>
                </w:tcPr>
                <w:p w14:paraId="01BDFFE1">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eastAsia"/>
                      <w:color w:val="auto"/>
                      <w:lang w:val="en-US" w:eastAsia="zh-CN"/>
                    </w:rPr>
                    <w:t>19</w:t>
                  </w:r>
                </w:p>
              </w:tc>
              <w:tc>
                <w:tcPr>
                  <w:tcW w:w="517" w:type="pct"/>
                  <w:vMerge w:val="continue"/>
                  <w:noWrap w:val="0"/>
                  <w:vAlign w:val="center"/>
                </w:tcPr>
                <w:p w14:paraId="6AD56A7D">
                  <w:pPr>
                    <w:adjustRightInd w:val="0"/>
                    <w:snapToGrid w:val="0"/>
                    <w:jc w:val="center"/>
                    <w:rPr>
                      <w:color w:val="auto"/>
                    </w:rPr>
                  </w:pPr>
                </w:p>
              </w:tc>
              <w:tc>
                <w:tcPr>
                  <w:tcW w:w="1360" w:type="pct"/>
                  <w:shd w:val="clear" w:color="auto" w:fill="auto"/>
                  <w:noWrap w:val="0"/>
                  <w:vAlign w:val="center"/>
                </w:tcPr>
                <w:p w14:paraId="34B49002">
                  <w:pPr>
                    <w:adjustRightInd w:val="0"/>
                    <w:snapToGrid w:val="0"/>
                    <w:jc w:val="center"/>
                    <w:rPr>
                      <w:rFonts w:hint="eastAsia" w:ascii="Times New Roman" w:hAnsi="Times New Roman" w:eastAsia="宋体" w:cs="Times New Roman"/>
                      <w:color w:val="auto"/>
                      <w:kern w:val="2"/>
                      <w:sz w:val="21"/>
                      <w:szCs w:val="24"/>
                      <w:lang w:val="en-US" w:eastAsia="zh-CN" w:bidi="ar-SA"/>
                    </w:rPr>
                  </w:pPr>
                  <w:r>
                    <w:rPr>
                      <w:color w:val="auto"/>
                    </w:rPr>
                    <w:t>电</w:t>
                  </w:r>
                </w:p>
              </w:tc>
              <w:tc>
                <w:tcPr>
                  <w:tcW w:w="719" w:type="pct"/>
                  <w:shd w:val="clear" w:color="auto" w:fill="auto"/>
                  <w:noWrap w:val="0"/>
                  <w:vAlign w:val="center"/>
                </w:tcPr>
                <w:p w14:paraId="5E971E02">
                  <w:pPr>
                    <w:adjustRightInd w:val="0"/>
                    <w:snapToGrid w:val="0"/>
                    <w:jc w:val="center"/>
                    <w:rPr>
                      <w:rFonts w:ascii="Times New Roman" w:hAnsi="Times New Roman" w:eastAsia="宋体" w:cs="Times New Roman"/>
                      <w:color w:val="auto"/>
                      <w:kern w:val="2"/>
                      <w:sz w:val="21"/>
                      <w:szCs w:val="24"/>
                      <w:lang w:val="en-US" w:eastAsia="zh-CN" w:bidi="ar-SA"/>
                    </w:rPr>
                  </w:pPr>
                  <w:r>
                    <w:rPr>
                      <w:rFonts w:hint="eastAsia"/>
                      <w:color w:val="auto"/>
                      <w:lang w:val="en-US" w:eastAsia="zh-CN"/>
                    </w:rPr>
                    <w:t>k</w:t>
                  </w:r>
                  <w:r>
                    <w:rPr>
                      <w:color w:val="auto"/>
                    </w:rPr>
                    <w:t>W</w:t>
                  </w:r>
                  <w:r>
                    <w:rPr>
                      <w:rFonts w:hint="eastAsia"/>
                      <w:color w:val="auto"/>
                    </w:rPr>
                    <w:t>·</w:t>
                  </w:r>
                  <w:r>
                    <w:rPr>
                      <w:color w:val="auto"/>
                    </w:rPr>
                    <w:t>h/a</w:t>
                  </w:r>
                </w:p>
              </w:tc>
              <w:tc>
                <w:tcPr>
                  <w:tcW w:w="719" w:type="pct"/>
                  <w:shd w:val="clear" w:color="auto" w:fill="auto"/>
                  <w:noWrap w:val="0"/>
                  <w:vAlign w:val="center"/>
                </w:tcPr>
                <w:p w14:paraId="444BB5CF">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70万</w:t>
                  </w:r>
                </w:p>
              </w:tc>
              <w:tc>
                <w:tcPr>
                  <w:tcW w:w="1233" w:type="pct"/>
                  <w:shd w:val="clear" w:color="auto" w:fill="auto"/>
                  <w:noWrap w:val="0"/>
                  <w:vAlign w:val="center"/>
                </w:tcPr>
                <w:p w14:paraId="64A417E1">
                  <w:pPr>
                    <w:adjustRightInd w:val="0"/>
                    <w:snapToGrid w:val="0"/>
                    <w:jc w:val="center"/>
                    <w:rPr>
                      <w:rFonts w:ascii="Times New Roman" w:hAnsi="Times New Roman" w:eastAsia="宋体" w:cs="Times New Roman"/>
                      <w:color w:val="auto"/>
                      <w:kern w:val="2"/>
                      <w:sz w:val="21"/>
                      <w:szCs w:val="24"/>
                      <w:lang w:val="en-US" w:eastAsia="zh-CN" w:bidi="ar-SA"/>
                    </w:rPr>
                  </w:pPr>
                  <w:r>
                    <w:rPr>
                      <w:rFonts w:hint="eastAsia"/>
                      <w:color w:val="auto"/>
                    </w:rPr>
                    <w:t>园区</w:t>
                  </w:r>
                  <w:r>
                    <w:rPr>
                      <w:color w:val="auto"/>
                    </w:rPr>
                    <w:t>供电系统</w:t>
                  </w:r>
                </w:p>
              </w:tc>
            </w:tr>
          </w:tbl>
          <w:p w14:paraId="7AB959A8">
            <w:pPr>
              <w:keepNext w:val="0"/>
              <w:keepLines w:val="0"/>
              <w:pageBreakBefore w:val="0"/>
              <w:widowControl w:val="0"/>
              <w:kinsoku/>
              <w:wordWrap/>
              <w:overflowPunct/>
              <w:topLinePunct w:val="0"/>
              <w:autoSpaceDE/>
              <w:autoSpaceDN/>
              <w:bidi w:val="0"/>
              <w:adjustRightInd/>
              <w:snapToGrid/>
              <w:spacing w:before="120" w:beforeLines="50" w:line="360" w:lineRule="auto"/>
              <w:textAlignment w:val="auto"/>
              <w:rPr>
                <w:b/>
                <w:bCs/>
                <w:color w:val="auto"/>
                <w:sz w:val="24"/>
              </w:rPr>
            </w:pPr>
            <w:r>
              <w:rPr>
                <w:rFonts w:hint="eastAsia"/>
                <w:b/>
                <w:bCs/>
                <w:color w:val="auto"/>
                <w:sz w:val="24"/>
              </w:rPr>
              <w:t>6</w:t>
            </w:r>
            <w:r>
              <w:rPr>
                <w:b/>
                <w:bCs/>
                <w:color w:val="auto"/>
                <w:sz w:val="24"/>
              </w:rPr>
              <w:t>.劳动定员与工作制度</w:t>
            </w:r>
          </w:p>
          <w:p w14:paraId="0ECFE740">
            <w:pPr>
              <w:spacing w:line="360" w:lineRule="auto"/>
              <w:ind w:firstLine="480" w:firstLineChars="200"/>
              <w:rPr>
                <w:color w:val="auto"/>
                <w:sz w:val="24"/>
              </w:rPr>
            </w:pPr>
            <w:r>
              <w:rPr>
                <w:color w:val="auto"/>
                <w:sz w:val="24"/>
              </w:rPr>
              <w:t>劳动定员：</w:t>
            </w:r>
            <w:r>
              <w:rPr>
                <w:rFonts w:hint="eastAsia"/>
                <w:color w:val="auto"/>
                <w:sz w:val="24"/>
                <w:lang w:val="en-US" w:eastAsia="zh-CN"/>
              </w:rPr>
              <w:t>本项目劳动定员</w:t>
            </w:r>
            <w:r>
              <w:rPr>
                <w:rFonts w:hint="eastAsia"/>
                <w:color w:val="auto"/>
                <w:sz w:val="24"/>
              </w:rPr>
              <w:t>50</w:t>
            </w:r>
            <w:r>
              <w:rPr>
                <w:color w:val="auto"/>
                <w:sz w:val="24"/>
              </w:rPr>
              <w:t>人。</w:t>
            </w:r>
          </w:p>
          <w:p w14:paraId="1546AA7E">
            <w:pPr>
              <w:spacing w:line="360" w:lineRule="auto"/>
              <w:ind w:firstLine="480" w:firstLineChars="200"/>
              <w:rPr>
                <w:color w:val="auto"/>
                <w:sz w:val="24"/>
              </w:rPr>
            </w:pPr>
            <w:r>
              <w:rPr>
                <w:color w:val="auto"/>
                <w:sz w:val="24"/>
              </w:rPr>
              <w:t>工作制度：</w:t>
            </w:r>
            <w:r>
              <w:rPr>
                <w:rFonts w:hint="eastAsia"/>
                <w:color w:val="auto"/>
                <w:sz w:val="24"/>
              </w:rPr>
              <w:t>实行一班制，每班8小时，年运行时间为</w:t>
            </w:r>
            <w:r>
              <w:rPr>
                <w:rFonts w:hint="eastAsia"/>
                <w:color w:val="auto"/>
                <w:sz w:val="24"/>
                <w:lang w:val="en-US" w:eastAsia="zh-CN"/>
              </w:rPr>
              <w:t>30</w:t>
            </w:r>
            <w:r>
              <w:rPr>
                <w:rFonts w:hint="eastAsia"/>
                <w:color w:val="auto"/>
                <w:sz w:val="24"/>
              </w:rPr>
              <w:t>0天，共2</w:t>
            </w:r>
            <w:r>
              <w:rPr>
                <w:rFonts w:hint="eastAsia"/>
                <w:color w:val="auto"/>
                <w:sz w:val="24"/>
                <w:lang w:val="en-US" w:eastAsia="zh-CN"/>
              </w:rPr>
              <w:t>40</w:t>
            </w:r>
            <w:r>
              <w:rPr>
                <w:rFonts w:hint="eastAsia"/>
                <w:color w:val="auto"/>
                <w:sz w:val="24"/>
              </w:rPr>
              <w:t>0h</w:t>
            </w:r>
            <w:r>
              <w:rPr>
                <w:color w:val="auto"/>
                <w:sz w:val="24"/>
              </w:rPr>
              <w:t>。</w:t>
            </w:r>
          </w:p>
          <w:p w14:paraId="3171AA49">
            <w:pPr>
              <w:spacing w:line="360" w:lineRule="auto"/>
              <w:rPr>
                <w:rFonts w:ascii="Times New Roman" w:hAnsi="Times New Roman" w:eastAsia="宋体" w:cs="Times New Roman"/>
                <w:b/>
                <w:bCs/>
                <w:color w:val="auto"/>
                <w:sz w:val="24"/>
              </w:rPr>
            </w:pPr>
            <w:r>
              <w:rPr>
                <w:rFonts w:hint="eastAsia" w:ascii="Times New Roman" w:hAnsi="Times New Roman" w:eastAsia="宋体" w:cs="Times New Roman"/>
                <w:b/>
                <w:bCs/>
                <w:color w:val="auto"/>
                <w:sz w:val="24"/>
              </w:rPr>
              <w:t>7</w:t>
            </w:r>
            <w:r>
              <w:rPr>
                <w:rFonts w:ascii="Times New Roman" w:hAnsi="Times New Roman" w:eastAsia="宋体" w:cs="Times New Roman"/>
                <w:b/>
                <w:bCs/>
                <w:color w:val="auto"/>
                <w:sz w:val="24"/>
              </w:rPr>
              <w:t>.公用工程</w:t>
            </w:r>
          </w:p>
          <w:p w14:paraId="4EC06B6C">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hint="eastAsia" w:ascii="Times New Roman" w:hAnsi="Times New Roman" w:eastAsia="宋体" w:cs="Times New Roman"/>
                <w:color w:val="auto"/>
                <w:sz w:val="24"/>
                <w:lang w:val="en-US" w:eastAsia="zh-CN"/>
              </w:rPr>
              <w:t>1</w:t>
            </w:r>
            <w:r>
              <w:rPr>
                <w:rFonts w:ascii="Times New Roman" w:hAnsi="Times New Roman" w:eastAsia="宋体" w:cs="Times New Roman"/>
                <w:color w:val="auto"/>
                <w:sz w:val="24"/>
              </w:rPr>
              <w:t>）供水</w:t>
            </w:r>
          </w:p>
          <w:p w14:paraId="5D3F38F6">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本</w:t>
            </w:r>
            <w:r>
              <w:rPr>
                <w:rFonts w:ascii="Times New Roman" w:hAnsi="Times New Roman" w:eastAsia="宋体" w:cs="Times New Roman"/>
                <w:color w:val="auto"/>
                <w:sz w:val="24"/>
              </w:rPr>
              <w:t>项目运营期</w:t>
            </w:r>
            <w:r>
              <w:rPr>
                <w:rFonts w:hint="eastAsia" w:ascii="Times New Roman" w:hAnsi="Times New Roman" w:eastAsia="宋体" w:cs="Times New Roman"/>
                <w:color w:val="auto"/>
                <w:sz w:val="24"/>
              </w:rPr>
              <w:t>用水</w:t>
            </w:r>
            <w:r>
              <w:rPr>
                <w:rFonts w:ascii="Times New Roman" w:hAnsi="Times New Roman" w:eastAsia="宋体" w:cs="Times New Roman"/>
                <w:color w:val="auto"/>
                <w:sz w:val="24"/>
              </w:rPr>
              <w:t>主要为生活用水</w:t>
            </w:r>
            <w:r>
              <w:rPr>
                <w:rFonts w:hint="eastAsia" w:ascii="Times New Roman" w:hAnsi="Times New Roman" w:eastAsia="宋体" w:cs="Times New Roman"/>
                <w:color w:val="auto"/>
                <w:sz w:val="24"/>
                <w:lang w:val="en-US" w:eastAsia="zh-CN"/>
              </w:rPr>
              <w:t>和绿化用水</w:t>
            </w:r>
            <w:r>
              <w:rPr>
                <w:rFonts w:ascii="Times New Roman" w:hAnsi="Times New Roman" w:eastAsia="宋体" w:cs="Times New Roman"/>
                <w:color w:val="auto"/>
                <w:sz w:val="24"/>
              </w:rPr>
              <w:t>。用水</w:t>
            </w:r>
            <w:r>
              <w:rPr>
                <w:rFonts w:hint="eastAsia" w:ascii="Times New Roman" w:hAnsi="Times New Roman" w:eastAsia="宋体" w:cs="Times New Roman"/>
                <w:color w:val="auto"/>
                <w:sz w:val="24"/>
              </w:rPr>
              <w:t>由园区供水管网供给，</w:t>
            </w:r>
            <w:r>
              <w:rPr>
                <w:rFonts w:ascii="Times New Roman" w:hAnsi="Times New Roman" w:eastAsia="宋体" w:cs="Times New Roman"/>
                <w:color w:val="auto"/>
                <w:sz w:val="24"/>
              </w:rPr>
              <w:t>水量</w:t>
            </w:r>
            <w:r>
              <w:rPr>
                <w:rFonts w:hint="eastAsia" w:ascii="Times New Roman" w:hAnsi="Times New Roman" w:eastAsia="宋体" w:cs="Times New Roman"/>
                <w:color w:val="auto"/>
                <w:sz w:val="24"/>
              </w:rPr>
              <w:t>及水压</w:t>
            </w:r>
            <w:r>
              <w:rPr>
                <w:rFonts w:ascii="Times New Roman" w:hAnsi="Times New Roman" w:eastAsia="宋体" w:cs="Times New Roman"/>
                <w:color w:val="auto"/>
                <w:sz w:val="24"/>
              </w:rPr>
              <w:t>可满足用水需求。</w:t>
            </w:r>
          </w:p>
          <w:p w14:paraId="4A103C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 1 \* GB3 \* MERGEFORMAT </w:instrText>
            </w:r>
            <w:r>
              <w:rPr>
                <w:rFonts w:ascii="Times New Roman" w:hAnsi="Times New Roman" w:eastAsia="宋体" w:cs="Times New Roman"/>
                <w:color w:val="auto"/>
                <w:sz w:val="24"/>
              </w:rPr>
              <w:fldChar w:fldCharType="separate"/>
            </w:r>
            <w:r>
              <w:rPr>
                <w:rFonts w:ascii="Times New Roman" w:hAnsi="Times New Roman" w:eastAsia="宋体" w:cs="Times New Roman"/>
                <w:color w:val="auto"/>
                <w:sz w:val="24"/>
              </w:rPr>
              <w:t>①</w:t>
            </w:r>
            <w:r>
              <w:rPr>
                <w:rFonts w:ascii="Times New Roman" w:hAnsi="Times New Roman" w:eastAsia="宋体" w:cs="Times New Roman"/>
                <w:color w:val="auto"/>
                <w:sz w:val="24"/>
              </w:rPr>
              <w:fldChar w:fldCharType="end"/>
            </w:r>
            <w:r>
              <w:rPr>
                <w:rFonts w:hint="eastAsia" w:ascii="Times New Roman" w:hAnsi="Times New Roman" w:eastAsia="宋体" w:cs="Times New Roman"/>
                <w:color w:val="auto"/>
                <w:sz w:val="24"/>
                <w:lang w:val="en-US" w:eastAsia="zh-CN"/>
              </w:rPr>
              <w:t>生活用水：</w:t>
            </w:r>
            <w:r>
              <w:rPr>
                <w:rFonts w:ascii="Times New Roman" w:hAnsi="Times New Roman" w:eastAsia="宋体" w:cs="Times New Roman"/>
                <w:color w:val="auto"/>
                <w:sz w:val="24"/>
              </w:rPr>
              <w:t>根据《新疆维吾尔自治区生活用水定额》，职工生活用水</w:t>
            </w:r>
            <w:r>
              <w:rPr>
                <w:rFonts w:hint="eastAsia" w:ascii="Times New Roman" w:hAnsi="Times New Roman" w:eastAsia="宋体" w:cs="Times New Roman"/>
                <w:color w:val="auto"/>
                <w:sz w:val="24"/>
                <w:lang w:val="en-US" w:eastAsia="zh-CN"/>
              </w:rPr>
              <w:t>量</w:t>
            </w:r>
            <w:r>
              <w:rPr>
                <w:rFonts w:ascii="Times New Roman" w:hAnsi="Times New Roman" w:eastAsia="宋体" w:cs="Times New Roman"/>
                <w:color w:val="auto"/>
                <w:sz w:val="24"/>
              </w:rPr>
              <w:t>以100L/d</w:t>
            </w:r>
            <w:r>
              <w:rPr>
                <w:rFonts w:hint="eastAsia" w:ascii="Times New Roman" w:hAnsi="Times New Roman" w:eastAsia="宋体" w:cs="Times New Roman"/>
                <w:color w:val="auto"/>
                <w:sz w:val="24"/>
                <w:lang w:val="en-US" w:eastAsia="zh-CN"/>
              </w:rPr>
              <w:t>·</w:t>
            </w:r>
            <w:r>
              <w:rPr>
                <w:rFonts w:ascii="Times New Roman" w:hAnsi="Times New Roman" w:eastAsia="宋体" w:cs="Times New Roman"/>
                <w:color w:val="auto"/>
                <w:sz w:val="24"/>
              </w:rPr>
              <w:t>人计</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项目劳动定员</w:t>
            </w:r>
            <w:r>
              <w:rPr>
                <w:rFonts w:hint="eastAsia" w:ascii="Times New Roman" w:hAnsi="Times New Roman" w:eastAsia="宋体" w:cs="Times New Roman"/>
                <w:color w:val="auto"/>
                <w:sz w:val="24"/>
              </w:rPr>
              <w:t>50</w:t>
            </w:r>
            <w:r>
              <w:rPr>
                <w:rFonts w:ascii="Times New Roman" w:hAnsi="Times New Roman" w:eastAsia="宋体" w:cs="Times New Roman"/>
                <w:color w:val="auto"/>
                <w:sz w:val="24"/>
              </w:rPr>
              <w:t>人，则生活用水量为</w:t>
            </w:r>
            <w:r>
              <w:rPr>
                <w:rFonts w:hint="eastAsia" w:ascii="Times New Roman" w:hAnsi="Times New Roman" w:eastAsia="宋体" w:cs="Times New Roman"/>
                <w:color w:val="auto"/>
                <w:sz w:val="24"/>
              </w:rPr>
              <w:t>5</w:t>
            </w:r>
            <w:r>
              <w:rPr>
                <w:rFonts w:ascii="Times New Roman" w:hAnsi="Times New Roman" w:eastAsia="宋体" w:cs="Times New Roman"/>
                <w:color w:val="auto"/>
                <w:sz w:val="24"/>
              </w:rPr>
              <w:t>m³/d（</w:t>
            </w:r>
            <w:r>
              <w:rPr>
                <w:rFonts w:hint="eastAsia" w:ascii="Times New Roman" w:hAnsi="Times New Roman" w:eastAsia="宋体" w:cs="Times New Roman"/>
                <w:color w:val="auto"/>
                <w:sz w:val="24"/>
              </w:rPr>
              <w:t>1</w:t>
            </w:r>
            <w:r>
              <w:rPr>
                <w:rFonts w:hint="eastAsia" w:ascii="Times New Roman" w:hAnsi="Times New Roman" w:eastAsia="宋体" w:cs="Times New Roman"/>
                <w:color w:val="auto"/>
                <w:sz w:val="24"/>
                <w:lang w:val="en-US" w:eastAsia="zh-CN"/>
              </w:rPr>
              <w:t>50</w:t>
            </w:r>
            <w:r>
              <w:rPr>
                <w:rFonts w:hint="eastAsia" w:ascii="Times New Roman" w:hAnsi="Times New Roman" w:eastAsia="宋体" w:cs="Times New Roman"/>
                <w:color w:val="auto"/>
                <w:sz w:val="24"/>
              </w:rPr>
              <w:t>0</w:t>
            </w:r>
            <w:r>
              <w:rPr>
                <w:rFonts w:ascii="Times New Roman" w:hAnsi="Times New Roman" w:eastAsia="宋体" w:cs="Times New Roman"/>
                <w:color w:val="auto"/>
                <w:sz w:val="24"/>
              </w:rPr>
              <w:t>m³/a）。</w:t>
            </w:r>
          </w:p>
          <w:p w14:paraId="6103F5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lang w:val="en-US" w:eastAsia="zh-CN"/>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 2 \* GB3 \* MERGEFORMAT </w:instrText>
            </w:r>
            <w:r>
              <w:rPr>
                <w:rFonts w:ascii="Times New Roman" w:hAnsi="Times New Roman" w:eastAsia="宋体" w:cs="Times New Roman"/>
                <w:color w:val="auto"/>
                <w:sz w:val="24"/>
              </w:rPr>
              <w:fldChar w:fldCharType="separate"/>
            </w:r>
            <w:r>
              <w:rPr>
                <w:rFonts w:ascii="Times New Roman" w:hAnsi="Times New Roman" w:eastAsia="宋体" w:cs="Times New Roman"/>
                <w:color w:val="auto"/>
                <w:sz w:val="24"/>
              </w:rPr>
              <w:t>②</w:t>
            </w:r>
            <w:r>
              <w:rPr>
                <w:rFonts w:ascii="Times New Roman" w:hAnsi="Times New Roman" w:eastAsia="宋体" w:cs="Times New Roman"/>
                <w:color w:val="auto"/>
                <w:sz w:val="24"/>
              </w:rPr>
              <w:fldChar w:fldCharType="end"/>
            </w:r>
            <w:r>
              <w:rPr>
                <w:rFonts w:hint="eastAsia" w:ascii="Times New Roman" w:hAnsi="Times New Roman" w:eastAsia="宋体" w:cs="Times New Roman"/>
                <w:color w:val="auto"/>
                <w:sz w:val="24"/>
                <w:lang w:val="en-US" w:eastAsia="zh-CN"/>
              </w:rPr>
              <w:t>绿化用水：依据《建筑给水排水设计标准》（GB50015-2019），绿化浇洒用水定额为1.0～3.0L/m²·次，项目绿化面积为956.18m²，绿化用水按1.5L/m²·次，年浇洒次数按2次/周计，浇灌周期为8个月，则绿化用水量约为91.8m³/a。</w:t>
            </w:r>
          </w:p>
          <w:p w14:paraId="0EBC3F6C">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综上，本项目新鲜水用量为</w:t>
            </w:r>
            <w:r>
              <w:rPr>
                <w:rFonts w:hint="eastAsia" w:cs="Times New Roman"/>
                <w:color w:val="auto"/>
                <w:sz w:val="24"/>
                <w:lang w:val="en-US" w:eastAsia="zh-CN"/>
              </w:rPr>
              <w:t>1591.8</w:t>
            </w:r>
            <w:r>
              <w:rPr>
                <w:rFonts w:hint="eastAsia" w:ascii="Times New Roman" w:hAnsi="Times New Roman" w:eastAsia="宋体" w:cs="Times New Roman"/>
                <w:color w:val="auto"/>
                <w:sz w:val="24"/>
                <w:lang w:val="en-US" w:eastAsia="zh-CN"/>
              </w:rPr>
              <w:t>m³/a。</w:t>
            </w:r>
          </w:p>
          <w:p w14:paraId="7A7EBF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hint="eastAsia" w:ascii="Times New Roman" w:hAnsi="Times New Roman" w:eastAsia="宋体" w:cs="Times New Roman"/>
                <w:color w:val="auto"/>
                <w:sz w:val="24"/>
                <w:lang w:val="en-US" w:eastAsia="zh-CN"/>
              </w:rPr>
              <w:t>2</w:t>
            </w:r>
            <w:r>
              <w:rPr>
                <w:rFonts w:ascii="Times New Roman" w:hAnsi="Times New Roman" w:eastAsia="宋体" w:cs="Times New Roman"/>
                <w:color w:val="auto"/>
                <w:sz w:val="24"/>
              </w:rPr>
              <w:t>）排水</w:t>
            </w:r>
          </w:p>
          <w:p w14:paraId="316BE4E5">
            <w:pPr>
              <w:spacing w:line="360" w:lineRule="auto"/>
              <w:ind w:firstLine="480" w:firstLineChars="200"/>
              <w:rPr>
                <w:color w:val="auto"/>
                <w:sz w:val="24"/>
              </w:rPr>
            </w:pPr>
            <w:r>
              <w:rPr>
                <w:rFonts w:hint="eastAsia" w:ascii="Times New Roman" w:hAnsi="Times New Roman" w:eastAsia="宋体" w:cs="Times New Roman"/>
                <w:color w:val="auto"/>
                <w:sz w:val="24"/>
              </w:rPr>
              <w:t>项目运营期无生产废水产生，外排废水</w:t>
            </w:r>
            <w:r>
              <w:rPr>
                <w:rFonts w:hint="eastAsia"/>
                <w:color w:val="auto"/>
                <w:sz w:val="24"/>
              </w:rPr>
              <w:t>为生活污水。生活污水排放量按用水量80%计算，则生活污水排放量为</w:t>
            </w:r>
            <w:r>
              <w:rPr>
                <w:rFonts w:hint="eastAsia" w:ascii="Times New Roman" w:hAnsi="Times New Roman" w:eastAsia="宋体" w:cs="Times New Roman"/>
                <w:color w:val="auto"/>
                <w:sz w:val="24"/>
                <w:lang w:val="en-US" w:eastAsia="zh-CN"/>
              </w:rPr>
              <w:t>4</w:t>
            </w:r>
            <w:r>
              <w:rPr>
                <w:rFonts w:ascii="Times New Roman" w:hAnsi="Times New Roman" w:eastAsia="宋体" w:cs="Times New Roman"/>
                <w:color w:val="auto"/>
                <w:sz w:val="24"/>
              </w:rPr>
              <w:t>m³/d（</w:t>
            </w:r>
            <w:r>
              <w:rPr>
                <w:rFonts w:hint="eastAsia" w:ascii="Times New Roman" w:hAnsi="Times New Roman" w:eastAsia="宋体" w:cs="Times New Roman"/>
                <w:color w:val="auto"/>
                <w:sz w:val="24"/>
              </w:rPr>
              <w:t>1</w:t>
            </w:r>
            <w:r>
              <w:rPr>
                <w:rFonts w:hint="eastAsia" w:ascii="Times New Roman" w:hAnsi="Times New Roman" w:eastAsia="宋体" w:cs="Times New Roman"/>
                <w:color w:val="auto"/>
                <w:sz w:val="24"/>
                <w:lang w:val="en-US" w:eastAsia="zh-CN"/>
              </w:rPr>
              <w:t>20</w:t>
            </w:r>
            <w:r>
              <w:rPr>
                <w:rFonts w:hint="eastAsia" w:ascii="Times New Roman" w:hAnsi="Times New Roman" w:eastAsia="宋体" w:cs="Times New Roman"/>
                <w:color w:val="auto"/>
                <w:sz w:val="24"/>
              </w:rPr>
              <w:t>0</w:t>
            </w:r>
            <w:r>
              <w:rPr>
                <w:rFonts w:ascii="Times New Roman" w:hAnsi="Times New Roman" w:eastAsia="宋体" w:cs="Times New Roman"/>
                <w:color w:val="auto"/>
                <w:sz w:val="24"/>
              </w:rPr>
              <w:t>m³/a）</w:t>
            </w:r>
            <w:r>
              <w:rPr>
                <w:rFonts w:hint="eastAsia"/>
                <w:color w:val="auto"/>
                <w:sz w:val="24"/>
              </w:rPr>
              <w:t>，生活污水排入园区污水管网，最终进入园区污水处理厂处理。</w:t>
            </w:r>
          </w:p>
          <w:p w14:paraId="620D2251">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本项目水平衡详见图2-1。</w:t>
            </w:r>
          </w:p>
          <w:p w14:paraId="1B09241E">
            <w:pPr>
              <w:spacing w:line="360" w:lineRule="auto"/>
              <w:ind w:firstLine="480" w:firstLineChars="200"/>
              <w:rPr>
                <w:rFonts w:hint="eastAsia" w:ascii="Times New Roman" w:hAnsi="Times New Roman" w:eastAsia="宋体" w:cs="Times New Roman"/>
                <w:color w:val="auto"/>
                <w:sz w:val="24"/>
              </w:rPr>
            </w:pPr>
          </w:p>
          <w:p w14:paraId="02CBB0EE">
            <w:pPr>
              <w:spacing w:line="360" w:lineRule="auto"/>
              <w:rPr>
                <w:rFonts w:hint="default" w:ascii="Times New Roman" w:hAnsi="Times New Roman" w:eastAsia="宋体" w:cs="Times New Roman"/>
                <w:color w:val="auto"/>
                <w:sz w:val="24"/>
                <w:szCs w:val="24"/>
                <w:highlight w:val="none"/>
                <w:lang w:val="en-US" w:eastAsia="zh-CN"/>
              </w:rPr>
            </w:pPr>
          </w:p>
          <w:p w14:paraId="4EFD9713">
            <w:pPr>
              <w:pStyle w:val="33"/>
              <w:rPr>
                <w:rFonts w:hint="default"/>
                <w:color w:val="auto"/>
                <w:highlight w:val="none"/>
                <w:lang w:val="en-US" w:eastAsia="zh-CN"/>
              </w:rPr>
            </w:pPr>
            <w:r>
              <w:rPr>
                <w:rFonts w:hint="default" w:ascii="Times New Roman" w:hAnsi="Times New Roman" w:cs="Times New Roman"/>
                <w:color w:val="auto"/>
                <w:sz w:val="24"/>
                <w:highlight w:val="none"/>
              </w:rPr>
              <mc:AlternateContent>
                <mc:Choice Requires="wps">
                  <w:drawing>
                    <wp:anchor distT="0" distB="0" distL="114300" distR="114300" simplePos="0" relativeHeight="251725824" behindDoc="0" locked="0" layoutInCell="1" allowOverlap="1">
                      <wp:simplePos x="0" y="0"/>
                      <wp:positionH relativeFrom="column">
                        <wp:posOffset>3572510</wp:posOffset>
                      </wp:positionH>
                      <wp:positionV relativeFrom="paragraph">
                        <wp:posOffset>154305</wp:posOffset>
                      </wp:positionV>
                      <wp:extent cx="1122680" cy="304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122680" cy="304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0B3710">
                                  <w:pPr>
                                    <w:rPr>
                                      <w:rFonts w:hint="default"/>
                                      <w:lang w:val="en-US" w:eastAsia="zh-CN"/>
                                    </w:rPr>
                                  </w:pPr>
                                  <w:r>
                                    <w:rPr>
                                      <w:rFonts w:hint="eastAsia"/>
                                      <w:lang w:val="en-US" w:eastAsia="zh-CN"/>
                                    </w:rPr>
                                    <w:t>园区污水处理厂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1.3pt;margin-top:12.15pt;height:24pt;width:88.4pt;z-index:251725824;mso-width-relative:page;mso-height-relative:page;" filled="f" stroked="f" coordsize="21600,21600" o:gfxdata="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eeA249sAAAAJAQAADwAAAAAAAAABACAAAAAiAAAAZHJz&#10;L2Rvd25yZXYueG1sUEsBAhQAFAAAAAgAh07iQOZR1tM6AgAAaAQAAA4AAAAAAAAAAQAgAAAAKgEA&#10;AGRycy9lMm9Eb2MueG1sUEsFBgAAAAAGAAYAWQEAANYFAAAAAA==&#10;">
                      <v:fill on="f" focussize="0,0"/>
                      <v:stroke on="f" weight="0.5pt"/>
                      <v:imagedata o:title=""/>
                      <o:lock v:ext="edit" aspectratio="f"/>
                      <v:textbox>
                        <w:txbxContent>
                          <w:p w14:paraId="730B3710">
                            <w:pPr>
                              <w:rPr>
                                <w:rFonts w:hint="default"/>
                                <w:lang w:val="en-US" w:eastAsia="zh-CN"/>
                              </w:rPr>
                            </w:pPr>
                            <w:r>
                              <w:rPr>
                                <w:rFonts w:hint="eastAsia"/>
                                <w:lang w:val="en-US" w:eastAsia="zh-CN"/>
                              </w:rPr>
                              <w:t>园区污水处理厂</w:t>
                            </w:r>
                          </w:p>
                        </w:txbxContent>
                      </v:textbox>
                    </v:shap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728896" behindDoc="0" locked="0" layoutInCell="1" allowOverlap="1">
                      <wp:simplePos x="0" y="0"/>
                      <wp:positionH relativeFrom="column">
                        <wp:posOffset>2941320</wp:posOffset>
                      </wp:positionH>
                      <wp:positionV relativeFrom="paragraph">
                        <wp:posOffset>93345</wp:posOffset>
                      </wp:positionV>
                      <wp:extent cx="584835" cy="2667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584835" cy="266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693A5E">
                                  <w:pPr>
                                    <w:jc w:val="center"/>
                                    <w:rPr>
                                      <w:rFonts w:hint="default" w:eastAsia="宋体"/>
                                      <w:lang w:val="en-US" w:eastAsia="zh-CN"/>
                                    </w:rPr>
                                  </w:pPr>
                                  <w:r>
                                    <w:rPr>
                                      <w:rFonts w:hint="eastAsia"/>
                                      <w:lang w:val="en-US" w:eastAsia="zh-CN"/>
                                    </w:rPr>
                                    <w:t>1200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1.6pt;margin-top:7.35pt;height:21pt;width:46.05pt;z-index:251728896;mso-width-relative:page;mso-height-relative:page;" filled="f" stroked="f" coordsize="21600,21600" o:gfxdata="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3RjYfbAAAACQEAAA8AAAAAAAAAAQAgAAAAIgAA&#10;AGRycy9kb3ducmV2LnhtbFBLAQIUABQAAAAIAIdO4kDr8qZyPgIAAGcEAAAOAAAAAAAAAAEAIAAA&#10;ACoBAABkcnMvZTJvRG9jLnhtbFBLBQYAAAAABgAGAFkBAADaBQAAAAA=&#10;">
                      <v:fill on="f" focussize="0,0"/>
                      <v:stroke on="f" weight="0.5pt"/>
                      <v:imagedata o:title=""/>
                      <o:lock v:ext="edit" aspectratio="f"/>
                      <v:textbox>
                        <w:txbxContent>
                          <w:p w14:paraId="3E693A5E">
                            <w:pPr>
                              <w:jc w:val="center"/>
                              <w:rPr>
                                <w:rFonts w:hint="default" w:eastAsia="宋体"/>
                                <w:lang w:val="en-US" w:eastAsia="zh-CN"/>
                              </w:rPr>
                            </w:pPr>
                            <w:r>
                              <w:rPr>
                                <w:rFonts w:hint="eastAsia"/>
                                <w:lang w:val="en-US" w:eastAsia="zh-CN"/>
                              </w:rPr>
                              <w:t>1200</w:t>
                            </w:r>
                          </w:p>
                        </w:txbxContent>
                      </v:textbox>
                    </v:shap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718656" behindDoc="0" locked="0" layoutInCell="1" allowOverlap="1">
                      <wp:simplePos x="0" y="0"/>
                      <wp:positionH relativeFrom="column">
                        <wp:posOffset>2179320</wp:posOffset>
                      </wp:positionH>
                      <wp:positionV relativeFrom="paragraph">
                        <wp:posOffset>162560</wp:posOffset>
                      </wp:positionV>
                      <wp:extent cx="828040" cy="304800"/>
                      <wp:effectExtent l="4445" t="4445" r="5715" b="14605"/>
                      <wp:wrapNone/>
                      <wp:docPr id="43" name="文本框 43"/>
                      <wp:cNvGraphicFramePr/>
                      <a:graphic xmlns:a="http://schemas.openxmlformats.org/drawingml/2006/main">
                        <a:graphicData uri="http://schemas.microsoft.com/office/word/2010/wordprocessingShape">
                          <wps:wsp>
                            <wps:cNvSpPr txBox="1"/>
                            <wps:spPr>
                              <a:xfrm>
                                <a:off x="3768090" y="4434205"/>
                                <a:ext cx="828040"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67C2687">
                                  <w:pPr>
                                    <w:jc w:val="center"/>
                                    <w:rPr>
                                      <w:rFonts w:hint="default" w:eastAsia="宋体"/>
                                      <w:lang w:val="en-US" w:eastAsia="zh-CN"/>
                                    </w:rPr>
                                  </w:pPr>
                                  <w:r>
                                    <w:rPr>
                                      <w:rFonts w:hint="eastAsia"/>
                                      <w:lang w:val="en-US" w:eastAsia="zh-CN"/>
                                    </w:rPr>
                                    <w:t>生活用水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6pt;margin-top:12.8pt;height:24pt;width:65.2pt;z-index:251718656;mso-width-relative:page;mso-height-relative:page;" fillcolor="#FFFFFF [3201]" filled="t" stroked="t" coordsize="21600,21600" o:gfxdata="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7t7Us1QAAAAkBAAAPAAAAAAAAAAEAIAAAACIAAABkcnMvZG93bnJldi54bWxQSwECFAAU&#10;AAAACACHTuJAABA0nGYCAADEBAAADgAAAAAAAAABACAAAAAkAQAAZHJzL2Uyb0RvYy54bWxQSwUG&#10;AAAAAAYABgBZAQAA/AUAAAAA&#10;">
                      <v:fill on="t" focussize="0,0"/>
                      <v:stroke weight="0.5pt" color="#000000 [3204]" joinstyle="round"/>
                      <v:imagedata o:title=""/>
                      <o:lock v:ext="edit" aspectratio="f"/>
                      <v:textbox>
                        <w:txbxContent>
                          <w:p w14:paraId="467C2687">
                            <w:pPr>
                              <w:jc w:val="center"/>
                              <w:rPr>
                                <w:rFonts w:hint="default" w:eastAsia="宋体"/>
                                <w:lang w:val="en-US" w:eastAsia="zh-CN"/>
                              </w:rPr>
                            </w:pPr>
                            <w:r>
                              <w:rPr>
                                <w:rFonts w:hint="eastAsia"/>
                                <w:lang w:val="en-US" w:eastAsia="zh-CN"/>
                              </w:rPr>
                              <w:t>生活用水</w:t>
                            </w:r>
                          </w:p>
                        </w:txbxContent>
                      </v:textbox>
                    </v:shap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722752" behindDoc="0" locked="0" layoutInCell="1" allowOverlap="1">
                      <wp:simplePos x="0" y="0"/>
                      <wp:positionH relativeFrom="column">
                        <wp:posOffset>1463040</wp:posOffset>
                      </wp:positionH>
                      <wp:positionV relativeFrom="paragraph">
                        <wp:posOffset>84455</wp:posOffset>
                      </wp:positionV>
                      <wp:extent cx="584835" cy="2667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584835" cy="266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3193FF">
                                  <w:pPr>
                                    <w:jc w:val="center"/>
                                    <w:rPr>
                                      <w:rFonts w:hint="default" w:eastAsia="宋体"/>
                                      <w:lang w:val="en-US" w:eastAsia="zh-CN"/>
                                    </w:rPr>
                                  </w:pPr>
                                  <w:r>
                                    <w:rPr>
                                      <w:rFonts w:hint="eastAsia"/>
                                      <w:lang w:val="en-US" w:eastAsia="zh-CN"/>
                                    </w:rPr>
                                    <w:t>1500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5.2pt;margin-top:6.65pt;height:21pt;width:46.05pt;z-index:251722752;mso-width-relative:page;mso-height-relative:page;" filled="f" stroked="f" coordsize="21600,21600" o:gfxdata="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XGyYOtoAAAAJAQAADwAAAAAAAAABACAAAAAiAAAA&#10;ZHJzL2Rvd25yZXYueG1sUEsBAhQAFAAAAAgAh07iQPT7vm0+AgAAZwQAAA4AAAAAAAAAAQAgAAAA&#10;KQEAAGRycy9lMm9Eb2MueG1sUEsFBgAAAAAGAAYAWQEAANkFAAAAAA==&#10;">
                      <v:fill on="f" focussize="0,0"/>
                      <v:stroke on="f" weight="0.5pt"/>
                      <v:imagedata o:title=""/>
                      <o:lock v:ext="edit" aspectratio="f"/>
                      <v:textbox>
                        <w:txbxContent>
                          <w:p w14:paraId="273193FF">
                            <w:pPr>
                              <w:jc w:val="center"/>
                              <w:rPr>
                                <w:rFonts w:hint="default" w:eastAsia="宋体"/>
                                <w:lang w:val="en-US" w:eastAsia="zh-CN"/>
                              </w:rPr>
                            </w:pPr>
                            <w:r>
                              <w:rPr>
                                <w:rFonts w:hint="eastAsia"/>
                                <w:lang w:val="en-US" w:eastAsia="zh-CN"/>
                              </w:rPr>
                              <w:t>1500</w:t>
                            </w:r>
                          </w:p>
                        </w:txbxContent>
                      </v:textbox>
                    </v:shape>
                  </w:pict>
                </mc:Fallback>
              </mc:AlternateContent>
            </w:r>
          </w:p>
          <w:p w14:paraId="7C693432">
            <w:pPr>
              <w:pStyle w:val="5"/>
              <w:keepNext/>
              <w:keepLines/>
              <w:pageBreakBefore w:val="0"/>
              <w:widowControl w:val="0"/>
              <w:tabs>
                <w:tab w:val="center" w:pos="4038"/>
                <w:tab w:val="left" w:pos="6812"/>
              </w:tabs>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color w:val="auto"/>
                <w:spacing w:val="-6"/>
                <w:highlight w:val="none"/>
                <w:lang w:val="en-US" w:eastAsia="zh-CN"/>
              </w:rPr>
            </w:pPr>
            <w:r>
              <w:rPr>
                <w:rFonts w:hint="default" w:ascii="Times New Roman" w:hAnsi="Times New Roman" w:cs="Times New Roman"/>
                <w:color w:val="auto"/>
                <w:sz w:val="24"/>
                <w:highlight w:val="none"/>
              </w:rPr>
              <mc:AlternateContent>
                <mc:Choice Requires="wps">
                  <w:drawing>
                    <wp:anchor distT="0" distB="0" distL="114300" distR="114300" simplePos="0" relativeHeight="251720704" behindDoc="0" locked="0" layoutInCell="1" allowOverlap="1">
                      <wp:simplePos x="0" y="0"/>
                      <wp:positionH relativeFrom="column">
                        <wp:posOffset>490220</wp:posOffset>
                      </wp:positionH>
                      <wp:positionV relativeFrom="paragraph">
                        <wp:posOffset>93345</wp:posOffset>
                      </wp:positionV>
                      <wp:extent cx="374650" cy="648335"/>
                      <wp:effectExtent l="4445" t="5080" r="20955" b="13335"/>
                      <wp:wrapNone/>
                      <wp:docPr id="49" name="文本框 49"/>
                      <wp:cNvGraphicFramePr/>
                      <a:graphic xmlns:a="http://schemas.openxmlformats.org/drawingml/2006/main">
                        <a:graphicData uri="http://schemas.microsoft.com/office/word/2010/wordprocessingShape">
                          <wps:wsp>
                            <wps:cNvSpPr txBox="1"/>
                            <wps:spPr>
                              <a:xfrm>
                                <a:off x="1647825" y="6059170"/>
                                <a:ext cx="374650" cy="6483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613BF93">
                                  <w:pPr>
                                    <w:jc w:val="center"/>
                                    <w:rPr>
                                      <w:rFonts w:hint="default" w:eastAsia="宋体"/>
                                      <w:lang w:val="en-US" w:eastAsia="zh-CN"/>
                                    </w:rPr>
                                  </w:pPr>
                                  <w:r>
                                    <w:rPr>
                                      <w:rFonts w:hint="eastAsia"/>
                                      <w:lang w:val="en-US" w:eastAsia="zh-CN"/>
                                    </w:rPr>
                                    <w:t>新鲜水</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6pt;margin-top:7.35pt;height:51.05pt;width:29.5pt;z-index:251720704;mso-width-relative:page;mso-height-relative:page;" fillcolor="#FFFFFF [3201]" filled="t" stroked="t" coordsize="21600,21600" o:gfxdata="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FdG8FnVAAAACQEAAA8AAAAAAAAAAQAgAAAAIgAAAGRycy9kb3ducmV2LnhtbFBLAQIUABQA&#10;AAAIAIdO4kAkB2QOZQIAAMYEAAAOAAAAAAAAAAEAIAAAACQBAABkcnMvZTJvRG9jLnhtbFBLBQYA&#10;AAAABgAGAFkBAAD7BQAAAAA=&#10;">
                      <v:fill on="t" focussize="0,0"/>
                      <v:stroke weight="0.5pt" color="#000000 [3204]" joinstyle="round"/>
                      <v:imagedata o:title=""/>
                      <o:lock v:ext="edit" aspectratio="f"/>
                      <v:textbox style="layout-flow:vertical-ideographic;">
                        <w:txbxContent>
                          <w:p w14:paraId="5613BF93">
                            <w:pPr>
                              <w:jc w:val="center"/>
                              <w:rPr>
                                <w:rFonts w:hint="default" w:eastAsia="宋体"/>
                                <w:lang w:val="en-US" w:eastAsia="zh-CN"/>
                              </w:rPr>
                            </w:pPr>
                            <w:r>
                              <w:rPr>
                                <w:rFonts w:hint="eastAsia"/>
                                <w:lang w:val="en-US" w:eastAsia="zh-CN"/>
                              </w:rPr>
                              <w:t>新鲜水</w:t>
                            </w:r>
                          </w:p>
                        </w:txbxContent>
                      </v:textbox>
                    </v:shap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724800" behindDoc="0" locked="0" layoutInCell="1" allowOverlap="1">
                      <wp:simplePos x="0" y="0"/>
                      <wp:positionH relativeFrom="column">
                        <wp:posOffset>798195</wp:posOffset>
                      </wp:positionH>
                      <wp:positionV relativeFrom="paragraph">
                        <wp:posOffset>205105</wp:posOffset>
                      </wp:positionV>
                      <wp:extent cx="593090" cy="2667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593090" cy="266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5F43DB">
                                  <w:pPr>
                                    <w:jc w:val="center"/>
                                    <w:rPr>
                                      <w:rFonts w:hint="default"/>
                                      <w:lang w:val="en-US" w:eastAsia="zh-CN"/>
                                    </w:rPr>
                                  </w:pPr>
                                  <w:r>
                                    <w:rPr>
                                      <w:rFonts w:hint="eastAsia"/>
                                      <w:lang w:val="en-US" w:eastAsia="zh-CN"/>
                                    </w:rPr>
                                    <w:t>1591.8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2.85pt;margin-top:16.15pt;height:21pt;width:46.7pt;z-index:251724800;mso-width-relative:page;mso-height-relative:page;" filled="f" stroked="f" coordsize="21600,21600" o:gfxdata="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2/ZT22gAAAAkBAAAPAAAAAAAAAAEAIAAAACIAAABk&#10;cnMvZG93bnJldi54bWxQSwECFAAUAAAACACHTuJAygfD0D0CAABnBAAADgAAAAAAAAABACAAAAAp&#10;AQAAZHJzL2Uyb0RvYy54bWxQSwUGAAAAAAYABgBZAQAA2AUAAAAA&#10;">
                      <v:fill on="f" focussize="0,0"/>
                      <v:stroke on="f" weight="0.5pt"/>
                      <v:imagedata o:title=""/>
                      <o:lock v:ext="edit" aspectratio="f"/>
                      <v:textbox>
                        <w:txbxContent>
                          <w:p w14:paraId="1A5F43DB">
                            <w:pPr>
                              <w:jc w:val="center"/>
                              <w:rPr>
                                <w:rFonts w:hint="default"/>
                                <w:lang w:val="en-US" w:eastAsia="zh-CN"/>
                              </w:rPr>
                            </w:pPr>
                            <w:r>
                              <w:rPr>
                                <w:rFonts w:hint="eastAsia"/>
                                <w:lang w:val="en-US" w:eastAsia="zh-CN"/>
                              </w:rPr>
                              <w:t>1591.8</w:t>
                            </w:r>
                          </w:p>
                        </w:txbxContent>
                      </v:textbox>
                    </v:shape>
                  </w:pict>
                </mc:Fallback>
              </mc:AlternateContent>
            </w:r>
            <w:r>
              <w:rPr>
                <w:sz w:val="24"/>
              </w:rPr>
              <mc:AlternateContent>
                <mc:Choice Requires="wps">
                  <w:drawing>
                    <wp:anchor distT="0" distB="0" distL="114300" distR="114300" simplePos="0" relativeHeight="251730944" behindDoc="0" locked="0" layoutInCell="1" allowOverlap="1">
                      <wp:simplePos x="0" y="0"/>
                      <wp:positionH relativeFrom="column">
                        <wp:posOffset>3010535</wp:posOffset>
                      </wp:positionH>
                      <wp:positionV relativeFrom="paragraph">
                        <wp:posOffset>86360</wp:posOffset>
                      </wp:positionV>
                      <wp:extent cx="571500" cy="0"/>
                      <wp:effectExtent l="0" t="38100" r="0" b="38100"/>
                      <wp:wrapNone/>
                      <wp:docPr id="85" name="直接箭头连接符 85"/>
                      <wp:cNvGraphicFramePr/>
                      <a:graphic xmlns:a="http://schemas.openxmlformats.org/drawingml/2006/main">
                        <a:graphicData uri="http://schemas.microsoft.com/office/word/2010/wordprocessingShape">
                          <wps:wsp>
                            <wps:cNvCnPr/>
                            <wps:spPr>
                              <a:xfrm>
                                <a:off x="4497705" y="1974215"/>
                                <a:ext cx="571500" cy="0"/>
                              </a:xfrm>
                              <a:prstGeom prst="straightConnector1">
                                <a:avLst/>
                              </a:prstGeom>
                              <a:ln w="12700" cmpd="sng">
                                <a:solidFill>
                                  <a:schemeClr val="tx1"/>
                                </a:solidFill>
                                <a:prstDash val="solid"/>
                                <a:tailEnd type="triangle" w="med" len="lg"/>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37.05pt;margin-top:6.8pt;height:0pt;width:45pt;z-index:251730944;mso-width-relative:page;mso-height-relative:page;" filled="f" stroked="t" coordsize="21600,21600" o:gfxdata="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ltQUbXAAAACQEAAA8AAAAAAAAA&#10;AQAgAAAAIgAAAGRycy9kb3ducmV2LnhtbFBLAQIUABQAAAAIAIdO4kCWdDC/EgIAAOkDAAAOAAAA&#10;AAAAAAEAIAAAACYBAABkcnMvZTJvRG9jLnhtbFBLBQYAAAAABgAGAFkBAACqBQAAAAA=&#10;">
                      <v:fill on="f" focussize="0,0"/>
                      <v:stroke weight="1pt" color="#000000 [3213]" joinstyle="round" endarrow="block" endarrowlength="long"/>
                      <v:imagedata o:title=""/>
                      <o:lock v:ext="edit" aspectratio="f"/>
                    </v:shape>
                  </w:pict>
                </mc:Fallback>
              </mc:AlternateContent>
            </w:r>
            <w:r>
              <w:rPr>
                <w:color w:val="auto"/>
                <w:sz w:val="24"/>
                <w:highlight w:val="none"/>
              </w:rPr>
              <mc:AlternateContent>
                <mc:Choice Requires="wps">
                  <w:drawing>
                    <wp:anchor distT="0" distB="0" distL="114300" distR="114300" simplePos="0" relativeHeight="251726848" behindDoc="0" locked="0" layoutInCell="1" allowOverlap="1">
                      <wp:simplePos x="0" y="0"/>
                      <wp:positionH relativeFrom="column">
                        <wp:posOffset>2179320</wp:posOffset>
                      </wp:positionH>
                      <wp:positionV relativeFrom="paragraph">
                        <wp:posOffset>86360</wp:posOffset>
                      </wp:positionV>
                      <wp:extent cx="3175" cy="673735"/>
                      <wp:effectExtent l="746760" t="38100" r="12065" b="50165"/>
                      <wp:wrapNone/>
                      <wp:docPr id="67" name="肘形连接符 67"/>
                      <wp:cNvGraphicFramePr/>
                      <a:graphic xmlns:a="http://schemas.openxmlformats.org/drawingml/2006/main">
                        <a:graphicData uri="http://schemas.microsoft.com/office/word/2010/wordprocessingShape">
                          <wps:wsp>
                            <wps:cNvCnPr>
                              <a:stCxn id="43" idx="1"/>
                              <a:endCxn id="81" idx="1"/>
                            </wps:cNvCnPr>
                            <wps:spPr>
                              <a:xfrm rot="10800000" flipH="1" flipV="1">
                                <a:off x="3704590" y="6968490"/>
                                <a:ext cx="3175" cy="673735"/>
                              </a:xfrm>
                              <a:prstGeom prst="bentConnector3">
                                <a:avLst>
                                  <a:gd name="adj1" fmla="val -23320000"/>
                                </a:avLst>
                              </a:prstGeom>
                              <a:ln w="12700" cmpd="sng">
                                <a:solidFill>
                                  <a:schemeClr val="tx1"/>
                                </a:solidFill>
                                <a:prstDash val="solid"/>
                                <a:headEnd type="triangle" w="med" len="lg"/>
                                <a:tailEnd type="triangle" w="med" len="lg"/>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4" type="#_x0000_t34" style="position:absolute;left:0pt;flip:x y;margin-left:171.6pt;margin-top:6.8pt;height:53.05pt;width:0.25pt;rotation:11796480f;z-index:251726848;mso-width-relative:page;mso-height-relative:page;" filled="f" stroked="t" coordsize="21600,21600" o:gfxdata="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M&#10;vOV72QAAAAoBAAAPAAAAAAAAAAEAIAAAACIAAABkcnMvZG93bnJldi54bWxQSwECFAAUAAAACACH&#10;TuJAIVqGGVwCAAClBAAADgAAAAAAAAABACAAAAAoAQAAZHJzL2Uyb0RvYy54bWxQSwUGAAAAAAYA&#10;BgBZAQAA9gUAAAAA&#10;" adj="-5037120">
                      <v:fill on="f" focussize="0,0"/>
                      <v:stroke weight="1pt" color="#000000 [3213]" joinstyle="round" startarrow="block" startarrowlength="long" endarrow="block" endarrowlength="long"/>
                      <v:imagedata o:title=""/>
                      <o:lock v:ext="edit" aspectratio="f"/>
                    </v:shape>
                  </w:pict>
                </mc:Fallback>
              </mc:AlternateContent>
            </w:r>
          </w:p>
          <w:p w14:paraId="3EE83BFD">
            <w:pPr>
              <w:pStyle w:val="5"/>
              <w:keepNext/>
              <w:keepLines/>
              <w:pageBreakBefore w:val="0"/>
              <w:widowControl w:val="0"/>
              <w:tabs>
                <w:tab w:val="center" w:pos="4038"/>
                <w:tab w:val="left" w:pos="6812"/>
              </w:tabs>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color w:val="auto"/>
                <w:spacing w:val="-6"/>
                <w:highlight w:val="none"/>
                <w:lang w:val="en-US" w:eastAsia="zh-CN"/>
              </w:rPr>
            </w:pPr>
            <w:r>
              <w:rPr>
                <w:rFonts w:hint="default" w:ascii="Times New Roman" w:hAnsi="Times New Roman" w:cs="Times New Roman"/>
                <w:color w:val="auto"/>
                <w:sz w:val="24"/>
                <w:highlight w:val="none"/>
              </w:rPr>
              <mc:AlternateContent>
                <mc:Choice Requires="wps">
                  <w:drawing>
                    <wp:anchor distT="0" distB="0" distL="114300" distR="114300" simplePos="0" relativeHeight="251721728" behindDoc="0" locked="0" layoutInCell="1" allowOverlap="1">
                      <wp:simplePos x="0" y="0"/>
                      <wp:positionH relativeFrom="column">
                        <wp:posOffset>873760</wp:posOffset>
                      </wp:positionH>
                      <wp:positionV relativeFrom="paragraph">
                        <wp:posOffset>188595</wp:posOffset>
                      </wp:positionV>
                      <wp:extent cx="556260" cy="1270"/>
                      <wp:effectExtent l="0" t="36830" r="15240" b="38100"/>
                      <wp:wrapNone/>
                      <wp:docPr id="64" name="直接箭头连接符 64"/>
                      <wp:cNvGraphicFramePr/>
                      <a:graphic xmlns:a="http://schemas.openxmlformats.org/drawingml/2006/main">
                        <a:graphicData uri="http://schemas.microsoft.com/office/word/2010/wordprocessingShape">
                          <wps:wsp>
                            <wps:cNvCnPr/>
                            <wps:spPr>
                              <a:xfrm>
                                <a:off x="0" y="0"/>
                                <a:ext cx="556260" cy="1270"/>
                              </a:xfrm>
                              <a:prstGeom prst="straightConnector1">
                                <a:avLst/>
                              </a:prstGeom>
                              <a:ln w="12700" cmpd="sng">
                                <a:solidFill>
                                  <a:schemeClr val="tx1"/>
                                </a:solidFill>
                                <a:prstDash val="solid"/>
                                <a:tailEnd type="triangle" w="med" len="lg"/>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68.8pt;margin-top:14.85pt;height:0.1pt;width:43.8pt;z-index:251721728;mso-width-relative:page;mso-height-relative:page;" filled="f" stroked="t" coordsize="21600,21600" o:gfxdata="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&#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gMv33ZAAAACQEAAA8AAAAAAAAAAQAgAAAAIgAAAGRy&#10;cy9kb3ducmV2LnhtbFBLAQIUABQAAAAIAIdO4kAUsDvmBAIAAOADAAAOAAAAAAAAAAEAIAAAACgB&#10;AABkcnMvZTJvRG9jLnhtbFBLBQYAAAAABgAGAFkBAACeBQAAAAA=&#10;">
                      <v:fill on="f" focussize="0,0"/>
                      <v:stroke weight="1pt" color="#000000 [3213]" joinstyle="round" endarrow="block" endarrowlength="long"/>
                      <v:imagedata o:title=""/>
                      <o:lock v:ext="edit" aspectratio="f"/>
                    </v:shape>
                  </w:pict>
                </mc:Fallback>
              </mc:AlternateContent>
            </w:r>
            <w:r>
              <w:rPr>
                <w:color w:val="auto"/>
                <w:sz w:val="24"/>
                <w:highlight w:val="none"/>
              </w:rPr>
              <mc:AlternateContent>
                <mc:Choice Requires="wps">
                  <w:drawing>
                    <wp:anchor distT="0" distB="0" distL="114300" distR="114300" simplePos="0" relativeHeight="251727872" behindDoc="0" locked="0" layoutInCell="1" allowOverlap="1">
                      <wp:simplePos x="0" y="0"/>
                      <wp:positionH relativeFrom="column">
                        <wp:posOffset>2658110</wp:posOffset>
                      </wp:positionH>
                      <wp:positionV relativeFrom="paragraph">
                        <wp:posOffset>125095</wp:posOffset>
                      </wp:positionV>
                      <wp:extent cx="191770" cy="314960"/>
                      <wp:effectExtent l="6350" t="18415" r="2540" b="18415"/>
                      <wp:wrapNone/>
                      <wp:docPr id="78" name="曲线连接符 78"/>
                      <wp:cNvGraphicFramePr/>
                      <a:graphic xmlns:a="http://schemas.openxmlformats.org/drawingml/2006/main">
                        <a:graphicData uri="http://schemas.microsoft.com/office/word/2010/wordprocessingShape">
                          <wps:wsp>
                            <wps:cNvCnPr>
                              <a:stCxn id="81" idx="0"/>
                            </wps:cNvCnPr>
                            <wps:spPr>
                              <a:xfrm rot="16200000">
                                <a:off x="4117975" y="8771255"/>
                                <a:ext cx="191770" cy="314960"/>
                              </a:xfrm>
                              <a:prstGeom prst="curvedConnector2">
                                <a:avLst/>
                              </a:prstGeom>
                              <a:ln w="12700" cmpd="sng">
                                <a:solidFill>
                                  <a:schemeClr val="tx1"/>
                                </a:solidFill>
                                <a:prstDash val="dash"/>
                                <a:tailEnd type="triangle" w="med" len="lg"/>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7" type="#_x0000_t37" style="position:absolute;left:0pt;margin-left:209.3pt;margin-top:9.85pt;height:24.8pt;width:15.1pt;rotation:-5898240f;z-index:251727872;mso-width-relative:page;mso-height-relative:page;" filled="f" stroked="t" coordsize="21600,21600" o:gfxdata="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bUNly1QAAAAkBAAAPAAAAAAAAAAEAIAAAACIAAABkcnMvZG93bnJldi54bWxQSwECFAAU&#10;AAAACACHTuJANwUmby0CAAAbBAAADgAAAAAAAAABACAAAAAkAQAAZHJzL2Uyb0RvYy54bWxQSwUG&#10;AAAAAAYABgBZAQAAwwUAAAAA&#10;">
                      <v:fill on="f" focussize="0,0"/>
                      <v:stroke weight="1pt" color="#000000 [3213]" joinstyle="round" dashstyle="dash" endarrow="block" endarrowlength="long"/>
                      <v:imagedata o:title=""/>
                      <o:lock v:ext="edit" aspectratio="f"/>
                    </v:shap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729920" behindDoc="0" locked="0" layoutInCell="1" allowOverlap="1">
                      <wp:simplePos x="0" y="0"/>
                      <wp:positionH relativeFrom="column">
                        <wp:posOffset>2824480</wp:posOffset>
                      </wp:positionH>
                      <wp:positionV relativeFrom="paragraph">
                        <wp:posOffset>52070</wp:posOffset>
                      </wp:positionV>
                      <wp:extent cx="535305" cy="26670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535305" cy="266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772E4A">
                                  <w:pPr>
                                    <w:jc w:val="center"/>
                                    <w:rPr>
                                      <w:rFonts w:hint="default" w:eastAsia="宋体"/>
                                      <w:lang w:val="en-US" w:eastAsia="zh-CN"/>
                                    </w:rPr>
                                  </w:pPr>
                                  <w:r>
                                    <w:rPr>
                                      <w:rFonts w:hint="eastAsia"/>
                                      <w:lang w:val="en-US" w:eastAsia="zh-CN"/>
                                    </w:rPr>
                                    <w:t>91.8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2.4pt;margin-top:4.1pt;height:21pt;width:42.15pt;z-index:251729920;mso-width-relative:page;mso-height-relative:page;" filled="f" stroked="f" coordsize="21600,21600" o:gfxdata="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&#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NalsqvZAAAACAEAAA8AAAAAAAAAAQAgAAAAIgAAAGRy&#10;cy9kb3ducmV2LnhtbFBLAQIUABQAAAAIAIdO4kC5DUqYPQIAAGcEAAAOAAAAAAAAAAEAIAAAACgB&#10;AABkcnMvZTJvRG9jLnhtbFBLBQYAAAAABgAGAFkBAADXBQAAAAA=&#10;">
                      <v:fill on="f" focussize="0,0"/>
                      <v:stroke on="f" weight="0.5pt"/>
                      <v:imagedata o:title=""/>
                      <o:lock v:ext="edit" aspectratio="f"/>
                      <v:textbox>
                        <w:txbxContent>
                          <w:p w14:paraId="5B772E4A">
                            <w:pPr>
                              <w:jc w:val="center"/>
                              <w:rPr>
                                <w:rFonts w:hint="default" w:eastAsia="宋体"/>
                                <w:lang w:val="en-US" w:eastAsia="zh-CN"/>
                              </w:rPr>
                            </w:pPr>
                            <w:r>
                              <w:rPr>
                                <w:rFonts w:hint="eastAsia"/>
                                <w:lang w:val="en-US" w:eastAsia="zh-CN"/>
                              </w:rPr>
                              <w:t>91.8</w:t>
                            </w:r>
                          </w:p>
                        </w:txbxContent>
                      </v:textbox>
                    </v:shape>
                  </w:pict>
                </mc:Fallback>
              </mc:AlternateContent>
            </w:r>
          </w:p>
          <w:p w14:paraId="6265E42C">
            <w:pPr>
              <w:pStyle w:val="5"/>
              <w:keepNext/>
              <w:keepLines/>
              <w:pageBreakBefore w:val="0"/>
              <w:widowControl w:val="0"/>
              <w:tabs>
                <w:tab w:val="center" w:pos="4038"/>
                <w:tab w:val="left" w:pos="6812"/>
              </w:tabs>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color w:val="auto"/>
                <w:spacing w:val="-6"/>
                <w:highlight w:val="none"/>
                <w:lang w:val="en-US" w:eastAsia="zh-CN"/>
              </w:rPr>
            </w:pPr>
            <w:r>
              <w:rPr>
                <w:rFonts w:hint="default" w:ascii="Times New Roman" w:hAnsi="Times New Roman" w:cs="Times New Roman"/>
                <w:color w:val="auto"/>
                <w:sz w:val="24"/>
                <w:highlight w:val="none"/>
              </w:rPr>
              <mc:AlternateContent>
                <mc:Choice Requires="wps">
                  <w:drawing>
                    <wp:anchor distT="0" distB="0" distL="114300" distR="114300" simplePos="0" relativeHeight="251723776" behindDoc="0" locked="0" layoutInCell="1" allowOverlap="1">
                      <wp:simplePos x="0" y="0"/>
                      <wp:positionH relativeFrom="column">
                        <wp:posOffset>1504315</wp:posOffset>
                      </wp:positionH>
                      <wp:positionV relativeFrom="paragraph">
                        <wp:posOffset>80010</wp:posOffset>
                      </wp:positionV>
                      <wp:extent cx="535305" cy="26670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535305" cy="266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807482">
                                  <w:pPr>
                                    <w:jc w:val="center"/>
                                    <w:rPr>
                                      <w:rFonts w:hint="default" w:eastAsia="宋体"/>
                                      <w:lang w:val="en-US" w:eastAsia="zh-CN"/>
                                    </w:rPr>
                                  </w:pPr>
                                  <w:r>
                                    <w:rPr>
                                      <w:rFonts w:hint="eastAsia"/>
                                      <w:lang w:val="en-US" w:eastAsia="zh-CN"/>
                                    </w:rPr>
                                    <w:t>91.8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8.45pt;margin-top:6.3pt;height:21pt;width:42.15pt;z-index:251723776;mso-width-relative:page;mso-height-relative:page;" filled="f" stroked="f" coordsize="21600,21600" o:gfxdata="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N4YDr2gAAAAkBAAAPAAAAAAAAAAEAIAAAACIAAABk&#10;cnMvZG93bnJldi54bWxQSwECFAAUAAAACACHTuJA37G2Pj0CAABnBAAADgAAAAAAAAABACAAAAAp&#10;AQAAZHJzL2Uyb0RvYy54bWxQSwUGAAAAAAYABgBZAQAA2AUAAAAA&#10;">
                      <v:fill on="f" focussize="0,0"/>
                      <v:stroke on="f" weight="0.5pt"/>
                      <v:imagedata o:title=""/>
                      <o:lock v:ext="edit" aspectratio="f"/>
                      <v:textbox>
                        <w:txbxContent>
                          <w:p w14:paraId="3B807482">
                            <w:pPr>
                              <w:jc w:val="center"/>
                              <w:rPr>
                                <w:rFonts w:hint="default" w:eastAsia="宋体"/>
                                <w:lang w:val="en-US" w:eastAsia="zh-CN"/>
                              </w:rPr>
                            </w:pPr>
                            <w:r>
                              <w:rPr>
                                <w:rFonts w:hint="eastAsia"/>
                                <w:lang w:val="en-US" w:eastAsia="zh-CN"/>
                              </w:rPr>
                              <w:t>91.8</w:t>
                            </w:r>
                          </w:p>
                        </w:txbxContent>
                      </v:textbox>
                    </v:shape>
                  </w:pict>
                </mc:Fallback>
              </mc:AlternateContent>
            </w:r>
            <w:r>
              <w:rPr>
                <w:rFonts w:hint="default" w:ascii="Times New Roman" w:hAnsi="Times New Roman" w:cs="Times New Roman"/>
                <w:color w:val="auto"/>
                <w:sz w:val="24"/>
                <w:highlight w:val="none"/>
              </w:rPr>
              <mc:AlternateContent>
                <mc:Choice Requires="wps">
                  <w:drawing>
                    <wp:anchor distT="0" distB="0" distL="114300" distR="114300" simplePos="0" relativeHeight="251719680" behindDoc="0" locked="0" layoutInCell="1" allowOverlap="1">
                      <wp:simplePos x="0" y="0"/>
                      <wp:positionH relativeFrom="column">
                        <wp:posOffset>2182495</wp:posOffset>
                      </wp:positionH>
                      <wp:positionV relativeFrom="paragraph">
                        <wp:posOffset>149225</wp:posOffset>
                      </wp:positionV>
                      <wp:extent cx="828040" cy="304800"/>
                      <wp:effectExtent l="4445" t="4445" r="5715" b="14605"/>
                      <wp:wrapNone/>
                      <wp:docPr id="81" name="文本框 81"/>
                      <wp:cNvGraphicFramePr/>
                      <a:graphic xmlns:a="http://schemas.openxmlformats.org/drawingml/2006/main">
                        <a:graphicData uri="http://schemas.microsoft.com/office/word/2010/wordprocessingShape">
                          <wps:wsp>
                            <wps:cNvSpPr txBox="1"/>
                            <wps:spPr>
                              <a:xfrm>
                                <a:off x="0" y="0"/>
                                <a:ext cx="828040"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F8540CD">
                                  <w:pPr>
                                    <w:jc w:val="center"/>
                                    <w:rPr>
                                      <w:rFonts w:hint="default" w:eastAsia="宋体"/>
                                      <w:lang w:val="en-US" w:eastAsia="zh-CN"/>
                                    </w:rPr>
                                  </w:pPr>
                                  <w:r>
                                    <w:rPr>
                                      <w:rFonts w:hint="eastAsia"/>
                                      <w:lang w:val="en-US" w:eastAsia="zh-CN"/>
                                    </w:rPr>
                                    <w:t>绿化用水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85pt;margin-top:11.75pt;height:24pt;width:65.2pt;z-index:251719680;mso-width-relative:page;mso-height-relative:page;" fillcolor="#FFFFFF [3201]" filled="t" stroked="t" coordsize="21600,21600" o:gfxdata="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8uW8HX&#10;AAAACQEAAA8AAAAAAAAAAQAgAAAAIgAAAGRycy9kb3ducmV2LnhtbFBLAQIUABQAAAAIAIdO4kAH&#10;gklgWgIAALgEAAAOAAAAAAAAAAEAIAAAACYBAABkcnMvZTJvRG9jLnhtbFBLBQYAAAAABgAGAFkB&#10;AADyBQAAAAA=&#10;">
                      <v:fill on="t" focussize="0,0"/>
                      <v:stroke weight="0.5pt" color="#000000 [3204]" joinstyle="round"/>
                      <v:imagedata o:title=""/>
                      <o:lock v:ext="edit" aspectratio="f"/>
                      <v:textbox>
                        <w:txbxContent>
                          <w:p w14:paraId="3F8540CD">
                            <w:pPr>
                              <w:jc w:val="center"/>
                              <w:rPr>
                                <w:rFonts w:hint="default" w:eastAsia="宋体"/>
                                <w:lang w:val="en-US" w:eastAsia="zh-CN"/>
                              </w:rPr>
                            </w:pPr>
                            <w:r>
                              <w:rPr>
                                <w:rFonts w:hint="eastAsia"/>
                                <w:lang w:val="en-US" w:eastAsia="zh-CN"/>
                              </w:rPr>
                              <w:t>绿化用水</w:t>
                            </w:r>
                          </w:p>
                        </w:txbxContent>
                      </v:textbox>
                    </v:shape>
                  </w:pict>
                </mc:Fallback>
              </mc:AlternateContent>
            </w:r>
          </w:p>
          <w:p w14:paraId="2BBF9C7B">
            <w:pPr>
              <w:pStyle w:val="5"/>
              <w:keepNext/>
              <w:keepLines/>
              <w:pageBreakBefore w:val="0"/>
              <w:widowControl w:val="0"/>
              <w:tabs>
                <w:tab w:val="center" w:pos="4038"/>
                <w:tab w:val="left" w:pos="6812"/>
              </w:tabs>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color w:val="auto"/>
                <w:spacing w:val="-6"/>
                <w:highlight w:val="none"/>
                <w:lang w:val="en-US" w:eastAsia="zh-CN"/>
              </w:rPr>
            </w:pPr>
          </w:p>
          <w:p w14:paraId="38969DC0">
            <w:pPr>
              <w:pStyle w:val="5"/>
              <w:keepNext/>
              <w:keepLines/>
              <w:pageBreakBefore w:val="0"/>
              <w:widowControl w:val="0"/>
              <w:tabs>
                <w:tab w:val="center" w:pos="4038"/>
                <w:tab w:val="left" w:pos="6812"/>
              </w:tabs>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图2-1 项目水平衡图（单位：m³/a）</w:t>
            </w:r>
          </w:p>
          <w:p w14:paraId="1E59D2F8">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w:t>
            </w:r>
            <w:r>
              <w:rPr>
                <w:rFonts w:hint="eastAsia" w:ascii="Times New Roman" w:hAnsi="Times New Roman" w:eastAsia="宋体" w:cs="Times New Roman"/>
                <w:color w:val="auto"/>
                <w:sz w:val="24"/>
                <w:lang w:val="en-US" w:eastAsia="zh-CN"/>
              </w:rPr>
              <w:t>3</w:t>
            </w:r>
            <w:r>
              <w:rPr>
                <w:rFonts w:hint="eastAsia" w:ascii="Times New Roman" w:hAnsi="Times New Roman" w:eastAsia="宋体" w:cs="Times New Roman"/>
                <w:color w:val="auto"/>
                <w:sz w:val="24"/>
              </w:rPr>
              <w:t>）供电</w:t>
            </w:r>
          </w:p>
          <w:p w14:paraId="26DEAB15">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项目用电接园区供电系统，厂内配备250kVA变压器。</w:t>
            </w:r>
          </w:p>
          <w:p w14:paraId="557D7090">
            <w:pPr>
              <w:spacing w:line="360" w:lineRule="auto"/>
              <w:ind w:firstLine="480" w:firstLineChars="200"/>
              <w:rPr>
                <w:rFonts w:hint="eastAsia" w:ascii="Times New Roman" w:hAnsi="Times New Roman" w:eastAsia="宋体" w:cs="Times New Roman"/>
                <w:color w:val="0000FF"/>
                <w:sz w:val="24"/>
              </w:rPr>
            </w:pPr>
            <w:r>
              <w:rPr>
                <w:rFonts w:hint="eastAsia" w:ascii="Times New Roman" w:hAnsi="Times New Roman" w:eastAsia="宋体" w:cs="Times New Roman"/>
                <w:color w:val="0000FF"/>
                <w:sz w:val="24"/>
              </w:rPr>
              <w:t>（</w:t>
            </w:r>
            <w:r>
              <w:rPr>
                <w:rFonts w:hint="eastAsia" w:ascii="Times New Roman" w:hAnsi="Times New Roman" w:eastAsia="宋体" w:cs="Times New Roman"/>
                <w:color w:val="0000FF"/>
                <w:sz w:val="24"/>
                <w:lang w:val="en-US" w:eastAsia="zh-CN"/>
              </w:rPr>
              <w:t>4</w:t>
            </w:r>
            <w:r>
              <w:rPr>
                <w:rFonts w:hint="eastAsia" w:ascii="Times New Roman" w:hAnsi="Times New Roman" w:eastAsia="宋体" w:cs="Times New Roman"/>
                <w:color w:val="0000FF"/>
                <w:sz w:val="24"/>
              </w:rPr>
              <w:t>）供热</w:t>
            </w:r>
          </w:p>
          <w:p w14:paraId="41E65A1E">
            <w:pPr>
              <w:spacing w:line="360" w:lineRule="auto"/>
              <w:ind w:firstLine="480" w:firstLineChars="200"/>
              <w:rPr>
                <w:rFonts w:hint="eastAsia" w:ascii="Times New Roman" w:hAnsi="Times New Roman" w:eastAsia="宋体" w:cs="Times New Roman"/>
                <w:color w:val="0000FF"/>
                <w:sz w:val="24"/>
              </w:rPr>
            </w:pPr>
            <w:r>
              <w:rPr>
                <w:rFonts w:hint="eastAsia" w:ascii="Times New Roman" w:hAnsi="Times New Roman" w:eastAsia="宋体" w:cs="Times New Roman"/>
                <w:color w:val="0000FF"/>
                <w:sz w:val="24"/>
              </w:rPr>
              <w:t>项目</w:t>
            </w:r>
            <w:r>
              <w:rPr>
                <w:rFonts w:hint="eastAsia" w:ascii="Times New Roman" w:hAnsi="Times New Roman" w:eastAsia="宋体" w:cs="Times New Roman"/>
                <w:color w:val="0000FF"/>
                <w:sz w:val="24"/>
                <w:lang w:val="en-US" w:eastAsia="zh-CN"/>
              </w:rPr>
              <w:t>供热</w:t>
            </w:r>
            <w:r>
              <w:rPr>
                <w:rFonts w:hint="eastAsia" w:ascii="Times New Roman" w:hAnsi="Times New Roman" w:eastAsia="宋体" w:cs="Times New Roman"/>
                <w:color w:val="0000FF"/>
                <w:sz w:val="24"/>
              </w:rPr>
              <w:t>采用空气源热泵系统集中供热。</w:t>
            </w:r>
          </w:p>
          <w:p w14:paraId="47072A45">
            <w:pPr>
              <w:keepNext w:val="0"/>
              <w:keepLines w:val="0"/>
              <w:pageBreakBefore w:val="0"/>
              <w:widowControl w:val="0"/>
              <w:kinsoku/>
              <w:wordWrap/>
              <w:overflowPunct/>
              <w:topLinePunct w:val="0"/>
              <w:autoSpaceDE/>
              <w:autoSpaceDN/>
              <w:bidi w:val="0"/>
              <w:adjustRightInd/>
              <w:snapToGrid/>
              <w:spacing w:line="360" w:lineRule="auto"/>
              <w:textAlignment w:val="auto"/>
              <w:rPr>
                <w:b/>
                <w:bCs/>
                <w:color w:val="auto"/>
                <w:sz w:val="24"/>
              </w:rPr>
            </w:pPr>
            <w:r>
              <w:rPr>
                <w:rFonts w:hint="eastAsia"/>
                <w:b/>
                <w:bCs/>
                <w:color w:val="auto"/>
                <w:sz w:val="24"/>
              </w:rPr>
              <w:t>8</w:t>
            </w:r>
            <w:r>
              <w:rPr>
                <w:b/>
                <w:bCs/>
                <w:color w:val="auto"/>
                <w:sz w:val="24"/>
              </w:rPr>
              <w:t>.平面布置</w:t>
            </w:r>
          </w:p>
          <w:p w14:paraId="50522D1F">
            <w:pPr>
              <w:spacing w:line="360" w:lineRule="auto"/>
              <w:ind w:firstLine="456" w:firstLineChars="200"/>
              <w:rPr>
                <w:rFonts w:hint="eastAsia" w:ascii="Times New Roman" w:hAnsi="Times New Roman" w:eastAsia="宋体" w:cs="Times New Roman"/>
                <w:color w:val="auto"/>
                <w:spacing w:val="-6"/>
                <w:sz w:val="24"/>
              </w:rPr>
            </w:pPr>
            <w:r>
              <w:rPr>
                <w:rFonts w:hint="eastAsia" w:ascii="Times New Roman" w:hAnsi="Times New Roman" w:eastAsia="宋体" w:cs="Times New Roman"/>
                <w:color w:val="auto"/>
                <w:spacing w:val="-6"/>
                <w:sz w:val="24"/>
                <w:lang w:val="en-US" w:eastAsia="zh-CN"/>
              </w:rPr>
              <w:t>本</w:t>
            </w:r>
            <w:r>
              <w:rPr>
                <w:rFonts w:hint="eastAsia" w:ascii="Times New Roman" w:hAnsi="Times New Roman" w:eastAsia="宋体" w:cs="Times New Roman"/>
                <w:color w:val="auto"/>
                <w:spacing w:val="-6"/>
                <w:sz w:val="24"/>
              </w:rPr>
              <w:t>项目位于新疆维吾尔自治区昌吉回族自治州昌吉高新技术产业开发区C-16号，</w:t>
            </w:r>
            <w:r>
              <w:rPr>
                <w:rFonts w:hint="eastAsia" w:ascii="Times New Roman" w:hAnsi="Times New Roman" w:eastAsia="宋体" w:cs="Times New Roman"/>
                <w:color w:val="auto"/>
                <w:spacing w:val="-6"/>
                <w:sz w:val="24"/>
                <w:lang w:val="en-US" w:eastAsia="zh-CN"/>
              </w:rPr>
              <w:t>项目区整体平面布置呈矩形，</w:t>
            </w:r>
            <w:r>
              <w:rPr>
                <w:rFonts w:hint="eastAsia" w:ascii="Times New Roman" w:hAnsi="Times New Roman" w:eastAsia="宋体" w:cs="Times New Roman"/>
                <w:color w:val="auto"/>
                <w:spacing w:val="-6"/>
                <w:sz w:val="24"/>
              </w:rPr>
              <w:t>大门</w:t>
            </w:r>
            <w:r>
              <w:rPr>
                <w:rFonts w:hint="eastAsia" w:ascii="Times New Roman" w:hAnsi="Times New Roman" w:eastAsia="宋体" w:cs="Times New Roman"/>
                <w:color w:val="auto"/>
                <w:spacing w:val="-6"/>
                <w:sz w:val="24"/>
                <w:lang w:val="en-US" w:eastAsia="zh-CN"/>
              </w:rPr>
              <w:t>设置于项目区东南角，大门向东约140m为园区规划经六路</w:t>
            </w:r>
            <w:r>
              <w:rPr>
                <w:rFonts w:hint="eastAsia" w:ascii="Times New Roman" w:hAnsi="Times New Roman" w:eastAsia="宋体" w:cs="Times New Roman"/>
                <w:color w:val="auto"/>
                <w:spacing w:val="-11"/>
                <w:sz w:val="24"/>
              </w:rPr>
              <w:t>，</w:t>
            </w:r>
            <w:r>
              <w:rPr>
                <w:rFonts w:hint="eastAsia" w:ascii="Times New Roman" w:hAnsi="Times New Roman" w:eastAsia="宋体" w:cs="Times New Roman"/>
                <w:color w:val="auto"/>
                <w:spacing w:val="-6"/>
                <w:sz w:val="24"/>
                <w:lang w:val="en-US" w:eastAsia="zh-CN"/>
              </w:rPr>
              <w:t>大门南侧为门卫室，西北侧为停车场</w:t>
            </w:r>
            <w:r>
              <w:rPr>
                <w:rFonts w:hint="eastAsia" w:ascii="Times New Roman" w:hAnsi="Times New Roman" w:eastAsia="宋体" w:cs="Times New Roman"/>
                <w:color w:val="auto"/>
                <w:spacing w:val="-11"/>
                <w:sz w:val="24"/>
                <w:lang w:val="en-US" w:eastAsia="zh-CN"/>
              </w:rPr>
              <w:t>。项目区东侧为综合楼，</w:t>
            </w:r>
            <w:r>
              <w:rPr>
                <w:rFonts w:hint="eastAsia" w:ascii="Times New Roman" w:hAnsi="Times New Roman" w:eastAsia="宋体" w:cs="Times New Roman"/>
                <w:color w:val="auto"/>
                <w:spacing w:val="-11"/>
                <w:sz w:val="24"/>
              </w:rPr>
              <w:t>北侧</w:t>
            </w:r>
            <w:r>
              <w:rPr>
                <w:rFonts w:hint="eastAsia" w:ascii="Times New Roman" w:hAnsi="Times New Roman" w:eastAsia="宋体" w:cs="Times New Roman"/>
                <w:color w:val="auto"/>
                <w:spacing w:val="-11"/>
                <w:sz w:val="24"/>
                <w:lang w:eastAsia="zh-CN"/>
              </w:rPr>
              <w:t>、</w:t>
            </w:r>
            <w:r>
              <w:rPr>
                <w:rFonts w:hint="eastAsia" w:ascii="Times New Roman" w:hAnsi="Times New Roman" w:eastAsia="宋体" w:cs="Times New Roman"/>
                <w:color w:val="auto"/>
                <w:spacing w:val="-11"/>
                <w:sz w:val="24"/>
                <w:lang w:val="en-US" w:eastAsia="zh-CN"/>
              </w:rPr>
              <w:t>西侧为一座L形厂房，</w:t>
            </w:r>
            <w:r>
              <w:rPr>
                <w:rFonts w:hint="eastAsia" w:ascii="Times New Roman" w:hAnsi="Times New Roman" w:eastAsia="宋体" w:cs="Times New Roman"/>
                <w:color w:val="auto"/>
                <w:spacing w:val="-6"/>
                <w:sz w:val="24"/>
                <w:lang w:val="en-US" w:eastAsia="zh-CN"/>
              </w:rPr>
              <w:t>厂房东南侧为堆场</w:t>
            </w:r>
            <w:r>
              <w:rPr>
                <w:rFonts w:hint="eastAsia" w:ascii="Times New Roman" w:hAnsi="Times New Roman" w:eastAsia="宋体" w:cs="Times New Roman"/>
                <w:color w:val="auto"/>
                <w:spacing w:val="-6"/>
                <w:sz w:val="24"/>
              </w:rPr>
              <w:t>，</w:t>
            </w:r>
            <w:r>
              <w:rPr>
                <w:rFonts w:hint="eastAsia" w:ascii="Times New Roman" w:hAnsi="Times New Roman" w:eastAsia="宋体" w:cs="Times New Roman"/>
                <w:color w:val="auto"/>
                <w:spacing w:val="-6"/>
                <w:sz w:val="24"/>
                <w:lang w:val="en-US" w:eastAsia="zh-CN"/>
              </w:rPr>
              <w:t>堆场东侧空地为泵房及消防水池</w:t>
            </w:r>
            <w:r>
              <w:rPr>
                <w:rFonts w:hint="eastAsia" w:ascii="Times New Roman" w:hAnsi="Times New Roman" w:eastAsia="宋体" w:cs="Times New Roman"/>
                <w:color w:val="auto"/>
                <w:spacing w:val="-6"/>
                <w:sz w:val="24"/>
              </w:rPr>
              <w:t>。</w:t>
            </w:r>
          </w:p>
          <w:p w14:paraId="129AC26C">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依据项目区运输</w:t>
            </w:r>
            <w:r>
              <w:rPr>
                <w:rFonts w:hint="eastAsia" w:ascii="Times New Roman" w:hAnsi="Times New Roman" w:eastAsia="宋体" w:cs="Times New Roman"/>
                <w:color w:val="auto"/>
                <w:sz w:val="24"/>
              </w:rPr>
              <w:t>道路、消防、供电等</w:t>
            </w:r>
            <w:r>
              <w:rPr>
                <w:rFonts w:hint="eastAsia" w:ascii="Times New Roman" w:hAnsi="Times New Roman" w:eastAsia="宋体" w:cs="Times New Roman"/>
                <w:color w:val="auto"/>
                <w:sz w:val="24"/>
                <w:lang w:val="en-US" w:eastAsia="zh-CN"/>
              </w:rPr>
              <w:t>相关要求，本项目</w:t>
            </w:r>
            <w:r>
              <w:rPr>
                <w:rFonts w:hint="eastAsia" w:ascii="Times New Roman" w:hAnsi="Times New Roman" w:eastAsia="宋体" w:cs="Times New Roman"/>
                <w:color w:val="auto"/>
                <w:sz w:val="24"/>
              </w:rPr>
              <w:t>整体布置</w:t>
            </w:r>
            <w:r>
              <w:rPr>
                <w:rFonts w:hint="eastAsia" w:ascii="Times New Roman" w:hAnsi="Times New Roman" w:eastAsia="宋体" w:cs="Times New Roman"/>
                <w:color w:val="auto"/>
                <w:sz w:val="24"/>
                <w:lang w:val="en-US" w:eastAsia="zh-CN"/>
              </w:rPr>
              <w:t>符合</w:t>
            </w:r>
            <w:r>
              <w:rPr>
                <w:rFonts w:hint="eastAsia" w:ascii="Times New Roman" w:hAnsi="Times New Roman" w:eastAsia="宋体" w:cs="Times New Roman"/>
                <w:color w:val="auto"/>
                <w:sz w:val="24"/>
              </w:rPr>
              <w:t>生产管理</w:t>
            </w:r>
            <w:r>
              <w:rPr>
                <w:rFonts w:hint="eastAsia" w:ascii="Times New Roman" w:hAnsi="Times New Roman" w:eastAsia="宋体" w:cs="Times New Roman"/>
                <w:color w:val="auto"/>
                <w:sz w:val="24"/>
                <w:lang w:val="en-US" w:eastAsia="zh-CN"/>
              </w:rPr>
              <w:t>要求</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功能分区</w:t>
            </w:r>
            <w:r>
              <w:rPr>
                <w:rFonts w:hint="eastAsia" w:ascii="Times New Roman" w:hAnsi="Times New Roman" w:eastAsia="宋体" w:cs="Times New Roman"/>
                <w:color w:val="auto"/>
                <w:sz w:val="24"/>
              </w:rPr>
              <w:t>合理，生活办公区与生产区分开</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厂内</w:t>
            </w:r>
            <w:r>
              <w:rPr>
                <w:rFonts w:hint="eastAsia" w:ascii="Times New Roman" w:hAnsi="Times New Roman" w:eastAsia="宋体" w:cs="Times New Roman"/>
                <w:color w:val="auto"/>
                <w:sz w:val="24"/>
              </w:rPr>
              <w:t>设有绿化带。</w:t>
            </w:r>
          </w:p>
          <w:p w14:paraId="0086B0E7">
            <w:pPr>
              <w:spacing w:line="360" w:lineRule="auto"/>
              <w:ind w:firstLine="480" w:firstLineChars="200"/>
              <w:rPr>
                <w:color w:val="auto"/>
              </w:rPr>
            </w:pPr>
            <w:r>
              <w:rPr>
                <w:rFonts w:hint="eastAsia" w:ascii="Times New Roman" w:hAnsi="Times New Roman" w:eastAsia="宋体" w:cs="Times New Roman"/>
                <w:color w:val="auto"/>
                <w:sz w:val="24"/>
              </w:rPr>
              <w:t>综上，项目</w:t>
            </w:r>
            <w:r>
              <w:rPr>
                <w:rFonts w:hint="eastAsia" w:ascii="Times New Roman" w:hAnsi="Times New Roman" w:eastAsia="宋体" w:cs="Times New Roman"/>
                <w:color w:val="auto"/>
                <w:sz w:val="24"/>
                <w:lang w:val="en-US" w:eastAsia="zh-CN"/>
              </w:rPr>
              <w:t>区</w:t>
            </w:r>
            <w:r>
              <w:rPr>
                <w:rFonts w:hint="eastAsia" w:ascii="Times New Roman" w:hAnsi="Times New Roman" w:eastAsia="宋体" w:cs="Times New Roman"/>
                <w:color w:val="auto"/>
                <w:sz w:val="24"/>
              </w:rPr>
              <w:t>总体布局合理可行。</w:t>
            </w:r>
            <w:r>
              <w:rPr>
                <w:rFonts w:hint="eastAsia" w:ascii="Times New Roman" w:hAnsi="Times New Roman" w:eastAsia="宋体" w:cs="Times New Roman"/>
                <w:color w:val="auto"/>
                <w:sz w:val="24"/>
                <w:lang w:val="en-US" w:eastAsia="zh-CN"/>
              </w:rPr>
              <w:t>厂区</w:t>
            </w:r>
            <w:r>
              <w:rPr>
                <w:rFonts w:hint="eastAsia" w:ascii="Times New Roman" w:hAnsi="Times New Roman" w:eastAsia="宋体" w:cs="Times New Roman"/>
                <w:color w:val="auto"/>
                <w:sz w:val="24"/>
              </w:rPr>
              <w:t>总平面布置见</w:t>
            </w:r>
            <w:r>
              <w:rPr>
                <w:rFonts w:hint="eastAsia" w:ascii="Times New Roman" w:hAnsi="Times New Roman" w:eastAsia="宋体" w:cs="Times New Roman"/>
                <w:b/>
                <w:bCs/>
                <w:color w:val="auto"/>
                <w:sz w:val="24"/>
                <w:lang w:val="en-US" w:eastAsia="zh-CN"/>
              </w:rPr>
              <w:t>附图</w:t>
            </w:r>
            <w:r>
              <w:rPr>
                <w:rFonts w:hint="eastAsia" w:cs="Times New Roman"/>
                <w:b/>
                <w:bCs/>
                <w:color w:val="auto"/>
                <w:sz w:val="24"/>
                <w:lang w:val="en-US" w:eastAsia="zh-CN"/>
              </w:rPr>
              <w:t>7</w:t>
            </w:r>
            <w:r>
              <w:rPr>
                <w:rFonts w:hint="eastAsia" w:ascii="Times New Roman" w:hAnsi="Times New Roman" w:eastAsia="宋体" w:cs="Times New Roman"/>
                <w:color w:val="auto"/>
                <w:sz w:val="24"/>
              </w:rPr>
              <w:t>。</w:t>
            </w:r>
          </w:p>
        </w:tc>
      </w:tr>
      <w:tr w14:paraId="6BF19B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84" w:type="dxa"/>
          <w:trHeight w:val="4639" w:hRule="atLeast"/>
          <w:jc w:val="center"/>
        </w:trPr>
        <w:tc>
          <w:tcPr>
            <w:tcW w:w="746" w:type="dxa"/>
            <w:noWrap w:val="0"/>
            <w:vAlign w:val="center"/>
          </w:tcPr>
          <w:p w14:paraId="13357018">
            <w:pPr>
              <w:autoSpaceDE w:val="0"/>
              <w:autoSpaceDN w:val="0"/>
              <w:adjustRightInd w:val="0"/>
              <w:snapToGrid w:val="0"/>
              <w:jc w:val="center"/>
              <w:rPr>
                <w:color w:val="auto"/>
                <w:kern w:val="0"/>
                <w:sz w:val="24"/>
              </w:rPr>
            </w:pPr>
            <w:r>
              <w:rPr>
                <w:color w:val="auto"/>
                <w:kern w:val="0"/>
                <w:sz w:val="24"/>
              </w:rPr>
              <w:t>工艺流程和产排污环节</w:t>
            </w:r>
          </w:p>
        </w:tc>
        <w:tc>
          <w:tcPr>
            <w:tcW w:w="8284" w:type="dxa"/>
            <w:noWrap w:val="0"/>
            <w:vAlign w:val="top"/>
          </w:tcPr>
          <w:p w14:paraId="2BD573CA">
            <w:pPr>
              <w:keepNext w:val="0"/>
              <w:keepLines w:val="0"/>
              <w:pageBreakBefore w:val="0"/>
              <w:widowControl w:val="0"/>
              <w:kinsoku/>
              <w:wordWrap/>
              <w:overflowPunct/>
              <w:topLinePunct w:val="0"/>
              <w:autoSpaceDE/>
              <w:autoSpaceDN/>
              <w:bidi w:val="0"/>
              <w:adjustRightInd w:val="0"/>
              <w:snapToGrid w:val="0"/>
              <w:spacing w:before="251" w:beforeLines="80" w:line="360" w:lineRule="auto"/>
              <w:jc w:val="left"/>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工艺流程简述（图示）：</w:t>
            </w:r>
          </w:p>
          <w:p w14:paraId="2D6CEC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lang w:val="en-US" w:eastAsia="zh-CN"/>
              </w:rPr>
              <w:t>1.</w:t>
            </w:r>
            <w:r>
              <w:rPr>
                <w:rFonts w:hint="eastAsia" w:ascii="Times New Roman" w:hAnsi="Times New Roman" w:eastAsia="宋体" w:cs="Times New Roman"/>
                <w:b/>
                <w:bCs/>
                <w:color w:val="auto"/>
                <w:sz w:val="24"/>
              </w:rPr>
              <w:t>施工期</w:t>
            </w:r>
          </w:p>
          <w:p w14:paraId="6BE9AFCD">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本项目施工期主要包括场地平整、主体工程建设、设备安装、工程验收等工序，产污节点主要为施工废气、施工废水、施工噪声、施工固体废物等。</w:t>
            </w:r>
          </w:p>
          <w:p w14:paraId="7AEDAD59">
            <w:pPr>
              <w:spacing w:line="360" w:lineRule="auto"/>
              <w:ind w:firstLine="480" w:firstLineChars="200"/>
              <w:rPr>
                <w:rFonts w:hint="default"/>
                <w:color w:val="auto"/>
              </w:rPr>
            </w:pPr>
            <w:r>
              <w:rPr>
                <w:color w:val="auto"/>
                <w:sz w:val="24"/>
              </w:rPr>
              <mc:AlternateContent>
                <mc:Choice Requires="wps">
                  <w:drawing>
                    <wp:anchor distT="0" distB="0" distL="114300" distR="114300" simplePos="0" relativeHeight="251708416" behindDoc="0" locked="0" layoutInCell="1" allowOverlap="1">
                      <wp:simplePos x="0" y="0"/>
                      <wp:positionH relativeFrom="column">
                        <wp:posOffset>1393825</wp:posOffset>
                      </wp:positionH>
                      <wp:positionV relativeFrom="paragraph">
                        <wp:posOffset>243205</wp:posOffset>
                      </wp:positionV>
                      <wp:extent cx="973455" cy="2667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973455" cy="266700"/>
                              </a:xfrm>
                              <a:prstGeom prst="rect">
                                <a:avLst/>
                              </a:prstGeom>
                              <a:noFill/>
                              <a:ln w="6350">
                                <a:noFill/>
                              </a:ln>
                              <a:effectLst/>
                            </wps:spPr>
                            <wps:txbx>
                              <w:txbxContent>
                                <w:p w14:paraId="287CD560">
                                  <w:pPr>
                                    <w:jc w:val="center"/>
                                    <w:rPr>
                                      <w:rFonts w:hint="default" w:eastAsia="宋体"/>
                                      <w:sz w:val="21"/>
                                      <w:szCs w:val="24"/>
                                      <w:lang w:val="en-US" w:eastAsia="zh-CN"/>
                                    </w:rPr>
                                  </w:pPr>
                                  <w:r>
                                    <w:rPr>
                                      <w:rFonts w:hint="eastAsia"/>
                                      <w:sz w:val="21"/>
                                      <w:szCs w:val="24"/>
                                      <w:lang w:val="en-US" w:eastAsia="zh-CN"/>
                                    </w:rPr>
                                    <w:t>噪声、扬尘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75pt;margin-top:19.15pt;height:21pt;width:76.65pt;z-index:251708416;mso-width-relative:page;mso-height-relative:page;" filled="f" stroked="f" coordsize="21600,21600" o:gfxdata="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fNols2gAAAAkBAAAPAAAAAAAAAAEAIAAA&#10;ACIAAABkcnMvZG93bnJldi54bWxQSwECFAAUAAAACACHTuJAsjSjjkMCAAB1BAAADgAAAAAAAAAB&#10;ACAAAAApAQAAZHJzL2Uyb0RvYy54bWxQSwUGAAAAAAYABgBZAQAA3gUAAAAA&#10;">
                      <v:fill on="f" focussize="0,0"/>
                      <v:stroke on="f" weight="0.5pt"/>
                      <v:imagedata o:title=""/>
                      <o:lock v:ext="edit" aspectratio="f"/>
                      <v:textbox>
                        <w:txbxContent>
                          <w:p w14:paraId="287CD560">
                            <w:pPr>
                              <w:jc w:val="center"/>
                              <w:rPr>
                                <w:rFonts w:hint="default" w:eastAsia="宋体"/>
                                <w:sz w:val="21"/>
                                <w:szCs w:val="24"/>
                                <w:lang w:val="en-US" w:eastAsia="zh-CN"/>
                              </w:rPr>
                            </w:pPr>
                            <w:r>
                              <w:rPr>
                                <w:rFonts w:hint="eastAsia"/>
                                <w:sz w:val="21"/>
                                <w:szCs w:val="24"/>
                                <w:lang w:val="en-US" w:eastAsia="zh-CN"/>
                              </w:rPr>
                              <w:t>噪声、扬尘</w:t>
                            </w:r>
                          </w:p>
                        </w:txbxContent>
                      </v:textbox>
                    </v:shape>
                  </w:pict>
                </mc:Fallback>
              </mc:AlternateContent>
            </w:r>
            <w:r>
              <w:rPr>
                <w:color w:val="auto"/>
                <w:sz w:val="24"/>
              </w:rPr>
              <mc:AlternateContent>
                <mc:Choice Requires="wps">
                  <w:drawing>
                    <wp:anchor distT="0" distB="0" distL="114300" distR="114300" simplePos="0" relativeHeight="251694080" behindDoc="0" locked="0" layoutInCell="1" allowOverlap="1">
                      <wp:simplePos x="0" y="0"/>
                      <wp:positionH relativeFrom="column">
                        <wp:posOffset>210820</wp:posOffset>
                      </wp:positionH>
                      <wp:positionV relativeFrom="paragraph">
                        <wp:posOffset>241300</wp:posOffset>
                      </wp:positionV>
                      <wp:extent cx="973455" cy="266700"/>
                      <wp:effectExtent l="0" t="0" r="0" b="0"/>
                      <wp:wrapNone/>
                      <wp:docPr id="114" name="文本框 114"/>
                      <wp:cNvGraphicFramePr/>
                      <a:graphic xmlns:a="http://schemas.openxmlformats.org/drawingml/2006/main">
                        <a:graphicData uri="http://schemas.microsoft.com/office/word/2010/wordprocessingShape">
                          <wps:wsp>
                            <wps:cNvSpPr txBox="1"/>
                            <wps:spPr>
                              <a:xfrm>
                                <a:off x="0" y="0"/>
                                <a:ext cx="973455" cy="266700"/>
                              </a:xfrm>
                              <a:prstGeom prst="rect">
                                <a:avLst/>
                              </a:prstGeom>
                              <a:noFill/>
                              <a:ln w="6350">
                                <a:noFill/>
                              </a:ln>
                              <a:effectLst/>
                            </wps:spPr>
                            <wps:txbx>
                              <w:txbxContent>
                                <w:p w14:paraId="32B5A0EA">
                                  <w:pPr>
                                    <w:jc w:val="center"/>
                                    <w:rPr>
                                      <w:rFonts w:hint="default" w:eastAsia="宋体"/>
                                      <w:sz w:val="21"/>
                                      <w:szCs w:val="24"/>
                                      <w:lang w:val="en-US" w:eastAsia="zh-CN"/>
                                    </w:rPr>
                                  </w:pPr>
                                  <w:r>
                                    <w:rPr>
                                      <w:rFonts w:hint="eastAsia"/>
                                      <w:sz w:val="21"/>
                                      <w:szCs w:val="24"/>
                                      <w:lang w:val="en-US" w:eastAsia="zh-CN"/>
                                    </w:rPr>
                                    <w:t>噪声、扬尘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6pt;margin-top:19pt;height:21pt;width:76.65pt;z-index:251694080;mso-width-relative:page;mso-height-relative:page;" filled="f" stroked="f" coordsize="21600,21600" o:gfxdata="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O7hV32AAAAAgBAAAPAAAAAAAAAAEAIAAA&#10;ACIAAABkcnMvZG93bnJldi54bWxQSwECFAAUAAAACACHTuJALv12QUUCAAB3BAAADgAAAAAAAAAB&#10;ACAAAAAnAQAAZHJzL2Uyb0RvYy54bWxQSwUGAAAAAAYABgBZAQAA3gUAAAAA&#10;">
                      <v:fill on="f" focussize="0,0"/>
                      <v:stroke on="f" weight="0.5pt"/>
                      <v:imagedata o:title=""/>
                      <o:lock v:ext="edit" aspectratio="f"/>
                      <v:textbox>
                        <w:txbxContent>
                          <w:p w14:paraId="32B5A0EA">
                            <w:pPr>
                              <w:jc w:val="center"/>
                              <w:rPr>
                                <w:rFonts w:hint="default" w:eastAsia="宋体"/>
                                <w:sz w:val="21"/>
                                <w:szCs w:val="24"/>
                                <w:lang w:val="en-US" w:eastAsia="zh-CN"/>
                              </w:rPr>
                            </w:pPr>
                            <w:r>
                              <w:rPr>
                                <w:rFonts w:hint="eastAsia"/>
                                <w:sz w:val="21"/>
                                <w:szCs w:val="24"/>
                                <w:lang w:val="en-US" w:eastAsia="zh-CN"/>
                              </w:rPr>
                              <w:t>噪声、扬尘</w:t>
                            </w:r>
                          </w:p>
                        </w:txbxContent>
                      </v:textbox>
                    </v:shape>
                  </w:pict>
                </mc:Fallback>
              </mc:AlternateContent>
            </w:r>
            <w:r>
              <w:rPr>
                <w:color w:val="auto"/>
                <w:sz w:val="24"/>
              </w:rPr>
              <mc:AlternateContent>
                <mc:Choice Requires="wps">
                  <w:drawing>
                    <wp:anchor distT="0" distB="0" distL="114300" distR="114300" simplePos="0" relativeHeight="251695104" behindDoc="0" locked="0" layoutInCell="1" allowOverlap="1">
                      <wp:simplePos x="0" y="0"/>
                      <wp:positionH relativeFrom="column">
                        <wp:posOffset>2553335</wp:posOffset>
                      </wp:positionH>
                      <wp:positionV relativeFrom="paragraph">
                        <wp:posOffset>239395</wp:posOffset>
                      </wp:positionV>
                      <wp:extent cx="973455" cy="266700"/>
                      <wp:effectExtent l="0" t="0" r="0" b="0"/>
                      <wp:wrapNone/>
                      <wp:docPr id="120" name="文本框 120"/>
                      <wp:cNvGraphicFramePr/>
                      <a:graphic xmlns:a="http://schemas.openxmlformats.org/drawingml/2006/main">
                        <a:graphicData uri="http://schemas.microsoft.com/office/word/2010/wordprocessingShape">
                          <wps:wsp>
                            <wps:cNvSpPr txBox="1"/>
                            <wps:spPr>
                              <a:xfrm>
                                <a:off x="0" y="0"/>
                                <a:ext cx="973455" cy="266700"/>
                              </a:xfrm>
                              <a:prstGeom prst="rect">
                                <a:avLst/>
                              </a:prstGeom>
                              <a:noFill/>
                              <a:ln w="6350">
                                <a:noFill/>
                              </a:ln>
                              <a:effectLst/>
                            </wps:spPr>
                            <wps:txbx>
                              <w:txbxContent>
                                <w:p w14:paraId="4D191A65">
                                  <w:pPr>
                                    <w:jc w:val="center"/>
                                    <w:rPr>
                                      <w:rFonts w:hint="default" w:eastAsia="宋体"/>
                                      <w:sz w:val="21"/>
                                      <w:szCs w:val="24"/>
                                      <w:lang w:val="en-US" w:eastAsia="zh-CN"/>
                                    </w:rPr>
                                  </w:pPr>
                                  <w:r>
                                    <w:rPr>
                                      <w:rFonts w:hint="eastAsia"/>
                                      <w:sz w:val="21"/>
                                      <w:szCs w:val="24"/>
                                      <w:lang w:val="en-US" w:eastAsia="zh-CN"/>
                                    </w:rPr>
                                    <w:t>噪声、固废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1.05pt;margin-top:18.85pt;height:21pt;width:76.65pt;z-index:251695104;mso-width-relative:page;mso-height-relative:page;" filled="f" stroked="f" coordsize="21600,21600" o:gfxdata="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gxsoUdsAAAAJAQAADwAAAAAAAAABACAA&#10;AAAiAAAAZHJzL2Rvd25yZXYueG1sUEsBAhQAFAAAAAgAh07iQJ/EOltDAgAAdwQAAA4AAAAAAAAA&#10;AQAgAAAAKgEAAGRycy9lMm9Eb2MueG1sUEsFBgAAAAAGAAYAWQEAAN8FAAAAAA==&#10;">
                      <v:fill on="f" focussize="0,0"/>
                      <v:stroke on="f" weight="0.5pt"/>
                      <v:imagedata o:title=""/>
                      <o:lock v:ext="edit" aspectratio="f"/>
                      <v:textbox>
                        <w:txbxContent>
                          <w:p w14:paraId="4D191A65">
                            <w:pPr>
                              <w:jc w:val="center"/>
                              <w:rPr>
                                <w:rFonts w:hint="default" w:eastAsia="宋体"/>
                                <w:sz w:val="21"/>
                                <w:szCs w:val="24"/>
                                <w:lang w:val="en-US" w:eastAsia="zh-CN"/>
                              </w:rPr>
                            </w:pPr>
                            <w:r>
                              <w:rPr>
                                <w:rFonts w:hint="eastAsia"/>
                                <w:sz w:val="21"/>
                                <w:szCs w:val="24"/>
                                <w:lang w:val="en-US" w:eastAsia="zh-CN"/>
                              </w:rPr>
                              <w:t>噪声、固废</w:t>
                            </w:r>
                          </w:p>
                        </w:txbxContent>
                      </v:textbox>
                    </v:shape>
                  </w:pict>
                </mc:Fallback>
              </mc:AlternateContent>
            </w:r>
            <w:r>
              <w:rPr>
                <w:rFonts w:hint="eastAsia" w:ascii="Times New Roman" w:hAnsi="Times New Roman" w:eastAsia="宋体" w:cs="Times New Roman"/>
                <w:color w:val="auto"/>
                <w:sz w:val="24"/>
                <w:szCs w:val="24"/>
                <w:lang w:val="en-US" w:eastAsia="zh-CN"/>
              </w:rPr>
              <w:t>本项目施工期工艺流程及产污环节见图2-1。</w:t>
            </w:r>
          </w:p>
          <w:p w14:paraId="56B0E81E">
            <w:pPr>
              <w:pStyle w:val="5"/>
              <w:keepNext/>
              <w:keepLines/>
              <w:pageBreakBefore w:val="0"/>
              <w:widowControl w:val="0"/>
              <w:tabs>
                <w:tab w:val="center" w:pos="4038"/>
                <w:tab w:val="left" w:pos="6812"/>
              </w:tabs>
              <w:kinsoku/>
              <w:wordWrap/>
              <w:overflowPunct/>
              <w:topLinePunct w:val="0"/>
              <w:autoSpaceDE/>
              <w:autoSpaceDN/>
              <w:bidi w:val="0"/>
              <w:adjustRightInd/>
              <w:snapToGrid/>
              <w:spacing w:before="95" w:beforeLines="30"/>
              <w:jc w:val="center"/>
              <w:textAlignment w:val="auto"/>
              <w:rPr>
                <w:rFonts w:hint="default" w:ascii="Times New Roman" w:hAnsi="Times New Roman" w:eastAsia="宋体" w:cs="Times New Roman"/>
                <w:color w:val="auto"/>
                <w:spacing w:val="-6"/>
                <w:lang w:val="en-US" w:eastAsia="zh-CN"/>
              </w:rPr>
            </w:pPr>
            <w:r>
              <w:rPr>
                <w:color w:val="auto"/>
                <w:sz w:val="21"/>
              </w:rPr>
              <mc:AlternateContent>
                <mc:Choice Requires="wps">
                  <w:drawing>
                    <wp:anchor distT="0" distB="0" distL="114300" distR="114300" simplePos="0" relativeHeight="251693056" behindDoc="0" locked="0" layoutInCell="1" allowOverlap="1">
                      <wp:simplePos x="0" y="0"/>
                      <wp:positionH relativeFrom="column">
                        <wp:posOffset>698500</wp:posOffset>
                      </wp:positionH>
                      <wp:positionV relativeFrom="paragraph">
                        <wp:posOffset>171450</wp:posOffset>
                      </wp:positionV>
                      <wp:extent cx="1905" cy="243205"/>
                      <wp:effectExtent l="36830" t="0" r="37465" b="4445"/>
                      <wp:wrapNone/>
                      <wp:docPr id="115" name="直接箭头连接符 115"/>
                      <wp:cNvGraphicFramePr/>
                      <a:graphic xmlns:a="http://schemas.openxmlformats.org/drawingml/2006/main">
                        <a:graphicData uri="http://schemas.microsoft.com/office/word/2010/wordprocessingShape">
                          <wps:wsp>
                            <wps:cNvCnPr/>
                            <wps:spPr>
                              <a:xfrm flipH="1" flipV="1">
                                <a:off x="0" y="0"/>
                                <a:ext cx="1905" cy="243205"/>
                              </a:xfrm>
                              <a:prstGeom prst="straightConnector1">
                                <a:avLst/>
                              </a:prstGeom>
                              <a:noFill/>
                              <a:ln w="12700" cap="flat" cmpd="sng" algn="ctr">
                                <a:solidFill>
                                  <a:srgbClr val="000000"/>
                                </a:solidFill>
                                <a:prstDash val="sysDash"/>
                                <a:tailEnd type="triangle" w="med" len="lg"/>
                              </a:ln>
                              <a:effectLst/>
                            </wps:spPr>
                            <wps:bodyPr/>
                          </wps:wsp>
                        </a:graphicData>
                      </a:graphic>
                    </wp:anchor>
                  </w:drawing>
                </mc:Choice>
                <mc:Fallback>
                  <w:pict>
                    <v:shape id="_x0000_s1026" o:spid="_x0000_s1026" o:spt="32" type="#_x0000_t32" style="position:absolute;left:0pt;flip:x y;margin-left:55pt;margin-top:13.5pt;height:19.15pt;width:0.15pt;z-index:251693056;mso-width-relative:page;mso-height-relative:page;" filled="f" stroked="t" coordsize="21600,21600" o:gfxdata="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nKBjtYAAAAJAQAADwAA&#10;AAAAAAABACAAAAAiAAAAZHJzL2Rvd25yZXYueG1sUEsBAhQAFAAAAAgAh07iQH8X/LoYAgAABgQA&#10;AA4AAAAAAAAAAQAgAAAAJQEAAGRycy9lMm9Eb2MueG1sUEsFBgAAAAAGAAYAWQEAAK8FAAAAAA==&#10;">
                      <v:fill on="f" focussize="0,0"/>
                      <v:stroke weight="1pt" color="#000000" joinstyle="round" dashstyle="3 1" endarrow="block" endarrowlength="long"/>
                      <v:imagedata o:title=""/>
                      <o:lock v:ext="edit" aspectratio="f"/>
                    </v:shape>
                  </w:pict>
                </mc:Fallback>
              </mc:AlternateContent>
            </w:r>
            <w:r>
              <w:rPr>
                <w:color w:val="auto"/>
                <w:sz w:val="21"/>
              </w:rPr>
              <mc:AlternateContent>
                <mc:Choice Requires="wps">
                  <w:drawing>
                    <wp:anchor distT="0" distB="0" distL="114300" distR="114300" simplePos="0" relativeHeight="251712512" behindDoc="0" locked="0" layoutInCell="1" allowOverlap="1">
                      <wp:simplePos x="0" y="0"/>
                      <wp:positionH relativeFrom="column">
                        <wp:posOffset>1882775</wp:posOffset>
                      </wp:positionH>
                      <wp:positionV relativeFrom="paragraph">
                        <wp:posOffset>177800</wp:posOffset>
                      </wp:positionV>
                      <wp:extent cx="1905" cy="243205"/>
                      <wp:effectExtent l="36830" t="0" r="37465" b="4445"/>
                      <wp:wrapNone/>
                      <wp:docPr id="71" name="直接箭头连接符 71"/>
                      <wp:cNvGraphicFramePr/>
                      <a:graphic xmlns:a="http://schemas.openxmlformats.org/drawingml/2006/main">
                        <a:graphicData uri="http://schemas.microsoft.com/office/word/2010/wordprocessingShape">
                          <wps:wsp>
                            <wps:cNvCnPr/>
                            <wps:spPr>
                              <a:xfrm flipH="1" flipV="1">
                                <a:off x="0" y="0"/>
                                <a:ext cx="1905" cy="243205"/>
                              </a:xfrm>
                              <a:prstGeom prst="straightConnector1">
                                <a:avLst/>
                              </a:prstGeom>
                              <a:noFill/>
                              <a:ln w="12700" cap="flat" cmpd="sng" algn="ctr">
                                <a:solidFill>
                                  <a:srgbClr val="000000"/>
                                </a:solidFill>
                                <a:prstDash val="sysDash"/>
                                <a:tailEnd type="triangle" w="med" len="lg"/>
                              </a:ln>
                              <a:effectLst/>
                            </wps:spPr>
                            <wps:bodyPr/>
                          </wps:wsp>
                        </a:graphicData>
                      </a:graphic>
                    </wp:anchor>
                  </w:drawing>
                </mc:Choice>
                <mc:Fallback>
                  <w:pict>
                    <v:shape id="_x0000_s1026" o:spid="_x0000_s1026" o:spt="32" type="#_x0000_t32" style="position:absolute;left:0pt;flip:x y;margin-left:148.25pt;margin-top:14pt;height:19.15pt;width:0.15pt;z-index:251712512;mso-width-relative:page;mso-height-relative:page;" filled="f" stroked="t" coordsize="21600,21600" o:gfxdata="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MUHUFnVAAAACQEAAA8A&#10;AAAAAAAAAQAgAAAAIgAAAGRycy9kb3ducmV2LnhtbFBLAQIUABQAAAAIAIdO4kBvauBRGgIAAAQE&#10;AAAOAAAAAAAAAAEAIAAAACQBAABkcnMvZTJvRG9jLnhtbFBLBQYAAAAABgAGAFkBAACwBQAAAAA=&#10;">
                      <v:fill on="f" focussize="0,0"/>
                      <v:stroke weight="1pt" color="#000000" joinstyle="round" dashstyle="3 1" endarrow="block" endarrowlength="long"/>
                      <v:imagedata o:title=""/>
                      <o:lock v:ext="edit" aspectratio="f"/>
                    </v:shape>
                  </w:pict>
                </mc:Fallback>
              </mc:AlternateContent>
            </w:r>
            <w:r>
              <w:rPr>
                <w:color w:val="auto"/>
                <w:sz w:val="21"/>
              </w:rPr>
              <mc:AlternateContent>
                <mc:Choice Requires="wps">
                  <w:drawing>
                    <wp:anchor distT="0" distB="0" distL="114300" distR="114300" simplePos="0" relativeHeight="251713536" behindDoc="0" locked="0" layoutInCell="1" allowOverlap="1">
                      <wp:simplePos x="0" y="0"/>
                      <wp:positionH relativeFrom="column">
                        <wp:posOffset>3043555</wp:posOffset>
                      </wp:positionH>
                      <wp:positionV relativeFrom="paragraph">
                        <wp:posOffset>185420</wp:posOffset>
                      </wp:positionV>
                      <wp:extent cx="1905" cy="243205"/>
                      <wp:effectExtent l="36830" t="0" r="37465" b="4445"/>
                      <wp:wrapNone/>
                      <wp:docPr id="72" name="直接箭头连接符 72"/>
                      <wp:cNvGraphicFramePr/>
                      <a:graphic xmlns:a="http://schemas.openxmlformats.org/drawingml/2006/main">
                        <a:graphicData uri="http://schemas.microsoft.com/office/word/2010/wordprocessingShape">
                          <wps:wsp>
                            <wps:cNvCnPr/>
                            <wps:spPr>
                              <a:xfrm flipH="1" flipV="1">
                                <a:off x="0" y="0"/>
                                <a:ext cx="1905" cy="243205"/>
                              </a:xfrm>
                              <a:prstGeom prst="straightConnector1">
                                <a:avLst/>
                              </a:prstGeom>
                              <a:noFill/>
                              <a:ln w="12700" cap="flat" cmpd="sng" algn="ctr">
                                <a:solidFill>
                                  <a:srgbClr val="000000"/>
                                </a:solidFill>
                                <a:prstDash val="sysDash"/>
                                <a:tailEnd type="triangle" w="med" len="lg"/>
                              </a:ln>
                              <a:effectLst/>
                            </wps:spPr>
                            <wps:bodyPr/>
                          </wps:wsp>
                        </a:graphicData>
                      </a:graphic>
                    </wp:anchor>
                  </w:drawing>
                </mc:Choice>
                <mc:Fallback>
                  <w:pict>
                    <v:shape id="_x0000_s1026" o:spid="_x0000_s1026" o:spt="32" type="#_x0000_t32" style="position:absolute;left:0pt;flip:x y;margin-left:239.65pt;margin-top:14.6pt;height:19.15pt;width:0.15pt;z-index:251713536;mso-width-relative:page;mso-height-relative:page;" filled="f" stroked="t" coordsize="21600,21600" o:gfxdata="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uucSEtcAAAAJAQAA&#10;DwAAAAAAAAABACAAAAAiAAAAZHJzL2Rvd25yZXYueG1sUEsBAhQAFAAAAAgAh07iQOWtk7YaAgAA&#10;BAQAAA4AAAAAAAAAAQAgAAAAJgEAAGRycy9lMm9Eb2MueG1sUEsFBgAAAAAGAAYAWQEAALIFAAAA&#10;AA==&#10;">
                      <v:fill on="f" focussize="0,0"/>
                      <v:stroke weight="1pt" color="#000000" joinstyle="round" dashstyle="3 1" endarrow="block" endarrowlength="long"/>
                      <v:imagedata o:title=""/>
                      <o:lock v:ext="edit" aspectratio="f"/>
                    </v:shape>
                  </w:pict>
                </mc:Fallback>
              </mc:AlternateContent>
            </w:r>
          </w:p>
          <w:p w14:paraId="2DCE3DFD">
            <w:pPr>
              <w:pStyle w:val="5"/>
              <w:keepNext/>
              <w:keepLines/>
              <w:pageBreakBefore w:val="0"/>
              <w:widowControl w:val="0"/>
              <w:tabs>
                <w:tab w:val="center" w:pos="4038"/>
                <w:tab w:val="left" w:pos="6812"/>
              </w:tabs>
              <w:kinsoku/>
              <w:wordWrap/>
              <w:overflowPunct/>
              <w:topLinePunct w:val="0"/>
              <w:autoSpaceDE/>
              <w:autoSpaceDN/>
              <w:bidi w:val="0"/>
              <w:adjustRightInd/>
              <w:snapToGrid/>
              <w:spacing w:before="95" w:beforeLines="30"/>
              <w:jc w:val="center"/>
              <w:textAlignment w:val="auto"/>
              <w:rPr>
                <w:rFonts w:hint="default" w:ascii="Times New Roman" w:hAnsi="Times New Roman" w:eastAsia="宋体" w:cs="Times New Roman"/>
                <w:color w:val="auto"/>
                <w:spacing w:val="-6"/>
                <w:lang w:val="en-US" w:eastAsia="zh-CN"/>
              </w:rPr>
            </w:pPr>
          </w:p>
          <w:p w14:paraId="71C89177">
            <w:pPr>
              <w:pStyle w:val="5"/>
              <w:keepNext/>
              <w:keepLines/>
              <w:pageBreakBefore w:val="0"/>
              <w:widowControl w:val="0"/>
              <w:tabs>
                <w:tab w:val="center" w:pos="4038"/>
                <w:tab w:val="left" w:pos="6812"/>
              </w:tabs>
              <w:kinsoku/>
              <w:wordWrap/>
              <w:overflowPunct/>
              <w:topLinePunct w:val="0"/>
              <w:autoSpaceDE/>
              <w:autoSpaceDN/>
              <w:bidi w:val="0"/>
              <w:adjustRightInd/>
              <w:snapToGrid/>
              <w:spacing w:before="95" w:beforeLines="30"/>
              <w:jc w:val="center"/>
              <w:textAlignment w:val="auto"/>
              <w:rPr>
                <w:rFonts w:hint="default" w:ascii="Times New Roman" w:hAnsi="Times New Roman" w:eastAsia="宋体" w:cs="Times New Roman"/>
                <w:color w:val="auto"/>
                <w:spacing w:val="-6"/>
                <w:lang w:val="en-US" w:eastAsia="zh-CN"/>
              </w:rPr>
            </w:pPr>
            <w:r>
              <w:rPr>
                <w:color w:val="auto"/>
                <w:sz w:val="24"/>
              </w:rPr>
              <mc:AlternateContent>
                <mc:Choice Requires="wps">
                  <w:drawing>
                    <wp:anchor distT="0" distB="0" distL="114300" distR="114300" simplePos="0" relativeHeight="251692032" behindDoc="0" locked="0" layoutInCell="1" allowOverlap="1">
                      <wp:simplePos x="0" y="0"/>
                      <wp:positionH relativeFrom="column">
                        <wp:posOffset>1078865</wp:posOffset>
                      </wp:positionH>
                      <wp:positionV relativeFrom="paragraph">
                        <wp:posOffset>172085</wp:posOffset>
                      </wp:positionV>
                      <wp:extent cx="402590" cy="0"/>
                      <wp:effectExtent l="0" t="38100" r="16510" b="38100"/>
                      <wp:wrapNone/>
                      <wp:docPr id="107" name="直接箭头连接符 107"/>
                      <wp:cNvGraphicFramePr/>
                      <a:graphic xmlns:a="http://schemas.openxmlformats.org/drawingml/2006/main">
                        <a:graphicData uri="http://schemas.microsoft.com/office/word/2010/wordprocessingShape">
                          <wps:wsp>
                            <wps:cNvCnPr/>
                            <wps:spPr>
                              <a:xfrm>
                                <a:off x="2444115" y="5736590"/>
                                <a:ext cx="402590" cy="0"/>
                              </a:xfrm>
                              <a:prstGeom prst="straightConnector1">
                                <a:avLst/>
                              </a:prstGeom>
                              <a:noFill/>
                              <a:ln w="12700" cap="flat" cmpd="sng" algn="ctr">
                                <a:solidFill>
                                  <a:srgbClr val="000000"/>
                                </a:solidFill>
                                <a:prstDash val="solid"/>
                                <a:tailEnd type="triangle" w="med" len="lg"/>
                              </a:ln>
                              <a:effectLst/>
                            </wps:spPr>
                            <wps:bodyPr/>
                          </wps:wsp>
                        </a:graphicData>
                      </a:graphic>
                    </wp:anchor>
                  </w:drawing>
                </mc:Choice>
                <mc:Fallback>
                  <w:pict>
                    <v:shape id="_x0000_s1026" o:spid="_x0000_s1026" o:spt="32" type="#_x0000_t32" style="position:absolute;left:0pt;margin-left:84.95pt;margin-top:13.55pt;height:0pt;width:31.7pt;z-index:251692032;mso-width-relative:page;mso-height-relative:page;" filled="f" stroked="t" coordsize="21600,21600" o:gfxdata="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Bc6DYAAAACQEAAA8A&#10;AAAAAAAAAQAgAAAAIgAAAGRycy9kb3ducmV2LnhtbFBLAQIUABQAAAAIAIdO4kBElGeaFwIAAPkD&#10;AAAOAAAAAAAAAAEAIAAAACcBAABkcnMvZTJvRG9jLnhtbFBLBQYAAAAABgAGAFkBAACwBQAAAAA=&#10;">
                      <v:fill on="f" focussize="0,0"/>
                      <v:stroke weight="1pt" color="#000000" joinstyle="round" endarrow="block" endarrowlength="long"/>
                      <v:imagedata o:title=""/>
                      <o:lock v:ext="edit" aspectratio="f"/>
                    </v:shape>
                  </w:pict>
                </mc:Fallback>
              </mc:AlternateContent>
            </w:r>
            <w:r>
              <w:rPr>
                <w:color w:val="auto"/>
                <w:sz w:val="24"/>
              </w:rPr>
              <mc:AlternateContent>
                <mc:Choice Requires="wps">
                  <w:drawing>
                    <wp:anchor distT="0" distB="0" distL="114300" distR="114300" simplePos="0" relativeHeight="251691008" behindDoc="0" locked="0" layoutInCell="1" allowOverlap="1">
                      <wp:simplePos x="0" y="0"/>
                      <wp:positionH relativeFrom="column">
                        <wp:posOffset>318135</wp:posOffset>
                      </wp:positionH>
                      <wp:positionV relativeFrom="paragraph">
                        <wp:posOffset>23495</wp:posOffset>
                      </wp:positionV>
                      <wp:extent cx="758190" cy="278765"/>
                      <wp:effectExtent l="4445" t="4445" r="18415" b="21590"/>
                      <wp:wrapNone/>
                      <wp:docPr id="105" name="文本框 105"/>
                      <wp:cNvGraphicFramePr/>
                      <a:graphic xmlns:a="http://schemas.openxmlformats.org/drawingml/2006/main">
                        <a:graphicData uri="http://schemas.microsoft.com/office/word/2010/wordprocessingShape">
                          <wps:wsp>
                            <wps:cNvSpPr txBox="1"/>
                            <wps:spPr>
                              <a:xfrm>
                                <a:off x="0" y="0"/>
                                <a:ext cx="758190" cy="278765"/>
                              </a:xfrm>
                              <a:prstGeom prst="rect">
                                <a:avLst/>
                              </a:prstGeom>
                              <a:solidFill>
                                <a:srgbClr val="FFFFFF"/>
                              </a:solidFill>
                              <a:ln w="6350">
                                <a:solidFill>
                                  <a:prstClr val="black"/>
                                </a:solidFill>
                              </a:ln>
                              <a:effectLst/>
                            </wps:spPr>
                            <wps:txbx>
                              <w:txbxContent>
                                <w:p w14:paraId="620D79B1">
                                  <w:pPr>
                                    <w:keepNext w:val="0"/>
                                    <w:keepLines w:val="0"/>
                                    <w:pageBreakBefore w:val="0"/>
                                    <w:widowControl w:val="0"/>
                                    <w:kinsoku/>
                                    <w:wordWrap/>
                                    <w:overflowPunct/>
                                    <w:topLinePunct w:val="0"/>
                                    <w:bidi w:val="0"/>
                                    <w:adjustRightInd/>
                                    <w:snapToGrid/>
                                    <w:spacing w:before="0" w:beforeLines="10"/>
                                    <w:jc w:val="center"/>
                                    <w:textAlignment w:val="auto"/>
                                    <w:rPr>
                                      <w:rFonts w:hint="default" w:eastAsia="宋体"/>
                                      <w:lang w:val="en-US" w:eastAsia="zh-CN"/>
                                    </w:rPr>
                                  </w:pPr>
                                  <w:r>
                                    <w:rPr>
                                      <w:rFonts w:hint="eastAsia"/>
                                      <w:lang w:val="en-US" w:eastAsia="zh-CN"/>
                                    </w:rPr>
                                    <w:t>基础工程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05pt;margin-top:1.85pt;height:21.95pt;width:59.7pt;z-index:251691008;mso-width-relative:page;mso-height-relative:page;" fillcolor="#FFFFFF" filled="t" stroked="t" coordsize="21600,21600" o:gfxdata="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Ua&#10;jgHUAAAABwEAAA8AAAAAAAAAAQAgAAAAIgAAAGRycy9kb3ducmV2LnhtbFBLAQIUABQAAAAIAIdO&#10;4kBNqgoMYAIAAMgEAAAOAAAAAAAAAAEAIAAAACMBAABkcnMvZTJvRG9jLnhtbFBLBQYAAAAABgAG&#10;AFkBAAD1BQAAAAA=&#10;">
                      <v:fill on="t" focussize="0,0"/>
                      <v:stroke weight="0.5pt" color="#000000" joinstyle="round"/>
                      <v:imagedata o:title=""/>
                      <o:lock v:ext="edit" aspectratio="f"/>
                      <v:textbox>
                        <w:txbxContent>
                          <w:p w14:paraId="620D79B1">
                            <w:pPr>
                              <w:keepNext w:val="0"/>
                              <w:keepLines w:val="0"/>
                              <w:pageBreakBefore w:val="0"/>
                              <w:widowControl w:val="0"/>
                              <w:kinsoku/>
                              <w:wordWrap/>
                              <w:overflowPunct/>
                              <w:topLinePunct w:val="0"/>
                              <w:bidi w:val="0"/>
                              <w:adjustRightInd/>
                              <w:snapToGrid/>
                              <w:spacing w:before="0" w:beforeLines="10"/>
                              <w:jc w:val="center"/>
                              <w:textAlignment w:val="auto"/>
                              <w:rPr>
                                <w:rFonts w:hint="default" w:eastAsia="宋体"/>
                                <w:lang w:val="en-US" w:eastAsia="zh-CN"/>
                              </w:rPr>
                            </w:pPr>
                            <w:r>
                              <w:rPr>
                                <w:rFonts w:hint="eastAsia"/>
                                <w:lang w:val="en-US" w:eastAsia="zh-CN"/>
                              </w:rPr>
                              <w:t>基础工程</w:t>
                            </w:r>
                          </w:p>
                        </w:txbxContent>
                      </v:textbox>
                    </v:shape>
                  </w:pict>
                </mc:Fallback>
              </mc:AlternateContent>
            </w:r>
            <w:r>
              <w:rPr>
                <w:color w:val="auto"/>
                <w:sz w:val="24"/>
              </w:rPr>
              <mc:AlternateContent>
                <mc:Choice Requires="wps">
                  <w:drawing>
                    <wp:anchor distT="0" distB="0" distL="114300" distR="114300" simplePos="0" relativeHeight="251707392" behindDoc="0" locked="0" layoutInCell="1" allowOverlap="1">
                      <wp:simplePos x="0" y="0"/>
                      <wp:positionH relativeFrom="column">
                        <wp:posOffset>2261870</wp:posOffset>
                      </wp:positionH>
                      <wp:positionV relativeFrom="paragraph">
                        <wp:posOffset>173990</wp:posOffset>
                      </wp:positionV>
                      <wp:extent cx="402590" cy="0"/>
                      <wp:effectExtent l="0" t="38100" r="16510" b="38100"/>
                      <wp:wrapNone/>
                      <wp:docPr id="66" name="直接箭头连接符 66"/>
                      <wp:cNvGraphicFramePr/>
                      <a:graphic xmlns:a="http://schemas.openxmlformats.org/drawingml/2006/main">
                        <a:graphicData uri="http://schemas.microsoft.com/office/word/2010/wordprocessingShape">
                          <wps:wsp>
                            <wps:cNvCnPr/>
                            <wps:spPr>
                              <a:xfrm>
                                <a:off x="0" y="0"/>
                                <a:ext cx="402590" cy="0"/>
                              </a:xfrm>
                              <a:prstGeom prst="straightConnector1">
                                <a:avLst/>
                              </a:prstGeom>
                              <a:noFill/>
                              <a:ln w="12700" cap="flat" cmpd="sng" algn="ctr">
                                <a:solidFill>
                                  <a:srgbClr val="000000"/>
                                </a:solidFill>
                                <a:prstDash val="solid"/>
                                <a:tailEnd type="triangle" w="med" len="lg"/>
                              </a:ln>
                              <a:effectLst/>
                            </wps:spPr>
                            <wps:bodyPr/>
                          </wps:wsp>
                        </a:graphicData>
                      </a:graphic>
                    </wp:anchor>
                  </w:drawing>
                </mc:Choice>
                <mc:Fallback>
                  <w:pict>
                    <v:shape id="_x0000_s1026" o:spid="_x0000_s1026" o:spt="32" type="#_x0000_t32" style="position:absolute;left:0pt;margin-left:178.1pt;margin-top:13.7pt;height:0pt;width:31.7pt;z-index:251707392;mso-width-relative:page;mso-height-relative:page;" filled="f" stroked="t" coordsize="21600,21600" o:gfxdata="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CpmxvZAAAACQEAAA8AAAAAAAAAAQAgAAAAIgAA&#10;AGRycy9kb3ducmV2LnhtbFBLAQIUABQAAAAIAIdO4kDps5FDBwIAAOsDAAAOAAAAAAAAAAEAIAAA&#10;ACgBAABkcnMvZTJvRG9jLnhtbFBLBQYAAAAABgAGAFkBAAChBQAAAAA=&#10;">
                      <v:fill on="f" focussize="0,0"/>
                      <v:stroke weight="1pt" color="#000000" joinstyle="round" endarrow="block" endarrowlength="long"/>
                      <v:imagedata o:title=""/>
                      <o:lock v:ext="edit" aspectratio="f"/>
                    </v:shape>
                  </w:pict>
                </mc:Fallback>
              </mc:AlternateContent>
            </w:r>
            <w:r>
              <w:rPr>
                <w:color w:val="auto"/>
                <w:sz w:val="24"/>
              </w:rPr>
              <mc:AlternateContent>
                <mc:Choice Requires="wps">
                  <w:drawing>
                    <wp:anchor distT="0" distB="0" distL="114300" distR="114300" simplePos="0" relativeHeight="251710464" behindDoc="0" locked="0" layoutInCell="1" allowOverlap="1">
                      <wp:simplePos x="0" y="0"/>
                      <wp:positionH relativeFrom="column">
                        <wp:posOffset>3423920</wp:posOffset>
                      </wp:positionH>
                      <wp:positionV relativeFrom="paragraph">
                        <wp:posOffset>175895</wp:posOffset>
                      </wp:positionV>
                      <wp:extent cx="402590" cy="0"/>
                      <wp:effectExtent l="0" t="38100" r="16510" b="38100"/>
                      <wp:wrapNone/>
                      <wp:docPr id="69" name="直接箭头连接符 69"/>
                      <wp:cNvGraphicFramePr/>
                      <a:graphic xmlns:a="http://schemas.openxmlformats.org/drawingml/2006/main">
                        <a:graphicData uri="http://schemas.microsoft.com/office/word/2010/wordprocessingShape">
                          <wps:wsp>
                            <wps:cNvCnPr/>
                            <wps:spPr>
                              <a:xfrm>
                                <a:off x="0" y="0"/>
                                <a:ext cx="402590" cy="0"/>
                              </a:xfrm>
                              <a:prstGeom prst="straightConnector1">
                                <a:avLst/>
                              </a:prstGeom>
                              <a:noFill/>
                              <a:ln w="12700" cap="flat" cmpd="sng" algn="ctr">
                                <a:solidFill>
                                  <a:srgbClr val="000000"/>
                                </a:solidFill>
                                <a:prstDash val="solid"/>
                                <a:tailEnd type="triangle" w="med" len="lg"/>
                              </a:ln>
                              <a:effectLst/>
                            </wps:spPr>
                            <wps:bodyPr/>
                          </wps:wsp>
                        </a:graphicData>
                      </a:graphic>
                    </wp:anchor>
                  </w:drawing>
                </mc:Choice>
                <mc:Fallback>
                  <w:pict>
                    <v:shape id="_x0000_s1026" o:spid="_x0000_s1026" o:spt="32" type="#_x0000_t32" style="position:absolute;left:0pt;margin-left:269.6pt;margin-top:13.85pt;height:0pt;width:31.7pt;z-index:251710464;mso-width-relative:page;mso-height-relative:page;" filled="f" stroked="t" coordsize="21600,21600" o:gfxdata="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JQt9/2QAAAAkBAAAPAAAAAAAAAAEAIAAAACIA&#10;AABkcnMvZG93bnJldi54bWxQSwECFAAUAAAACACHTuJALh+YUQgCAADrAwAADgAAAAAAAAABACAA&#10;AAAoAQAAZHJzL2Uyb0RvYy54bWxQSwUGAAAAAAYABgBZAQAAogUAAAAA&#10;">
                      <v:fill on="f" focussize="0,0"/>
                      <v:stroke weight="1pt" color="#000000" joinstyle="round" endarrow="block" endarrowlength="long"/>
                      <v:imagedata o:title=""/>
                      <o:lock v:ext="edit" aspectratio="f"/>
                    </v:shape>
                  </w:pict>
                </mc:Fallback>
              </mc:AlternateContent>
            </w:r>
            <w:r>
              <w:rPr>
                <w:color w:val="auto"/>
                <w:sz w:val="24"/>
              </w:rPr>
              <mc:AlternateContent>
                <mc:Choice Requires="wps">
                  <w:drawing>
                    <wp:anchor distT="0" distB="0" distL="114300" distR="114300" simplePos="0" relativeHeight="251711488" behindDoc="0" locked="0" layoutInCell="1" allowOverlap="1">
                      <wp:simplePos x="0" y="0"/>
                      <wp:positionH relativeFrom="column">
                        <wp:posOffset>3848100</wp:posOffset>
                      </wp:positionH>
                      <wp:positionV relativeFrom="paragraph">
                        <wp:posOffset>28575</wp:posOffset>
                      </wp:positionV>
                      <wp:extent cx="758190" cy="278765"/>
                      <wp:effectExtent l="4445" t="4445" r="18415" b="21590"/>
                      <wp:wrapNone/>
                      <wp:docPr id="70" name="文本框 70"/>
                      <wp:cNvGraphicFramePr/>
                      <a:graphic xmlns:a="http://schemas.openxmlformats.org/drawingml/2006/main">
                        <a:graphicData uri="http://schemas.microsoft.com/office/word/2010/wordprocessingShape">
                          <wps:wsp>
                            <wps:cNvSpPr txBox="1"/>
                            <wps:spPr>
                              <a:xfrm>
                                <a:off x="0" y="0"/>
                                <a:ext cx="758190" cy="278765"/>
                              </a:xfrm>
                              <a:prstGeom prst="rect">
                                <a:avLst/>
                              </a:prstGeom>
                              <a:solidFill>
                                <a:srgbClr val="FFFFFF"/>
                              </a:solidFill>
                              <a:ln w="6350">
                                <a:solidFill>
                                  <a:prstClr val="black"/>
                                </a:solidFill>
                              </a:ln>
                              <a:effectLst/>
                            </wps:spPr>
                            <wps:txbx>
                              <w:txbxContent>
                                <w:p w14:paraId="25331F60">
                                  <w:pPr>
                                    <w:keepNext w:val="0"/>
                                    <w:keepLines w:val="0"/>
                                    <w:pageBreakBefore w:val="0"/>
                                    <w:widowControl w:val="0"/>
                                    <w:kinsoku/>
                                    <w:wordWrap/>
                                    <w:overflowPunct/>
                                    <w:topLinePunct w:val="0"/>
                                    <w:bidi w:val="0"/>
                                    <w:adjustRightInd/>
                                    <w:snapToGrid/>
                                    <w:spacing w:before="0" w:beforeLines="10"/>
                                    <w:jc w:val="center"/>
                                    <w:textAlignment w:val="auto"/>
                                    <w:rPr>
                                      <w:rFonts w:hint="default" w:eastAsia="宋体"/>
                                      <w:lang w:val="en-US" w:eastAsia="zh-CN"/>
                                    </w:rPr>
                                  </w:pPr>
                                  <w:r>
                                    <w:rPr>
                                      <w:rFonts w:hint="eastAsia"/>
                                      <w:lang w:val="en-US" w:eastAsia="zh-CN"/>
                                    </w:rPr>
                                    <w:t>工程验收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3pt;margin-top:2.25pt;height:21.95pt;width:59.7pt;z-index:251711488;mso-width-relative:page;mso-height-relative:page;" fillcolor="#FFFFFF" filled="t" stroked="t" coordsize="21600,21600" o:gfxdata="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3&#10;KnRg1gAAAAgBAAAPAAAAAAAAAAEAIAAAACIAAABkcnMvZG93bnJldi54bWxQSwECFAAUAAAACACH&#10;TuJAn3HR418CAADGBAAADgAAAAAAAAABACAAAAAlAQAAZHJzL2Uyb0RvYy54bWxQSwUGAAAAAAYA&#10;BgBZAQAA9gUAAAAA&#10;">
                      <v:fill on="t" focussize="0,0"/>
                      <v:stroke weight="0.5pt" color="#000000" joinstyle="round"/>
                      <v:imagedata o:title=""/>
                      <o:lock v:ext="edit" aspectratio="f"/>
                      <v:textbox>
                        <w:txbxContent>
                          <w:p w14:paraId="25331F60">
                            <w:pPr>
                              <w:keepNext w:val="0"/>
                              <w:keepLines w:val="0"/>
                              <w:pageBreakBefore w:val="0"/>
                              <w:widowControl w:val="0"/>
                              <w:kinsoku/>
                              <w:wordWrap/>
                              <w:overflowPunct/>
                              <w:topLinePunct w:val="0"/>
                              <w:bidi w:val="0"/>
                              <w:adjustRightInd/>
                              <w:snapToGrid/>
                              <w:spacing w:before="0" w:beforeLines="10"/>
                              <w:jc w:val="center"/>
                              <w:textAlignment w:val="auto"/>
                              <w:rPr>
                                <w:rFonts w:hint="default" w:eastAsia="宋体"/>
                                <w:lang w:val="en-US" w:eastAsia="zh-CN"/>
                              </w:rPr>
                            </w:pPr>
                            <w:r>
                              <w:rPr>
                                <w:rFonts w:hint="eastAsia"/>
                                <w:lang w:val="en-US" w:eastAsia="zh-CN"/>
                              </w:rPr>
                              <w:t>工程验收</w:t>
                            </w:r>
                          </w:p>
                        </w:txbxContent>
                      </v:textbox>
                    </v:shape>
                  </w:pict>
                </mc:Fallback>
              </mc:AlternateContent>
            </w:r>
            <w:r>
              <w:rPr>
                <w:color w:val="auto"/>
                <w:sz w:val="24"/>
              </w:rPr>
              <mc:AlternateContent>
                <mc:Choice Requires="wps">
                  <w:drawing>
                    <wp:anchor distT="0" distB="0" distL="114300" distR="114300" simplePos="0" relativeHeight="251709440" behindDoc="0" locked="0" layoutInCell="1" allowOverlap="1">
                      <wp:simplePos x="0" y="0"/>
                      <wp:positionH relativeFrom="column">
                        <wp:posOffset>2663190</wp:posOffset>
                      </wp:positionH>
                      <wp:positionV relativeFrom="paragraph">
                        <wp:posOffset>27305</wp:posOffset>
                      </wp:positionV>
                      <wp:extent cx="758190" cy="278765"/>
                      <wp:effectExtent l="4445" t="4445" r="18415" b="21590"/>
                      <wp:wrapNone/>
                      <wp:docPr id="68" name="文本框 68"/>
                      <wp:cNvGraphicFramePr/>
                      <a:graphic xmlns:a="http://schemas.openxmlformats.org/drawingml/2006/main">
                        <a:graphicData uri="http://schemas.microsoft.com/office/word/2010/wordprocessingShape">
                          <wps:wsp>
                            <wps:cNvSpPr txBox="1"/>
                            <wps:spPr>
                              <a:xfrm>
                                <a:off x="0" y="0"/>
                                <a:ext cx="758190" cy="278765"/>
                              </a:xfrm>
                              <a:prstGeom prst="rect">
                                <a:avLst/>
                              </a:prstGeom>
                              <a:solidFill>
                                <a:srgbClr val="FFFFFF"/>
                              </a:solidFill>
                              <a:ln w="6350">
                                <a:solidFill>
                                  <a:prstClr val="black"/>
                                </a:solidFill>
                              </a:ln>
                              <a:effectLst/>
                            </wps:spPr>
                            <wps:txbx>
                              <w:txbxContent>
                                <w:p w14:paraId="4A714177">
                                  <w:pPr>
                                    <w:keepNext w:val="0"/>
                                    <w:keepLines w:val="0"/>
                                    <w:pageBreakBefore w:val="0"/>
                                    <w:widowControl w:val="0"/>
                                    <w:kinsoku/>
                                    <w:wordWrap/>
                                    <w:overflowPunct/>
                                    <w:topLinePunct w:val="0"/>
                                    <w:bidi w:val="0"/>
                                    <w:adjustRightInd/>
                                    <w:snapToGrid/>
                                    <w:spacing w:before="0" w:beforeLines="10"/>
                                    <w:jc w:val="center"/>
                                    <w:textAlignment w:val="auto"/>
                                    <w:rPr>
                                      <w:rFonts w:hint="default" w:eastAsia="宋体"/>
                                      <w:lang w:val="en-US" w:eastAsia="zh-CN"/>
                                    </w:rPr>
                                  </w:pPr>
                                  <w:r>
                                    <w:rPr>
                                      <w:rFonts w:hint="eastAsia"/>
                                      <w:lang w:val="en-US" w:eastAsia="zh-CN"/>
                                    </w:rPr>
                                    <w:t>设备安装</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7pt;margin-top:2.15pt;height:21.95pt;width:59.7pt;z-index:251709440;mso-width-relative:page;mso-height-relative:page;" fillcolor="#FFFFFF" filled="t" stroked="t" coordsize="21600,21600" o:gfxdata="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aO3NB&#10;1QAAAAgBAAAPAAAAAAAAAAEAIAAAACIAAABkcnMvZG93bnJldi54bWxQSwECFAAUAAAACACHTuJA&#10;uicbj10CAADGBAAADgAAAAAAAAABACAAAAAkAQAAZHJzL2Uyb0RvYy54bWxQSwUGAAAAAAYABgBZ&#10;AQAA8wUAAAAA&#10;">
                      <v:fill on="t" focussize="0,0"/>
                      <v:stroke weight="0.5pt" color="#000000" joinstyle="round"/>
                      <v:imagedata o:title=""/>
                      <o:lock v:ext="edit" aspectratio="f"/>
                      <v:textbox>
                        <w:txbxContent>
                          <w:p w14:paraId="4A714177">
                            <w:pPr>
                              <w:keepNext w:val="0"/>
                              <w:keepLines w:val="0"/>
                              <w:pageBreakBefore w:val="0"/>
                              <w:widowControl w:val="0"/>
                              <w:kinsoku/>
                              <w:wordWrap/>
                              <w:overflowPunct/>
                              <w:topLinePunct w:val="0"/>
                              <w:bidi w:val="0"/>
                              <w:adjustRightInd/>
                              <w:snapToGrid/>
                              <w:spacing w:before="0" w:beforeLines="10"/>
                              <w:jc w:val="center"/>
                              <w:textAlignment w:val="auto"/>
                              <w:rPr>
                                <w:rFonts w:hint="default" w:eastAsia="宋体"/>
                                <w:lang w:val="en-US" w:eastAsia="zh-CN"/>
                              </w:rPr>
                            </w:pPr>
                            <w:r>
                              <w:rPr>
                                <w:rFonts w:hint="eastAsia"/>
                                <w:lang w:val="en-US" w:eastAsia="zh-CN"/>
                              </w:rPr>
                              <w:t>设备安装</w:t>
                            </w:r>
                          </w:p>
                        </w:txbxContent>
                      </v:textbox>
                    </v:shape>
                  </w:pict>
                </mc:Fallback>
              </mc:AlternateContent>
            </w:r>
            <w:r>
              <w:rPr>
                <w:color w:val="auto"/>
                <w:sz w:val="24"/>
              </w:rPr>
              <mc:AlternateContent>
                <mc:Choice Requires="wps">
                  <w:drawing>
                    <wp:anchor distT="0" distB="0" distL="114300" distR="114300" simplePos="0" relativeHeight="251706368" behindDoc="0" locked="0" layoutInCell="1" allowOverlap="1">
                      <wp:simplePos x="0" y="0"/>
                      <wp:positionH relativeFrom="column">
                        <wp:posOffset>1501140</wp:posOffset>
                      </wp:positionH>
                      <wp:positionV relativeFrom="paragraph">
                        <wp:posOffset>25400</wp:posOffset>
                      </wp:positionV>
                      <wp:extent cx="758190" cy="278765"/>
                      <wp:effectExtent l="4445" t="4445" r="18415" b="21590"/>
                      <wp:wrapNone/>
                      <wp:docPr id="65" name="文本框 65"/>
                      <wp:cNvGraphicFramePr/>
                      <a:graphic xmlns:a="http://schemas.openxmlformats.org/drawingml/2006/main">
                        <a:graphicData uri="http://schemas.microsoft.com/office/word/2010/wordprocessingShape">
                          <wps:wsp>
                            <wps:cNvSpPr txBox="1"/>
                            <wps:spPr>
                              <a:xfrm>
                                <a:off x="0" y="0"/>
                                <a:ext cx="758190" cy="278765"/>
                              </a:xfrm>
                              <a:prstGeom prst="rect">
                                <a:avLst/>
                              </a:prstGeom>
                              <a:solidFill>
                                <a:srgbClr val="FFFFFF"/>
                              </a:solidFill>
                              <a:ln w="6350">
                                <a:solidFill>
                                  <a:prstClr val="black"/>
                                </a:solidFill>
                              </a:ln>
                              <a:effectLst/>
                            </wps:spPr>
                            <wps:txbx>
                              <w:txbxContent>
                                <w:p w14:paraId="57FB8870">
                                  <w:pPr>
                                    <w:keepNext w:val="0"/>
                                    <w:keepLines w:val="0"/>
                                    <w:pageBreakBefore w:val="0"/>
                                    <w:widowControl w:val="0"/>
                                    <w:kinsoku/>
                                    <w:wordWrap/>
                                    <w:overflowPunct/>
                                    <w:topLinePunct w:val="0"/>
                                    <w:bidi w:val="0"/>
                                    <w:adjustRightInd/>
                                    <w:snapToGrid/>
                                    <w:spacing w:before="0" w:beforeLines="10"/>
                                    <w:jc w:val="center"/>
                                    <w:textAlignment w:val="auto"/>
                                    <w:rPr>
                                      <w:rFonts w:hint="default" w:eastAsia="宋体"/>
                                      <w:lang w:val="en-US" w:eastAsia="zh-CN"/>
                                    </w:rPr>
                                  </w:pPr>
                                  <w:r>
                                    <w:rPr>
                                      <w:rFonts w:hint="eastAsia"/>
                                      <w:lang w:val="en-US" w:eastAsia="zh-CN"/>
                                    </w:rPr>
                                    <w:t>主体工程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8.2pt;margin-top:2pt;height:21.95pt;width:59.7pt;z-index:251706368;mso-width-relative:page;mso-height-relative:page;" fillcolor="#FFFFFF" filled="t" stroked="t" coordsize="21600,21600" o:gfxdata="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jLVk&#10;+tUAAAAIAQAADwAAAAAAAAABACAAAAAiAAAAZHJzL2Rvd25yZXYueG1sUEsBAhQAFAAAAAgAh07i&#10;QGDlj+9eAgAAxgQAAA4AAAAAAAAAAQAgAAAAJAEAAGRycy9lMm9Eb2MueG1sUEsFBgAAAAAGAAYA&#10;WQEAAPQFAAAAAA==&#10;">
                      <v:fill on="t" focussize="0,0"/>
                      <v:stroke weight="0.5pt" color="#000000" joinstyle="round"/>
                      <v:imagedata o:title=""/>
                      <o:lock v:ext="edit" aspectratio="f"/>
                      <v:textbox>
                        <w:txbxContent>
                          <w:p w14:paraId="57FB8870">
                            <w:pPr>
                              <w:keepNext w:val="0"/>
                              <w:keepLines w:val="0"/>
                              <w:pageBreakBefore w:val="0"/>
                              <w:widowControl w:val="0"/>
                              <w:kinsoku/>
                              <w:wordWrap/>
                              <w:overflowPunct/>
                              <w:topLinePunct w:val="0"/>
                              <w:bidi w:val="0"/>
                              <w:adjustRightInd/>
                              <w:snapToGrid/>
                              <w:spacing w:before="0" w:beforeLines="10"/>
                              <w:jc w:val="center"/>
                              <w:textAlignment w:val="auto"/>
                              <w:rPr>
                                <w:rFonts w:hint="default" w:eastAsia="宋体"/>
                                <w:lang w:val="en-US" w:eastAsia="zh-CN"/>
                              </w:rPr>
                            </w:pPr>
                            <w:r>
                              <w:rPr>
                                <w:rFonts w:hint="eastAsia"/>
                                <w:lang w:val="en-US" w:eastAsia="zh-CN"/>
                              </w:rPr>
                              <w:t>主体工程</w:t>
                            </w:r>
                          </w:p>
                        </w:txbxContent>
                      </v:textbox>
                    </v:shape>
                  </w:pict>
                </mc:Fallback>
              </mc:AlternateContent>
            </w:r>
          </w:p>
          <w:p w14:paraId="275F6677">
            <w:pPr>
              <w:pStyle w:val="5"/>
              <w:keepNext/>
              <w:keepLines/>
              <w:pageBreakBefore w:val="0"/>
              <w:widowControl w:val="0"/>
              <w:tabs>
                <w:tab w:val="center" w:pos="4038"/>
                <w:tab w:val="left" w:pos="6812"/>
              </w:tabs>
              <w:kinsoku/>
              <w:wordWrap/>
              <w:overflowPunct/>
              <w:topLinePunct w:val="0"/>
              <w:autoSpaceDE/>
              <w:autoSpaceDN/>
              <w:bidi w:val="0"/>
              <w:adjustRightInd/>
              <w:snapToGrid/>
              <w:spacing w:before="95" w:beforeLines="30"/>
              <w:jc w:val="center"/>
              <w:textAlignment w:val="auto"/>
              <w:rPr>
                <w:rFonts w:hint="default" w:ascii="Times New Roman" w:hAnsi="Times New Roman" w:eastAsia="宋体" w:cs="Times New Roman"/>
                <w:color w:val="auto"/>
                <w:spacing w:val="-6"/>
                <w:lang w:val="en-US" w:eastAsia="zh-CN"/>
              </w:rPr>
            </w:pPr>
            <w:r>
              <w:rPr>
                <w:sz w:val="24"/>
              </w:rPr>
              <mc:AlternateContent>
                <mc:Choice Requires="wps">
                  <w:drawing>
                    <wp:anchor distT="0" distB="0" distL="114300" distR="114300" simplePos="0" relativeHeight="251715584" behindDoc="0" locked="0" layoutInCell="1" allowOverlap="1">
                      <wp:simplePos x="0" y="0"/>
                      <wp:positionH relativeFrom="column">
                        <wp:posOffset>2459355</wp:posOffset>
                      </wp:positionH>
                      <wp:positionV relativeFrom="paragraph">
                        <wp:posOffset>-1659255</wp:posOffset>
                      </wp:positionV>
                      <wp:extent cx="5080" cy="3529965"/>
                      <wp:effectExtent l="6350" t="0" r="6985" b="261620"/>
                      <wp:wrapNone/>
                      <wp:docPr id="74" name="肘形连接符 74"/>
                      <wp:cNvGraphicFramePr/>
                      <a:graphic xmlns:a="http://schemas.openxmlformats.org/drawingml/2006/main">
                        <a:graphicData uri="http://schemas.microsoft.com/office/word/2010/wordprocessingShape">
                          <wps:wsp>
                            <wps:cNvCnPr>
                              <a:stCxn id="105" idx="2"/>
                              <a:endCxn id="70" idx="2"/>
                            </wps:cNvCnPr>
                            <wps:spPr>
                              <a:xfrm rot="5400000" flipV="1">
                                <a:off x="4121150" y="6840855"/>
                                <a:ext cx="5080" cy="3529965"/>
                              </a:xfrm>
                              <a:prstGeom prst="bentConnector3">
                                <a:avLst>
                                  <a:gd name="adj1" fmla="val 4918750"/>
                                </a:avLst>
                              </a:prstGeom>
                              <a:ln w="12700" cmpd="sng">
                                <a:solidFill>
                                  <a:schemeClr val="tx1"/>
                                </a:solidFill>
                                <a:prstDash val="sys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4" type="#_x0000_t34" style="position:absolute;left:0pt;flip:y;margin-left:193.65pt;margin-top:-130.65pt;height:277.95pt;width:0.4pt;rotation:-5898240f;z-index:251715584;mso-width-relative:page;mso-height-relative:page;" filled="f" stroked="t" coordsize="21600,21600" o:gfxdata="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&#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3vw9q3AAAAAwBAAAPAAAAAAAAAAEAIAAAACIAAABk&#10;cnMvZG93bnJldi54bWxQSwECFAAUAAAACACHTuJABNc0UDsCAABCBAAADgAAAAAAAAABACAAAAAr&#10;AQAAZHJzL2Uyb0RvYy54bWxQSwUGAAAAAAYABgBZAQAA2AUAAAAA&#10;" adj="1062450">
                      <v:fill on="f" focussize="0,0"/>
                      <v:stroke weight="1pt" color="#000000 [3213]" joinstyle="round" dashstyle="3 1"/>
                      <v:imagedata o:title=""/>
                      <o:lock v:ext="edit" aspectratio="f"/>
                    </v:shape>
                  </w:pict>
                </mc:Fallback>
              </mc:AlternateContent>
            </w:r>
            <w:r>
              <w:rPr>
                <w:color w:val="auto"/>
                <w:sz w:val="21"/>
              </w:rPr>
              <mc:AlternateContent>
                <mc:Choice Requires="wps">
                  <w:drawing>
                    <wp:anchor distT="0" distB="0" distL="114300" distR="114300" simplePos="0" relativeHeight="251714560" behindDoc="0" locked="0" layoutInCell="1" allowOverlap="1">
                      <wp:simplePos x="0" y="0"/>
                      <wp:positionH relativeFrom="column">
                        <wp:posOffset>1885950</wp:posOffset>
                      </wp:positionH>
                      <wp:positionV relativeFrom="paragraph">
                        <wp:posOffset>111760</wp:posOffset>
                      </wp:positionV>
                      <wp:extent cx="1905" cy="243205"/>
                      <wp:effectExtent l="37465" t="0" r="36830" b="4445"/>
                      <wp:wrapNone/>
                      <wp:docPr id="73" name="直接箭头连接符 73"/>
                      <wp:cNvGraphicFramePr/>
                      <a:graphic xmlns:a="http://schemas.openxmlformats.org/drawingml/2006/main">
                        <a:graphicData uri="http://schemas.microsoft.com/office/word/2010/wordprocessingShape">
                          <wps:wsp>
                            <wps:cNvCnPr/>
                            <wps:spPr>
                              <a:xfrm flipH="1" flipV="1">
                                <a:off x="0" y="0"/>
                                <a:ext cx="1905" cy="243205"/>
                              </a:xfrm>
                              <a:prstGeom prst="straightConnector1">
                                <a:avLst/>
                              </a:prstGeom>
                              <a:noFill/>
                              <a:ln w="12700" cap="flat" cmpd="sng" algn="ctr">
                                <a:solidFill>
                                  <a:srgbClr val="000000"/>
                                </a:solidFill>
                                <a:prstDash val="sysDash"/>
                                <a:headEnd type="triangle" w="med" len="lg"/>
                                <a:tailEnd type="none" w="med" len="lg"/>
                              </a:ln>
                              <a:effectLst/>
                            </wps:spPr>
                            <wps:bodyPr/>
                          </wps:wsp>
                        </a:graphicData>
                      </a:graphic>
                    </wp:anchor>
                  </w:drawing>
                </mc:Choice>
                <mc:Fallback>
                  <w:pict>
                    <v:shape id="_x0000_s1026" o:spid="_x0000_s1026" o:spt="32" type="#_x0000_t32" style="position:absolute;left:0pt;flip:x y;margin-left:148.5pt;margin-top:8.8pt;height:19.15pt;width:0.15pt;z-index:251714560;mso-width-relative:page;mso-height-relative:page;" filled="f" stroked="t" coordsize="21600,21600" o:gfxdata="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uvlx/XAAAACQEAAA8AAAAAAAAAAQAgAAAAIgAAAGRycy9kb3ducmV2LnhtbFBLAQIUABQAAAAI&#10;AIdO4kCj8HM1JwIAAC0EAAAOAAAAAAAAAAEAIAAAACYBAABkcnMvZTJvRG9jLnhtbFBLBQYAAAAA&#10;BgAGAFkBAAC/BQAAAAA=&#10;">
                      <v:fill on="f" focussize="0,0"/>
                      <v:stroke weight="1pt" color="#000000" joinstyle="round" dashstyle="3 1" startarrow="block" startarrowlength="long" endarrowlength="long"/>
                      <v:imagedata o:title=""/>
                      <o:lock v:ext="edit" aspectratio="f"/>
                    </v:shape>
                  </w:pict>
                </mc:Fallback>
              </mc:AlternateContent>
            </w:r>
            <w:r>
              <w:rPr>
                <w:color w:val="auto"/>
                <w:sz w:val="21"/>
              </w:rPr>
              <mc:AlternateContent>
                <mc:Choice Requires="wps">
                  <w:drawing>
                    <wp:anchor distT="0" distB="0" distL="114300" distR="114300" simplePos="0" relativeHeight="251716608" behindDoc="0" locked="0" layoutInCell="1" allowOverlap="1">
                      <wp:simplePos x="0" y="0"/>
                      <wp:positionH relativeFrom="column">
                        <wp:posOffset>3050540</wp:posOffset>
                      </wp:positionH>
                      <wp:positionV relativeFrom="paragraph">
                        <wp:posOffset>106680</wp:posOffset>
                      </wp:positionV>
                      <wp:extent cx="1905" cy="243205"/>
                      <wp:effectExtent l="37465" t="0" r="36830" b="4445"/>
                      <wp:wrapNone/>
                      <wp:docPr id="75" name="直接箭头连接符 75"/>
                      <wp:cNvGraphicFramePr/>
                      <a:graphic xmlns:a="http://schemas.openxmlformats.org/drawingml/2006/main">
                        <a:graphicData uri="http://schemas.microsoft.com/office/word/2010/wordprocessingShape">
                          <wps:wsp>
                            <wps:cNvCnPr/>
                            <wps:spPr>
                              <a:xfrm flipH="1" flipV="1">
                                <a:off x="0" y="0"/>
                                <a:ext cx="1905" cy="243205"/>
                              </a:xfrm>
                              <a:prstGeom prst="straightConnector1">
                                <a:avLst/>
                              </a:prstGeom>
                              <a:noFill/>
                              <a:ln w="12700" cap="flat" cmpd="sng" algn="ctr">
                                <a:solidFill>
                                  <a:srgbClr val="000000"/>
                                </a:solidFill>
                                <a:prstDash val="sysDash"/>
                                <a:headEnd type="triangle" w="med" len="lg"/>
                                <a:tailEnd type="none" w="med" len="lg"/>
                              </a:ln>
                              <a:effectLst/>
                            </wps:spPr>
                            <wps:bodyPr/>
                          </wps:wsp>
                        </a:graphicData>
                      </a:graphic>
                    </wp:anchor>
                  </w:drawing>
                </mc:Choice>
                <mc:Fallback>
                  <w:pict>
                    <v:shape id="_x0000_s1026" o:spid="_x0000_s1026" o:spt="32" type="#_x0000_t32" style="position:absolute;left:0pt;flip:x y;margin-left:240.2pt;margin-top:8.4pt;height:19.15pt;width:0.15pt;z-index:251716608;mso-width-relative:page;mso-height-relative:page;" filled="f" stroked="t" coordsize="21600,21600" o:gfxdata="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k3qlB9cAAAAJAQAADwAAAAAAAAABACAAAAAiAAAAZHJzL2Rvd25yZXYueG1sUEsBAhQAFAAAAAgA&#10;h07iQOX46FQmAgAALQQAAA4AAAAAAAAAAQAgAAAAJgEAAGRycy9lMm9Eb2MueG1sUEsFBgAAAAAG&#10;AAYAWQEAAL4FAAAAAA==&#10;">
                      <v:fill on="f" focussize="0,0"/>
                      <v:stroke weight="1pt" color="#000000" joinstyle="round" dashstyle="3 1" startarrow="block" startarrowlength="long" endarrowlength="long"/>
                      <v:imagedata o:title=""/>
                      <o:lock v:ext="edit" aspectratio="f"/>
                    </v:shape>
                  </w:pict>
                </mc:Fallback>
              </mc:AlternateContent>
            </w:r>
          </w:p>
          <w:p w14:paraId="3DFB7944">
            <w:pPr>
              <w:pStyle w:val="5"/>
              <w:keepNext/>
              <w:keepLines/>
              <w:pageBreakBefore w:val="0"/>
              <w:widowControl w:val="0"/>
              <w:tabs>
                <w:tab w:val="center" w:pos="4038"/>
                <w:tab w:val="left" w:pos="6812"/>
              </w:tabs>
              <w:kinsoku/>
              <w:wordWrap/>
              <w:overflowPunct/>
              <w:topLinePunct w:val="0"/>
              <w:autoSpaceDE/>
              <w:autoSpaceDN/>
              <w:bidi w:val="0"/>
              <w:adjustRightInd/>
              <w:snapToGrid/>
              <w:spacing w:before="95" w:beforeLines="30"/>
              <w:jc w:val="center"/>
              <w:textAlignment w:val="auto"/>
              <w:rPr>
                <w:rFonts w:hint="default" w:ascii="Times New Roman" w:hAnsi="Times New Roman" w:eastAsia="宋体" w:cs="Times New Roman"/>
                <w:color w:val="auto"/>
                <w:spacing w:val="-6"/>
                <w:lang w:val="en-US" w:eastAsia="zh-CN"/>
              </w:rPr>
            </w:pPr>
            <w:r>
              <w:rPr>
                <w:color w:val="auto"/>
                <w:sz w:val="21"/>
              </w:rPr>
              <mc:AlternateContent>
                <mc:Choice Requires="wps">
                  <w:drawing>
                    <wp:anchor distT="0" distB="0" distL="114300" distR="114300" simplePos="0" relativeHeight="251717632" behindDoc="0" locked="0" layoutInCell="1" allowOverlap="1">
                      <wp:simplePos x="0" y="0"/>
                      <wp:positionH relativeFrom="column">
                        <wp:posOffset>2459355</wp:posOffset>
                      </wp:positionH>
                      <wp:positionV relativeFrom="paragraph">
                        <wp:posOffset>161925</wp:posOffset>
                      </wp:positionV>
                      <wp:extent cx="1905" cy="243205"/>
                      <wp:effectExtent l="37465" t="0" r="36830" b="4445"/>
                      <wp:wrapNone/>
                      <wp:docPr id="76" name="直接箭头连接符 76"/>
                      <wp:cNvGraphicFramePr/>
                      <a:graphic xmlns:a="http://schemas.openxmlformats.org/drawingml/2006/main">
                        <a:graphicData uri="http://schemas.microsoft.com/office/word/2010/wordprocessingShape">
                          <wps:wsp>
                            <wps:cNvCnPr/>
                            <wps:spPr>
                              <a:xfrm flipH="1" flipV="1">
                                <a:off x="0" y="0"/>
                                <a:ext cx="1905" cy="243205"/>
                              </a:xfrm>
                              <a:prstGeom prst="straightConnector1">
                                <a:avLst/>
                              </a:prstGeom>
                              <a:noFill/>
                              <a:ln w="12700" cap="flat" cmpd="sng" algn="ctr">
                                <a:solidFill>
                                  <a:srgbClr val="000000"/>
                                </a:solidFill>
                                <a:prstDash val="sysDash"/>
                                <a:headEnd type="triangle" w="med" len="lg"/>
                                <a:tailEnd type="none" w="med" len="lg"/>
                              </a:ln>
                              <a:effectLst/>
                            </wps:spPr>
                            <wps:bodyPr/>
                          </wps:wsp>
                        </a:graphicData>
                      </a:graphic>
                    </wp:anchor>
                  </w:drawing>
                </mc:Choice>
                <mc:Fallback>
                  <w:pict>
                    <v:shape id="_x0000_s1026" o:spid="_x0000_s1026" o:spt="32" type="#_x0000_t32" style="position:absolute;left:0pt;flip:x y;margin-left:193.65pt;margin-top:12.75pt;height:19.15pt;width:0.15pt;z-index:251717632;mso-width-relative:page;mso-height-relative:page;" filled="f" stroked="t" coordsize="21600,21600" o:gfxdata="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L8bP82AAAAAkBAAAPAAAAAAAAAAEAIAAAACIAAABkcnMvZG93bnJldi54bWxQSwECFAAUAAAA&#10;CACHTuJAxnwlZCcCAAAtBAAADgAAAAAAAAABACAAAAAnAQAAZHJzL2Uyb0RvYy54bWxQSwUGAAAA&#10;AAYABgBZAQAAwAUAAAAA&#10;">
                      <v:fill on="f" focussize="0,0"/>
                      <v:stroke weight="1pt" color="#000000" joinstyle="round" dashstyle="3 1" startarrow="block" startarrowlength="long" endarrowlength="long"/>
                      <v:imagedata o:title=""/>
                      <o:lock v:ext="edit" aspectratio="f"/>
                    </v:shape>
                  </w:pict>
                </mc:Fallback>
              </mc:AlternateContent>
            </w:r>
          </w:p>
          <w:p w14:paraId="12D6A6E8">
            <w:pPr>
              <w:pStyle w:val="5"/>
              <w:keepNext/>
              <w:keepLines/>
              <w:pageBreakBefore w:val="0"/>
              <w:widowControl w:val="0"/>
              <w:tabs>
                <w:tab w:val="center" w:pos="4038"/>
                <w:tab w:val="left" w:pos="6812"/>
              </w:tabs>
              <w:kinsoku/>
              <w:wordWrap/>
              <w:overflowPunct/>
              <w:topLinePunct w:val="0"/>
              <w:autoSpaceDE/>
              <w:autoSpaceDN/>
              <w:bidi w:val="0"/>
              <w:adjustRightInd/>
              <w:snapToGrid/>
              <w:spacing w:before="95" w:beforeLines="30"/>
              <w:jc w:val="center"/>
              <w:textAlignment w:val="auto"/>
              <w:rPr>
                <w:rFonts w:hint="default" w:ascii="Times New Roman" w:hAnsi="Times New Roman" w:eastAsia="宋体" w:cs="Times New Roman"/>
                <w:color w:val="auto"/>
                <w:spacing w:val="-6"/>
                <w:lang w:val="en-US" w:eastAsia="zh-CN"/>
              </w:rPr>
            </w:pPr>
            <w:r>
              <w:rPr>
                <w:color w:val="auto"/>
                <w:sz w:val="24"/>
              </w:rPr>
              <mc:AlternateContent>
                <mc:Choice Requires="wps">
                  <w:drawing>
                    <wp:anchor distT="0" distB="0" distL="114300" distR="114300" simplePos="0" relativeHeight="251696128" behindDoc="0" locked="0" layoutInCell="1" allowOverlap="1">
                      <wp:simplePos x="0" y="0"/>
                      <wp:positionH relativeFrom="column">
                        <wp:posOffset>1684020</wp:posOffset>
                      </wp:positionH>
                      <wp:positionV relativeFrom="paragraph">
                        <wp:posOffset>175895</wp:posOffset>
                      </wp:positionV>
                      <wp:extent cx="1544955" cy="266700"/>
                      <wp:effectExtent l="0" t="0" r="0" b="0"/>
                      <wp:wrapNone/>
                      <wp:docPr id="130" name="文本框 130"/>
                      <wp:cNvGraphicFramePr/>
                      <a:graphic xmlns:a="http://schemas.openxmlformats.org/drawingml/2006/main">
                        <a:graphicData uri="http://schemas.microsoft.com/office/word/2010/wordprocessingShape">
                          <wps:wsp>
                            <wps:cNvSpPr txBox="1"/>
                            <wps:spPr>
                              <a:xfrm>
                                <a:off x="0" y="0"/>
                                <a:ext cx="1544955" cy="266700"/>
                              </a:xfrm>
                              <a:prstGeom prst="rect">
                                <a:avLst/>
                              </a:prstGeom>
                              <a:noFill/>
                              <a:ln w="6350">
                                <a:noFill/>
                              </a:ln>
                              <a:effectLst/>
                            </wps:spPr>
                            <wps:txbx>
                              <w:txbxContent>
                                <w:p w14:paraId="48B45E75">
                                  <w:pPr>
                                    <w:jc w:val="center"/>
                                    <w:rPr>
                                      <w:rFonts w:hint="default" w:eastAsia="宋体"/>
                                      <w:sz w:val="21"/>
                                      <w:szCs w:val="24"/>
                                      <w:lang w:val="en-US" w:eastAsia="zh-CN"/>
                                    </w:rPr>
                                  </w:pPr>
                                  <w:r>
                                    <w:rPr>
                                      <w:rFonts w:hint="eastAsia"/>
                                      <w:sz w:val="21"/>
                                      <w:szCs w:val="24"/>
                                      <w:lang w:val="en-US" w:eastAsia="zh-CN"/>
                                    </w:rPr>
                                    <w:t>施工废水、建筑垃圾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2.6pt;margin-top:13.85pt;height:21pt;width:121.65pt;z-index:251696128;mso-width-relative:page;mso-height-relative:page;" filled="f" stroked="f" coordsize="21600,21600" o:gfxdata="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PtuJxtoAAAAJAQAADwAAAAAAAAABACAA&#10;AAAiAAAAZHJzL2Rvd25yZXYueG1sUEsBAhQAFAAAAAgAh07iQF21zyFEAgAAeAQAAA4AAAAAAAAA&#10;AQAgAAAAKQEAAGRycy9lMm9Eb2MueG1sUEsFBgAAAAAGAAYAWQEAAN8FAAAAAA==&#10;">
                      <v:fill on="f" focussize="0,0"/>
                      <v:stroke on="f" weight="0.5pt"/>
                      <v:imagedata o:title=""/>
                      <o:lock v:ext="edit" aspectratio="f"/>
                      <v:textbox>
                        <w:txbxContent>
                          <w:p w14:paraId="48B45E75">
                            <w:pPr>
                              <w:jc w:val="center"/>
                              <w:rPr>
                                <w:rFonts w:hint="default" w:eastAsia="宋体"/>
                                <w:sz w:val="21"/>
                                <w:szCs w:val="24"/>
                                <w:lang w:val="en-US" w:eastAsia="zh-CN"/>
                              </w:rPr>
                            </w:pPr>
                            <w:r>
                              <w:rPr>
                                <w:rFonts w:hint="eastAsia"/>
                                <w:sz w:val="21"/>
                                <w:szCs w:val="24"/>
                                <w:lang w:val="en-US" w:eastAsia="zh-CN"/>
                              </w:rPr>
                              <w:t>施工废水、建筑垃圾</w:t>
                            </w:r>
                          </w:p>
                        </w:txbxContent>
                      </v:textbox>
                    </v:shape>
                  </w:pict>
                </mc:Fallback>
              </mc:AlternateContent>
            </w:r>
          </w:p>
          <w:p w14:paraId="653EB93E">
            <w:pPr>
              <w:pStyle w:val="5"/>
              <w:keepNext/>
              <w:keepLines/>
              <w:pageBreakBefore w:val="0"/>
              <w:widowControl w:val="0"/>
              <w:tabs>
                <w:tab w:val="center" w:pos="4038"/>
                <w:tab w:val="left" w:pos="6812"/>
              </w:tabs>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color w:val="auto"/>
                <w:spacing w:val="-6"/>
                <w:lang w:val="en-US" w:eastAsia="zh-CN"/>
              </w:rPr>
            </w:pPr>
          </w:p>
          <w:p w14:paraId="12ED281C">
            <w:pPr>
              <w:pStyle w:val="5"/>
              <w:keepNext/>
              <w:keepLines/>
              <w:pageBreakBefore w:val="0"/>
              <w:widowControl w:val="0"/>
              <w:tabs>
                <w:tab w:val="center" w:pos="4038"/>
                <w:tab w:val="left" w:pos="6812"/>
              </w:tabs>
              <w:kinsoku/>
              <w:wordWrap/>
              <w:overflowPunct/>
              <w:topLinePunct w:val="0"/>
              <w:autoSpaceDE/>
              <w:autoSpaceDN/>
              <w:bidi w:val="0"/>
              <w:adjustRightInd/>
              <w:snapToGrid/>
              <w:spacing w:before="157" w:beforeLines="50"/>
              <w:jc w:val="center"/>
              <w:textAlignment w:val="auto"/>
              <w:rPr>
                <w:rFonts w:hint="eastAsia" w:ascii="Times New Roman" w:hAnsi="Times New Roman" w:eastAsia="宋体" w:cs="Times New Roman"/>
                <w:color w:val="auto"/>
                <w:sz w:val="24"/>
              </w:rPr>
            </w:pPr>
            <w:r>
              <w:rPr>
                <w:rFonts w:hint="default" w:ascii="Times New Roman" w:hAnsi="Times New Roman" w:eastAsia="宋体" w:cs="Times New Roman"/>
                <w:color w:val="auto"/>
                <w:spacing w:val="-6"/>
                <w:lang w:val="en-US" w:eastAsia="zh-CN"/>
              </w:rPr>
              <w:t>图</w:t>
            </w:r>
            <w:r>
              <w:rPr>
                <w:rFonts w:hint="eastAsia" w:ascii="Times New Roman" w:hAnsi="Times New Roman" w:eastAsia="宋体" w:cs="Times New Roman"/>
                <w:color w:val="auto"/>
                <w:spacing w:val="-6"/>
                <w:lang w:val="en-US" w:eastAsia="zh-CN"/>
              </w:rPr>
              <w:t xml:space="preserve">2-1 </w:t>
            </w:r>
            <w:r>
              <w:rPr>
                <w:rFonts w:hint="default" w:ascii="Times New Roman" w:hAnsi="Times New Roman" w:eastAsia="宋体" w:cs="Times New Roman"/>
                <w:color w:val="auto"/>
                <w:spacing w:val="-6"/>
                <w:lang w:val="en-US" w:eastAsia="zh-CN"/>
              </w:rPr>
              <w:t>施工期工艺流程及产污环节图</w:t>
            </w:r>
          </w:p>
        </w:tc>
      </w:tr>
      <w:tr w14:paraId="1847C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0" w:hRule="atLeast"/>
          <w:jc w:val="center"/>
        </w:trPr>
        <w:tc>
          <w:tcPr>
            <w:tcW w:w="746" w:type="dxa"/>
            <w:noWrap w:val="0"/>
            <w:vAlign w:val="center"/>
          </w:tcPr>
          <w:p w14:paraId="041C84D2">
            <w:pPr>
              <w:autoSpaceDE w:val="0"/>
              <w:autoSpaceDN w:val="0"/>
              <w:adjustRightInd w:val="0"/>
              <w:snapToGrid w:val="0"/>
              <w:jc w:val="center"/>
              <w:rPr>
                <w:color w:val="auto"/>
                <w:kern w:val="0"/>
                <w:sz w:val="24"/>
              </w:rPr>
            </w:pPr>
          </w:p>
        </w:tc>
        <w:tc>
          <w:tcPr>
            <w:tcW w:w="8368" w:type="dxa"/>
            <w:gridSpan w:val="2"/>
            <w:noWrap w:val="0"/>
            <w:vAlign w:val="top"/>
          </w:tcPr>
          <w:p w14:paraId="66FB700D">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t>2.运营期</w:t>
            </w:r>
          </w:p>
          <w:p w14:paraId="459B9AD3">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（1）钢结构生产工艺流程</w:t>
            </w:r>
          </w:p>
          <w:p w14:paraId="354CCE84">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本项目运营期钢结构生产工艺流程及产污环节见图2-2。</w:t>
            </w:r>
          </w:p>
          <w:p w14:paraId="672433C8">
            <w:pPr>
              <w:keepNext w:val="0"/>
              <w:keepLines w:val="0"/>
              <w:pageBreakBefore w:val="0"/>
              <w:widowControl w:val="0"/>
              <w:kinsoku/>
              <w:wordWrap/>
              <w:overflowPunct/>
              <w:topLinePunct w:val="0"/>
              <w:autoSpaceDE/>
              <w:autoSpaceDN/>
              <w:bidi w:val="0"/>
              <w:adjustRightInd w:val="0"/>
              <w:snapToGrid w:val="0"/>
              <w:spacing w:before="157" w:beforeLines="50"/>
              <w:jc w:val="left"/>
              <w:textAlignment w:val="auto"/>
              <w:rPr>
                <w:color w:val="auto"/>
              </w:rPr>
            </w:pPr>
            <w:r>
              <w:rPr>
                <w:color w:val="auto"/>
              </w:rPr>
              <mc:AlternateContent>
                <mc:Choice Requires="wps">
                  <w:drawing>
                    <wp:anchor distT="0" distB="0" distL="114300" distR="114300" simplePos="0" relativeHeight="251660288" behindDoc="0" locked="0" layoutInCell="1" allowOverlap="1">
                      <wp:simplePos x="0" y="0"/>
                      <wp:positionH relativeFrom="column">
                        <wp:posOffset>1564640</wp:posOffset>
                      </wp:positionH>
                      <wp:positionV relativeFrom="paragraph">
                        <wp:posOffset>36195</wp:posOffset>
                      </wp:positionV>
                      <wp:extent cx="974090" cy="27114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776605" cy="271145"/>
                              </a:xfrm>
                              <a:prstGeom prst="rect">
                                <a:avLst/>
                              </a:prstGeom>
                              <a:noFill/>
                              <a:ln>
                                <a:noFill/>
                              </a:ln>
                              <a:effectLst/>
                            </wps:spPr>
                            <wps:txbx>
                              <w:txbxContent>
                                <w:p w14:paraId="25AAA33A">
                                  <w:pPr>
                                    <w:jc w:val="center"/>
                                    <w:rPr>
                                      <w:rFonts w:hint="eastAsia" w:eastAsia="宋体"/>
                                      <w:lang w:val="en-US" w:eastAsia="zh-CN"/>
                                    </w:rPr>
                                  </w:pPr>
                                  <w:r>
                                    <w:rPr>
                                      <w:rFonts w:hint="eastAsia"/>
                                    </w:rPr>
                                    <w:t>钢</w:t>
                                  </w:r>
                                  <w:r>
                                    <w:rPr>
                                      <w:rFonts w:hint="eastAsia"/>
                                      <w:lang w:val="en-US" w:eastAsia="zh-CN"/>
                                    </w:rPr>
                                    <w:t>材</w:t>
                                  </w:r>
                                </w:p>
                              </w:txbxContent>
                            </wps:txbx>
                            <wps:bodyPr wrap="square" upright="1"/>
                          </wps:wsp>
                        </a:graphicData>
                      </a:graphic>
                    </wp:anchor>
                  </w:drawing>
                </mc:Choice>
                <mc:Fallback>
                  <w:pict>
                    <v:shape id="_x0000_s1026" o:spid="_x0000_s1026" o:spt="202" type="#_x0000_t202" style="position:absolute;left:0pt;margin-left:123.2pt;margin-top:2.85pt;height:21.35pt;width:76.7pt;z-index:251660288;mso-width-relative:page;mso-height-relative:page;" filled="f" stroked="f" coordsize="21600,21600" o:gfxdata="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L7ngdYAAAAIAQAADwAAAAAAAAABACAAAAAiAAAAZHJzL2Rvd25yZXYueG1sUEsBAhQA&#10;FAAAAAgAh07iQEqxS+u7AQAAawMAAA4AAAAAAAAAAQAgAAAAJQEAAGRycy9lMm9Eb2MueG1sUEsF&#10;BgAAAAAGAAYAWQEAAFIFAAAAAA==&#10;">
                      <v:fill on="f" focussize="0,0"/>
                      <v:stroke on="f"/>
                      <v:imagedata o:title=""/>
                      <o:lock v:ext="edit" aspectratio="f"/>
                      <v:textbox>
                        <w:txbxContent>
                          <w:p w14:paraId="25AAA33A">
                            <w:pPr>
                              <w:jc w:val="center"/>
                              <w:rPr>
                                <w:rFonts w:hint="eastAsia" w:eastAsia="宋体"/>
                                <w:lang w:val="en-US" w:eastAsia="zh-CN"/>
                              </w:rPr>
                            </w:pPr>
                            <w:r>
                              <w:rPr>
                                <w:rFonts w:hint="eastAsia"/>
                              </w:rPr>
                              <w:t>钢</w:t>
                            </w:r>
                            <w:r>
                              <w:rPr>
                                <w:rFonts w:hint="eastAsia"/>
                                <w:lang w:val="en-US" w:eastAsia="zh-CN"/>
                              </w:rPr>
                              <w:t>材</w:t>
                            </w:r>
                          </w:p>
                        </w:txbxContent>
                      </v:textbox>
                    </v:shape>
                  </w:pict>
                </mc:Fallback>
              </mc:AlternateContent>
            </w:r>
          </w:p>
          <w:p w14:paraId="1E3DC426">
            <w:pPr>
              <w:spacing w:before="120" w:beforeLines="50" w:line="360" w:lineRule="auto"/>
              <w:ind w:firstLine="420" w:firstLineChars="200"/>
              <w:rPr>
                <w:color w:val="auto"/>
              </w:rPr>
            </w:pPr>
            <w:r>
              <w:rPr>
                <w:color w:val="auto"/>
              </w:rPr>
              <mc:AlternateContent>
                <mc:Choice Requires="wps">
                  <w:drawing>
                    <wp:anchor distT="0" distB="0" distL="114300" distR="114300" simplePos="0" relativeHeight="251666432" behindDoc="0" locked="0" layoutInCell="1" allowOverlap="1">
                      <wp:simplePos x="0" y="0"/>
                      <wp:positionH relativeFrom="column">
                        <wp:posOffset>2049145</wp:posOffset>
                      </wp:positionH>
                      <wp:positionV relativeFrom="paragraph">
                        <wp:posOffset>95885</wp:posOffset>
                      </wp:positionV>
                      <wp:extent cx="3175" cy="327025"/>
                      <wp:effectExtent l="36830" t="0" r="36195" b="15875"/>
                      <wp:wrapNone/>
                      <wp:docPr id="1" name="直线 1205"/>
                      <wp:cNvGraphicFramePr/>
                      <a:graphic xmlns:a="http://schemas.openxmlformats.org/drawingml/2006/main">
                        <a:graphicData uri="http://schemas.microsoft.com/office/word/2010/wordprocessingShape">
                          <wps:wsp>
                            <wps:cNvCnPr/>
                            <wps:spPr>
                              <a:xfrm flipH="1">
                                <a:off x="0" y="0"/>
                                <a:ext cx="3175" cy="327025"/>
                              </a:xfrm>
                              <a:prstGeom prst="line">
                                <a:avLst/>
                              </a:prstGeom>
                              <a:ln w="9525" cap="flat" cmpd="sng">
                                <a:solidFill>
                                  <a:srgbClr val="000000"/>
                                </a:solidFill>
                                <a:prstDash val="solid"/>
                                <a:headEnd type="none" w="med" len="med"/>
                                <a:tailEnd type="triangle" w="med" len="lg"/>
                              </a:ln>
                            </wps:spPr>
                            <wps:bodyPr upright="1"/>
                          </wps:wsp>
                        </a:graphicData>
                      </a:graphic>
                    </wp:anchor>
                  </w:drawing>
                </mc:Choice>
                <mc:Fallback>
                  <w:pict>
                    <v:line id="直线 1205" o:spid="_x0000_s1026" o:spt="20" style="position:absolute;left:0pt;flip:x;margin-left:161.35pt;margin-top:7.55pt;height:25.75pt;width:0.25pt;z-index:251666432;mso-width-relative:page;mso-height-relative:page;" filled="f" stroked="t" coordsize="21600,21600" o:gfxdata="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jG705dcAAAAJAQAADwAAAAAAAAABACAAAAAiAAAAZHJzL2Rvd25yZXYu&#10;eG1sUEsBAhQAFAAAAAgAh07iQFhagiv8AQAA7QMAAA4AAAAAAAAAAQAgAAAAJgEAAGRycy9lMm9E&#10;b2MueG1sUEsFBgAAAAAGAAYAWQEAAJQFAAAAAA==&#10;">
                      <v:fill on="f" focussize="0,0"/>
                      <v:stroke color="#000000" joinstyle="round" endarrow="block" endarrowlength="long"/>
                      <v:imagedata o:title=""/>
                      <o:lock v:ext="edit" aspectratio="f"/>
                    </v:line>
                  </w:pict>
                </mc:Fallback>
              </mc:AlternateContent>
            </w:r>
          </w:p>
          <w:p w14:paraId="2166349C">
            <w:pPr>
              <w:spacing w:before="120" w:beforeLines="50" w:line="360" w:lineRule="auto"/>
              <w:ind w:firstLine="420" w:firstLineChars="200"/>
              <w:rPr>
                <w:color w:val="auto"/>
              </w:rPr>
            </w:pPr>
            <w:r>
              <w:rPr>
                <w:color w:val="auto"/>
              </w:rPr>
              <mc:AlternateContent>
                <mc:Choice Requires="wps">
                  <w:drawing>
                    <wp:anchor distT="0" distB="0" distL="114300" distR="114300" simplePos="0" relativeHeight="251664384" behindDoc="0" locked="0" layoutInCell="1" allowOverlap="1">
                      <wp:simplePos x="0" y="0"/>
                      <wp:positionH relativeFrom="column">
                        <wp:posOffset>2531745</wp:posOffset>
                      </wp:positionH>
                      <wp:positionV relativeFrom="paragraph">
                        <wp:posOffset>248285</wp:posOffset>
                      </wp:positionV>
                      <wp:extent cx="342265" cy="635"/>
                      <wp:effectExtent l="0" t="37465" r="635" b="38100"/>
                      <wp:wrapNone/>
                      <wp:docPr id="15" name="直接连接符 15"/>
                      <wp:cNvGraphicFramePr/>
                      <a:graphic xmlns:a="http://schemas.openxmlformats.org/drawingml/2006/main">
                        <a:graphicData uri="http://schemas.microsoft.com/office/word/2010/wordprocessingShape">
                          <wps:wsp>
                            <wps:cNvCnPr/>
                            <wps:spPr>
                              <a:xfrm>
                                <a:off x="0" y="0"/>
                                <a:ext cx="342265" cy="635"/>
                              </a:xfrm>
                              <a:prstGeom prst="line">
                                <a:avLst/>
                              </a:prstGeom>
                              <a:ln w="9525" cap="flat" cmpd="sng">
                                <a:solidFill>
                                  <a:srgbClr val="000000"/>
                                </a:solidFill>
                                <a:prstDash val="dash"/>
                                <a:headEnd type="none" w="med" len="med"/>
                                <a:tailEnd type="triangle" w="med" len="lg"/>
                              </a:ln>
                              <a:effectLst/>
                            </wps:spPr>
                            <wps:bodyPr upright="1"/>
                          </wps:wsp>
                        </a:graphicData>
                      </a:graphic>
                    </wp:anchor>
                  </w:drawing>
                </mc:Choice>
                <mc:Fallback>
                  <w:pict>
                    <v:line id="_x0000_s1026" o:spid="_x0000_s1026" o:spt="20" style="position:absolute;left:0pt;margin-left:199.35pt;margin-top:19.55pt;height:0.05pt;width:26.95pt;z-index:251664384;mso-width-relative:page;mso-height-relative:page;" filled="f" stroked="t" coordsize="21600,21600" o:gfxdata="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XBbH5dgAAAAJAQAADwAAAAAAAAABACAAAAAiAAAAZHJz&#10;L2Rvd25yZXYueG1sUEsBAhQAFAAAAAgAh07iQI4512wEAgAA9wMAAA4AAAAAAAAAAQAgAAAAJwEA&#10;AGRycy9lMm9Eb2MueG1sUEsFBgAAAAAGAAYAWQEAAJ0FAAAAAA==&#10;">
                      <v:fill on="f" focussize="0,0"/>
                      <v:stroke color="#000000" joinstyle="round" dashstyle="dash" endarrow="block" endarrowlength="long"/>
                      <v:imagedata o:title=""/>
                      <o:lock v:ext="edit" aspectratio="f"/>
                    </v:line>
                  </w:pict>
                </mc:Fallback>
              </mc:AlternateContent>
            </w:r>
            <w:r>
              <w:rPr>
                <w:color w:val="auto"/>
              </w:rPr>
              <mc:AlternateContent>
                <mc:Choice Requires="wps">
                  <w:drawing>
                    <wp:anchor distT="0" distB="0" distL="114300" distR="114300" simplePos="0" relativeHeight="251661312" behindDoc="0" locked="0" layoutInCell="1" allowOverlap="1">
                      <wp:simplePos x="0" y="0"/>
                      <wp:positionH relativeFrom="column">
                        <wp:posOffset>1577340</wp:posOffset>
                      </wp:positionH>
                      <wp:positionV relativeFrom="paragraph">
                        <wp:posOffset>112395</wp:posOffset>
                      </wp:positionV>
                      <wp:extent cx="949960" cy="271145"/>
                      <wp:effectExtent l="5080" t="4445" r="16510" b="10160"/>
                      <wp:wrapNone/>
                      <wp:docPr id="21" name="文本框 21"/>
                      <wp:cNvGraphicFramePr/>
                      <a:graphic xmlns:a="http://schemas.openxmlformats.org/drawingml/2006/main">
                        <a:graphicData uri="http://schemas.microsoft.com/office/word/2010/wordprocessingShape">
                          <wps:wsp>
                            <wps:cNvSpPr txBox="1"/>
                            <wps:spPr>
                              <a:xfrm>
                                <a:off x="0" y="0"/>
                                <a:ext cx="949960" cy="2711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79E2705">
                                  <w:pPr>
                                    <w:jc w:val="center"/>
                                  </w:pPr>
                                  <w:r>
                                    <w:rPr>
                                      <w:rFonts w:hint="eastAsia"/>
                                    </w:rPr>
                                    <w:t>下料切割</w:t>
                                  </w:r>
                                </w:p>
                              </w:txbxContent>
                            </wps:txbx>
                            <wps:bodyPr wrap="square" upright="1"/>
                          </wps:wsp>
                        </a:graphicData>
                      </a:graphic>
                    </wp:anchor>
                  </w:drawing>
                </mc:Choice>
                <mc:Fallback>
                  <w:pict>
                    <v:shape id="_x0000_s1026" o:spid="_x0000_s1026" o:spt="202" type="#_x0000_t202" style="position:absolute;left:0pt;margin-left:124.2pt;margin-top:8.85pt;height:21.35pt;width:74.8pt;z-index:251661312;mso-width-relative:page;mso-height-relative:page;" fillcolor="#FFFFFF" filled="t" stroked="t" coordsize="21600,21600" o:gfxdata="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CWkIW2AAAAAkB&#10;AAAPAAAAAAAAAAEAIAAAACIAAABkcnMvZG93bnJldi54bWxQSwECFAAUAAAACACHTuJA4eZQgBsC&#10;AABTBAAADgAAAAAAAAABACAAAAAnAQAAZHJzL2Uyb0RvYy54bWxQSwUGAAAAAAYABgBZAQAAtAUA&#10;AAAA&#10;">
                      <v:fill on="t" focussize="0,0"/>
                      <v:stroke color="#000000" joinstyle="miter"/>
                      <v:imagedata o:title=""/>
                      <o:lock v:ext="edit" aspectratio="f"/>
                      <v:textbox>
                        <w:txbxContent>
                          <w:p w14:paraId="079E2705">
                            <w:pPr>
                              <w:jc w:val="center"/>
                            </w:pPr>
                            <w:r>
                              <w:rPr>
                                <w:rFonts w:hint="eastAsia"/>
                              </w:rPr>
                              <w:t>下料切割</w:t>
                            </w:r>
                          </w:p>
                        </w:txbxContent>
                      </v:textbox>
                    </v:shape>
                  </w:pict>
                </mc:Fallback>
              </mc:AlternateContent>
            </w:r>
            <w:r>
              <w:rPr>
                <w:color w:val="auto"/>
              </w:rPr>
              <mc:AlternateContent>
                <mc:Choice Requires="wps">
                  <w:drawing>
                    <wp:anchor distT="0" distB="0" distL="114300" distR="114300" simplePos="0" relativeHeight="251665408" behindDoc="0" locked="0" layoutInCell="1" allowOverlap="1">
                      <wp:simplePos x="0" y="0"/>
                      <wp:positionH relativeFrom="column">
                        <wp:posOffset>2888615</wp:posOffset>
                      </wp:positionH>
                      <wp:positionV relativeFrom="paragraph">
                        <wp:posOffset>107315</wp:posOffset>
                      </wp:positionV>
                      <wp:extent cx="739140" cy="271145"/>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153160" cy="271145"/>
                              </a:xfrm>
                              <a:prstGeom prst="rect">
                                <a:avLst/>
                              </a:prstGeom>
                              <a:noFill/>
                              <a:ln>
                                <a:noFill/>
                              </a:ln>
                              <a:effectLst/>
                            </wps:spPr>
                            <wps:txbx>
                              <w:txbxContent>
                                <w:p w14:paraId="51DF0738">
                                  <w:pPr>
                                    <w:jc w:val="center"/>
                                    <w:rPr>
                                      <w:rFonts w:hint="default"/>
                                      <w:sz w:val="20"/>
                                      <w:szCs w:val="22"/>
                                      <w:lang w:val="en-US"/>
                                    </w:rPr>
                                  </w:pPr>
                                  <w:r>
                                    <w:rPr>
                                      <w:rFonts w:hint="eastAsia"/>
                                      <w:sz w:val="20"/>
                                      <w:szCs w:val="22"/>
                                      <w:lang w:val="en-US" w:eastAsia="zh-CN"/>
                                    </w:rPr>
                                    <w:t>G</w:t>
                                  </w:r>
                                  <w:r>
                                    <w:rPr>
                                      <w:rFonts w:hint="eastAsia"/>
                                      <w:sz w:val="20"/>
                                      <w:szCs w:val="22"/>
                                      <w:vertAlign w:val="subscript"/>
                                      <w:lang w:val="en-US" w:eastAsia="zh-CN"/>
                                    </w:rPr>
                                    <w:t>1</w:t>
                                  </w:r>
                                  <w:r>
                                    <w:rPr>
                                      <w:rFonts w:hint="eastAsia"/>
                                      <w:sz w:val="20"/>
                                      <w:szCs w:val="22"/>
                                      <w:lang w:val="en-US" w:eastAsia="zh-CN"/>
                                    </w:rPr>
                                    <w:t>、S</w:t>
                                  </w:r>
                                  <w:r>
                                    <w:rPr>
                                      <w:rFonts w:hint="eastAsia"/>
                                      <w:sz w:val="20"/>
                                      <w:szCs w:val="22"/>
                                      <w:vertAlign w:val="subscript"/>
                                      <w:lang w:val="en-US" w:eastAsia="zh-CN"/>
                                    </w:rPr>
                                    <w:t>1</w:t>
                                  </w:r>
                                  <w:r>
                                    <w:rPr>
                                      <w:rFonts w:hint="eastAsia"/>
                                      <w:sz w:val="20"/>
                                      <w:szCs w:val="22"/>
                                      <w:lang w:val="en-US" w:eastAsia="zh-CN"/>
                                    </w:rPr>
                                    <w:t>、N</w:t>
                                  </w:r>
                                </w:p>
                              </w:txbxContent>
                            </wps:txbx>
                            <wps:bodyPr vert="horz" wrap="square" anchor="t" anchorCtr="0" upright="1"/>
                          </wps:wsp>
                        </a:graphicData>
                      </a:graphic>
                    </wp:anchor>
                  </w:drawing>
                </mc:Choice>
                <mc:Fallback>
                  <w:pict>
                    <v:shape id="_x0000_s1026" o:spid="_x0000_s1026" o:spt="202" type="#_x0000_t202" style="position:absolute;left:0pt;margin-left:227.45pt;margin-top:8.45pt;height:21.35pt;width:58.2pt;z-index:251665408;mso-width-relative:page;mso-height-relative:page;" filled="f" stroked="f" coordsize="21600,21600" o:gfxdata="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jIrp/1gAAAAkBAAAPAAAAAAAAAAEAIAAAACIAAABk&#10;cnMvZG93bnJldi54bWxQSwECFAAUAAAACACHTuJAjwJ72M8BAACRAwAADgAAAAAAAAABACAAAAAl&#10;AQAAZHJzL2Uyb0RvYy54bWxQSwUGAAAAAAYABgBZAQAAZgUAAAAA&#10;">
                      <v:fill on="f" focussize="0,0"/>
                      <v:stroke on="f"/>
                      <v:imagedata o:title=""/>
                      <o:lock v:ext="edit" aspectratio="f"/>
                      <v:textbox>
                        <w:txbxContent>
                          <w:p w14:paraId="51DF0738">
                            <w:pPr>
                              <w:jc w:val="center"/>
                              <w:rPr>
                                <w:rFonts w:hint="default"/>
                                <w:sz w:val="20"/>
                                <w:szCs w:val="22"/>
                                <w:lang w:val="en-US"/>
                              </w:rPr>
                            </w:pPr>
                            <w:r>
                              <w:rPr>
                                <w:rFonts w:hint="eastAsia"/>
                                <w:sz w:val="20"/>
                                <w:szCs w:val="22"/>
                                <w:lang w:val="en-US" w:eastAsia="zh-CN"/>
                              </w:rPr>
                              <w:t>G</w:t>
                            </w:r>
                            <w:r>
                              <w:rPr>
                                <w:rFonts w:hint="eastAsia"/>
                                <w:sz w:val="20"/>
                                <w:szCs w:val="22"/>
                                <w:vertAlign w:val="subscript"/>
                                <w:lang w:val="en-US" w:eastAsia="zh-CN"/>
                              </w:rPr>
                              <w:t>1</w:t>
                            </w:r>
                            <w:r>
                              <w:rPr>
                                <w:rFonts w:hint="eastAsia"/>
                                <w:sz w:val="20"/>
                                <w:szCs w:val="22"/>
                                <w:lang w:val="en-US" w:eastAsia="zh-CN"/>
                              </w:rPr>
                              <w:t>、S</w:t>
                            </w:r>
                            <w:r>
                              <w:rPr>
                                <w:rFonts w:hint="eastAsia"/>
                                <w:sz w:val="20"/>
                                <w:szCs w:val="22"/>
                                <w:vertAlign w:val="subscript"/>
                                <w:lang w:val="en-US" w:eastAsia="zh-CN"/>
                              </w:rPr>
                              <w:t>1</w:t>
                            </w:r>
                            <w:r>
                              <w:rPr>
                                <w:rFonts w:hint="eastAsia"/>
                                <w:sz w:val="20"/>
                                <w:szCs w:val="22"/>
                                <w:lang w:val="en-US" w:eastAsia="zh-CN"/>
                              </w:rPr>
                              <w:t>、N</w:t>
                            </w:r>
                          </w:p>
                        </w:txbxContent>
                      </v:textbox>
                    </v:shape>
                  </w:pict>
                </mc:Fallback>
              </mc:AlternateContent>
            </w:r>
          </w:p>
          <w:p w14:paraId="175B2389">
            <w:pPr>
              <w:spacing w:before="120" w:beforeLines="50" w:line="360" w:lineRule="auto"/>
              <w:ind w:firstLine="420" w:firstLineChars="200"/>
              <w:rPr>
                <w:color w:val="auto"/>
              </w:rPr>
            </w:pPr>
            <w:r>
              <w:rPr>
                <w:color w:val="auto"/>
              </w:rPr>
              <mc:AlternateContent>
                <mc:Choice Requires="wps">
                  <w:drawing>
                    <wp:anchor distT="0" distB="0" distL="114300" distR="114300" simplePos="0" relativeHeight="251667456" behindDoc="0" locked="0" layoutInCell="1" allowOverlap="1">
                      <wp:simplePos x="0" y="0"/>
                      <wp:positionH relativeFrom="column">
                        <wp:posOffset>2054225</wp:posOffset>
                      </wp:positionH>
                      <wp:positionV relativeFrom="paragraph">
                        <wp:posOffset>81915</wp:posOffset>
                      </wp:positionV>
                      <wp:extent cx="3175" cy="327025"/>
                      <wp:effectExtent l="36830" t="0" r="36195" b="15875"/>
                      <wp:wrapNone/>
                      <wp:docPr id="2" name="直线 1209"/>
                      <wp:cNvGraphicFramePr/>
                      <a:graphic xmlns:a="http://schemas.openxmlformats.org/drawingml/2006/main">
                        <a:graphicData uri="http://schemas.microsoft.com/office/word/2010/wordprocessingShape">
                          <wps:wsp>
                            <wps:cNvCnPr/>
                            <wps:spPr>
                              <a:xfrm flipH="1">
                                <a:off x="0" y="0"/>
                                <a:ext cx="3175" cy="327025"/>
                              </a:xfrm>
                              <a:prstGeom prst="line">
                                <a:avLst/>
                              </a:prstGeom>
                              <a:ln w="9525" cap="flat" cmpd="sng">
                                <a:solidFill>
                                  <a:srgbClr val="000000"/>
                                </a:solidFill>
                                <a:prstDash val="solid"/>
                                <a:headEnd type="none" w="med" len="med"/>
                                <a:tailEnd type="triangle" w="med" len="lg"/>
                              </a:ln>
                            </wps:spPr>
                            <wps:bodyPr upright="1"/>
                          </wps:wsp>
                        </a:graphicData>
                      </a:graphic>
                    </wp:anchor>
                  </w:drawing>
                </mc:Choice>
                <mc:Fallback>
                  <w:pict>
                    <v:line id="直线 1209" o:spid="_x0000_s1026" o:spt="20" style="position:absolute;left:0pt;flip:x;margin-left:161.75pt;margin-top:6.45pt;height:25.75pt;width:0.25pt;z-index:251667456;mso-width-relative:page;mso-height-relative:page;" filled="f" stroked="t" coordsize="21600,21600" o:gfxdata="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WVvLMdgAAAAJAQAADwAAAAAAAAABACAAAAAiAAAAZHJzL2Rvd25yZXYu&#10;eG1sUEsBAhQAFAAAAAgAh07iQMsHSnT7AQAA7QMAAA4AAAAAAAAAAQAgAAAAJwEAAGRycy9lMm9E&#10;b2MueG1sUEsFBgAAAAAGAAYAWQEAAJQFAAAAAA==&#10;">
                      <v:fill on="f" focussize="0,0"/>
                      <v:stroke color="#000000" joinstyle="round" endarrow="block" endarrowlength="long"/>
                      <v:imagedata o:title=""/>
                      <o:lock v:ext="edit" aspectratio="f"/>
                    </v:line>
                  </w:pict>
                </mc:Fallback>
              </mc:AlternateContent>
            </w:r>
          </w:p>
          <w:p w14:paraId="334DEB64">
            <w:pPr>
              <w:pStyle w:val="44"/>
              <w:rPr>
                <w:rFonts w:ascii="Times New Roman" w:hAnsi="Times New Roman"/>
                <w:color w:val="auto"/>
              </w:rPr>
            </w:pPr>
            <w:r>
              <w:rPr>
                <w:color w:val="auto"/>
              </w:rPr>
              <mc:AlternateContent>
                <mc:Choice Requires="wps">
                  <w:drawing>
                    <wp:anchor distT="0" distB="0" distL="114300" distR="114300" simplePos="0" relativeHeight="251685888" behindDoc="0" locked="0" layoutInCell="1" allowOverlap="1">
                      <wp:simplePos x="0" y="0"/>
                      <wp:positionH relativeFrom="column">
                        <wp:posOffset>2902585</wp:posOffset>
                      </wp:positionH>
                      <wp:positionV relativeFrom="paragraph">
                        <wp:posOffset>115570</wp:posOffset>
                      </wp:positionV>
                      <wp:extent cx="403860" cy="271145"/>
                      <wp:effectExtent l="0" t="0" r="0" b="0"/>
                      <wp:wrapNone/>
                      <wp:docPr id="25" name="文本框 14"/>
                      <wp:cNvGraphicFramePr/>
                      <a:graphic xmlns:a="http://schemas.openxmlformats.org/drawingml/2006/main">
                        <a:graphicData uri="http://schemas.microsoft.com/office/word/2010/wordprocessingShape">
                          <wps:wsp>
                            <wps:cNvSpPr txBox="1"/>
                            <wps:spPr>
                              <a:xfrm>
                                <a:off x="0" y="0"/>
                                <a:ext cx="1153160" cy="271145"/>
                              </a:xfrm>
                              <a:prstGeom prst="rect">
                                <a:avLst/>
                              </a:prstGeom>
                              <a:noFill/>
                              <a:ln>
                                <a:noFill/>
                              </a:ln>
                              <a:effectLst/>
                            </wps:spPr>
                            <wps:txbx>
                              <w:txbxContent>
                                <w:p w14:paraId="4D340020">
                                  <w:pPr>
                                    <w:jc w:val="center"/>
                                    <w:rPr>
                                      <w:rFonts w:hint="eastAsia" w:eastAsia="宋体"/>
                                      <w:sz w:val="20"/>
                                      <w:szCs w:val="22"/>
                                      <w:lang w:val="en-US" w:eastAsia="zh-CN"/>
                                    </w:rPr>
                                  </w:pPr>
                                  <w:r>
                                    <w:rPr>
                                      <w:rFonts w:hint="eastAsia"/>
                                      <w:sz w:val="20"/>
                                      <w:szCs w:val="22"/>
                                      <w:lang w:val="en-US" w:eastAsia="zh-CN"/>
                                    </w:rPr>
                                    <w:t>N</w:t>
                                  </w:r>
                                </w:p>
                              </w:txbxContent>
                            </wps:txbx>
                            <wps:bodyPr vert="horz" wrap="square" anchor="t" anchorCtr="0" upright="1"/>
                          </wps:wsp>
                        </a:graphicData>
                      </a:graphic>
                    </wp:anchor>
                  </w:drawing>
                </mc:Choice>
                <mc:Fallback>
                  <w:pict>
                    <v:shape id="文本框 14" o:spid="_x0000_s1026" o:spt="202" type="#_x0000_t202" style="position:absolute;left:0pt;margin-left:228.55pt;margin-top:9.1pt;height:21.35pt;width:31.8pt;z-index:251685888;mso-width-relative:page;mso-height-relative:page;" filled="f" stroked="f" coordsize="21600,21600" o:gfxdata="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PVTFItcAAAAJAQAADwAAAAAAAAABACAAAAAiAAAA&#10;ZHJzL2Rvd25yZXYueG1sUEsBAhQAFAAAAAgAh07iQJfRiLPPAQAAkQMAAA4AAAAAAAAAAQAgAAAA&#10;JgEAAGRycy9lMm9Eb2MueG1sUEsFBgAAAAAGAAYAWQEAAGcFAAAAAA==&#10;">
                      <v:fill on="f" focussize="0,0"/>
                      <v:stroke on="f"/>
                      <v:imagedata o:title=""/>
                      <o:lock v:ext="edit" aspectratio="f"/>
                      <v:textbox>
                        <w:txbxContent>
                          <w:p w14:paraId="4D340020">
                            <w:pPr>
                              <w:jc w:val="center"/>
                              <w:rPr>
                                <w:rFonts w:hint="eastAsia" w:eastAsia="宋体"/>
                                <w:sz w:val="20"/>
                                <w:szCs w:val="22"/>
                                <w:lang w:val="en-US" w:eastAsia="zh-CN"/>
                              </w:rPr>
                            </w:pPr>
                            <w:r>
                              <w:rPr>
                                <w:rFonts w:hint="eastAsia"/>
                                <w:sz w:val="20"/>
                                <w:szCs w:val="22"/>
                                <w:lang w:val="en-US" w:eastAsia="zh-CN"/>
                              </w:rPr>
                              <w:t>N</w:t>
                            </w:r>
                          </w:p>
                        </w:txbxContent>
                      </v:textbox>
                    </v:shape>
                  </w:pict>
                </mc:Fallback>
              </mc:AlternateContent>
            </w:r>
            <w:r>
              <w:rPr>
                <w:rFonts w:ascii="Times New Roman" w:hAnsi="Times New Roman"/>
                <w:color w:val="auto"/>
              </w:rPr>
              <mc:AlternateContent>
                <mc:Choice Requires="wps">
                  <w:drawing>
                    <wp:anchor distT="0" distB="0" distL="114300" distR="114300" simplePos="0" relativeHeight="251662336" behindDoc="0" locked="0" layoutInCell="1" allowOverlap="1">
                      <wp:simplePos x="0" y="0"/>
                      <wp:positionH relativeFrom="column">
                        <wp:posOffset>1578610</wp:posOffset>
                      </wp:positionH>
                      <wp:positionV relativeFrom="paragraph">
                        <wp:posOffset>109855</wp:posOffset>
                      </wp:positionV>
                      <wp:extent cx="949960" cy="271145"/>
                      <wp:effectExtent l="5080" t="4445" r="16510" b="10160"/>
                      <wp:wrapNone/>
                      <wp:docPr id="17" name="文本框 17"/>
                      <wp:cNvGraphicFramePr/>
                      <a:graphic xmlns:a="http://schemas.openxmlformats.org/drawingml/2006/main">
                        <a:graphicData uri="http://schemas.microsoft.com/office/word/2010/wordprocessingShape">
                          <wps:wsp>
                            <wps:cNvSpPr txBox="1"/>
                            <wps:spPr>
                              <a:xfrm>
                                <a:off x="0" y="0"/>
                                <a:ext cx="949960" cy="2711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4DEF7EC">
                                  <w:pPr>
                                    <w:jc w:val="center"/>
                                    <w:rPr>
                                      <w:rFonts w:hint="eastAsia"/>
                                    </w:rPr>
                                  </w:pPr>
                                  <w:r>
                                    <w:rPr>
                                      <w:rFonts w:hint="eastAsia"/>
                                    </w:rPr>
                                    <w:t>组立</w:t>
                                  </w:r>
                                </w:p>
                              </w:txbxContent>
                            </wps:txbx>
                            <wps:bodyPr wrap="square" upright="1"/>
                          </wps:wsp>
                        </a:graphicData>
                      </a:graphic>
                    </wp:anchor>
                  </w:drawing>
                </mc:Choice>
                <mc:Fallback>
                  <w:pict>
                    <v:shape id="_x0000_s1026" o:spid="_x0000_s1026" o:spt="202" type="#_x0000_t202" style="position:absolute;left:0pt;margin-left:124.3pt;margin-top:8.65pt;height:21.35pt;width:74.8pt;z-index:251662336;mso-width-relative:page;mso-height-relative:page;" fillcolor="#FFFFFF" filled="t" stroked="t" coordsize="21600,21600" o:gfxdata="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HFJMk7YAAAACQEA&#10;AA8AAAAAAAAAAQAgAAAAIgAAAGRycy9kb3ducmV2LnhtbFBLAQIUABQAAAAIAIdO4kCFtBIQGgIA&#10;AFMEAAAOAAAAAAAAAAEAIAAAACcBAABkcnMvZTJvRG9jLnhtbFBLBQYAAAAABgAGAFkBAACzBQAA&#10;AAA=&#10;">
                      <v:fill on="t" focussize="0,0"/>
                      <v:stroke color="#000000" joinstyle="miter"/>
                      <v:imagedata o:title=""/>
                      <o:lock v:ext="edit" aspectratio="f"/>
                      <v:textbox>
                        <w:txbxContent>
                          <w:p w14:paraId="64DEF7EC">
                            <w:pPr>
                              <w:jc w:val="center"/>
                              <w:rPr>
                                <w:rFonts w:hint="eastAsia"/>
                              </w:rPr>
                            </w:pPr>
                            <w:r>
                              <w:rPr>
                                <w:rFonts w:hint="eastAsia"/>
                              </w:rPr>
                              <w:t>组立</w:t>
                            </w:r>
                          </w:p>
                        </w:txbxContent>
                      </v:textbox>
                    </v:shape>
                  </w:pict>
                </mc:Fallback>
              </mc:AlternateContent>
            </w:r>
          </w:p>
          <w:p w14:paraId="23E4FFAD">
            <w:pPr>
              <w:rPr>
                <w:color w:val="auto"/>
              </w:rPr>
            </w:pPr>
            <w:r>
              <w:rPr>
                <w:color w:val="auto"/>
              </w:rPr>
              <mc:AlternateContent>
                <mc:Choice Requires="wps">
                  <w:drawing>
                    <wp:anchor distT="0" distB="0" distL="114300" distR="114300" simplePos="0" relativeHeight="251684864" behindDoc="0" locked="0" layoutInCell="1" allowOverlap="1">
                      <wp:simplePos x="0" y="0"/>
                      <wp:positionH relativeFrom="column">
                        <wp:posOffset>2545715</wp:posOffset>
                      </wp:positionH>
                      <wp:positionV relativeFrom="paragraph">
                        <wp:posOffset>90170</wp:posOffset>
                      </wp:positionV>
                      <wp:extent cx="342265" cy="635"/>
                      <wp:effectExtent l="0" t="37465" r="635" b="38100"/>
                      <wp:wrapNone/>
                      <wp:docPr id="24" name="直接连接符 15"/>
                      <wp:cNvGraphicFramePr/>
                      <a:graphic xmlns:a="http://schemas.openxmlformats.org/drawingml/2006/main">
                        <a:graphicData uri="http://schemas.microsoft.com/office/word/2010/wordprocessingShape">
                          <wps:wsp>
                            <wps:cNvCnPr/>
                            <wps:spPr>
                              <a:xfrm>
                                <a:off x="0" y="0"/>
                                <a:ext cx="342265" cy="635"/>
                              </a:xfrm>
                              <a:prstGeom prst="line">
                                <a:avLst/>
                              </a:prstGeom>
                              <a:ln w="9525" cap="flat" cmpd="sng">
                                <a:solidFill>
                                  <a:srgbClr val="000000"/>
                                </a:solidFill>
                                <a:prstDash val="dash"/>
                                <a:headEnd type="none" w="med" len="med"/>
                                <a:tailEnd type="triangle" w="med" len="lg"/>
                              </a:ln>
                              <a:effectLst/>
                            </wps:spPr>
                            <wps:bodyPr upright="1"/>
                          </wps:wsp>
                        </a:graphicData>
                      </a:graphic>
                    </wp:anchor>
                  </w:drawing>
                </mc:Choice>
                <mc:Fallback>
                  <w:pict>
                    <v:line id="直接连接符 15" o:spid="_x0000_s1026" o:spt="20" style="position:absolute;left:0pt;margin-left:200.45pt;margin-top:7.1pt;height:0.05pt;width:26.95pt;z-index:251684864;mso-width-relative:page;mso-height-relative:page;" filled="f" stroked="t" coordsize="21600,21600" o:gfxdata="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&#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sGDRXXAAAACQEAAA8AAAAAAAAAAQAgAAAAIgAAAGRy&#10;cy9kb3ducmV2LnhtbFBLAQIUABQAAAAIAIdO4kCUSPJdBgIAAPcDAAAOAAAAAAAAAAEAIAAAACYB&#10;AABkcnMvZTJvRG9jLnhtbFBLBQYAAAAABgAGAFkBAACeBQAAAAA=&#10;">
                      <v:fill on="f" focussize="0,0"/>
                      <v:stroke color="#000000" joinstyle="round" dashstyle="dash" endarrow="block" endarrowlength="long"/>
                      <v:imagedata o:title=""/>
                      <o:lock v:ext="edit" aspectratio="f"/>
                    </v:line>
                  </w:pict>
                </mc:Fallback>
              </mc:AlternateContent>
            </w:r>
          </w:p>
          <w:p w14:paraId="19C3D50E">
            <w:pPr>
              <w:pStyle w:val="44"/>
              <w:rPr>
                <w:rFonts w:ascii="Times New Roman" w:hAnsi="Times New Roman"/>
                <w:color w:val="auto"/>
              </w:rPr>
            </w:pPr>
            <w:r>
              <w:rPr>
                <w:color w:val="auto"/>
                <w:sz w:val="21"/>
              </w:rPr>
              <mc:AlternateContent>
                <mc:Choice Requires="wps">
                  <w:drawing>
                    <wp:anchor distT="0" distB="0" distL="114300" distR="114300" simplePos="0" relativeHeight="251668480" behindDoc="0" locked="0" layoutInCell="1" allowOverlap="1">
                      <wp:simplePos x="0" y="0"/>
                      <wp:positionH relativeFrom="column">
                        <wp:posOffset>2052955</wp:posOffset>
                      </wp:positionH>
                      <wp:positionV relativeFrom="paragraph">
                        <wp:posOffset>75565</wp:posOffset>
                      </wp:positionV>
                      <wp:extent cx="3175" cy="327025"/>
                      <wp:effectExtent l="36830" t="0" r="36195" b="15875"/>
                      <wp:wrapNone/>
                      <wp:docPr id="3" name="直线 1213"/>
                      <wp:cNvGraphicFramePr/>
                      <a:graphic xmlns:a="http://schemas.openxmlformats.org/drawingml/2006/main">
                        <a:graphicData uri="http://schemas.microsoft.com/office/word/2010/wordprocessingShape">
                          <wps:wsp>
                            <wps:cNvCnPr/>
                            <wps:spPr>
                              <a:xfrm flipH="1">
                                <a:off x="0" y="0"/>
                                <a:ext cx="3175" cy="327025"/>
                              </a:xfrm>
                              <a:prstGeom prst="line">
                                <a:avLst/>
                              </a:prstGeom>
                              <a:ln w="9525" cap="flat" cmpd="sng">
                                <a:solidFill>
                                  <a:srgbClr val="000000"/>
                                </a:solidFill>
                                <a:prstDash val="solid"/>
                                <a:headEnd type="none" w="med" len="med"/>
                                <a:tailEnd type="triangle" w="med" len="lg"/>
                              </a:ln>
                            </wps:spPr>
                            <wps:bodyPr upright="1"/>
                          </wps:wsp>
                        </a:graphicData>
                      </a:graphic>
                    </wp:anchor>
                  </w:drawing>
                </mc:Choice>
                <mc:Fallback>
                  <w:pict>
                    <v:line id="直线 1213" o:spid="_x0000_s1026" o:spt="20" style="position:absolute;left:0pt;flip:x;margin-left:161.65pt;margin-top:5.95pt;height:25.75pt;width:0.25pt;z-index:251668480;mso-width-relative:page;mso-height-relative:page;" filled="f" stroked="t" coordsize="21600,21600" o:gfxdata="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92lbDXAAAACQEAAA8AAAAAAAAAAQAgAAAAIgAAAGRycy9kb3ducmV2Lnht&#10;bFBLAQIUABQAAAAIAIdO4kDub6sS+gEAAO0DAAAOAAAAAAAAAAEAIAAAACYBAABkcnMvZTJvRG9j&#10;LnhtbFBLBQYAAAAABgAGAFkBAACSBQAAAAA=&#10;">
                      <v:fill on="f" focussize="0,0"/>
                      <v:stroke color="#000000" joinstyle="round" endarrow="block" endarrowlength="long"/>
                      <v:imagedata o:title=""/>
                      <o:lock v:ext="edit" aspectratio="f"/>
                    </v:line>
                  </w:pict>
                </mc:Fallback>
              </mc:AlternateContent>
            </w:r>
          </w:p>
          <w:p w14:paraId="151A0F6A">
            <w:pPr>
              <w:rPr>
                <w:color w:val="auto"/>
              </w:rPr>
            </w:pPr>
          </w:p>
          <w:p w14:paraId="7ECE0957">
            <w:pPr>
              <w:pStyle w:val="44"/>
              <w:rPr>
                <w:rFonts w:ascii="Times New Roman" w:hAnsi="Times New Roman"/>
                <w:color w:val="auto"/>
              </w:rPr>
            </w:pPr>
            <w:r>
              <w:rPr>
                <w:color w:val="auto"/>
              </w:rPr>
              <mc:AlternateContent>
                <mc:Choice Requires="wps">
                  <w:drawing>
                    <wp:anchor distT="0" distB="0" distL="114300" distR="114300" simplePos="0" relativeHeight="251686912" behindDoc="0" locked="0" layoutInCell="1" allowOverlap="1">
                      <wp:simplePos x="0" y="0"/>
                      <wp:positionH relativeFrom="column">
                        <wp:posOffset>2900045</wp:posOffset>
                      </wp:positionH>
                      <wp:positionV relativeFrom="paragraph">
                        <wp:posOffset>100330</wp:posOffset>
                      </wp:positionV>
                      <wp:extent cx="739140" cy="271145"/>
                      <wp:effectExtent l="0" t="0" r="0" b="0"/>
                      <wp:wrapNone/>
                      <wp:docPr id="27" name="文本框 14"/>
                      <wp:cNvGraphicFramePr/>
                      <a:graphic xmlns:a="http://schemas.openxmlformats.org/drawingml/2006/main">
                        <a:graphicData uri="http://schemas.microsoft.com/office/word/2010/wordprocessingShape">
                          <wps:wsp>
                            <wps:cNvSpPr txBox="1"/>
                            <wps:spPr>
                              <a:xfrm>
                                <a:off x="0" y="0"/>
                                <a:ext cx="1153160" cy="271145"/>
                              </a:xfrm>
                              <a:prstGeom prst="rect">
                                <a:avLst/>
                              </a:prstGeom>
                              <a:noFill/>
                              <a:ln>
                                <a:noFill/>
                              </a:ln>
                              <a:effectLst/>
                            </wps:spPr>
                            <wps:txbx>
                              <w:txbxContent>
                                <w:p w14:paraId="2FE54075">
                                  <w:pPr>
                                    <w:jc w:val="center"/>
                                    <w:rPr>
                                      <w:rFonts w:hint="default"/>
                                      <w:sz w:val="20"/>
                                      <w:szCs w:val="22"/>
                                      <w:lang w:val="en-US"/>
                                    </w:rPr>
                                  </w:pPr>
                                  <w:r>
                                    <w:rPr>
                                      <w:rFonts w:hint="eastAsia"/>
                                      <w:sz w:val="20"/>
                                      <w:szCs w:val="22"/>
                                      <w:lang w:val="en-US" w:eastAsia="zh-CN"/>
                                    </w:rPr>
                                    <w:t>G</w:t>
                                  </w:r>
                                  <w:r>
                                    <w:rPr>
                                      <w:rFonts w:hint="eastAsia"/>
                                      <w:sz w:val="20"/>
                                      <w:szCs w:val="22"/>
                                      <w:vertAlign w:val="subscript"/>
                                      <w:lang w:val="en-US" w:eastAsia="zh-CN"/>
                                    </w:rPr>
                                    <w:t>2</w:t>
                                  </w:r>
                                  <w:r>
                                    <w:rPr>
                                      <w:rFonts w:hint="eastAsia"/>
                                      <w:sz w:val="20"/>
                                      <w:szCs w:val="22"/>
                                      <w:lang w:val="en-US" w:eastAsia="zh-CN"/>
                                    </w:rPr>
                                    <w:t>、S</w:t>
                                  </w:r>
                                  <w:r>
                                    <w:rPr>
                                      <w:rFonts w:hint="eastAsia"/>
                                      <w:sz w:val="20"/>
                                      <w:szCs w:val="22"/>
                                      <w:vertAlign w:val="subscript"/>
                                      <w:lang w:val="en-US" w:eastAsia="zh-CN"/>
                                    </w:rPr>
                                    <w:t>2</w:t>
                                  </w:r>
                                  <w:r>
                                    <w:rPr>
                                      <w:rFonts w:hint="eastAsia"/>
                                      <w:sz w:val="20"/>
                                      <w:szCs w:val="22"/>
                                      <w:lang w:val="en-US" w:eastAsia="zh-CN"/>
                                    </w:rPr>
                                    <w:t>、N</w:t>
                                  </w:r>
                                </w:p>
                              </w:txbxContent>
                            </wps:txbx>
                            <wps:bodyPr wrap="square" upright="1"/>
                          </wps:wsp>
                        </a:graphicData>
                      </a:graphic>
                    </wp:anchor>
                  </w:drawing>
                </mc:Choice>
                <mc:Fallback>
                  <w:pict>
                    <v:shape id="文本框 14" o:spid="_x0000_s1026" o:spt="202" type="#_x0000_t202" style="position:absolute;left:0pt;margin-left:228.35pt;margin-top:7.9pt;height:21.35pt;width:58.2pt;z-index:251686912;mso-width-relative:page;mso-height-relative:page;" filled="f" stroked="f" coordsize="21600,21600" o:gfxdata="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FunRC1wAAAAkBAAAPAAAAAAAAAAEAIAAAACIAAABkcnMvZG93bnJldi54bWxQSwEC&#10;FAAUAAAACACHTuJAO5o+j7wBAABsAwAADgAAAAAAAAABACAAAAAmAQAAZHJzL2Uyb0RvYy54bWxQ&#10;SwUGAAAAAAYABgBZAQAAVAUAAAAA&#10;">
                      <v:fill on="f" focussize="0,0"/>
                      <v:stroke on="f"/>
                      <v:imagedata o:title=""/>
                      <o:lock v:ext="edit" aspectratio="f"/>
                      <v:textbox>
                        <w:txbxContent>
                          <w:p w14:paraId="2FE54075">
                            <w:pPr>
                              <w:jc w:val="center"/>
                              <w:rPr>
                                <w:rFonts w:hint="default"/>
                                <w:sz w:val="20"/>
                                <w:szCs w:val="22"/>
                                <w:lang w:val="en-US"/>
                              </w:rPr>
                            </w:pPr>
                            <w:r>
                              <w:rPr>
                                <w:rFonts w:hint="eastAsia"/>
                                <w:sz w:val="20"/>
                                <w:szCs w:val="22"/>
                                <w:lang w:val="en-US" w:eastAsia="zh-CN"/>
                              </w:rPr>
                              <w:t>G</w:t>
                            </w:r>
                            <w:r>
                              <w:rPr>
                                <w:rFonts w:hint="eastAsia"/>
                                <w:sz w:val="20"/>
                                <w:szCs w:val="22"/>
                                <w:vertAlign w:val="subscript"/>
                                <w:lang w:val="en-US" w:eastAsia="zh-CN"/>
                              </w:rPr>
                              <w:t>2</w:t>
                            </w:r>
                            <w:r>
                              <w:rPr>
                                <w:rFonts w:hint="eastAsia"/>
                                <w:sz w:val="20"/>
                                <w:szCs w:val="22"/>
                                <w:lang w:val="en-US" w:eastAsia="zh-CN"/>
                              </w:rPr>
                              <w:t>、S</w:t>
                            </w:r>
                            <w:r>
                              <w:rPr>
                                <w:rFonts w:hint="eastAsia"/>
                                <w:sz w:val="20"/>
                                <w:szCs w:val="22"/>
                                <w:vertAlign w:val="subscript"/>
                                <w:lang w:val="en-US" w:eastAsia="zh-CN"/>
                              </w:rPr>
                              <w:t>2</w:t>
                            </w:r>
                            <w:r>
                              <w:rPr>
                                <w:rFonts w:hint="eastAsia"/>
                                <w:sz w:val="20"/>
                                <w:szCs w:val="22"/>
                                <w:lang w:val="en-US" w:eastAsia="zh-CN"/>
                              </w:rPr>
                              <w:t>、N</w:t>
                            </w:r>
                          </w:p>
                        </w:txbxContent>
                      </v:textbox>
                    </v:shape>
                  </w:pict>
                </mc:Fallback>
              </mc:AlternateContent>
            </w:r>
            <w:r>
              <w:rPr>
                <w:rFonts w:ascii="Times New Roman" w:hAnsi="Times New Roman"/>
                <w:color w:val="auto"/>
              </w:rPr>
              <mc:AlternateContent>
                <mc:Choice Requires="wps">
                  <w:drawing>
                    <wp:anchor distT="0" distB="0" distL="114300" distR="114300" simplePos="0" relativeHeight="251663360" behindDoc="0" locked="0" layoutInCell="1" allowOverlap="1">
                      <wp:simplePos x="0" y="0"/>
                      <wp:positionH relativeFrom="column">
                        <wp:posOffset>1578610</wp:posOffset>
                      </wp:positionH>
                      <wp:positionV relativeFrom="paragraph">
                        <wp:posOffset>98425</wp:posOffset>
                      </wp:positionV>
                      <wp:extent cx="949960" cy="271145"/>
                      <wp:effectExtent l="5080" t="4445" r="16510" b="10160"/>
                      <wp:wrapNone/>
                      <wp:docPr id="26" name="文本框 26"/>
                      <wp:cNvGraphicFramePr/>
                      <a:graphic xmlns:a="http://schemas.openxmlformats.org/drawingml/2006/main">
                        <a:graphicData uri="http://schemas.microsoft.com/office/word/2010/wordprocessingShape">
                          <wps:wsp>
                            <wps:cNvSpPr txBox="1"/>
                            <wps:spPr>
                              <a:xfrm>
                                <a:off x="0" y="0"/>
                                <a:ext cx="949960" cy="2711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F626670">
                                  <w:pPr>
                                    <w:jc w:val="center"/>
                                  </w:pPr>
                                  <w:r>
                                    <w:rPr>
                                      <w:rFonts w:hint="eastAsia"/>
                                    </w:rPr>
                                    <w:t>焊接</w:t>
                                  </w:r>
                                </w:p>
                              </w:txbxContent>
                            </wps:txbx>
                            <wps:bodyPr wrap="square" upright="1"/>
                          </wps:wsp>
                        </a:graphicData>
                      </a:graphic>
                    </wp:anchor>
                  </w:drawing>
                </mc:Choice>
                <mc:Fallback>
                  <w:pict>
                    <v:shape id="_x0000_s1026" o:spid="_x0000_s1026" o:spt="202" type="#_x0000_t202" style="position:absolute;left:0pt;margin-left:124.3pt;margin-top:7.75pt;height:21.35pt;width:74.8pt;z-index:251663360;mso-width-relative:page;mso-height-relative:page;" fillcolor="#FFFFFF" filled="t" stroked="t" coordsize="21600,21600" o:gfxdata="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UsQSz9kAAAAJ&#10;AQAADwAAAAAAAAABACAAAAAiAAAAZHJzL2Rvd25yZXYueG1sUEsBAhQAFAAAAAgAh07iQFcnUDkb&#10;AgAAUwQAAA4AAAAAAAAAAQAgAAAAKAEAAGRycy9lMm9Eb2MueG1sUEsFBgAAAAAGAAYAWQEAALUF&#10;AAAAAA==&#10;">
                      <v:fill on="t" focussize="0,0"/>
                      <v:stroke color="#000000" joinstyle="miter"/>
                      <v:imagedata o:title=""/>
                      <o:lock v:ext="edit" aspectratio="f"/>
                      <v:textbox>
                        <w:txbxContent>
                          <w:p w14:paraId="7F626670">
                            <w:pPr>
                              <w:jc w:val="center"/>
                            </w:pPr>
                            <w:r>
                              <w:rPr>
                                <w:rFonts w:hint="eastAsia"/>
                              </w:rPr>
                              <w:t>焊接</w:t>
                            </w:r>
                          </w:p>
                        </w:txbxContent>
                      </v:textbox>
                    </v:shape>
                  </w:pict>
                </mc:Fallback>
              </mc:AlternateContent>
            </w:r>
          </w:p>
          <w:p w14:paraId="1DF8F38F">
            <w:pPr>
              <w:rPr>
                <w:color w:val="auto"/>
              </w:rPr>
            </w:pPr>
            <w:r>
              <w:rPr>
                <w:color w:val="auto"/>
              </w:rPr>
              <mc:AlternateContent>
                <mc:Choice Requires="wps">
                  <w:drawing>
                    <wp:anchor distT="0" distB="0" distL="114300" distR="114300" simplePos="0" relativeHeight="251669504" behindDoc="0" locked="0" layoutInCell="1" allowOverlap="1">
                      <wp:simplePos x="0" y="0"/>
                      <wp:positionH relativeFrom="column">
                        <wp:posOffset>2541270</wp:posOffset>
                      </wp:positionH>
                      <wp:positionV relativeFrom="paragraph">
                        <wp:posOffset>80010</wp:posOffset>
                      </wp:positionV>
                      <wp:extent cx="342265" cy="635"/>
                      <wp:effectExtent l="0" t="37465" r="635" b="38100"/>
                      <wp:wrapNone/>
                      <wp:docPr id="4" name="直接连接符 15"/>
                      <wp:cNvGraphicFramePr/>
                      <a:graphic xmlns:a="http://schemas.openxmlformats.org/drawingml/2006/main">
                        <a:graphicData uri="http://schemas.microsoft.com/office/word/2010/wordprocessingShape">
                          <wps:wsp>
                            <wps:cNvCnPr/>
                            <wps:spPr>
                              <a:xfrm>
                                <a:off x="0" y="0"/>
                                <a:ext cx="342265" cy="635"/>
                              </a:xfrm>
                              <a:prstGeom prst="line">
                                <a:avLst/>
                              </a:prstGeom>
                              <a:ln w="9525" cap="flat" cmpd="sng">
                                <a:solidFill>
                                  <a:srgbClr val="000000"/>
                                </a:solidFill>
                                <a:prstDash val="dash"/>
                                <a:headEnd type="none" w="med" len="med"/>
                                <a:tailEnd type="triangle" w="med" len="lg"/>
                              </a:ln>
                              <a:effectLst/>
                            </wps:spPr>
                            <wps:bodyPr upright="1"/>
                          </wps:wsp>
                        </a:graphicData>
                      </a:graphic>
                    </wp:anchor>
                  </w:drawing>
                </mc:Choice>
                <mc:Fallback>
                  <w:pict>
                    <v:line id="直接连接符 15" o:spid="_x0000_s1026" o:spt="20" style="position:absolute;left:0pt;margin-left:200.1pt;margin-top:6.3pt;height:0.05pt;width:26.95pt;z-index:251669504;mso-width-relative:page;mso-height-relative:page;" filled="f" stroked="t" coordsize="21600,21600" o:gfxdata="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CSrNcAAAAJAQAADwAAAAAAAAABACAAAAAiAAAAZHJz&#10;L2Rvd25yZXYueG1sUEsBAhQAFAAAAAgAh07iQLpclM4FAgAA9gMAAA4AAAAAAAAAAQAgAAAAJgEA&#10;AGRycy9lMm9Eb2MueG1sUEsFBgAAAAAGAAYAWQEAAJ0FAAAAAA==&#10;">
                      <v:fill on="f" focussize="0,0"/>
                      <v:stroke color="#000000" joinstyle="round" dashstyle="dash" endarrow="block" endarrowlength="long"/>
                      <v:imagedata o:title=""/>
                      <o:lock v:ext="edit" aspectratio="f"/>
                    </v:line>
                  </w:pict>
                </mc:Fallback>
              </mc:AlternateContent>
            </w:r>
          </w:p>
          <w:p w14:paraId="543DE55A">
            <w:pPr>
              <w:spacing w:before="120" w:beforeLines="50" w:line="360" w:lineRule="auto"/>
              <w:ind w:firstLine="420" w:firstLineChars="200"/>
              <w:rPr>
                <w:color w:val="auto"/>
              </w:rPr>
            </w:pPr>
            <w:r>
              <w:rPr>
                <w:color w:val="auto"/>
              </w:rPr>
              <mc:AlternateContent>
                <mc:Choice Requires="wps">
                  <w:drawing>
                    <wp:anchor distT="0" distB="0" distL="114300" distR="114300" simplePos="0" relativeHeight="251673600" behindDoc="0" locked="0" layoutInCell="1" allowOverlap="1">
                      <wp:simplePos x="0" y="0"/>
                      <wp:positionH relativeFrom="column">
                        <wp:posOffset>2053590</wp:posOffset>
                      </wp:positionH>
                      <wp:positionV relativeFrom="paragraph">
                        <wp:posOffset>64135</wp:posOffset>
                      </wp:positionV>
                      <wp:extent cx="3175" cy="327025"/>
                      <wp:effectExtent l="36830" t="0" r="36195" b="15875"/>
                      <wp:wrapNone/>
                      <wp:docPr id="8" name="直线 1217"/>
                      <wp:cNvGraphicFramePr/>
                      <a:graphic xmlns:a="http://schemas.openxmlformats.org/drawingml/2006/main">
                        <a:graphicData uri="http://schemas.microsoft.com/office/word/2010/wordprocessingShape">
                          <wps:wsp>
                            <wps:cNvCnPr/>
                            <wps:spPr>
                              <a:xfrm flipH="1">
                                <a:off x="0" y="0"/>
                                <a:ext cx="3175" cy="327025"/>
                              </a:xfrm>
                              <a:prstGeom prst="line">
                                <a:avLst/>
                              </a:prstGeom>
                              <a:ln w="9525" cap="flat" cmpd="sng">
                                <a:solidFill>
                                  <a:srgbClr val="000000"/>
                                </a:solidFill>
                                <a:prstDash val="solid"/>
                                <a:headEnd type="none" w="med" len="med"/>
                                <a:tailEnd type="triangle" w="med" len="lg"/>
                              </a:ln>
                            </wps:spPr>
                            <wps:bodyPr upright="1"/>
                          </wps:wsp>
                        </a:graphicData>
                      </a:graphic>
                    </wp:anchor>
                  </w:drawing>
                </mc:Choice>
                <mc:Fallback>
                  <w:pict>
                    <v:line id="直线 1217" o:spid="_x0000_s1026" o:spt="20" style="position:absolute;left:0pt;flip:x;margin-left:161.7pt;margin-top:5.05pt;height:25.75pt;width:0.25pt;z-index:251673600;mso-width-relative:page;mso-height-relative:page;" filled="f" stroked="t" coordsize="21600,21600" o:gfxdata="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wS60bXAAAACQEAAA8AAAAAAAAAAQAgAAAAIgAAAGRycy9kb3ducmV2Lnht&#10;bFBLAQIUABQAAAAIAIdO4kBLcTaq+gEAAO0DAAAOAAAAAAAAAAEAIAAAACYBAABkcnMvZTJvRG9j&#10;LnhtbFBLBQYAAAAABgAGAFkBAACSBQAAAAA=&#10;">
                      <v:fill on="f" focussize="0,0"/>
                      <v:stroke color="#000000" joinstyle="round" endarrow="block" endarrowlength="long"/>
                      <v:imagedata o:title=""/>
                      <o:lock v:ext="edit" aspectratio="f"/>
                    </v:line>
                  </w:pict>
                </mc:Fallback>
              </mc:AlternateContent>
            </w:r>
          </w:p>
          <w:p w14:paraId="7906B500">
            <w:pPr>
              <w:pStyle w:val="44"/>
              <w:rPr>
                <w:rFonts w:ascii="Times New Roman" w:hAnsi="Times New Roman"/>
                <w:color w:val="auto"/>
              </w:rPr>
            </w:pPr>
            <w:r>
              <w:rPr>
                <w:color w:val="auto"/>
              </w:rPr>
              <mc:AlternateContent>
                <mc:Choice Requires="wps">
                  <w:drawing>
                    <wp:anchor distT="0" distB="0" distL="114300" distR="114300" simplePos="0" relativeHeight="251689984" behindDoc="0" locked="0" layoutInCell="1" allowOverlap="1">
                      <wp:simplePos x="0" y="0"/>
                      <wp:positionH relativeFrom="column">
                        <wp:posOffset>2902585</wp:posOffset>
                      </wp:positionH>
                      <wp:positionV relativeFrom="paragraph">
                        <wp:posOffset>87630</wp:posOffset>
                      </wp:positionV>
                      <wp:extent cx="403860" cy="271145"/>
                      <wp:effectExtent l="0" t="0" r="0" b="0"/>
                      <wp:wrapNone/>
                      <wp:docPr id="31" name="文本框 14"/>
                      <wp:cNvGraphicFramePr/>
                      <a:graphic xmlns:a="http://schemas.openxmlformats.org/drawingml/2006/main">
                        <a:graphicData uri="http://schemas.microsoft.com/office/word/2010/wordprocessingShape">
                          <wps:wsp>
                            <wps:cNvSpPr txBox="1"/>
                            <wps:spPr>
                              <a:xfrm>
                                <a:off x="0" y="0"/>
                                <a:ext cx="1153160" cy="271145"/>
                              </a:xfrm>
                              <a:prstGeom prst="rect">
                                <a:avLst/>
                              </a:prstGeom>
                              <a:noFill/>
                              <a:ln>
                                <a:noFill/>
                              </a:ln>
                              <a:effectLst/>
                            </wps:spPr>
                            <wps:txbx>
                              <w:txbxContent>
                                <w:p w14:paraId="7283663F">
                                  <w:pPr>
                                    <w:jc w:val="center"/>
                                    <w:rPr>
                                      <w:rFonts w:hint="eastAsia" w:eastAsia="宋体"/>
                                      <w:sz w:val="20"/>
                                      <w:szCs w:val="22"/>
                                      <w:lang w:val="en-US" w:eastAsia="zh-CN"/>
                                    </w:rPr>
                                  </w:pPr>
                                  <w:r>
                                    <w:rPr>
                                      <w:rFonts w:hint="eastAsia"/>
                                      <w:sz w:val="20"/>
                                      <w:szCs w:val="22"/>
                                      <w:lang w:val="en-US" w:eastAsia="zh-CN"/>
                                    </w:rPr>
                                    <w:t>N</w:t>
                                  </w:r>
                                </w:p>
                              </w:txbxContent>
                            </wps:txbx>
                            <wps:bodyPr wrap="square" upright="1"/>
                          </wps:wsp>
                        </a:graphicData>
                      </a:graphic>
                    </wp:anchor>
                  </w:drawing>
                </mc:Choice>
                <mc:Fallback>
                  <w:pict>
                    <v:shape id="文本框 14" o:spid="_x0000_s1026" o:spt="202" type="#_x0000_t202" style="position:absolute;left:0pt;margin-left:228.55pt;margin-top:6.9pt;height:21.35pt;width:31.8pt;z-index:251689984;mso-width-relative:page;mso-height-relative:page;" filled="f" stroked="f" coordsize="21600,21600" o:gfxdata="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DfXxjrWAAAACQEAAA8AAAAAAAAAAQAgAAAAIgAAAGRycy9kb3ducmV2LnhtbFBLAQIU&#10;ABQAAAAIAIdO4kDGXlZZvAEAAGwDAAAOAAAAAAAAAAEAIAAAACUBAABkcnMvZTJvRG9jLnhtbFBL&#10;BQYAAAAABgAGAFkBAABTBQAAAAA=&#10;">
                      <v:fill on="f" focussize="0,0"/>
                      <v:stroke on="f"/>
                      <v:imagedata o:title=""/>
                      <o:lock v:ext="edit" aspectratio="f"/>
                      <v:textbox>
                        <w:txbxContent>
                          <w:p w14:paraId="7283663F">
                            <w:pPr>
                              <w:jc w:val="center"/>
                              <w:rPr>
                                <w:rFonts w:hint="eastAsia" w:eastAsia="宋体"/>
                                <w:sz w:val="20"/>
                                <w:szCs w:val="22"/>
                                <w:lang w:val="en-US" w:eastAsia="zh-CN"/>
                              </w:rPr>
                            </w:pPr>
                            <w:r>
                              <w:rPr>
                                <w:rFonts w:hint="eastAsia"/>
                                <w:sz w:val="20"/>
                                <w:szCs w:val="22"/>
                                <w:lang w:val="en-US" w:eastAsia="zh-CN"/>
                              </w:rPr>
                              <w:t>N</w:t>
                            </w:r>
                          </w:p>
                        </w:txbxContent>
                      </v:textbox>
                    </v:shape>
                  </w:pict>
                </mc:Fallback>
              </mc:AlternateContent>
            </w:r>
            <w:r>
              <w:rPr>
                <w:rFonts w:ascii="Times New Roman" w:hAnsi="Times New Roman"/>
                <w:color w:val="auto"/>
              </w:rPr>
              <mc:AlternateContent>
                <mc:Choice Requires="wps">
                  <w:drawing>
                    <wp:anchor distT="0" distB="0" distL="114300" distR="114300" simplePos="0" relativeHeight="251670528" behindDoc="0" locked="0" layoutInCell="1" allowOverlap="1">
                      <wp:simplePos x="0" y="0"/>
                      <wp:positionH relativeFrom="column">
                        <wp:posOffset>1577340</wp:posOffset>
                      </wp:positionH>
                      <wp:positionV relativeFrom="paragraph">
                        <wp:posOffset>88265</wp:posOffset>
                      </wp:positionV>
                      <wp:extent cx="949960" cy="271145"/>
                      <wp:effectExtent l="5080" t="4445" r="16510" b="10160"/>
                      <wp:wrapNone/>
                      <wp:docPr id="5" name="文本框 17"/>
                      <wp:cNvGraphicFramePr/>
                      <a:graphic xmlns:a="http://schemas.openxmlformats.org/drawingml/2006/main">
                        <a:graphicData uri="http://schemas.microsoft.com/office/word/2010/wordprocessingShape">
                          <wps:wsp>
                            <wps:cNvSpPr txBox="1"/>
                            <wps:spPr>
                              <a:xfrm>
                                <a:off x="0" y="0"/>
                                <a:ext cx="949960" cy="2711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AA9774F">
                                  <w:pPr>
                                    <w:jc w:val="center"/>
                                    <w:rPr>
                                      <w:rFonts w:hint="default" w:eastAsia="宋体"/>
                                      <w:lang w:val="en-US" w:eastAsia="zh-CN"/>
                                    </w:rPr>
                                  </w:pPr>
                                  <w:r>
                                    <w:rPr>
                                      <w:rFonts w:hint="eastAsia"/>
                                      <w:lang w:val="en-US" w:eastAsia="zh-CN"/>
                                    </w:rPr>
                                    <w:t>矫正</w:t>
                                  </w:r>
                                </w:p>
                              </w:txbxContent>
                            </wps:txbx>
                            <wps:bodyPr wrap="square" upright="1"/>
                          </wps:wsp>
                        </a:graphicData>
                      </a:graphic>
                    </wp:anchor>
                  </w:drawing>
                </mc:Choice>
                <mc:Fallback>
                  <w:pict>
                    <v:shape id="文本框 17" o:spid="_x0000_s1026" o:spt="202" type="#_x0000_t202" style="position:absolute;left:0pt;margin-left:124.2pt;margin-top:6.95pt;height:21.35pt;width:74.8pt;z-index:251670528;mso-width-relative:page;mso-height-relative:page;" fillcolor="#FFFFFF" filled="t" stroked="t" coordsize="21600,21600" o:gfxdata="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OhT+ErYAAAACQEA&#10;AA8AAAAAAAAAAQAgAAAAIgAAAGRycy9kb3ducmV2LnhtbFBLAQIUABQAAAAIAIdO4kAV5Kn5GgIA&#10;AFIEAAAOAAAAAAAAAAEAIAAAACcBAABkcnMvZTJvRG9jLnhtbFBLBQYAAAAABgAGAFkBAACzBQAA&#10;AAA=&#10;">
                      <v:fill on="t" focussize="0,0"/>
                      <v:stroke color="#000000" joinstyle="miter"/>
                      <v:imagedata o:title=""/>
                      <o:lock v:ext="edit" aspectratio="f"/>
                      <v:textbox>
                        <w:txbxContent>
                          <w:p w14:paraId="2AA9774F">
                            <w:pPr>
                              <w:jc w:val="center"/>
                              <w:rPr>
                                <w:rFonts w:hint="default" w:eastAsia="宋体"/>
                                <w:lang w:val="en-US" w:eastAsia="zh-CN"/>
                              </w:rPr>
                            </w:pPr>
                            <w:r>
                              <w:rPr>
                                <w:rFonts w:hint="eastAsia"/>
                                <w:lang w:val="en-US" w:eastAsia="zh-CN"/>
                              </w:rPr>
                              <w:t>矫正</w:t>
                            </w:r>
                          </w:p>
                        </w:txbxContent>
                      </v:textbox>
                    </v:shape>
                  </w:pict>
                </mc:Fallback>
              </mc:AlternateContent>
            </w:r>
          </w:p>
          <w:p w14:paraId="22AC1D09">
            <w:pPr>
              <w:rPr>
                <w:color w:val="auto"/>
              </w:rPr>
            </w:pPr>
            <w:r>
              <w:rPr>
                <w:color w:val="auto"/>
              </w:rPr>
              <mc:AlternateContent>
                <mc:Choice Requires="wps">
                  <w:drawing>
                    <wp:anchor distT="0" distB="0" distL="114300" distR="114300" simplePos="0" relativeHeight="251676672" behindDoc="0" locked="0" layoutInCell="1" allowOverlap="1">
                      <wp:simplePos x="0" y="0"/>
                      <wp:positionH relativeFrom="column">
                        <wp:posOffset>2546350</wp:posOffset>
                      </wp:positionH>
                      <wp:positionV relativeFrom="paragraph">
                        <wp:posOffset>69850</wp:posOffset>
                      </wp:positionV>
                      <wp:extent cx="342265" cy="635"/>
                      <wp:effectExtent l="0" t="37465" r="635" b="38100"/>
                      <wp:wrapNone/>
                      <wp:docPr id="11" name="直接连接符 15"/>
                      <wp:cNvGraphicFramePr/>
                      <a:graphic xmlns:a="http://schemas.openxmlformats.org/drawingml/2006/main">
                        <a:graphicData uri="http://schemas.microsoft.com/office/word/2010/wordprocessingShape">
                          <wps:wsp>
                            <wps:cNvCnPr/>
                            <wps:spPr>
                              <a:xfrm>
                                <a:off x="0" y="0"/>
                                <a:ext cx="342265" cy="635"/>
                              </a:xfrm>
                              <a:prstGeom prst="line">
                                <a:avLst/>
                              </a:prstGeom>
                              <a:ln w="9525" cap="flat" cmpd="sng">
                                <a:solidFill>
                                  <a:srgbClr val="000000"/>
                                </a:solidFill>
                                <a:prstDash val="dash"/>
                                <a:headEnd type="none" w="med" len="med"/>
                                <a:tailEnd type="triangle" w="med" len="lg"/>
                              </a:ln>
                              <a:effectLst/>
                            </wps:spPr>
                            <wps:bodyPr upright="1"/>
                          </wps:wsp>
                        </a:graphicData>
                      </a:graphic>
                    </wp:anchor>
                  </w:drawing>
                </mc:Choice>
                <mc:Fallback>
                  <w:pict>
                    <v:line id="直接连接符 15" o:spid="_x0000_s1026" o:spt="20" style="position:absolute;left:0pt;margin-left:200.5pt;margin-top:5.5pt;height:0.05pt;width:26.95pt;z-index:251676672;mso-width-relative:page;mso-height-relative:page;" filled="f" stroked="t" coordsize="21600,21600" o:gfxdata="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8AI41gAAAAkBAAAPAAAAAAAAAAEAIAAAACIAAABkcnMv&#10;ZG93bnJldi54bWxQSwECFAAUAAAACACHTuJAJHHm8wUCAAD3AwAADgAAAAAAAAABACAAAAAlAQAA&#10;ZHJzL2Uyb0RvYy54bWxQSwUGAAAAAAYABgBZAQAAnAUAAAAA&#10;">
                      <v:fill on="f" focussize="0,0"/>
                      <v:stroke color="#000000" joinstyle="round" dashstyle="dash" endarrow="block" endarrowlength="long"/>
                      <v:imagedata o:title=""/>
                      <o:lock v:ext="edit" aspectratio="f"/>
                    </v:line>
                  </w:pict>
                </mc:Fallback>
              </mc:AlternateContent>
            </w:r>
          </w:p>
          <w:p w14:paraId="5861D4D5">
            <w:pPr>
              <w:pStyle w:val="44"/>
              <w:rPr>
                <w:rFonts w:ascii="Times New Roman" w:hAnsi="Times New Roman"/>
                <w:color w:val="auto"/>
              </w:rPr>
            </w:pPr>
            <w:r>
              <w:rPr>
                <w:color w:val="auto"/>
                <w:sz w:val="21"/>
              </w:rPr>
              <mc:AlternateContent>
                <mc:Choice Requires="wps">
                  <w:drawing>
                    <wp:anchor distT="0" distB="0" distL="114300" distR="114300" simplePos="0" relativeHeight="251674624" behindDoc="0" locked="0" layoutInCell="1" allowOverlap="1">
                      <wp:simplePos x="0" y="0"/>
                      <wp:positionH relativeFrom="column">
                        <wp:posOffset>2058670</wp:posOffset>
                      </wp:positionH>
                      <wp:positionV relativeFrom="paragraph">
                        <wp:posOffset>51435</wp:posOffset>
                      </wp:positionV>
                      <wp:extent cx="3175" cy="327025"/>
                      <wp:effectExtent l="36830" t="0" r="36195" b="15875"/>
                      <wp:wrapNone/>
                      <wp:docPr id="9" name="直线 1221"/>
                      <wp:cNvGraphicFramePr/>
                      <a:graphic xmlns:a="http://schemas.openxmlformats.org/drawingml/2006/main">
                        <a:graphicData uri="http://schemas.microsoft.com/office/word/2010/wordprocessingShape">
                          <wps:wsp>
                            <wps:cNvCnPr/>
                            <wps:spPr>
                              <a:xfrm flipH="1">
                                <a:off x="0" y="0"/>
                                <a:ext cx="3175" cy="327025"/>
                              </a:xfrm>
                              <a:prstGeom prst="line">
                                <a:avLst/>
                              </a:prstGeom>
                              <a:ln w="9525" cap="flat" cmpd="sng">
                                <a:solidFill>
                                  <a:srgbClr val="000000"/>
                                </a:solidFill>
                                <a:prstDash val="solid"/>
                                <a:headEnd type="none" w="med" len="med"/>
                                <a:tailEnd type="triangle" w="med" len="lg"/>
                              </a:ln>
                            </wps:spPr>
                            <wps:bodyPr upright="1"/>
                          </wps:wsp>
                        </a:graphicData>
                      </a:graphic>
                    </wp:anchor>
                  </w:drawing>
                </mc:Choice>
                <mc:Fallback>
                  <w:pict>
                    <v:line id="直线 1221" o:spid="_x0000_s1026" o:spt="20" style="position:absolute;left:0pt;flip:x;margin-left:162.1pt;margin-top:4.05pt;height:25.75pt;width:0.25pt;z-index:251674624;mso-width-relative:page;mso-height-relative:page;" filled="f" stroked="t" coordsize="21600,21600" o:gfxdata="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N+8X/XAAAACAEAAA8AAAAAAAAAAQAgAAAAIgAAAGRycy9kb3ducmV2Lnht&#10;bFBLAQIUABQAAAAIAIdO4kC1rSRa+gEAAO0DAAAOAAAAAAAAAAEAIAAAACYBAABkcnMvZTJvRG9j&#10;LnhtbFBLBQYAAAAABgAGAFkBAACSBQAAAAA=&#10;">
                      <v:fill on="f" focussize="0,0"/>
                      <v:stroke color="#000000" joinstyle="round" endarrow="block" endarrowlength="long"/>
                      <v:imagedata o:title=""/>
                      <o:lock v:ext="edit" aspectratio="f"/>
                    </v:line>
                  </w:pict>
                </mc:Fallback>
              </mc:AlternateContent>
            </w:r>
          </w:p>
          <w:p w14:paraId="38ED2A55">
            <w:pPr>
              <w:rPr>
                <w:color w:val="auto"/>
              </w:rPr>
            </w:pPr>
          </w:p>
          <w:p w14:paraId="3D6E7EDF">
            <w:pPr>
              <w:pStyle w:val="44"/>
              <w:rPr>
                <w:rFonts w:ascii="Times New Roman" w:hAnsi="Times New Roman"/>
                <w:color w:val="auto"/>
              </w:rPr>
            </w:pPr>
            <w:r>
              <w:rPr>
                <w:color w:val="auto"/>
              </w:rPr>
              <mc:AlternateContent>
                <mc:Choice Requires="wps">
                  <w:drawing>
                    <wp:anchor distT="0" distB="0" distL="114300" distR="114300" simplePos="0" relativeHeight="251697152" behindDoc="0" locked="0" layoutInCell="1" allowOverlap="1">
                      <wp:simplePos x="0" y="0"/>
                      <wp:positionH relativeFrom="column">
                        <wp:posOffset>2903855</wp:posOffset>
                      </wp:positionH>
                      <wp:positionV relativeFrom="paragraph">
                        <wp:posOffset>66040</wp:posOffset>
                      </wp:positionV>
                      <wp:extent cx="739140" cy="271145"/>
                      <wp:effectExtent l="0" t="0" r="0" b="0"/>
                      <wp:wrapNone/>
                      <wp:docPr id="45" name="文本框 14"/>
                      <wp:cNvGraphicFramePr/>
                      <a:graphic xmlns:a="http://schemas.openxmlformats.org/drawingml/2006/main">
                        <a:graphicData uri="http://schemas.microsoft.com/office/word/2010/wordprocessingShape">
                          <wps:wsp>
                            <wps:cNvSpPr txBox="1"/>
                            <wps:spPr>
                              <a:xfrm>
                                <a:off x="0" y="0"/>
                                <a:ext cx="739140" cy="271145"/>
                              </a:xfrm>
                              <a:prstGeom prst="rect">
                                <a:avLst/>
                              </a:prstGeom>
                              <a:noFill/>
                              <a:ln>
                                <a:noFill/>
                              </a:ln>
                              <a:effectLst/>
                            </wps:spPr>
                            <wps:txbx>
                              <w:txbxContent>
                                <w:p w14:paraId="0BDF8194">
                                  <w:pPr>
                                    <w:jc w:val="center"/>
                                    <w:rPr>
                                      <w:rFonts w:hint="default"/>
                                      <w:sz w:val="20"/>
                                      <w:szCs w:val="22"/>
                                      <w:lang w:val="en-US"/>
                                    </w:rPr>
                                  </w:pPr>
                                  <w:r>
                                    <w:rPr>
                                      <w:rFonts w:hint="eastAsia"/>
                                      <w:sz w:val="20"/>
                                      <w:szCs w:val="22"/>
                                      <w:lang w:val="en-US" w:eastAsia="zh-CN"/>
                                    </w:rPr>
                                    <w:t>G</w:t>
                                  </w:r>
                                  <w:r>
                                    <w:rPr>
                                      <w:rFonts w:hint="eastAsia"/>
                                      <w:sz w:val="20"/>
                                      <w:szCs w:val="22"/>
                                      <w:vertAlign w:val="subscript"/>
                                      <w:lang w:val="en-US" w:eastAsia="zh-CN"/>
                                    </w:rPr>
                                    <w:t>3</w:t>
                                  </w:r>
                                  <w:r>
                                    <w:rPr>
                                      <w:rFonts w:hint="eastAsia"/>
                                      <w:sz w:val="20"/>
                                      <w:szCs w:val="22"/>
                                      <w:lang w:val="en-US" w:eastAsia="zh-CN"/>
                                    </w:rPr>
                                    <w:t>、S</w:t>
                                  </w:r>
                                  <w:r>
                                    <w:rPr>
                                      <w:rFonts w:hint="eastAsia"/>
                                      <w:sz w:val="20"/>
                                      <w:szCs w:val="22"/>
                                      <w:vertAlign w:val="subscript"/>
                                      <w:lang w:val="en-US" w:eastAsia="zh-CN"/>
                                    </w:rPr>
                                    <w:t>3</w:t>
                                  </w:r>
                                  <w:r>
                                    <w:rPr>
                                      <w:rFonts w:hint="eastAsia"/>
                                      <w:sz w:val="20"/>
                                      <w:szCs w:val="22"/>
                                      <w:lang w:val="en-US" w:eastAsia="zh-CN"/>
                                    </w:rPr>
                                    <w:t>、N</w:t>
                                  </w:r>
                                </w:p>
                              </w:txbxContent>
                            </wps:txbx>
                            <wps:bodyPr wrap="square" upright="1"/>
                          </wps:wsp>
                        </a:graphicData>
                      </a:graphic>
                    </wp:anchor>
                  </w:drawing>
                </mc:Choice>
                <mc:Fallback>
                  <w:pict>
                    <v:shape id="文本框 14" o:spid="_x0000_s1026" o:spt="202" type="#_x0000_t202" style="position:absolute;left:0pt;margin-left:228.65pt;margin-top:5.2pt;height:21.35pt;width:58.2pt;z-index:251697152;mso-width-relative:page;mso-height-relative:page;" filled="f" stroked="f" coordsize="21600,21600" o:gfxdata="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BRBSiNUAAAAJAQAADwAAAAAAAAABACAAAAAiAAAAZHJzL2Rvd25yZXYueG1sUEsBAhQA&#10;FAAAAAgAh07iQJNoWeC8AQAAawMAAA4AAAAAAAAAAQAgAAAAJAEAAGRycy9lMm9Eb2MueG1sUEsF&#10;BgAAAAAGAAYAWQEAAFIFAAAAAA==&#10;">
                      <v:fill on="f" focussize="0,0"/>
                      <v:stroke on="f"/>
                      <v:imagedata o:title=""/>
                      <o:lock v:ext="edit" aspectratio="f"/>
                      <v:textbox>
                        <w:txbxContent>
                          <w:p w14:paraId="0BDF8194">
                            <w:pPr>
                              <w:jc w:val="center"/>
                              <w:rPr>
                                <w:rFonts w:hint="default"/>
                                <w:sz w:val="20"/>
                                <w:szCs w:val="22"/>
                                <w:lang w:val="en-US"/>
                              </w:rPr>
                            </w:pPr>
                            <w:r>
                              <w:rPr>
                                <w:rFonts w:hint="eastAsia"/>
                                <w:sz w:val="20"/>
                                <w:szCs w:val="22"/>
                                <w:lang w:val="en-US" w:eastAsia="zh-CN"/>
                              </w:rPr>
                              <w:t>G</w:t>
                            </w:r>
                            <w:r>
                              <w:rPr>
                                <w:rFonts w:hint="eastAsia"/>
                                <w:sz w:val="20"/>
                                <w:szCs w:val="22"/>
                                <w:vertAlign w:val="subscript"/>
                                <w:lang w:val="en-US" w:eastAsia="zh-CN"/>
                              </w:rPr>
                              <w:t>3</w:t>
                            </w:r>
                            <w:r>
                              <w:rPr>
                                <w:rFonts w:hint="eastAsia"/>
                                <w:sz w:val="20"/>
                                <w:szCs w:val="22"/>
                                <w:lang w:val="en-US" w:eastAsia="zh-CN"/>
                              </w:rPr>
                              <w:t>、S</w:t>
                            </w:r>
                            <w:r>
                              <w:rPr>
                                <w:rFonts w:hint="eastAsia"/>
                                <w:sz w:val="20"/>
                                <w:szCs w:val="22"/>
                                <w:vertAlign w:val="subscript"/>
                                <w:lang w:val="en-US" w:eastAsia="zh-CN"/>
                              </w:rPr>
                              <w:t>3</w:t>
                            </w:r>
                            <w:r>
                              <w:rPr>
                                <w:rFonts w:hint="eastAsia"/>
                                <w:sz w:val="20"/>
                                <w:szCs w:val="22"/>
                                <w:lang w:val="en-US" w:eastAsia="zh-CN"/>
                              </w:rPr>
                              <w:t>、N</w:t>
                            </w:r>
                          </w:p>
                        </w:txbxContent>
                      </v:textbox>
                    </v:shape>
                  </w:pict>
                </mc:Fallback>
              </mc:AlternateContent>
            </w:r>
            <w:r>
              <w:rPr>
                <w:rFonts w:ascii="Times New Roman" w:hAnsi="Times New Roman"/>
                <w:color w:val="auto"/>
              </w:rPr>
              <mc:AlternateContent>
                <mc:Choice Requires="wps">
                  <w:drawing>
                    <wp:anchor distT="0" distB="0" distL="114300" distR="114300" simplePos="0" relativeHeight="251671552" behindDoc="0" locked="0" layoutInCell="1" allowOverlap="1">
                      <wp:simplePos x="0" y="0"/>
                      <wp:positionH relativeFrom="column">
                        <wp:posOffset>1577340</wp:posOffset>
                      </wp:positionH>
                      <wp:positionV relativeFrom="paragraph">
                        <wp:posOffset>77470</wp:posOffset>
                      </wp:positionV>
                      <wp:extent cx="949960" cy="271145"/>
                      <wp:effectExtent l="5080" t="4445" r="16510" b="10160"/>
                      <wp:wrapNone/>
                      <wp:docPr id="6" name="文本框 26"/>
                      <wp:cNvGraphicFramePr/>
                      <a:graphic xmlns:a="http://schemas.openxmlformats.org/drawingml/2006/main">
                        <a:graphicData uri="http://schemas.microsoft.com/office/word/2010/wordprocessingShape">
                          <wps:wsp>
                            <wps:cNvSpPr txBox="1"/>
                            <wps:spPr>
                              <a:xfrm>
                                <a:off x="0" y="0"/>
                                <a:ext cx="949960" cy="2711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8D997D3">
                                  <w:pPr>
                                    <w:jc w:val="center"/>
                                    <w:rPr>
                                      <w:rFonts w:hint="eastAsia" w:eastAsia="宋体"/>
                                      <w:lang w:val="en-US" w:eastAsia="zh-CN"/>
                                    </w:rPr>
                                  </w:pPr>
                                  <w:r>
                                    <w:rPr>
                                      <w:rFonts w:hint="eastAsia"/>
                                      <w:lang w:val="en-US" w:eastAsia="zh-CN"/>
                                    </w:rPr>
                                    <w:t>打磨</w:t>
                                  </w:r>
                                </w:p>
                                <w:p w14:paraId="5854AD1B"/>
                              </w:txbxContent>
                            </wps:txbx>
                            <wps:bodyPr wrap="square" upright="1"/>
                          </wps:wsp>
                        </a:graphicData>
                      </a:graphic>
                    </wp:anchor>
                  </w:drawing>
                </mc:Choice>
                <mc:Fallback>
                  <w:pict>
                    <v:shape id="文本框 26" o:spid="_x0000_s1026" o:spt="202" type="#_x0000_t202" style="position:absolute;left:0pt;margin-left:124.2pt;margin-top:6.1pt;height:21.35pt;width:74.8pt;z-index:251671552;mso-width-relative:page;mso-height-relative:page;" fillcolor="#FFFFFF" filled="t" stroked="t" coordsize="21600,21600" o:gfxdata="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GVuGVfYAAAACQEA&#10;AA8AAAAAAAAAAQAgAAAAIgAAAGRycy9kb3ducmV2LnhtbFBLAQIUABQAAAAIAIdO4kB4wmQeGgIA&#10;AFIEAAAOAAAAAAAAAAEAIAAAACcBAABkcnMvZTJvRG9jLnhtbFBLBQYAAAAABgAGAFkBAACzBQAA&#10;AAA=&#10;">
                      <v:fill on="t" focussize="0,0"/>
                      <v:stroke color="#000000" joinstyle="miter"/>
                      <v:imagedata o:title=""/>
                      <o:lock v:ext="edit" aspectratio="f"/>
                      <v:textbox>
                        <w:txbxContent>
                          <w:p w14:paraId="28D997D3">
                            <w:pPr>
                              <w:jc w:val="center"/>
                              <w:rPr>
                                <w:rFonts w:hint="eastAsia" w:eastAsia="宋体"/>
                                <w:lang w:val="en-US" w:eastAsia="zh-CN"/>
                              </w:rPr>
                            </w:pPr>
                            <w:r>
                              <w:rPr>
                                <w:rFonts w:hint="eastAsia"/>
                                <w:lang w:val="en-US" w:eastAsia="zh-CN"/>
                              </w:rPr>
                              <w:t>打磨</w:t>
                            </w:r>
                          </w:p>
                          <w:p w14:paraId="5854AD1B"/>
                        </w:txbxContent>
                      </v:textbox>
                    </v:shape>
                  </w:pict>
                </mc:Fallback>
              </mc:AlternateContent>
            </w:r>
          </w:p>
          <w:p w14:paraId="594FB486">
            <w:pPr>
              <w:pStyle w:val="5"/>
              <w:tabs>
                <w:tab w:val="center" w:pos="4038"/>
                <w:tab w:val="left" w:pos="6812"/>
              </w:tabs>
              <w:jc w:val="both"/>
              <w:outlineLvl w:val="1"/>
              <w:rPr>
                <w:rFonts w:hint="default"/>
                <w:color w:val="auto"/>
                <w:spacing w:val="-6"/>
              </w:rPr>
            </w:pPr>
            <w:r>
              <w:rPr>
                <w:color w:val="auto"/>
              </w:rPr>
              <mc:AlternateContent>
                <mc:Choice Requires="wps">
                  <w:drawing>
                    <wp:anchor distT="0" distB="0" distL="114300" distR="114300" simplePos="0" relativeHeight="251672576" behindDoc="0" locked="0" layoutInCell="1" allowOverlap="1">
                      <wp:simplePos x="0" y="0"/>
                      <wp:positionH relativeFrom="column">
                        <wp:posOffset>2540000</wp:posOffset>
                      </wp:positionH>
                      <wp:positionV relativeFrom="paragraph">
                        <wp:posOffset>58420</wp:posOffset>
                      </wp:positionV>
                      <wp:extent cx="342265" cy="635"/>
                      <wp:effectExtent l="0" t="37465" r="635" b="38100"/>
                      <wp:wrapNone/>
                      <wp:docPr id="7" name="直接连接符 15"/>
                      <wp:cNvGraphicFramePr/>
                      <a:graphic xmlns:a="http://schemas.openxmlformats.org/drawingml/2006/main">
                        <a:graphicData uri="http://schemas.microsoft.com/office/word/2010/wordprocessingShape">
                          <wps:wsp>
                            <wps:cNvCnPr/>
                            <wps:spPr>
                              <a:xfrm>
                                <a:off x="0" y="0"/>
                                <a:ext cx="342265" cy="635"/>
                              </a:xfrm>
                              <a:prstGeom prst="line">
                                <a:avLst/>
                              </a:prstGeom>
                              <a:ln w="9525" cap="flat" cmpd="sng">
                                <a:solidFill>
                                  <a:srgbClr val="000000"/>
                                </a:solidFill>
                                <a:prstDash val="dash"/>
                                <a:headEnd type="none" w="med" len="med"/>
                                <a:tailEnd type="triangle" w="med" len="lg"/>
                              </a:ln>
                              <a:effectLst/>
                            </wps:spPr>
                            <wps:bodyPr upright="1"/>
                          </wps:wsp>
                        </a:graphicData>
                      </a:graphic>
                    </wp:anchor>
                  </w:drawing>
                </mc:Choice>
                <mc:Fallback>
                  <w:pict>
                    <v:line id="直接连接符 15" o:spid="_x0000_s1026" o:spt="20" style="position:absolute;left:0pt;margin-left:200pt;margin-top:4.6pt;height:0.05pt;width:26.95pt;z-index:251672576;mso-width-relative:page;mso-height-relative:page;" filled="f" stroked="t" coordsize="21600,21600" o:gfxdata="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ldHvD1wAAAAcBAAAPAAAAAAAAAAEAIAAAACIAAABkcnMv&#10;ZG93bnJldi54bWxQSwECFAAUAAAACACHTuJA5Sl4SwQCAAD2AwAADgAAAAAAAAABACAAAAAmAQAA&#10;ZHJzL2Uyb0RvYy54bWxQSwUGAAAAAAYABgBZAQAAnAUAAAAA&#10;">
                      <v:fill on="f" focussize="0,0"/>
                      <v:stroke color="#000000" joinstyle="round" dashstyle="dash" endarrow="block" endarrowlength="long"/>
                      <v:imagedata o:title=""/>
                      <o:lock v:ext="edit" aspectratio="f"/>
                    </v:line>
                  </w:pict>
                </mc:Fallback>
              </mc:AlternateContent>
            </w:r>
          </w:p>
          <w:p w14:paraId="4148D373">
            <w:pPr>
              <w:pStyle w:val="5"/>
              <w:tabs>
                <w:tab w:val="center" w:pos="4038"/>
                <w:tab w:val="left" w:pos="6812"/>
              </w:tabs>
              <w:spacing w:line="360" w:lineRule="auto"/>
              <w:outlineLvl w:val="1"/>
              <w:rPr>
                <w:rFonts w:hint="default"/>
                <w:color w:val="auto"/>
                <w:spacing w:val="-6"/>
              </w:rPr>
            </w:pPr>
            <w:r>
              <w:rPr>
                <w:color w:val="auto"/>
              </w:rPr>
              <mc:AlternateContent>
                <mc:Choice Requires="wps">
                  <w:drawing>
                    <wp:anchor distT="0" distB="0" distL="114300" distR="114300" simplePos="0" relativeHeight="251675648" behindDoc="0" locked="0" layoutInCell="1" allowOverlap="1">
                      <wp:simplePos x="0" y="0"/>
                      <wp:positionH relativeFrom="column">
                        <wp:posOffset>2057400</wp:posOffset>
                      </wp:positionH>
                      <wp:positionV relativeFrom="paragraph">
                        <wp:posOffset>43815</wp:posOffset>
                      </wp:positionV>
                      <wp:extent cx="3175" cy="327025"/>
                      <wp:effectExtent l="36830" t="0" r="36195" b="15875"/>
                      <wp:wrapNone/>
                      <wp:docPr id="10" name="直线 1225"/>
                      <wp:cNvGraphicFramePr/>
                      <a:graphic xmlns:a="http://schemas.openxmlformats.org/drawingml/2006/main">
                        <a:graphicData uri="http://schemas.microsoft.com/office/word/2010/wordprocessingShape">
                          <wps:wsp>
                            <wps:cNvCnPr/>
                            <wps:spPr>
                              <a:xfrm flipH="1">
                                <a:off x="0" y="0"/>
                                <a:ext cx="3175" cy="327025"/>
                              </a:xfrm>
                              <a:prstGeom prst="line">
                                <a:avLst/>
                              </a:prstGeom>
                              <a:ln w="9525" cap="flat" cmpd="sng">
                                <a:solidFill>
                                  <a:srgbClr val="000000"/>
                                </a:solidFill>
                                <a:prstDash val="solid"/>
                                <a:headEnd type="none" w="med" len="med"/>
                                <a:tailEnd type="triangle" w="med" len="lg"/>
                              </a:ln>
                            </wps:spPr>
                            <wps:bodyPr upright="1"/>
                          </wps:wsp>
                        </a:graphicData>
                      </a:graphic>
                    </wp:anchor>
                  </w:drawing>
                </mc:Choice>
                <mc:Fallback>
                  <w:pict>
                    <v:line id="直线 1225" o:spid="_x0000_s1026" o:spt="20" style="position:absolute;left:0pt;flip:x;margin-left:162pt;margin-top:3.45pt;height:25.75pt;width:0.25pt;z-index:251675648;mso-width-relative:page;mso-height-relative:page;" filled="f" stroked="t" coordsize="21600,21600" o:gfxdata="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D62SXXAAAACAEAAA8AAAAAAAAAAQAgAAAAIgAAAGRycy9kb3ducmV2&#10;LnhtbFBLAQIUABQAAAAIAIdO4kAYRGIE/QEAAO4DAAAOAAAAAAAAAAEAIAAAACYBAABkcnMvZTJv&#10;RG9jLnhtbFBLBQYAAAAABgAGAFkBAACVBQAAAAA=&#10;">
                      <v:fill on="f" focussize="0,0"/>
                      <v:stroke color="#000000" joinstyle="round" endarrow="block" endarrowlength="long"/>
                      <v:imagedata o:title=""/>
                      <o:lock v:ext="edit" aspectratio="f"/>
                    </v:line>
                  </w:pict>
                </mc:Fallback>
              </mc:AlternateContent>
            </w:r>
          </w:p>
          <w:p w14:paraId="2E9DC84C">
            <w:pPr>
              <w:pStyle w:val="5"/>
              <w:tabs>
                <w:tab w:val="center" w:pos="4038"/>
                <w:tab w:val="left" w:pos="6812"/>
              </w:tabs>
              <w:spacing w:line="360" w:lineRule="auto"/>
              <w:outlineLvl w:val="1"/>
              <w:rPr>
                <w:rFonts w:hint="default"/>
                <w:color w:val="auto"/>
                <w:spacing w:val="-6"/>
              </w:rPr>
            </w:pPr>
            <w:r>
              <w:rPr>
                <w:color w:val="auto"/>
              </w:rPr>
              <mc:AlternateContent>
                <mc:Choice Requires="wps">
                  <w:drawing>
                    <wp:anchor distT="0" distB="0" distL="114300" distR="114300" simplePos="0" relativeHeight="251688960" behindDoc="0" locked="0" layoutInCell="1" allowOverlap="1">
                      <wp:simplePos x="0" y="0"/>
                      <wp:positionH relativeFrom="column">
                        <wp:posOffset>2896870</wp:posOffset>
                      </wp:positionH>
                      <wp:positionV relativeFrom="paragraph">
                        <wp:posOffset>136525</wp:posOffset>
                      </wp:positionV>
                      <wp:extent cx="739140" cy="271145"/>
                      <wp:effectExtent l="0" t="0" r="0" b="0"/>
                      <wp:wrapNone/>
                      <wp:docPr id="30" name="文本框 14"/>
                      <wp:cNvGraphicFramePr/>
                      <a:graphic xmlns:a="http://schemas.openxmlformats.org/drawingml/2006/main">
                        <a:graphicData uri="http://schemas.microsoft.com/office/word/2010/wordprocessingShape">
                          <wps:wsp>
                            <wps:cNvSpPr txBox="1"/>
                            <wps:spPr>
                              <a:xfrm>
                                <a:off x="0" y="0"/>
                                <a:ext cx="1153160" cy="271145"/>
                              </a:xfrm>
                              <a:prstGeom prst="rect">
                                <a:avLst/>
                              </a:prstGeom>
                              <a:noFill/>
                              <a:ln>
                                <a:noFill/>
                              </a:ln>
                              <a:effectLst/>
                            </wps:spPr>
                            <wps:txbx>
                              <w:txbxContent>
                                <w:p w14:paraId="0647E242">
                                  <w:pPr>
                                    <w:jc w:val="center"/>
                                    <w:rPr>
                                      <w:rFonts w:hint="default"/>
                                      <w:sz w:val="20"/>
                                      <w:szCs w:val="22"/>
                                      <w:lang w:val="en-US"/>
                                    </w:rPr>
                                  </w:pPr>
                                  <w:r>
                                    <w:rPr>
                                      <w:rFonts w:hint="eastAsia"/>
                                      <w:sz w:val="20"/>
                                      <w:szCs w:val="22"/>
                                      <w:lang w:val="en-US" w:eastAsia="zh-CN"/>
                                    </w:rPr>
                                    <w:t>G</w:t>
                                  </w:r>
                                  <w:r>
                                    <w:rPr>
                                      <w:rFonts w:hint="eastAsia"/>
                                      <w:sz w:val="20"/>
                                      <w:szCs w:val="22"/>
                                      <w:vertAlign w:val="subscript"/>
                                      <w:lang w:val="en-US" w:eastAsia="zh-CN"/>
                                    </w:rPr>
                                    <w:t>4</w:t>
                                  </w:r>
                                  <w:r>
                                    <w:rPr>
                                      <w:rFonts w:hint="eastAsia"/>
                                      <w:sz w:val="20"/>
                                      <w:szCs w:val="22"/>
                                      <w:lang w:val="en-US" w:eastAsia="zh-CN"/>
                                    </w:rPr>
                                    <w:t>、S</w:t>
                                  </w:r>
                                  <w:r>
                                    <w:rPr>
                                      <w:rFonts w:hint="eastAsia"/>
                                      <w:sz w:val="20"/>
                                      <w:szCs w:val="22"/>
                                      <w:vertAlign w:val="subscript"/>
                                      <w:lang w:val="en-US" w:eastAsia="zh-CN"/>
                                    </w:rPr>
                                    <w:t>4</w:t>
                                  </w:r>
                                  <w:r>
                                    <w:rPr>
                                      <w:rFonts w:hint="eastAsia"/>
                                      <w:sz w:val="20"/>
                                      <w:szCs w:val="22"/>
                                      <w:lang w:val="en-US" w:eastAsia="zh-CN"/>
                                    </w:rPr>
                                    <w:t>、N</w:t>
                                  </w:r>
                                </w:p>
                              </w:txbxContent>
                            </wps:txbx>
                            <wps:bodyPr wrap="square" upright="1"/>
                          </wps:wsp>
                        </a:graphicData>
                      </a:graphic>
                    </wp:anchor>
                  </w:drawing>
                </mc:Choice>
                <mc:Fallback>
                  <w:pict>
                    <v:shape id="文本框 14" o:spid="_x0000_s1026" o:spt="202" type="#_x0000_t202" style="position:absolute;left:0pt;margin-left:228.1pt;margin-top:10.75pt;height:21.35pt;width:58.2pt;z-index:251688960;mso-width-relative:page;mso-height-relative:page;" filled="f" stroked="f" coordsize="21600,21600" o:gfxdata="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OHsQ/WAAAACQEAAA8AAAAAAAAAAQAgAAAAIgAAAGRycy9kb3ducmV2LnhtbFBLAQIU&#10;ABQAAAAIAIdO4kBiig5YvAEAAGwDAAAOAAAAAAAAAAEAIAAAACUBAABkcnMvZTJvRG9jLnhtbFBL&#10;BQYAAAAABgAGAFkBAABTBQAAAAA=&#10;">
                      <v:fill on="f" focussize="0,0"/>
                      <v:stroke on="f"/>
                      <v:imagedata o:title=""/>
                      <o:lock v:ext="edit" aspectratio="f"/>
                      <v:textbox>
                        <w:txbxContent>
                          <w:p w14:paraId="0647E242">
                            <w:pPr>
                              <w:jc w:val="center"/>
                              <w:rPr>
                                <w:rFonts w:hint="default"/>
                                <w:sz w:val="20"/>
                                <w:szCs w:val="22"/>
                                <w:lang w:val="en-US"/>
                              </w:rPr>
                            </w:pPr>
                            <w:r>
                              <w:rPr>
                                <w:rFonts w:hint="eastAsia"/>
                                <w:sz w:val="20"/>
                                <w:szCs w:val="22"/>
                                <w:lang w:val="en-US" w:eastAsia="zh-CN"/>
                              </w:rPr>
                              <w:t>G</w:t>
                            </w:r>
                            <w:r>
                              <w:rPr>
                                <w:rFonts w:hint="eastAsia"/>
                                <w:sz w:val="20"/>
                                <w:szCs w:val="22"/>
                                <w:vertAlign w:val="subscript"/>
                                <w:lang w:val="en-US" w:eastAsia="zh-CN"/>
                              </w:rPr>
                              <w:t>4</w:t>
                            </w:r>
                            <w:r>
                              <w:rPr>
                                <w:rFonts w:hint="eastAsia"/>
                                <w:sz w:val="20"/>
                                <w:szCs w:val="22"/>
                                <w:lang w:val="en-US" w:eastAsia="zh-CN"/>
                              </w:rPr>
                              <w:t>、S</w:t>
                            </w:r>
                            <w:r>
                              <w:rPr>
                                <w:rFonts w:hint="eastAsia"/>
                                <w:sz w:val="20"/>
                                <w:szCs w:val="22"/>
                                <w:vertAlign w:val="subscript"/>
                                <w:lang w:val="en-US" w:eastAsia="zh-CN"/>
                              </w:rPr>
                              <w:t>4</w:t>
                            </w:r>
                            <w:r>
                              <w:rPr>
                                <w:rFonts w:hint="eastAsia"/>
                                <w:sz w:val="20"/>
                                <w:szCs w:val="22"/>
                                <w:lang w:val="en-US" w:eastAsia="zh-CN"/>
                              </w:rPr>
                              <w:t>、N</w:t>
                            </w:r>
                          </w:p>
                        </w:txbxContent>
                      </v:textbox>
                    </v:shape>
                  </w:pict>
                </mc:Fallback>
              </mc:AlternateContent>
            </w:r>
            <w:r>
              <w:rPr>
                <w:color w:val="auto"/>
              </w:rPr>
              <mc:AlternateContent>
                <mc:Choice Requires="wps">
                  <w:drawing>
                    <wp:anchor distT="0" distB="0" distL="114300" distR="114300" simplePos="0" relativeHeight="251677696" behindDoc="0" locked="0" layoutInCell="1" allowOverlap="1">
                      <wp:simplePos x="0" y="0"/>
                      <wp:positionH relativeFrom="column">
                        <wp:posOffset>1586865</wp:posOffset>
                      </wp:positionH>
                      <wp:positionV relativeFrom="paragraph">
                        <wp:posOffset>143510</wp:posOffset>
                      </wp:positionV>
                      <wp:extent cx="949960" cy="271145"/>
                      <wp:effectExtent l="5080" t="4445" r="16510" b="10160"/>
                      <wp:wrapNone/>
                      <wp:docPr id="12" name="文本框 26"/>
                      <wp:cNvGraphicFramePr/>
                      <a:graphic xmlns:a="http://schemas.openxmlformats.org/drawingml/2006/main">
                        <a:graphicData uri="http://schemas.microsoft.com/office/word/2010/wordprocessingShape">
                          <wps:wsp>
                            <wps:cNvSpPr txBox="1"/>
                            <wps:spPr>
                              <a:xfrm>
                                <a:off x="0" y="0"/>
                                <a:ext cx="949960" cy="2711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698F87E">
                                  <w:pPr>
                                    <w:jc w:val="center"/>
                                  </w:pPr>
                                  <w:r>
                                    <w:rPr>
                                      <w:rFonts w:hint="eastAsia"/>
                                    </w:rPr>
                                    <w:t>抛丸除锈</w:t>
                                  </w:r>
                                </w:p>
                                <w:p w14:paraId="5D9938FE">
                                  <w:pPr>
                                    <w:jc w:val="center"/>
                                    <w:rPr>
                                      <w:color w:val="0000FF"/>
                                    </w:rPr>
                                  </w:pPr>
                                </w:p>
                              </w:txbxContent>
                            </wps:txbx>
                            <wps:bodyPr wrap="square" upright="1"/>
                          </wps:wsp>
                        </a:graphicData>
                      </a:graphic>
                    </wp:anchor>
                  </w:drawing>
                </mc:Choice>
                <mc:Fallback>
                  <w:pict>
                    <v:shape id="文本框 26" o:spid="_x0000_s1026" o:spt="202" type="#_x0000_t202" style="position:absolute;left:0pt;margin-left:124.95pt;margin-top:11.3pt;height:21.35pt;width:74.8pt;z-index:251677696;mso-width-relative:page;mso-height-relative:page;" fillcolor="#FFFFFF" filled="t" stroked="t" coordsize="21600,21600" o:gfxdata="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qLZvk2QAAAAkB&#10;AAAPAAAAAAAAAAEAIAAAACIAAABkcnMvZG93bnJldi54bWxQSwECFAAUAAAACACHTuJA33ikdhoC&#10;AABTBAAADgAAAAAAAAABACAAAAAoAQAAZHJzL2Uyb0RvYy54bWxQSwUGAAAAAAYABgBZAQAAtAUA&#10;AAAA&#10;">
                      <v:fill on="t" focussize="0,0"/>
                      <v:stroke color="#000000" joinstyle="miter"/>
                      <v:imagedata o:title=""/>
                      <o:lock v:ext="edit" aspectratio="f"/>
                      <v:textbox>
                        <w:txbxContent>
                          <w:p w14:paraId="4698F87E">
                            <w:pPr>
                              <w:jc w:val="center"/>
                            </w:pPr>
                            <w:r>
                              <w:rPr>
                                <w:rFonts w:hint="eastAsia"/>
                              </w:rPr>
                              <w:t>抛丸除锈</w:t>
                            </w:r>
                          </w:p>
                          <w:p w14:paraId="5D9938FE">
                            <w:pPr>
                              <w:jc w:val="center"/>
                              <w:rPr>
                                <w:color w:val="0000FF"/>
                              </w:rPr>
                            </w:pPr>
                          </w:p>
                        </w:txbxContent>
                      </v:textbox>
                    </v:shape>
                  </w:pict>
                </mc:Fallback>
              </mc:AlternateContent>
            </w:r>
          </w:p>
          <w:p w14:paraId="1B0279BE">
            <w:pPr>
              <w:pStyle w:val="5"/>
              <w:tabs>
                <w:tab w:val="center" w:pos="4038"/>
                <w:tab w:val="left" w:pos="6812"/>
              </w:tabs>
              <w:spacing w:line="360" w:lineRule="auto"/>
              <w:outlineLvl w:val="1"/>
              <w:rPr>
                <w:rFonts w:hint="default"/>
                <w:color w:val="auto"/>
                <w:spacing w:val="-6"/>
              </w:rPr>
            </w:pPr>
            <w:r>
              <w:rPr>
                <w:color w:val="auto"/>
              </w:rPr>
              <mc:AlternateContent>
                <mc:Choice Requires="wps">
                  <w:drawing>
                    <wp:anchor distT="0" distB="0" distL="114300" distR="114300" simplePos="0" relativeHeight="251678720" behindDoc="0" locked="0" layoutInCell="1" allowOverlap="1">
                      <wp:simplePos x="0" y="0"/>
                      <wp:positionH relativeFrom="column">
                        <wp:posOffset>2549525</wp:posOffset>
                      </wp:positionH>
                      <wp:positionV relativeFrom="paragraph">
                        <wp:posOffset>47625</wp:posOffset>
                      </wp:positionV>
                      <wp:extent cx="342265" cy="635"/>
                      <wp:effectExtent l="0" t="37465" r="635" b="38100"/>
                      <wp:wrapNone/>
                      <wp:docPr id="13" name="直接连接符 15"/>
                      <wp:cNvGraphicFramePr/>
                      <a:graphic xmlns:a="http://schemas.openxmlformats.org/drawingml/2006/main">
                        <a:graphicData uri="http://schemas.microsoft.com/office/word/2010/wordprocessingShape">
                          <wps:wsp>
                            <wps:cNvCnPr/>
                            <wps:spPr>
                              <a:xfrm>
                                <a:off x="0" y="0"/>
                                <a:ext cx="342265" cy="635"/>
                              </a:xfrm>
                              <a:prstGeom prst="line">
                                <a:avLst/>
                              </a:prstGeom>
                              <a:ln w="9525" cap="flat" cmpd="sng">
                                <a:solidFill>
                                  <a:srgbClr val="000000"/>
                                </a:solidFill>
                                <a:prstDash val="dash"/>
                                <a:headEnd type="none" w="med" len="med"/>
                                <a:tailEnd type="triangle" w="med" len="lg"/>
                              </a:ln>
                              <a:effectLst/>
                            </wps:spPr>
                            <wps:bodyPr upright="1"/>
                          </wps:wsp>
                        </a:graphicData>
                      </a:graphic>
                    </wp:anchor>
                  </w:drawing>
                </mc:Choice>
                <mc:Fallback>
                  <w:pict>
                    <v:line id="直接连接符 15" o:spid="_x0000_s1026" o:spt="20" style="position:absolute;left:0pt;margin-left:200.75pt;margin-top:3.75pt;height:0.05pt;width:26.95pt;z-index:251678720;mso-width-relative:page;mso-height-relative:page;" filled="f" stroked="t" coordsize="21600,21600" o:gfxdata="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NsoZ11gAAAAcBAAAPAAAAAAAAAAEAIAAAACIAAABkcnMv&#10;ZG93bnJldi54bWxQSwECFAAUAAAACACHTuJAcdV+vAUCAAD3AwAADgAAAAAAAAABACAAAAAlAQAA&#10;ZHJzL2Uyb0RvYy54bWxQSwUGAAAAAAYABgBZAQAAnAUAAAAA&#10;">
                      <v:fill on="f" focussize="0,0"/>
                      <v:stroke color="#000000" joinstyle="round" dashstyle="dash" endarrow="block" endarrowlength="long"/>
                      <v:imagedata o:title=""/>
                      <o:lock v:ext="edit" aspectratio="f"/>
                    </v:line>
                  </w:pict>
                </mc:Fallback>
              </mc:AlternateContent>
            </w:r>
            <w:r>
              <w:rPr>
                <w:color w:val="auto"/>
              </w:rPr>
              <mc:AlternateContent>
                <mc:Choice Requires="wps">
                  <w:drawing>
                    <wp:anchor distT="0" distB="0" distL="114300" distR="114300" simplePos="0" relativeHeight="251680768" behindDoc="0" locked="0" layoutInCell="1" allowOverlap="1">
                      <wp:simplePos x="0" y="0"/>
                      <wp:positionH relativeFrom="column">
                        <wp:posOffset>2061845</wp:posOffset>
                      </wp:positionH>
                      <wp:positionV relativeFrom="paragraph">
                        <wp:posOffset>184150</wp:posOffset>
                      </wp:positionV>
                      <wp:extent cx="3175" cy="327025"/>
                      <wp:effectExtent l="36830" t="0" r="36195" b="15875"/>
                      <wp:wrapNone/>
                      <wp:docPr id="18" name="直线 1229"/>
                      <wp:cNvGraphicFramePr/>
                      <a:graphic xmlns:a="http://schemas.openxmlformats.org/drawingml/2006/main">
                        <a:graphicData uri="http://schemas.microsoft.com/office/word/2010/wordprocessingShape">
                          <wps:wsp>
                            <wps:cNvCnPr/>
                            <wps:spPr>
                              <a:xfrm flipH="1">
                                <a:off x="0" y="0"/>
                                <a:ext cx="3175" cy="327025"/>
                              </a:xfrm>
                              <a:prstGeom prst="line">
                                <a:avLst/>
                              </a:prstGeom>
                              <a:ln w="9525" cap="flat" cmpd="sng">
                                <a:solidFill>
                                  <a:srgbClr val="000000"/>
                                </a:solidFill>
                                <a:prstDash val="solid"/>
                                <a:headEnd type="none" w="med" len="med"/>
                                <a:tailEnd type="triangle" w="med" len="lg"/>
                              </a:ln>
                            </wps:spPr>
                            <wps:bodyPr upright="1"/>
                          </wps:wsp>
                        </a:graphicData>
                      </a:graphic>
                    </wp:anchor>
                  </w:drawing>
                </mc:Choice>
                <mc:Fallback>
                  <w:pict>
                    <v:line id="直线 1229" o:spid="_x0000_s1026" o:spt="20" style="position:absolute;left:0pt;flip:x;margin-left:162.35pt;margin-top:14.5pt;height:25.75pt;width:0.25pt;z-index:251680768;mso-width-relative:page;mso-height-relative:page;" filled="f" stroked="t" coordsize="21600,21600" o:gfxdata="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F6UJAdgAAAAJAQAADwAAAAAAAAABACAAAAAiAAAAZHJzL2Rvd25yZXYu&#10;eG1sUEsBAhQAFAAAAAgAh07iQAJ5PHT7AQAA7gMAAA4AAAAAAAAAAQAgAAAAJwEAAGRycy9lMm9E&#10;b2MueG1sUEsFBgAAAAAGAAYAWQEAAJQFAAAAAA==&#10;">
                      <v:fill on="f" focussize="0,0"/>
                      <v:stroke color="#000000" joinstyle="round" endarrow="block" endarrowlength="long"/>
                      <v:imagedata o:title=""/>
                      <o:lock v:ext="edit" aspectratio="f"/>
                    </v:line>
                  </w:pict>
                </mc:Fallback>
              </mc:AlternateContent>
            </w:r>
          </w:p>
          <w:p w14:paraId="67F07DEF">
            <w:pPr>
              <w:pStyle w:val="5"/>
              <w:tabs>
                <w:tab w:val="center" w:pos="4038"/>
                <w:tab w:val="left" w:pos="6812"/>
              </w:tabs>
              <w:spacing w:line="360" w:lineRule="auto"/>
              <w:outlineLvl w:val="1"/>
              <w:rPr>
                <w:rFonts w:hint="default"/>
                <w:color w:val="auto"/>
                <w:spacing w:val="-6"/>
              </w:rPr>
            </w:pPr>
          </w:p>
          <w:p w14:paraId="15096222">
            <w:pPr>
              <w:spacing w:line="360" w:lineRule="auto"/>
              <w:rPr>
                <w:rFonts w:hint="eastAsia" w:ascii="Times New Roman" w:hAnsi="Times New Roman" w:eastAsia="宋体" w:cs="Times New Roman"/>
                <w:color w:val="auto"/>
                <w:sz w:val="20"/>
                <w:szCs w:val="20"/>
                <w:lang w:val="en-US" w:eastAsia="zh-CN"/>
              </w:rPr>
            </w:pPr>
            <w:r>
              <w:rPr>
                <w:rFonts w:hint="eastAsia" w:ascii="Times New Roman" w:hAnsi="Times New Roman" w:eastAsia="宋体" w:cs="Times New Roman"/>
                <w:color w:val="auto"/>
                <w:sz w:val="20"/>
                <w:szCs w:val="20"/>
                <w:lang w:val="en-US" w:eastAsia="zh-CN"/>
              </w:rPr>
              <mc:AlternateContent>
                <mc:Choice Requires="wps">
                  <w:drawing>
                    <wp:anchor distT="0" distB="0" distL="114300" distR="114300" simplePos="0" relativeHeight="251687936" behindDoc="0" locked="0" layoutInCell="1" allowOverlap="1">
                      <wp:simplePos x="0" y="0"/>
                      <wp:positionH relativeFrom="column">
                        <wp:posOffset>2896870</wp:posOffset>
                      </wp:positionH>
                      <wp:positionV relativeFrom="paragraph">
                        <wp:posOffset>53975</wp:posOffset>
                      </wp:positionV>
                      <wp:extent cx="1466215" cy="271145"/>
                      <wp:effectExtent l="0" t="0" r="0" b="0"/>
                      <wp:wrapNone/>
                      <wp:docPr id="29" name="文本框 14"/>
                      <wp:cNvGraphicFramePr/>
                      <a:graphic xmlns:a="http://schemas.openxmlformats.org/drawingml/2006/main">
                        <a:graphicData uri="http://schemas.microsoft.com/office/word/2010/wordprocessingShape">
                          <wps:wsp>
                            <wps:cNvSpPr txBox="1"/>
                            <wps:spPr>
                              <a:xfrm>
                                <a:off x="0" y="0"/>
                                <a:ext cx="1153160" cy="271145"/>
                              </a:xfrm>
                              <a:prstGeom prst="rect">
                                <a:avLst/>
                              </a:prstGeom>
                              <a:noFill/>
                              <a:ln>
                                <a:noFill/>
                              </a:ln>
                              <a:effectLst/>
                            </wps:spPr>
                            <wps:txbx>
                              <w:txbxContent>
                                <w:p w14:paraId="0BA6CC4A">
                                  <w:pPr>
                                    <w:jc w:val="center"/>
                                    <w:rPr>
                                      <w:rFonts w:hint="default"/>
                                      <w:sz w:val="20"/>
                                      <w:szCs w:val="22"/>
                                      <w:lang w:val="en-US"/>
                                    </w:rPr>
                                  </w:pPr>
                                  <w:r>
                                    <w:rPr>
                                      <w:rFonts w:hint="eastAsia"/>
                                      <w:sz w:val="20"/>
                                      <w:szCs w:val="22"/>
                                      <w:lang w:val="en-US" w:eastAsia="zh-CN"/>
                                    </w:rPr>
                                    <w:t>G</w:t>
                                  </w:r>
                                  <w:r>
                                    <w:rPr>
                                      <w:rFonts w:hint="eastAsia"/>
                                      <w:sz w:val="20"/>
                                      <w:szCs w:val="22"/>
                                      <w:vertAlign w:val="subscript"/>
                                      <w:lang w:val="en-US" w:eastAsia="zh-CN"/>
                                    </w:rPr>
                                    <w:t>5</w:t>
                                  </w:r>
                                  <w:r>
                                    <w:rPr>
                                      <w:rFonts w:hint="eastAsia"/>
                                      <w:sz w:val="20"/>
                                      <w:szCs w:val="22"/>
                                      <w:lang w:val="en-US" w:eastAsia="zh-CN"/>
                                    </w:rPr>
                                    <w:t>、S</w:t>
                                  </w:r>
                                  <w:r>
                                    <w:rPr>
                                      <w:rFonts w:hint="eastAsia"/>
                                      <w:sz w:val="20"/>
                                      <w:szCs w:val="22"/>
                                      <w:vertAlign w:val="subscript"/>
                                      <w:lang w:val="en-US" w:eastAsia="zh-CN"/>
                                    </w:rPr>
                                    <w:t>5</w:t>
                                  </w:r>
                                  <w:r>
                                    <w:rPr>
                                      <w:rFonts w:hint="eastAsia"/>
                                      <w:sz w:val="20"/>
                                      <w:szCs w:val="22"/>
                                      <w:lang w:val="en-US" w:eastAsia="zh-CN"/>
                                    </w:rPr>
                                    <w:t>、S</w:t>
                                  </w:r>
                                  <w:r>
                                    <w:rPr>
                                      <w:rFonts w:hint="eastAsia"/>
                                      <w:sz w:val="20"/>
                                      <w:szCs w:val="22"/>
                                      <w:vertAlign w:val="subscript"/>
                                      <w:lang w:val="en-US" w:eastAsia="zh-CN"/>
                                    </w:rPr>
                                    <w:t>6</w:t>
                                  </w:r>
                                  <w:r>
                                    <w:rPr>
                                      <w:rFonts w:hint="eastAsia"/>
                                      <w:sz w:val="20"/>
                                      <w:szCs w:val="22"/>
                                      <w:lang w:val="en-US" w:eastAsia="zh-CN"/>
                                    </w:rPr>
                                    <w:t>、S</w:t>
                                  </w:r>
                                  <w:r>
                                    <w:rPr>
                                      <w:rFonts w:hint="eastAsia"/>
                                      <w:sz w:val="20"/>
                                      <w:szCs w:val="22"/>
                                      <w:vertAlign w:val="subscript"/>
                                      <w:lang w:val="en-US" w:eastAsia="zh-CN"/>
                                    </w:rPr>
                                    <w:t>7</w:t>
                                  </w:r>
                                  <w:r>
                                    <w:rPr>
                                      <w:rFonts w:hint="eastAsia"/>
                                      <w:sz w:val="20"/>
                                      <w:szCs w:val="22"/>
                                      <w:lang w:val="en-US" w:eastAsia="zh-CN"/>
                                    </w:rPr>
                                    <w:t>、S</w:t>
                                  </w:r>
                                  <w:r>
                                    <w:rPr>
                                      <w:rFonts w:hint="eastAsia"/>
                                      <w:sz w:val="20"/>
                                      <w:szCs w:val="22"/>
                                      <w:vertAlign w:val="subscript"/>
                                      <w:lang w:val="en-US" w:eastAsia="zh-CN"/>
                                    </w:rPr>
                                    <w:t>8</w:t>
                                  </w:r>
                                  <w:r>
                                    <w:rPr>
                                      <w:rFonts w:hint="eastAsia"/>
                                      <w:sz w:val="20"/>
                                      <w:szCs w:val="22"/>
                                      <w:lang w:val="en-US" w:eastAsia="zh-CN"/>
                                    </w:rPr>
                                    <w:t>、N</w:t>
                                  </w:r>
                                </w:p>
                              </w:txbxContent>
                            </wps:txbx>
                            <wps:bodyPr vert="horz" wrap="square" anchor="t" anchorCtr="0" upright="1"/>
                          </wps:wsp>
                        </a:graphicData>
                      </a:graphic>
                    </wp:anchor>
                  </w:drawing>
                </mc:Choice>
                <mc:Fallback>
                  <w:pict>
                    <v:shape id="文本框 14" o:spid="_x0000_s1026" o:spt="202" type="#_x0000_t202" style="position:absolute;left:0pt;margin-left:228.1pt;margin-top:4.25pt;height:21.35pt;width:115.45pt;z-index:251687936;mso-width-relative:page;mso-height-relative:page;" filled="f" stroked="f" coordsize="21600,21600" o:gfxdata="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9UJ6g9YAAAAIAQAADwAAAAAAAAABACAAAAAiAAAA&#10;ZHJzL2Rvd25yZXYueG1sUEsBAhQAFAAAAAgAh07iQPQMu4jQAQAAkQMAAA4AAAAAAAAAAQAgAAAA&#10;JQEAAGRycy9lMm9Eb2MueG1sUEsFBgAAAAAGAAYAWQEAAGcFAAAAAA==&#10;">
                      <v:fill on="f" focussize="0,0"/>
                      <v:stroke on="f"/>
                      <v:imagedata o:title=""/>
                      <o:lock v:ext="edit" aspectratio="f"/>
                      <v:textbox>
                        <w:txbxContent>
                          <w:p w14:paraId="0BA6CC4A">
                            <w:pPr>
                              <w:jc w:val="center"/>
                              <w:rPr>
                                <w:rFonts w:hint="default"/>
                                <w:sz w:val="20"/>
                                <w:szCs w:val="22"/>
                                <w:lang w:val="en-US"/>
                              </w:rPr>
                            </w:pPr>
                            <w:r>
                              <w:rPr>
                                <w:rFonts w:hint="eastAsia"/>
                                <w:sz w:val="20"/>
                                <w:szCs w:val="22"/>
                                <w:lang w:val="en-US" w:eastAsia="zh-CN"/>
                              </w:rPr>
                              <w:t>G</w:t>
                            </w:r>
                            <w:r>
                              <w:rPr>
                                <w:rFonts w:hint="eastAsia"/>
                                <w:sz w:val="20"/>
                                <w:szCs w:val="22"/>
                                <w:vertAlign w:val="subscript"/>
                                <w:lang w:val="en-US" w:eastAsia="zh-CN"/>
                              </w:rPr>
                              <w:t>5</w:t>
                            </w:r>
                            <w:r>
                              <w:rPr>
                                <w:rFonts w:hint="eastAsia"/>
                                <w:sz w:val="20"/>
                                <w:szCs w:val="22"/>
                                <w:lang w:val="en-US" w:eastAsia="zh-CN"/>
                              </w:rPr>
                              <w:t>、S</w:t>
                            </w:r>
                            <w:r>
                              <w:rPr>
                                <w:rFonts w:hint="eastAsia"/>
                                <w:sz w:val="20"/>
                                <w:szCs w:val="22"/>
                                <w:vertAlign w:val="subscript"/>
                                <w:lang w:val="en-US" w:eastAsia="zh-CN"/>
                              </w:rPr>
                              <w:t>5</w:t>
                            </w:r>
                            <w:r>
                              <w:rPr>
                                <w:rFonts w:hint="eastAsia"/>
                                <w:sz w:val="20"/>
                                <w:szCs w:val="22"/>
                                <w:lang w:val="en-US" w:eastAsia="zh-CN"/>
                              </w:rPr>
                              <w:t>、S</w:t>
                            </w:r>
                            <w:r>
                              <w:rPr>
                                <w:rFonts w:hint="eastAsia"/>
                                <w:sz w:val="20"/>
                                <w:szCs w:val="22"/>
                                <w:vertAlign w:val="subscript"/>
                                <w:lang w:val="en-US" w:eastAsia="zh-CN"/>
                              </w:rPr>
                              <w:t>6</w:t>
                            </w:r>
                            <w:r>
                              <w:rPr>
                                <w:rFonts w:hint="eastAsia"/>
                                <w:sz w:val="20"/>
                                <w:szCs w:val="22"/>
                                <w:lang w:val="en-US" w:eastAsia="zh-CN"/>
                              </w:rPr>
                              <w:t>、S</w:t>
                            </w:r>
                            <w:r>
                              <w:rPr>
                                <w:rFonts w:hint="eastAsia"/>
                                <w:sz w:val="20"/>
                                <w:szCs w:val="22"/>
                                <w:vertAlign w:val="subscript"/>
                                <w:lang w:val="en-US" w:eastAsia="zh-CN"/>
                              </w:rPr>
                              <w:t>7</w:t>
                            </w:r>
                            <w:r>
                              <w:rPr>
                                <w:rFonts w:hint="eastAsia"/>
                                <w:sz w:val="20"/>
                                <w:szCs w:val="22"/>
                                <w:lang w:val="en-US" w:eastAsia="zh-CN"/>
                              </w:rPr>
                              <w:t>、S</w:t>
                            </w:r>
                            <w:r>
                              <w:rPr>
                                <w:rFonts w:hint="eastAsia"/>
                                <w:sz w:val="20"/>
                                <w:szCs w:val="22"/>
                                <w:vertAlign w:val="subscript"/>
                                <w:lang w:val="en-US" w:eastAsia="zh-CN"/>
                              </w:rPr>
                              <w:t>8</w:t>
                            </w:r>
                            <w:r>
                              <w:rPr>
                                <w:rFonts w:hint="eastAsia"/>
                                <w:sz w:val="20"/>
                                <w:szCs w:val="22"/>
                                <w:lang w:val="en-US" w:eastAsia="zh-CN"/>
                              </w:rPr>
                              <w:t>、N</w:t>
                            </w:r>
                          </w:p>
                        </w:txbxContent>
                      </v:textbox>
                    </v:shape>
                  </w:pict>
                </mc:Fallback>
              </mc:AlternateContent>
            </w:r>
            <w:r>
              <w:rPr>
                <w:rFonts w:hint="eastAsia" w:ascii="Times New Roman" w:hAnsi="Times New Roman" w:eastAsia="宋体" w:cs="Times New Roman"/>
                <w:color w:val="auto"/>
                <w:sz w:val="20"/>
                <w:szCs w:val="20"/>
                <w:lang w:val="en-US" w:eastAsia="zh-CN"/>
              </w:rPr>
              <mc:AlternateContent>
                <mc:Choice Requires="wps">
                  <w:drawing>
                    <wp:anchor distT="0" distB="0" distL="114300" distR="114300" simplePos="0" relativeHeight="251682816" behindDoc="0" locked="0" layoutInCell="1" allowOverlap="1">
                      <wp:simplePos x="0" y="0"/>
                      <wp:positionH relativeFrom="column">
                        <wp:posOffset>2554605</wp:posOffset>
                      </wp:positionH>
                      <wp:positionV relativeFrom="paragraph">
                        <wp:posOffset>189230</wp:posOffset>
                      </wp:positionV>
                      <wp:extent cx="342265" cy="635"/>
                      <wp:effectExtent l="0" t="37465" r="635" b="38100"/>
                      <wp:wrapNone/>
                      <wp:docPr id="22" name="直接连接符 15"/>
                      <wp:cNvGraphicFramePr/>
                      <a:graphic xmlns:a="http://schemas.openxmlformats.org/drawingml/2006/main">
                        <a:graphicData uri="http://schemas.microsoft.com/office/word/2010/wordprocessingShape">
                          <wps:wsp>
                            <wps:cNvCnPr/>
                            <wps:spPr>
                              <a:xfrm>
                                <a:off x="0" y="0"/>
                                <a:ext cx="342265" cy="635"/>
                              </a:xfrm>
                              <a:prstGeom prst="line">
                                <a:avLst/>
                              </a:prstGeom>
                              <a:ln w="9525" cap="flat" cmpd="sng">
                                <a:solidFill>
                                  <a:srgbClr val="000000"/>
                                </a:solidFill>
                                <a:prstDash val="dash"/>
                                <a:headEnd type="none" w="med" len="med"/>
                                <a:tailEnd type="triangle" w="med" len="lg"/>
                              </a:ln>
                              <a:effectLst/>
                            </wps:spPr>
                            <wps:bodyPr upright="1"/>
                          </wps:wsp>
                        </a:graphicData>
                      </a:graphic>
                    </wp:anchor>
                  </w:drawing>
                </mc:Choice>
                <mc:Fallback>
                  <w:pict>
                    <v:line id="直接连接符 15" o:spid="_x0000_s1026" o:spt="20" style="position:absolute;left:0pt;margin-left:201.15pt;margin-top:14.9pt;height:0.05pt;width:26.95pt;z-index:251682816;mso-width-relative:page;mso-height-relative:page;" filled="f" stroked="t" coordsize="21600,21600" o:gfxdata="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&#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OSRgXYAAAACQEAAA8AAAAAAAAAAQAgAAAAIgAAAGRy&#10;cy9kb3ducmV2LnhtbFBLAQIUABQAAAAIAIdO4kBrpFuNBQIAAPcDAAAOAAAAAAAAAAEAIAAAACcB&#10;AABkcnMvZTJvRG9jLnhtbFBLBQYAAAAABgAGAFkBAACeBQAAAAA=&#10;">
                      <v:fill on="f" focussize="0,0"/>
                      <v:stroke color="#000000" joinstyle="round" dashstyle="dash" endarrow="block" endarrowlength="long"/>
                      <v:imagedata o:title=""/>
                      <o:lock v:ext="edit" aspectratio="f"/>
                    </v:line>
                  </w:pict>
                </mc:Fallback>
              </mc:AlternateContent>
            </w:r>
            <w:r>
              <w:rPr>
                <w:rFonts w:hint="eastAsia" w:ascii="Times New Roman" w:hAnsi="Times New Roman" w:eastAsia="宋体" w:cs="Times New Roman"/>
                <w:color w:val="auto"/>
                <w:sz w:val="20"/>
                <w:szCs w:val="20"/>
                <w:lang w:val="en-US" w:eastAsia="zh-CN"/>
              </w:rPr>
              <mc:AlternateContent>
                <mc:Choice Requires="wps">
                  <w:drawing>
                    <wp:anchor distT="0" distB="0" distL="114300" distR="114300" simplePos="0" relativeHeight="251679744" behindDoc="0" locked="0" layoutInCell="1" allowOverlap="1">
                      <wp:simplePos x="0" y="0"/>
                      <wp:positionH relativeFrom="column">
                        <wp:posOffset>1585595</wp:posOffset>
                      </wp:positionH>
                      <wp:positionV relativeFrom="paragraph">
                        <wp:posOffset>55245</wp:posOffset>
                      </wp:positionV>
                      <wp:extent cx="949960" cy="271145"/>
                      <wp:effectExtent l="5080" t="4445" r="16510" b="10160"/>
                      <wp:wrapNone/>
                      <wp:docPr id="16" name="文本框 17"/>
                      <wp:cNvGraphicFramePr/>
                      <a:graphic xmlns:a="http://schemas.openxmlformats.org/drawingml/2006/main">
                        <a:graphicData uri="http://schemas.microsoft.com/office/word/2010/wordprocessingShape">
                          <wps:wsp>
                            <wps:cNvSpPr txBox="1"/>
                            <wps:spPr>
                              <a:xfrm>
                                <a:off x="0" y="0"/>
                                <a:ext cx="949960" cy="2711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9EDBEBA">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涂装</w:t>
                                  </w:r>
                                </w:p>
                              </w:txbxContent>
                            </wps:txbx>
                            <wps:bodyPr wrap="square" upright="1"/>
                          </wps:wsp>
                        </a:graphicData>
                      </a:graphic>
                    </wp:anchor>
                  </w:drawing>
                </mc:Choice>
                <mc:Fallback>
                  <w:pict>
                    <v:shape id="文本框 17" o:spid="_x0000_s1026" o:spt="202" type="#_x0000_t202" style="position:absolute;left:0pt;margin-left:124.85pt;margin-top:4.35pt;height:21.35pt;width:74.8pt;z-index:251679744;mso-width-relative:page;mso-height-relative:page;" fillcolor="#FFFFFF" filled="t" stroked="t" coordsize="21600,21600" o:gfxdata="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PCI4GHYAAAACAEA&#10;AA8AAAAAAAAAAQAgAAAAIgAAAGRycy9kb3ducmV2LnhtbFBLAQIUABQAAAAIAIdO4kBTmz7CGgIA&#10;AFMEAAAOAAAAAAAAAAEAIAAAACcBAABkcnMvZTJvRG9jLnhtbFBLBQYAAAAABgAGAFkBAACzBQAA&#10;AAA=&#10;">
                      <v:fill on="t" focussize="0,0"/>
                      <v:stroke color="#000000" joinstyle="miter"/>
                      <v:imagedata o:title=""/>
                      <o:lock v:ext="edit" aspectratio="f"/>
                      <v:textbox>
                        <w:txbxContent>
                          <w:p w14:paraId="69EDBEBA">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涂装</w:t>
                            </w:r>
                          </w:p>
                        </w:txbxContent>
                      </v:textbox>
                    </v:shape>
                  </w:pict>
                </mc:Fallback>
              </mc:AlternateContent>
            </w:r>
            <w:r>
              <w:rPr>
                <w:rFonts w:hint="eastAsia" w:ascii="Times New Roman" w:hAnsi="Times New Roman" w:eastAsia="宋体" w:cs="Times New Roman"/>
                <w:color w:val="auto"/>
                <w:sz w:val="20"/>
                <w:szCs w:val="20"/>
                <w:lang w:val="en-US" w:eastAsia="zh-CN"/>
              </w:rPr>
              <w:t>图例</w:t>
            </w:r>
          </w:p>
          <w:p w14:paraId="79022EDF">
            <w:pPr>
              <w:keepNext w:val="0"/>
              <w:keepLines w:val="0"/>
              <w:pageBreakBefore w:val="0"/>
              <w:widowControl w:val="0"/>
              <w:kinsoku/>
              <w:wordWrap/>
              <w:overflowPunct/>
              <w:topLinePunct w:val="0"/>
              <w:autoSpaceDE/>
              <w:autoSpaceDN/>
              <w:bidi w:val="0"/>
              <w:adjustRightInd/>
              <w:snapToGrid/>
              <w:spacing w:line="300" w:lineRule="auto"/>
              <w:ind w:firstLine="200" w:firstLineChars="100"/>
              <w:textAlignment w:val="auto"/>
              <w:rPr>
                <w:rFonts w:hint="eastAsia" w:ascii="Times New Roman" w:hAnsi="Times New Roman" w:eastAsia="宋体" w:cs="Times New Roman"/>
                <w:color w:val="auto"/>
                <w:sz w:val="20"/>
                <w:szCs w:val="20"/>
                <w:lang w:val="en-US" w:eastAsia="zh-CN"/>
              </w:rPr>
            </w:pPr>
            <w:r>
              <w:rPr>
                <w:rFonts w:hint="eastAsia" w:ascii="Times New Roman" w:hAnsi="Times New Roman" w:eastAsia="宋体" w:cs="Times New Roman"/>
                <w:color w:val="auto"/>
                <w:sz w:val="20"/>
                <w:szCs w:val="20"/>
                <w:lang w:val="en-US" w:eastAsia="zh-CN"/>
              </w:rPr>
              <mc:AlternateContent>
                <mc:Choice Requires="wps">
                  <w:drawing>
                    <wp:anchor distT="0" distB="0" distL="114300" distR="114300" simplePos="0" relativeHeight="251681792" behindDoc="0" locked="0" layoutInCell="1" allowOverlap="1">
                      <wp:simplePos x="0" y="0"/>
                      <wp:positionH relativeFrom="column">
                        <wp:posOffset>2066925</wp:posOffset>
                      </wp:positionH>
                      <wp:positionV relativeFrom="paragraph">
                        <wp:posOffset>74295</wp:posOffset>
                      </wp:positionV>
                      <wp:extent cx="3175" cy="327025"/>
                      <wp:effectExtent l="36830" t="0" r="36195" b="15875"/>
                      <wp:wrapNone/>
                      <wp:docPr id="20" name="直线 1233"/>
                      <wp:cNvGraphicFramePr/>
                      <a:graphic xmlns:a="http://schemas.openxmlformats.org/drawingml/2006/main">
                        <a:graphicData uri="http://schemas.microsoft.com/office/word/2010/wordprocessingShape">
                          <wps:wsp>
                            <wps:cNvCnPr/>
                            <wps:spPr>
                              <a:xfrm flipH="1">
                                <a:off x="0" y="0"/>
                                <a:ext cx="3175" cy="327025"/>
                              </a:xfrm>
                              <a:prstGeom prst="line">
                                <a:avLst/>
                              </a:prstGeom>
                              <a:ln w="9525" cap="flat" cmpd="sng">
                                <a:solidFill>
                                  <a:srgbClr val="000000"/>
                                </a:solidFill>
                                <a:prstDash val="solid"/>
                                <a:headEnd type="none" w="med" len="med"/>
                                <a:tailEnd type="triangle" w="med" len="lg"/>
                              </a:ln>
                            </wps:spPr>
                            <wps:bodyPr upright="1"/>
                          </wps:wsp>
                        </a:graphicData>
                      </a:graphic>
                    </wp:anchor>
                  </w:drawing>
                </mc:Choice>
                <mc:Fallback>
                  <w:pict>
                    <v:line id="直线 1233" o:spid="_x0000_s1026" o:spt="20" style="position:absolute;left:0pt;flip:x;margin-left:162.75pt;margin-top:5.85pt;height:25.75pt;width:0.25pt;z-index:251681792;mso-width-relative:page;mso-height-relative:page;" filled="f" stroked="t" coordsize="21600,21600" o:gfxdata="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e4iv0tgAAAAJAQAADwAAAAAAAAABACAAAAAiAAAAZHJzL2Rvd25yZXYu&#10;eG1sUEsBAhQAFAAAAAgAh07iQFG/K537AQAA7gMAAA4AAAAAAAAAAQAgAAAAJwEAAGRycy9lMm9E&#10;b2MueG1sUEsFBgAAAAAGAAYAWQEAAJQFAAAAAA==&#10;">
                      <v:fill on="f" focussize="0,0"/>
                      <v:stroke color="#000000" joinstyle="round" endarrow="block" endarrowlength="long"/>
                      <v:imagedata o:title=""/>
                      <o:lock v:ext="edit" aspectratio="f"/>
                    </v:line>
                  </w:pict>
                </mc:Fallback>
              </mc:AlternateContent>
            </w:r>
            <w:r>
              <w:rPr>
                <w:rFonts w:hint="eastAsia" w:ascii="Times New Roman" w:hAnsi="Times New Roman" w:eastAsia="宋体" w:cs="Times New Roman"/>
                <w:color w:val="auto"/>
                <w:sz w:val="20"/>
                <w:szCs w:val="20"/>
                <w:lang w:val="en-US" w:eastAsia="zh-CN"/>
              </w:rPr>
              <w:t>G：废气</w:t>
            </w:r>
          </w:p>
          <w:p w14:paraId="5639B4D0">
            <w:pPr>
              <w:keepNext w:val="0"/>
              <w:keepLines w:val="0"/>
              <w:pageBreakBefore w:val="0"/>
              <w:widowControl w:val="0"/>
              <w:kinsoku/>
              <w:wordWrap/>
              <w:overflowPunct/>
              <w:topLinePunct w:val="0"/>
              <w:autoSpaceDE/>
              <w:autoSpaceDN/>
              <w:bidi w:val="0"/>
              <w:adjustRightInd/>
              <w:snapToGrid/>
              <w:spacing w:line="300" w:lineRule="auto"/>
              <w:ind w:firstLine="210" w:firstLineChars="100"/>
              <w:textAlignment w:val="auto"/>
              <w:rPr>
                <w:rFonts w:hint="eastAsia" w:ascii="Times New Roman" w:hAnsi="Times New Roman" w:eastAsia="宋体" w:cs="Times New Roman"/>
                <w:color w:val="auto"/>
                <w:sz w:val="20"/>
                <w:szCs w:val="20"/>
                <w:lang w:val="en-US" w:eastAsia="zh-CN"/>
              </w:rPr>
            </w:pPr>
            <w:r>
              <w:rPr>
                <w:color w:val="auto"/>
              </w:rPr>
              <mc:AlternateContent>
                <mc:Choice Requires="wps">
                  <w:drawing>
                    <wp:anchor distT="0" distB="0" distL="114300" distR="114300" simplePos="0" relativeHeight="251683840" behindDoc="0" locked="0" layoutInCell="1" allowOverlap="1">
                      <wp:simplePos x="0" y="0"/>
                      <wp:positionH relativeFrom="column">
                        <wp:posOffset>1578610</wp:posOffset>
                      </wp:positionH>
                      <wp:positionV relativeFrom="paragraph">
                        <wp:posOffset>200660</wp:posOffset>
                      </wp:positionV>
                      <wp:extent cx="974090" cy="271145"/>
                      <wp:effectExtent l="0" t="0" r="0" b="0"/>
                      <wp:wrapNone/>
                      <wp:docPr id="23" name="文本框 19"/>
                      <wp:cNvGraphicFramePr/>
                      <a:graphic xmlns:a="http://schemas.openxmlformats.org/drawingml/2006/main">
                        <a:graphicData uri="http://schemas.microsoft.com/office/word/2010/wordprocessingShape">
                          <wps:wsp>
                            <wps:cNvSpPr txBox="1"/>
                            <wps:spPr>
                              <a:xfrm>
                                <a:off x="0" y="0"/>
                                <a:ext cx="776605" cy="271145"/>
                              </a:xfrm>
                              <a:prstGeom prst="rect">
                                <a:avLst/>
                              </a:prstGeom>
                              <a:noFill/>
                              <a:ln>
                                <a:noFill/>
                              </a:ln>
                              <a:effectLst/>
                            </wps:spPr>
                            <wps:txbx>
                              <w:txbxContent>
                                <w:p w14:paraId="354DDD2D">
                                  <w:pPr>
                                    <w:jc w:val="center"/>
                                  </w:pPr>
                                  <w:r>
                                    <w:rPr>
                                      <w:rFonts w:hint="eastAsia"/>
                                    </w:rPr>
                                    <w:t>成品</w:t>
                                  </w:r>
                                </w:p>
                              </w:txbxContent>
                            </wps:txbx>
                            <wps:bodyPr wrap="square" upright="1"/>
                          </wps:wsp>
                        </a:graphicData>
                      </a:graphic>
                    </wp:anchor>
                  </w:drawing>
                </mc:Choice>
                <mc:Fallback>
                  <w:pict>
                    <v:shape id="文本框 19" o:spid="_x0000_s1026" o:spt="202" type="#_x0000_t202" style="position:absolute;left:0pt;margin-left:124.3pt;margin-top:15.8pt;height:21.35pt;width:76.7pt;z-index:251683840;mso-width-relative:page;mso-height-relative:page;" filled="f" stroked="f" coordsize="21600,21600" o:gfxdata="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Yl7AxNYAAAAJAQAADwAAAAAAAAABACAAAAAiAAAAZHJzL2Rvd25yZXYueG1sUEsB&#10;AhQAFAAAAAgAh07iQOuJk/K+AQAAawMAAA4AAAAAAAAAAQAgAAAAJQEAAGRycy9lMm9Eb2MueG1s&#10;UEsFBgAAAAAGAAYAWQEAAFUFAAAAAA==&#10;">
                      <v:fill on="f" focussize="0,0"/>
                      <v:stroke on="f"/>
                      <v:imagedata o:title=""/>
                      <o:lock v:ext="edit" aspectratio="f"/>
                      <v:textbox>
                        <w:txbxContent>
                          <w:p w14:paraId="354DDD2D">
                            <w:pPr>
                              <w:jc w:val="center"/>
                            </w:pPr>
                            <w:r>
                              <w:rPr>
                                <w:rFonts w:hint="eastAsia"/>
                              </w:rPr>
                              <w:t>成品</w:t>
                            </w:r>
                          </w:p>
                        </w:txbxContent>
                      </v:textbox>
                    </v:shape>
                  </w:pict>
                </mc:Fallback>
              </mc:AlternateContent>
            </w:r>
            <w:r>
              <w:rPr>
                <w:rFonts w:hint="eastAsia" w:ascii="Times New Roman" w:hAnsi="Times New Roman" w:eastAsia="宋体" w:cs="Times New Roman"/>
                <w:color w:val="auto"/>
                <w:sz w:val="20"/>
                <w:szCs w:val="20"/>
                <w:lang w:val="en-US" w:eastAsia="zh-CN"/>
              </w:rPr>
              <w:t>S：固体废物</w:t>
            </w:r>
          </w:p>
          <w:p w14:paraId="1CD40EBF">
            <w:pPr>
              <w:keepNext w:val="0"/>
              <w:keepLines w:val="0"/>
              <w:pageBreakBefore w:val="0"/>
              <w:widowControl w:val="0"/>
              <w:kinsoku/>
              <w:wordWrap/>
              <w:overflowPunct/>
              <w:topLinePunct w:val="0"/>
              <w:autoSpaceDE/>
              <w:autoSpaceDN/>
              <w:bidi w:val="0"/>
              <w:adjustRightInd/>
              <w:snapToGrid/>
              <w:spacing w:line="300" w:lineRule="auto"/>
              <w:ind w:firstLine="200" w:firstLineChars="100"/>
              <w:textAlignment w:val="auto"/>
              <w:rPr>
                <w:rFonts w:hint="default" w:ascii="Times New Roman" w:hAnsi="Times New Roman" w:eastAsia="宋体" w:cs="Times New Roman"/>
                <w:color w:val="auto"/>
                <w:sz w:val="20"/>
                <w:szCs w:val="20"/>
                <w:lang w:val="en-US" w:eastAsia="zh-CN"/>
              </w:rPr>
            </w:pPr>
            <w:r>
              <w:rPr>
                <w:rFonts w:hint="eastAsia" w:ascii="Times New Roman" w:hAnsi="Times New Roman" w:eastAsia="宋体" w:cs="Times New Roman"/>
                <w:color w:val="auto"/>
                <w:sz w:val="20"/>
                <w:szCs w:val="20"/>
                <w:lang w:val="en-US" w:eastAsia="zh-CN"/>
              </w:rPr>
              <w:t>N：噪声</w:t>
            </w:r>
          </w:p>
          <w:p w14:paraId="1D422B83">
            <w:pPr>
              <w:pStyle w:val="5"/>
              <w:keepNext/>
              <w:keepLines/>
              <w:pageBreakBefore w:val="0"/>
              <w:widowControl w:val="0"/>
              <w:tabs>
                <w:tab w:val="center" w:pos="4038"/>
                <w:tab w:val="left" w:pos="6812"/>
              </w:tabs>
              <w:kinsoku/>
              <w:wordWrap/>
              <w:overflowPunct/>
              <w:topLinePunct w:val="0"/>
              <w:autoSpaceDE/>
              <w:autoSpaceDN/>
              <w:bidi w:val="0"/>
              <w:adjustRightInd/>
              <w:snapToGrid/>
              <w:spacing w:before="157" w:beforeLines="50" w:after="157" w:afterLines="50"/>
              <w:jc w:val="center"/>
              <w:textAlignment w:val="auto"/>
              <w:rPr>
                <w:rFonts w:hint="default" w:ascii="Times New Roman" w:hAnsi="Times New Roman" w:eastAsia="宋体" w:cs="Times New Roman"/>
                <w:color w:val="auto"/>
                <w:spacing w:val="-6"/>
                <w:lang w:val="en-US" w:eastAsia="zh-CN"/>
              </w:rPr>
            </w:pPr>
            <w:r>
              <w:rPr>
                <w:rFonts w:hint="default" w:ascii="Times New Roman" w:hAnsi="Times New Roman" w:eastAsia="宋体" w:cs="Times New Roman"/>
                <w:color w:val="auto"/>
                <w:spacing w:val="-6"/>
                <w:lang w:val="en-US" w:eastAsia="zh-CN"/>
              </w:rPr>
              <w:t>图</w:t>
            </w:r>
            <w:r>
              <w:rPr>
                <w:rFonts w:hint="eastAsia" w:ascii="Times New Roman" w:hAnsi="Times New Roman" w:eastAsia="宋体" w:cs="Times New Roman"/>
                <w:color w:val="auto"/>
                <w:spacing w:val="-6"/>
                <w:lang w:val="en-US" w:eastAsia="zh-CN"/>
              </w:rPr>
              <w:t xml:space="preserve">2-2 </w:t>
            </w:r>
            <w:r>
              <w:rPr>
                <w:rFonts w:hint="default" w:ascii="Times New Roman" w:hAnsi="Times New Roman" w:eastAsia="宋体" w:cs="Times New Roman"/>
                <w:color w:val="auto"/>
                <w:spacing w:val="-6"/>
                <w:lang w:val="en-US" w:eastAsia="zh-CN"/>
              </w:rPr>
              <w:t>运营期工艺流程及产污环节图</w:t>
            </w:r>
          </w:p>
          <w:p w14:paraId="4EF545FF">
            <w:pPr>
              <w:keepNext w:val="0"/>
              <w:keepLines w:val="0"/>
              <w:pageBreakBefore w:val="0"/>
              <w:widowControl w:val="0"/>
              <w:kinsoku/>
              <w:wordWrap/>
              <w:overflowPunct/>
              <w:topLinePunct w:val="0"/>
              <w:autoSpaceDE/>
              <w:autoSpaceDN/>
              <w:bidi w:val="0"/>
              <w:adjustRightInd/>
              <w:snapToGrid/>
              <w:spacing w:before="469" w:beforeLines="150" w:line="360"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（2）工艺流程简述</w:t>
            </w:r>
          </w:p>
          <w:p w14:paraId="4000DEDF">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fldChar w:fldCharType="begin"/>
            </w:r>
            <w:r>
              <w:rPr>
                <w:rFonts w:hint="eastAsia" w:ascii="Times New Roman" w:hAnsi="Times New Roman" w:eastAsia="宋体" w:cs="Times New Roman"/>
                <w:color w:val="auto"/>
                <w:sz w:val="24"/>
                <w:lang w:val="en-US" w:eastAsia="zh-CN"/>
              </w:rPr>
              <w:instrText xml:space="preserve"> = 1 \* GB3 \* MERGEFORMAT </w:instrText>
            </w:r>
            <w:r>
              <w:rPr>
                <w:rFonts w:hint="eastAsia" w:ascii="Times New Roman" w:hAnsi="Times New Roman" w:eastAsia="宋体" w:cs="Times New Roman"/>
                <w:color w:val="auto"/>
                <w:sz w:val="24"/>
                <w:lang w:val="en-US" w:eastAsia="zh-CN"/>
              </w:rPr>
              <w:fldChar w:fldCharType="separate"/>
            </w:r>
            <w:r>
              <w:rPr>
                <w:rFonts w:hint="eastAsia" w:ascii="Times New Roman" w:hAnsi="Times New Roman" w:eastAsia="宋体" w:cs="Times New Roman"/>
                <w:color w:val="auto"/>
                <w:sz w:val="24"/>
                <w:lang w:val="en-US" w:eastAsia="zh-CN"/>
              </w:rPr>
              <w:t>①</w:t>
            </w:r>
            <w:r>
              <w:rPr>
                <w:rFonts w:hint="eastAsia" w:ascii="Times New Roman" w:hAnsi="Times New Roman" w:eastAsia="宋体" w:cs="Times New Roman"/>
                <w:color w:val="auto"/>
                <w:sz w:val="24"/>
                <w:lang w:val="en-US" w:eastAsia="zh-CN"/>
              </w:rPr>
              <w:fldChar w:fldCharType="end"/>
            </w:r>
            <w:r>
              <w:rPr>
                <w:rFonts w:hint="eastAsia" w:ascii="Times New Roman" w:hAnsi="Times New Roman" w:eastAsia="宋体" w:cs="Times New Roman"/>
                <w:color w:val="auto"/>
                <w:sz w:val="24"/>
                <w:lang w:val="en-US" w:eastAsia="zh-CN"/>
              </w:rPr>
              <w:t>下料切割：钢材运至原料堆放区，根据订单构件下料，按放样尺寸号料。由切割机制成符合生产配件要求的形状和大小，在衔接处制孔，放样和号料根据工艺要求预留焊接收缩余量及切割边缘加工余量。下料前先检查原料材质是否与设计材质一致，其原料应有物理实验</w:t>
            </w:r>
            <w:r>
              <w:rPr>
                <w:rFonts w:hint="eastAsia" w:ascii="Times New Roman" w:hAnsi="Times New Roman" w:eastAsia="宋体" w:cs="Times New Roman"/>
                <w:color w:val="auto"/>
                <w:spacing w:val="-6"/>
                <w:sz w:val="24"/>
                <w:lang w:val="en-US" w:eastAsia="zh-CN"/>
              </w:rPr>
              <w:t>、化学分析报告，出厂合格证，与之相符方能下料。此工序会产生切割粉尘（G</w:t>
            </w:r>
            <w:r>
              <w:rPr>
                <w:rFonts w:hint="eastAsia" w:ascii="Times New Roman" w:hAnsi="Times New Roman" w:eastAsia="宋体" w:cs="Times New Roman"/>
                <w:color w:val="auto"/>
                <w:spacing w:val="-6"/>
                <w:sz w:val="24"/>
                <w:vertAlign w:val="subscript"/>
                <w:lang w:val="en-US" w:eastAsia="zh-CN"/>
              </w:rPr>
              <w:t>1</w:t>
            </w:r>
            <w:r>
              <w:rPr>
                <w:rFonts w:hint="eastAsia" w:ascii="Times New Roman" w:hAnsi="Times New Roman" w:eastAsia="宋体" w:cs="Times New Roman"/>
                <w:color w:val="auto"/>
                <w:spacing w:val="-6"/>
                <w:sz w:val="24"/>
                <w:lang w:val="en-US" w:eastAsia="zh-CN"/>
              </w:rPr>
              <w:t>）、金属屑及废边角料（S</w:t>
            </w:r>
            <w:r>
              <w:rPr>
                <w:rFonts w:hint="eastAsia" w:ascii="Times New Roman" w:hAnsi="Times New Roman" w:eastAsia="宋体" w:cs="Times New Roman"/>
                <w:color w:val="auto"/>
                <w:spacing w:val="-6"/>
                <w:sz w:val="24"/>
                <w:vertAlign w:val="subscript"/>
                <w:lang w:val="en-US" w:eastAsia="zh-CN"/>
              </w:rPr>
              <w:t>1</w:t>
            </w:r>
            <w:r>
              <w:rPr>
                <w:rFonts w:hint="eastAsia" w:ascii="Times New Roman" w:hAnsi="Times New Roman" w:eastAsia="宋体" w:cs="Times New Roman"/>
                <w:color w:val="auto"/>
                <w:spacing w:val="-6"/>
                <w:sz w:val="24"/>
                <w:lang w:val="en-US" w:eastAsia="zh-CN"/>
              </w:rPr>
              <w:t>）及噪声（N）。</w:t>
            </w:r>
          </w:p>
          <w:p w14:paraId="1A2B14FD">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fldChar w:fldCharType="begin"/>
            </w:r>
            <w:r>
              <w:rPr>
                <w:rFonts w:hint="eastAsia" w:ascii="Times New Roman" w:hAnsi="Times New Roman" w:eastAsia="宋体" w:cs="Times New Roman"/>
                <w:color w:val="auto"/>
                <w:sz w:val="24"/>
                <w:lang w:val="en-US" w:eastAsia="zh-CN"/>
              </w:rPr>
              <w:instrText xml:space="preserve"> = 2 \* GB3 \* MERGEFORMAT </w:instrText>
            </w:r>
            <w:r>
              <w:rPr>
                <w:rFonts w:hint="eastAsia" w:ascii="Times New Roman" w:hAnsi="Times New Roman" w:eastAsia="宋体" w:cs="Times New Roman"/>
                <w:color w:val="auto"/>
                <w:sz w:val="24"/>
                <w:lang w:val="en-US" w:eastAsia="zh-CN"/>
              </w:rPr>
              <w:fldChar w:fldCharType="separate"/>
            </w:r>
            <w:r>
              <w:rPr>
                <w:rFonts w:hint="eastAsia" w:ascii="Times New Roman" w:hAnsi="Times New Roman" w:eastAsia="宋体" w:cs="Times New Roman"/>
                <w:color w:val="auto"/>
                <w:sz w:val="24"/>
                <w:lang w:val="en-US" w:eastAsia="zh-CN"/>
              </w:rPr>
              <w:t>②</w:t>
            </w:r>
            <w:r>
              <w:rPr>
                <w:rFonts w:hint="eastAsia" w:ascii="Times New Roman" w:hAnsi="Times New Roman" w:eastAsia="宋体" w:cs="Times New Roman"/>
                <w:color w:val="auto"/>
                <w:sz w:val="24"/>
                <w:lang w:val="en-US" w:eastAsia="zh-CN"/>
              </w:rPr>
              <w:fldChar w:fldCharType="end"/>
            </w:r>
            <w:r>
              <w:rPr>
                <w:rFonts w:hint="eastAsia" w:ascii="Times New Roman" w:hAnsi="Times New Roman" w:eastAsia="宋体" w:cs="Times New Roman"/>
                <w:color w:val="auto"/>
                <w:sz w:val="24"/>
                <w:lang w:val="en-US" w:eastAsia="zh-CN"/>
              </w:rPr>
              <w:t>组立：将切割好的各构件在全自动组立机上进行组立，会产生噪声（N）。</w:t>
            </w:r>
          </w:p>
          <w:p w14:paraId="05B8D6F0">
            <w:pPr>
              <w:keepNext w:val="0"/>
              <w:keepLines w:val="0"/>
              <w:pageBreakBefore w:val="0"/>
              <w:widowControl w:val="0"/>
              <w:kinsoku/>
              <w:wordWrap/>
              <w:overflowPunct/>
              <w:topLinePunct w:val="0"/>
              <w:autoSpaceDE/>
              <w:autoSpaceDN/>
              <w:bidi w:val="0"/>
              <w:adjustRightInd/>
              <w:snapToGrid/>
              <w:spacing w:before="157" w:beforeLines="50" w:line="353"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fldChar w:fldCharType="begin"/>
            </w:r>
            <w:r>
              <w:rPr>
                <w:rFonts w:hint="eastAsia" w:ascii="Times New Roman" w:hAnsi="Times New Roman" w:eastAsia="宋体" w:cs="Times New Roman"/>
                <w:color w:val="auto"/>
                <w:sz w:val="24"/>
                <w:lang w:val="en-US" w:eastAsia="zh-CN"/>
              </w:rPr>
              <w:instrText xml:space="preserve"> = 3 \* GB3 \* MERGEFORMAT </w:instrText>
            </w:r>
            <w:r>
              <w:rPr>
                <w:rFonts w:hint="eastAsia" w:ascii="Times New Roman" w:hAnsi="Times New Roman" w:eastAsia="宋体" w:cs="Times New Roman"/>
                <w:color w:val="auto"/>
                <w:sz w:val="24"/>
                <w:lang w:val="en-US" w:eastAsia="zh-CN"/>
              </w:rPr>
              <w:fldChar w:fldCharType="separate"/>
            </w:r>
            <w:r>
              <w:rPr>
                <w:rFonts w:hint="eastAsia" w:ascii="Times New Roman" w:hAnsi="Times New Roman" w:eastAsia="宋体" w:cs="Times New Roman"/>
                <w:color w:val="auto"/>
                <w:sz w:val="24"/>
                <w:lang w:val="en-US" w:eastAsia="zh-CN"/>
              </w:rPr>
              <w:t>③</w:t>
            </w:r>
            <w:r>
              <w:rPr>
                <w:rFonts w:hint="eastAsia" w:ascii="Times New Roman" w:hAnsi="Times New Roman" w:eastAsia="宋体" w:cs="Times New Roman"/>
                <w:color w:val="auto"/>
                <w:sz w:val="24"/>
                <w:lang w:val="en-US" w:eastAsia="zh-CN"/>
              </w:rPr>
              <w:fldChar w:fldCharType="end"/>
            </w:r>
            <w:r>
              <w:rPr>
                <w:rFonts w:hint="eastAsia" w:ascii="Times New Roman" w:hAnsi="Times New Roman" w:eastAsia="宋体" w:cs="Times New Roman"/>
                <w:color w:val="auto"/>
                <w:sz w:val="24"/>
                <w:lang w:val="en-US" w:eastAsia="zh-CN"/>
              </w:rPr>
              <w:t>焊接：将组装好的生产配件按要求焊接在一起。使用焊机对组立的大型工件进行焊接，使用钻床对小型工件（如端头板、筋板等）进行加工，然后再将这些小型工件点焊组对在大型工件上。焊接区必须保持干燥</w:t>
            </w:r>
            <w:r>
              <w:rPr>
                <w:rFonts w:hint="eastAsia" w:cs="Times New Roman"/>
                <w:color w:val="auto"/>
                <w:sz w:val="24"/>
                <w:lang w:val="en-US" w:eastAsia="zh-CN"/>
              </w:rPr>
              <w:t>整洁</w:t>
            </w:r>
            <w:r>
              <w:rPr>
                <w:rFonts w:hint="eastAsia" w:ascii="Times New Roman" w:hAnsi="Times New Roman" w:eastAsia="宋体" w:cs="Times New Roman"/>
                <w:color w:val="auto"/>
                <w:sz w:val="24"/>
                <w:lang w:val="en-US" w:eastAsia="zh-CN"/>
              </w:rPr>
              <w:t>；焊缝的焊波应均匀，不得有裂纹、未熔合、夹渣、焊瘤、咬边、烧穿等。此工序会产生焊接烟尘（G</w:t>
            </w:r>
            <w:r>
              <w:rPr>
                <w:rFonts w:hint="eastAsia" w:ascii="Times New Roman" w:hAnsi="Times New Roman" w:eastAsia="宋体" w:cs="Times New Roman"/>
                <w:color w:val="auto"/>
                <w:sz w:val="24"/>
                <w:vertAlign w:val="subscript"/>
                <w:lang w:val="en-US" w:eastAsia="zh-CN"/>
              </w:rPr>
              <w:t>2</w:t>
            </w:r>
            <w:r>
              <w:rPr>
                <w:rFonts w:hint="eastAsia" w:ascii="Times New Roman" w:hAnsi="Times New Roman" w:eastAsia="宋体" w:cs="Times New Roman"/>
                <w:color w:val="auto"/>
                <w:sz w:val="24"/>
                <w:lang w:val="en-US" w:eastAsia="zh-CN"/>
              </w:rPr>
              <w:t>）、焊渣（S</w:t>
            </w:r>
            <w:r>
              <w:rPr>
                <w:rFonts w:hint="eastAsia" w:ascii="Times New Roman" w:hAnsi="Times New Roman" w:eastAsia="宋体" w:cs="Times New Roman"/>
                <w:color w:val="auto"/>
                <w:sz w:val="24"/>
                <w:vertAlign w:val="subscript"/>
                <w:lang w:val="en-US" w:eastAsia="zh-CN"/>
              </w:rPr>
              <w:t>2</w:t>
            </w:r>
            <w:r>
              <w:rPr>
                <w:rFonts w:hint="eastAsia" w:ascii="Times New Roman" w:hAnsi="Times New Roman" w:eastAsia="宋体" w:cs="Times New Roman"/>
                <w:color w:val="auto"/>
                <w:sz w:val="24"/>
                <w:lang w:val="en-US" w:eastAsia="zh-CN"/>
              </w:rPr>
              <w:t>）及噪声（N）。</w:t>
            </w:r>
          </w:p>
          <w:p w14:paraId="0E0F6D96">
            <w:pPr>
              <w:keepNext w:val="0"/>
              <w:keepLines w:val="0"/>
              <w:pageBreakBefore w:val="0"/>
              <w:widowControl w:val="0"/>
              <w:kinsoku/>
              <w:wordWrap/>
              <w:overflowPunct/>
              <w:topLinePunct w:val="0"/>
              <w:autoSpaceDE/>
              <w:autoSpaceDN/>
              <w:bidi w:val="0"/>
              <w:adjustRightInd/>
              <w:snapToGrid/>
              <w:spacing w:line="353"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fldChar w:fldCharType="begin"/>
            </w:r>
            <w:r>
              <w:rPr>
                <w:rFonts w:hint="eastAsia" w:ascii="Times New Roman" w:hAnsi="Times New Roman" w:eastAsia="宋体" w:cs="Times New Roman"/>
                <w:color w:val="auto"/>
                <w:sz w:val="24"/>
                <w:lang w:val="en-US" w:eastAsia="zh-CN"/>
              </w:rPr>
              <w:instrText xml:space="preserve"> = 4 \* GB3 \* MERGEFORMAT </w:instrText>
            </w:r>
            <w:r>
              <w:rPr>
                <w:rFonts w:hint="eastAsia" w:ascii="Times New Roman" w:hAnsi="Times New Roman" w:eastAsia="宋体" w:cs="Times New Roman"/>
                <w:color w:val="auto"/>
                <w:sz w:val="24"/>
                <w:lang w:val="en-US" w:eastAsia="zh-CN"/>
              </w:rPr>
              <w:fldChar w:fldCharType="separate"/>
            </w:r>
            <w:r>
              <w:rPr>
                <w:rFonts w:hint="eastAsia" w:ascii="Times New Roman" w:hAnsi="Times New Roman" w:eastAsia="宋体" w:cs="Times New Roman"/>
                <w:color w:val="auto"/>
                <w:sz w:val="24"/>
                <w:lang w:val="en-US" w:eastAsia="zh-CN"/>
              </w:rPr>
              <w:t>④</w:t>
            </w:r>
            <w:r>
              <w:rPr>
                <w:rFonts w:hint="eastAsia" w:ascii="Times New Roman" w:hAnsi="Times New Roman" w:eastAsia="宋体" w:cs="Times New Roman"/>
                <w:color w:val="auto"/>
                <w:sz w:val="24"/>
                <w:lang w:val="en-US" w:eastAsia="zh-CN"/>
              </w:rPr>
              <w:fldChar w:fldCharType="end"/>
            </w:r>
            <w:r>
              <w:rPr>
                <w:rFonts w:hint="eastAsia" w:ascii="Times New Roman" w:hAnsi="Times New Roman" w:eastAsia="宋体" w:cs="Times New Roman"/>
                <w:color w:val="auto"/>
                <w:sz w:val="24"/>
                <w:lang w:val="en-US" w:eastAsia="zh-CN"/>
              </w:rPr>
              <w:t>矫正：对初步焊接变形的结构件进行矫正处理，对部分钢材的边缘进行液压矫正，会产生噪声（N）。</w:t>
            </w:r>
          </w:p>
          <w:p w14:paraId="2EEF8C76">
            <w:pPr>
              <w:keepNext w:val="0"/>
              <w:keepLines w:val="0"/>
              <w:pageBreakBefore w:val="0"/>
              <w:widowControl w:val="0"/>
              <w:kinsoku/>
              <w:wordWrap/>
              <w:overflowPunct/>
              <w:topLinePunct w:val="0"/>
              <w:autoSpaceDE/>
              <w:autoSpaceDN/>
              <w:bidi w:val="0"/>
              <w:adjustRightInd/>
              <w:snapToGrid/>
              <w:spacing w:line="353" w:lineRule="auto"/>
              <w:ind w:firstLine="480" w:firstLineChars="200"/>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fldChar w:fldCharType="begin"/>
            </w:r>
            <w:r>
              <w:rPr>
                <w:rFonts w:hint="eastAsia" w:ascii="Times New Roman" w:hAnsi="Times New Roman" w:eastAsia="宋体" w:cs="Times New Roman"/>
                <w:color w:val="auto"/>
                <w:sz w:val="24"/>
                <w:lang w:val="en-US" w:eastAsia="zh-CN"/>
              </w:rPr>
              <w:instrText xml:space="preserve"> = 5 \* GB3 \* MERGEFORMAT </w:instrText>
            </w:r>
            <w:r>
              <w:rPr>
                <w:rFonts w:hint="eastAsia" w:ascii="Times New Roman" w:hAnsi="Times New Roman" w:eastAsia="宋体" w:cs="Times New Roman"/>
                <w:color w:val="auto"/>
                <w:sz w:val="24"/>
                <w:lang w:val="en-US" w:eastAsia="zh-CN"/>
              </w:rPr>
              <w:fldChar w:fldCharType="separate"/>
            </w:r>
            <w:r>
              <w:rPr>
                <w:rFonts w:hint="eastAsia" w:ascii="Times New Roman" w:hAnsi="Times New Roman" w:eastAsia="宋体" w:cs="Times New Roman"/>
                <w:color w:val="auto"/>
                <w:sz w:val="24"/>
                <w:lang w:val="en-US" w:eastAsia="zh-CN"/>
              </w:rPr>
              <w:t>⑤</w:t>
            </w:r>
            <w:r>
              <w:rPr>
                <w:rFonts w:hint="eastAsia" w:ascii="Times New Roman" w:hAnsi="Times New Roman" w:eastAsia="宋体" w:cs="Times New Roman"/>
                <w:color w:val="auto"/>
                <w:sz w:val="24"/>
                <w:lang w:val="en-US" w:eastAsia="zh-CN"/>
              </w:rPr>
              <w:fldChar w:fldCharType="end"/>
            </w:r>
            <w:r>
              <w:rPr>
                <w:rFonts w:hint="eastAsia" w:ascii="Times New Roman" w:hAnsi="Times New Roman" w:eastAsia="宋体" w:cs="Times New Roman"/>
                <w:color w:val="auto"/>
                <w:sz w:val="24"/>
                <w:lang w:val="en-US" w:eastAsia="zh-CN"/>
              </w:rPr>
              <w:t>打磨：对焊接后的结构件进行打磨处理，磨光因焊接造成的缝隙、粗糙面。此工序会产生打磨粉尘（G</w:t>
            </w:r>
            <w:r>
              <w:rPr>
                <w:rFonts w:hint="eastAsia" w:ascii="Times New Roman" w:hAnsi="Times New Roman" w:eastAsia="宋体" w:cs="Times New Roman"/>
                <w:color w:val="auto"/>
                <w:sz w:val="24"/>
                <w:vertAlign w:val="subscript"/>
                <w:lang w:val="en-US" w:eastAsia="zh-CN"/>
              </w:rPr>
              <w:t>3</w:t>
            </w:r>
            <w:r>
              <w:rPr>
                <w:rFonts w:hint="eastAsia" w:ascii="Times New Roman" w:hAnsi="Times New Roman" w:eastAsia="宋体" w:cs="Times New Roman"/>
                <w:color w:val="auto"/>
                <w:sz w:val="24"/>
                <w:lang w:val="en-US" w:eastAsia="zh-CN"/>
              </w:rPr>
              <w:t>）、</w:t>
            </w:r>
            <w:r>
              <w:rPr>
                <w:rFonts w:hint="eastAsia" w:cs="Times New Roman"/>
                <w:color w:val="auto"/>
                <w:sz w:val="24"/>
                <w:lang w:val="en-US" w:eastAsia="zh-CN"/>
              </w:rPr>
              <w:t>金属磨屑</w:t>
            </w:r>
            <w:r>
              <w:rPr>
                <w:rFonts w:hint="eastAsia" w:ascii="Times New Roman" w:hAnsi="Times New Roman" w:eastAsia="宋体" w:cs="Times New Roman"/>
                <w:color w:val="auto"/>
                <w:sz w:val="24"/>
                <w:lang w:val="en-US" w:eastAsia="zh-CN"/>
              </w:rPr>
              <w:t>（S</w:t>
            </w:r>
            <w:r>
              <w:rPr>
                <w:rFonts w:hint="eastAsia" w:ascii="Times New Roman" w:hAnsi="Times New Roman" w:eastAsia="宋体" w:cs="Times New Roman"/>
                <w:color w:val="auto"/>
                <w:sz w:val="24"/>
                <w:vertAlign w:val="subscript"/>
                <w:lang w:val="en-US" w:eastAsia="zh-CN"/>
              </w:rPr>
              <w:t>3</w:t>
            </w:r>
            <w:r>
              <w:rPr>
                <w:rFonts w:hint="eastAsia" w:ascii="Times New Roman" w:hAnsi="Times New Roman" w:eastAsia="宋体" w:cs="Times New Roman"/>
                <w:color w:val="auto"/>
                <w:sz w:val="24"/>
                <w:lang w:val="en-US" w:eastAsia="zh-CN"/>
              </w:rPr>
              <w:t>）及噪声（N）。</w:t>
            </w:r>
          </w:p>
          <w:p w14:paraId="7EBABF0C">
            <w:pPr>
              <w:keepNext w:val="0"/>
              <w:keepLines w:val="0"/>
              <w:pageBreakBefore w:val="0"/>
              <w:widowControl w:val="0"/>
              <w:kinsoku/>
              <w:wordWrap/>
              <w:overflowPunct/>
              <w:topLinePunct w:val="0"/>
              <w:autoSpaceDE/>
              <w:autoSpaceDN/>
              <w:bidi w:val="0"/>
              <w:adjustRightInd/>
              <w:snapToGrid/>
              <w:spacing w:line="353"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fldChar w:fldCharType="begin"/>
            </w:r>
            <w:r>
              <w:rPr>
                <w:rFonts w:hint="eastAsia" w:ascii="Times New Roman" w:hAnsi="Times New Roman" w:eastAsia="宋体" w:cs="Times New Roman"/>
                <w:color w:val="auto"/>
                <w:sz w:val="24"/>
                <w:lang w:val="en-US" w:eastAsia="zh-CN"/>
              </w:rPr>
              <w:instrText xml:space="preserve"> = 6 \* GB3 \* MERGEFORMAT </w:instrText>
            </w:r>
            <w:r>
              <w:rPr>
                <w:rFonts w:hint="eastAsia" w:ascii="Times New Roman" w:hAnsi="Times New Roman" w:eastAsia="宋体" w:cs="Times New Roman"/>
                <w:color w:val="auto"/>
                <w:sz w:val="24"/>
                <w:lang w:val="en-US" w:eastAsia="zh-CN"/>
              </w:rPr>
              <w:fldChar w:fldCharType="separate"/>
            </w:r>
            <w:r>
              <w:rPr>
                <w:rFonts w:hint="eastAsia" w:ascii="Times New Roman" w:hAnsi="Times New Roman" w:eastAsia="宋体" w:cs="Times New Roman"/>
                <w:color w:val="auto"/>
                <w:sz w:val="24"/>
                <w:lang w:val="en-US" w:eastAsia="zh-CN"/>
              </w:rPr>
              <w:t>⑥</w:t>
            </w:r>
            <w:r>
              <w:rPr>
                <w:rFonts w:hint="eastAsia" w:ascii="Times New Roman" w:hAnsi="Times New Roman" w:eastAsia="宋体" w:cs="Times New Roman"/>
                <w:color w:val="auto"/>
                <w:sz w:val="24"/>
                <w:lang w:val="en-US" w:eastAsia="zh-CN"/>
              </w:rPr>
              <w:fldChar w:fldCharType="end"/>
            </w:r>
            <w:r>
              <w:rPr>
                <w:rFonts w:hint="eastAsia" w:ascii="Times New Roman" w:hAnsi="Times New Roman" w:eastAsia="宋体" w:cs="Times New Roman"/>
                <w:color w:val="auto"/>
                <w:sz w:val="24"/>
                <w:lang w:val="en-US" w:eastAsia="zh-CN"/>
              </w:rPr>
              <w:t>抛丸除锈：抛丸</w:t>
            </w:r>
            <w:r>
              <w:rPr>
                <w:rFonts w:hint="eastAsia" w:cs="Times New Roman"/>
                <w:color w:val="auto"/>
                <w:sz w:val="24"/>
                <w:lang w:val="en-US" w:eastAsia="zh-CN"/>
              </w:rPr>
              <w:t>机通过</w:t>
            </w:r>
            <w:r>
              <w:rPr>
                <w:rFonts w:hint="eastAsia" w:ascii="Times New Roman" w:hAnsi="Times New Roman" w:eastAsia="宋体" w:cs="Times New Roman"/>
                <w:color w:val="auto"/>
                <w:sz w:val="24"/>
                <w:lang w:val="en-US" w:eastAsia="zh-CN"/>
              </w:rPr>
              <w:t>高速运动的钢丸流连续冲击工件表面，</w:t>
            </w:r>
            <w:r>
              <w:rPr>
                <w:rFonts w:hint="eastAsia" w:cs="Times New Roman"/>
                <w:color w:val="auto"/>
                <w:sz w:val="24"/>
                <w:lang w:val="en-US" w:eastAsia="zh-CN"/>
              </w:rPr>
              <w:t>从而清除</w:t>
            </w:r>
            <w:r>
              <w:rPr>
                <w:rFonts w:hint="eastAsia" w:ascii="Times New Roman" w:hAnsi="Times New Roman" w:eastAsia="宋体" w:cs="Times New Roman"/>
                <w:color w:val="auto"/>
                <w:sz w:val="24"/>
                <w:lang w:val="en-US" w:eastAsia="zh-CN"/>
              </w:rPr>
              <w:t>工件表面</w:t>
            </w:r>
            <w:r>
              <w:rPr>
                <w:rFonts w:hint="eastAsia" w:cs="Times New Roman"/>
                <w:color w:val="auto"/>
                <w:sz w:val="24"/>
                <w:lang w:val="en-US" w:eastAsia="zh-CN"/>
              </w:rPr>
              <w:t>锈层、氧化皮和焊渣等杂质</w:t>
            </w:r>
            <w:r>
              <w:rPr>
                <w:rFonts w:hint="eastAsia" w:ascii="Times New Roman" w:hAnsi="Times New Roman" w:eastAsia="宋体" w:cs="Times New Roman"/>
                <w:color w:val="auto"/>
                <w:sz w:val="24"/>
                <w:lang w:val="en-US" w:eastAsia="zh-CN"/>
              </w:rPr>
              <w:t>，</w:t>
            </w:r>
            <w:r>
              <w:rPr>
                <w:rFonts w:hint="eastAsia" w:cs="Times New Roman"/>
                <w:color w:val="auto"/>
                <w:sz w:val="24"/>
                <w:lang w:val="en-US" w:eastAsia="zh-CN"/>
              </w:rPr>
              <w:t>同时</w:t>
            </w:r>
            <w:r>
              <w:rPr>
                <w:rFonts w:hint="eastAsia" w:ascii="Times New Roman" w:hAnsi="Times New Roman" w:eastAsia="宋体" w:cs="Times New Roman"/>
                <w:color w:val="auto"/>
                <w:sz w:val="24"/>
                <w:lang w:val="en-US" w:eastAsia="zh-CN"/>
              </w:rPr>
              <w:t>可提高工件表面的光洁度，从而提高</w:t>
            </w:r>
            <w:r>
              <w:rPr>
                <w:rFonts w:hint="eastAsia" w:cs="Times New Roman"/>
                <w:color w:val="auto"/>
                <w:sz w:val="24"/>
                <w:lang w:val="en-US" w:eastAsia="zh-CN"/>
              </w:rPr>
              <w:t>涂料</w:t>
            </w:r>
            <w:r>
              <w:rPr>
                <w:rFonts w:hint="eastAsia" w:ascii="Times New Roman" w:hAnsi="Times New Roman" w:eastAsia="宋体" w:cs="Times New Roman"/>
                <w:color w:val="auto"/>
                <w:sz w:val="24"/>
                <w:lang w:val="en-US" w:eastAsia="zh-CN"/>
              </w:rPr>
              <w:t>的附着率。</w:t>
            </w:r>
            <w:r>
              <w:rPr>
                <w:rFonts w:hint="eastAsia" w:cs="Times New Roman"/>
                <w:color w:val="auto"/>
                <w:sz w:val="24"/>
                <w:lang w:val="en-US" w:eastAsia="zh-CN"/>
              </w:rPr>
              <w:t>整个过程在密闭空间内完成，抛射后的废钢丸与铁锈渣混合被收集至底部，废钢丸经抛丸机废料回收与分离系统回收循环使用，</w:t>
            </w:r>
            <w:r>
              <w:rPr>
                <w:rFonts w:hint="eastAsia" w:ascii="Times New Roman" w:hAnsi="Times New Roman" w:eastAsia="宋体" w:cs="Times New Roman"/>
                <w:color w:val="auto"/>
                <w:sz w:val="24"/>
                <w:lang w:val="en-US" w:eastAsia="zh-CN"/>
              </w:rPr>
              <w:t>此工序会产生抛丸粉尘（G</w:t>
            </w:r>
            <w:r>
              <w:rPr>
                <w:rFonts w:hint="eastAsia" w:ascii="Times New Roman" w:hAnsi="Times New Roman" w:eastAsia="宋体" w:cs="Times New Roman"/>
                <w:color w:val="auto"/>
                <w:sz w:val="24"/>
                <w:vertAlign w:val="subscript"/>
                <w:lang w:val="en-US" w:eastAsia="zh-CN"/>
              </w:rPr>
              <w:t>4</w:t>
            </w:r>
            <w:r>
              <w:rPr>
                <w:rFonts w:hint="eastAsia" w:ascii="Times New Roman" w:hAnsi="Times New Roman" w:eastAsia="宋体" w:cs="Times New Roman"/>
                <w:color w:val="auto"/>
                <w:sz w:val="24"/>
                <w:lang w:val="en-US" w:eastAsia="zh-CN"/>
              </w:rPr>
              <w:t>）、</w:t>
            </w:r>
            <w:r>
              <w:rPr>
                <w:rFonts w:hint="eastAsia" w:cs="Times New Roman"/>
                <w:color w:val="auto"/>
                <w:sz w:val="24"/>
                <w:lang w:val="en-US" w:eastAsia="zh-CN"/>
              </w:rPr>
              <w:t>铁锈渣</w:t>
            </w:r>
            <w:r>
              <w:rPr>
                <w:rFonts w:hint="eastAsia" w:ascii="Times New Roman" w:hAnsi="Times New Roman" w:eastAsia="宋体" w:cs="Times New Roman"/>
                <w:color w:val="auto"/>
                <w:sz w:val="24"/>
                <w:lang w:val="en-US" w:eastAsia="zh-CN"/>
              </w:rPr>
              <w:t>（S</w:t>
            </w:r>
            <w:r>
              <w:rPr>
                <w:rFonts w:hint="eastAsia" w:cs="Times New Roman"/>
                <w:color w:val="auto"/>
                <w:sz w:val="24"/>
                <w:vertAlign w:val="subscript"/>
                <w:lang w:val="en-US" w:eastAsia="zh-CN"/>
              </w:rPr>
              <w:t>4</w:t>
            </w:r>
            <w:r>
              <w:rPr>
                <w:rFonts w:hint="eastAsia" w:ascii="Times New Roman" w:hAnsi="Times New Roman" w:eastAsia="宋体" w:cs="Times New Roman"/>
                <w:color w:val="auto"/>
                <w:sz w:val="24"/>
                <w:lang w:val="en-US" w:eastAsia="zh-CN"/>
              </w:rPr>
              <w:t>）及噪声（N）。</w:t>
            </w:r>
          </w:p>
          <w:p w14:paraId="2D4B2F33">
            <w:pPr>
              <w:keepNext w:val="0"/>
              <w:keepLines w:val="0"/>
              <w:pageBreakBefore w:val="0"/>
              <w:widowControl w:val="0"/>
              <w:kinsoku/>
              <w:wordWrap/>
              <w:overflowPunct/>
              <w:topLinePunct w:val="0"/>
              <w:autoSpaceDE/>
              <w:autoSpaceDN/>
              <w:bidi w:val="0"/>
              <w:adjustRightInd/>
              <w:snapToGrid/>
              <w:spacing w:line="353"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fldChar w:fldCharType="begin"/>
            </w:r>
            <w:r>
              <w:rPr>
                <w:rFonts w:hint="eastAsia" w:ascii="Times New Roman" w:hAnsi="Times New Roman" w:eastAsia="宋体" w:cs="Times New Roman"/>
                <w:color w:val="auto"/>
                <w:sz w:val="24"/>
                <w:lang w:val="en-US" w:eastAsia="zh-CN"/>
              </w:rPr>
              <w:instrText xml:space="preserve"> = 7 \* GB3 \* MERGEFORMAT </w:instrText>
            </w:r>
            <w:r>
              <w:rPr>
                <w:rFonts w:hint="eastAsia" w:ascii="Times New Roman" w:hAnsi="Times New Roman" w:eastAsia="宋体" w:cs="Times New Roman"/>
                <w:color w:val="auto"/>
                <w:sz w:val="24"/>
                <w:lang w:val="en-US" w:eastAsia="zh-CN"/>
              </w:rPr>
              <w:fldChar w:fldCharType="separate"/>
            </w:r>
            <w:r>
              <w:rPr>
                <w:rFonts w:hint="eastAsia" w:ascii="Times New Roman" w:hAnsi="Times New Roman" w:eastAsia="宋体" w:cs="Times New Roman"/>
                <w:color w:val="auto"/>
                <w:sz w:val="24"/>
                <w:lang w:val="en-US" w:eastAsia="zh-CN"/>
              </w:rPr>
              <w:t>⑦</w:t>
            </w:r>
            <w:r>
              <w:rPr>
                <w:rFonts w:hint="eastAsia" w:ascii="Times New Roman" w:hAnsi="Times New Roman" w:eastAsia="宋体" w:cs="Times New Roman"/>
                <w:color w:val="auto"/>
                <w:sz w:val="24"/>
                <w:lang w:val="en-US" w:eastAsia="zh-CN"/>
              </w:rPr>
              <w:fldChar w:fldCharType="end"/>
            </w:r>
            <w:r>
              <w:rPr>
                <w:rFonts w:hint="eastAsia" w:ascii="Times New Roman" w:hAnsi="Times New Roman" w:eastAsia="宋体" w:cs="Times New Roman"/>
                <w:color w:val="auto"/>
                <w:sz w:val="24"/>
                <w:lang w:val="en-US" w:eastAsia="zh-CN"/>
              </w:rPr>
              <w:t>涂装：厂房内设密闭喷漆房，根据设计要求，选择相应的</w:t>
            </w:r>
            <w:r>
              <w:rPr>
                <w:rFonts w:hint="eastAsia" w:cs="Times New Roman"/>
                <w:color w:val="auto"/>
                <w:sz w:val="24"/>
                <w:lang w:val="en-US" w:eastAsia="zh-CN"/>
              </w:rPr>
              <w:t>涂料</w:t>
            </w:r>
            <w:r>
              <w:rPr>
                <w:rFonts w:hint="eastAsia" w:ascii="Times New Roman" w:hAnsi="Times New Roman" w:eastAsia="宋体" w:cs="Times New Roman"/>
                <w:color w:val="auto"/>
                <w:sz w:val="24"/>
                <w:lang w:val="en-US" w:eastAsia="zh-CN"/>
              </w:rPr>
              <w:t>，喷涂前需先在喷漆房内按比例进行调漆。工件通过地轨送至喷漆房内喷涂，满足喷涂厚度后，在喷漆房内晾干，喷漆房内温度高时自然晾干，</w:t>
            </w:r>
            <w:r>
              <w:rPr>
                <w:rFonts w:hint="eastAsia" w:ascii="Times New Roman" w:hAnsi="Times New Roman" w:eastAsia="宋体" w:cs="Times New Roman"/>
                <w:color w:val="0000FF"/>
                <w:sz w:val="24"/>
                <w:lang w:val="en-US" w:eastAsia="zh-CN"/>
              </w:rPr>
              <w:t>温度低时采用空气源热泵系统集中供热提升喷漆房内温度，</w:t>
            </w:r>
            <w:r>
              <w:rPr>
                <w:rFonts w:hint="eastAsia" w:ascii="Times New Roman" w:hAnsi="Times New Roman" w:eastAsia="宋体" w:cs="Times New Roman"/>
                <w:color w:val="auto"/>
                <w:sz w:val="24"/>
                <w:lang w:val="en-US" w:eastAsia="zh-CN"/>
              </w:rPr>
              <w:t>晾干时间根据漆品、喷涂厚度在0.5</w:t>
            </w:r>
            <w:r>
              <w:rPr>
                <w:rFonts w:hint="eastAsia" w:ascii="宋体" w:hAnsi="宋体" w:eastAsia="宋体" w:cs="宋体"/>
                <w:color w:val="auto"/>
                <w:sz w:val="24"/>
                <w:lang w:val="en-US" w:eastAsia="zh-CN"/>
              </w:rPr>
              <w:t>～</w:t>
            </w:r>
            <w:r>
              <w:rPr>
                <w:rFonts w:hint="eastAsia" w:ascii="Times New Roman" w:hAnsi="Times New Roman" w:eastAsia="宋体" w:cs="Times New Roman"/>
                <w:color w:val="auto"/>
                <w:sz w:val="24"/>
                <w:lang w:val="en-US" w:eastAsia="zh-CN"/>
              </w:rPr>
              <w:t>3h不等。项目使用先进喷涂设备及高品质</w:t>
            </w:r>
            <w:r>
              <w:rPr>
                <w:rFonts w:hint="eastAsia" w:cs="Times New Roman"/>
                <w:color w:val="auto"/>
                <w:sz w:val="24"/>
                <w:lang w:val="en-US" w:eastAsia="zh-CN"/>
              </w:rPr>
              <w:t>涂料</w:t>
            </w:r>
            <w:r>
              <w:rPr>
                <w:rFonts w:hint="eastAsia" w:ascii="Times New Roman" w:hAnsi="Times New Roman" w:eastAsia="宋体" w:cs="Times New Roman"/>
                <w:color w:val="auto"/>
                <w:sz w:val="24"/>
                <w:lang w:val="en-US" w:eastAsia="zh-CN"/>
              </w:rPr>
              <w:t>，涂装废气通过密闭负压收集，采用“干式漆雾过滤模组+活性炭吸附-脱附+催化燃烧装置”处理。此工序会产生涂装废气（G</w:t>
            </w:r>
            <w:r>
              <w:rPr>
                <w:rFonts w:hint="eastAsia" w:ascii="Times New Roman" w:hAnsi="Times New Roman" w:eastAsia="宋体" w:cs="Times New Roman"/>
                <w:color w:val="auto"/>
                <w:sz w:val="24"/>
                <w:vertAlign w:val="subscript"/>
                <w:lang w:val="en-US" w:eastAsia="zh-CN"/>
              </w:rPr>
              <w:t>5</w:t>
            </w:r>
            <w:r>
              <w:rPr>
                <w:rFonts w:hint="eastAsia" w:ascii="Times New Roman" w:hAnsi="Times New Roman" w:eastAsia="宋体" w:cs="Times New Roman"/>
                <w:color w:val="auto"/>
                <w:sz w:val="24"/>
                <w:lang w:val="en-US" w:eastAsia="zh-CN"/>
              </w:rPr>
              <w:t>）、漆渣及废过滤棉（S</w:t>
            </w:r>
            <w:r>
              <w:rPr>
                <w:rFonts w:hint="eastAsia" w:cs="Times New Roman"/>
                <w:color w:val="auto"/>
                <w:sz w:val="24"/>
                <w:vertAlign w:val="subscript"/>
                <w:lang w:val="en-US" w:eastAsia="zh-CN"/>
              </w:rPr>
              <w:t>5</w:t>
            </w:r>
            <w:r>
              <w:rPr>
                <w:rFonts w:hint="eastAsia" w:ascii="Times New Roman" w:hAnsi="Times New Roman" w:eastAsia="宋体" w:cs="Times New Roman"/>
                <w:color w:val="auto"/>
                <w:sz w:val="24"/>
                <w:lang w:val="en-US" w:eastAsia="zh-CN"/>
              </w:rPr>
              <w:t>）、废包装桶（S</w:t>
            </w:r>
            <w:r>
              <w:rPr>
                <w:rFonts w:hint="eastAsia" w:cs="Times New Roman"/>
                <w:color w:val="auto"/>
                <w:sz w:val="24"/>
                <w:vertAlign w:val="subscript"/>
                <w:lang w:val="en-US" w:eastAsia="zh-CN"/>
              </w:rPr>
              <w:t>6</w:t>
            </w:r>
            <w:r>
              <w:rPr>
                <w:rFonts w:hint="eastAsia" w:ascii="Times New Roman" w:hAnsi="Times New Roman" w:eastAsia="宋体" w:cs="Times New Roman"/>
                <w:color w:val="auto"/>
                <w:sz w:val="24"/>
                <w:lang w:val="en-US" w:eastAsia="zh-CN"/>
              </w:rPr>
              <w:t>）、废活性炭（S</w:t>
            </w:r>
            <w:r>
              <w:rPr>
                <w:rFonts w:hint="eastAsia" w:cs="Times New Roman"/>
                <w:color w:val="auto"/>
                <w:sz w:val="24"/>
                <w:vertAlign w:val="subscript"/>
                <w:lang w:val="en-US" w:eastAsia="zh-CN"/>
              </w:rPr>
              <w:t>7</w:t>
            </w:r>
            <w:r>
              <w:rPr>
                <w:rFonts w:hint="eastAsia" w:ascii="Times New Roman" w:hAnsi="Times New Roman" w:eastAsia="宋体" w:cs="Times New Roman"/>
                <w:color w:val="auto"/>
                <w:sz w:val="24"/>
                <w:lang w:val="en-US" w:eastAsia="zh-CN"/>
              </w:rPr>
              <w:t>）、废催化剂（S</w:t>
            </w:r>
            <w:r>
              <w:rPr>
                <w:rFonts w:hint="eastAsia" w:cs="Times New Roman"/>
                <w:color w:val="auto"/>
                <w:sz w:val="24"/>
                <w:vertAlign w:val="subscript"/>
                <w:lang w:val="en-US" w:eastAsia="zh-CN"/>
              </w:rPr>
              <w:t>8</w:t>
            </w:r>
            <w:r>
              <w:rPr>
                <w:rFonts w:hint="eastAsia" w:ascii="Times New Roman" w:hAnsi="Times New Roman" w:eastAsia="宋体" w:cs="Times New Roman"/>
                <w:color w:val="auto"/>
                <w:sz w:val="24"/>
                <w:lang w:val="en-US" w:eastAsia="zh-CN"/>
              </w:rPr>
              <w:t>）及噪声（N）。</w:t>
            </w:r>
          </w:p>
          <w:p w14:paraId="6F51A2BC">
            <w:pPr>
              <w:keepNext w:val="0"/>
              <w:keepLines w:val="0"/>
              <w:pageBreakBefore w:val="0"/>
              <w:widowControl w:val="0"/>
              <w:kinsoku/>
              <w:wordWrap/>
              <w:overflowPunct/>
              <w:topLinePunct w:val="0"/>
              <w:autoSpaceDE/>
              <w:autoSpaceDN/>
              <w:bidi w:val="0"/>
              <w:adjustRightInd/>
              <w:snapToGrid/>
              <w:spacing w:line="353"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fldChar w:fldCharType="begin"/>
            </w:r>
            <w:r>
              <w:rPr>
                <w:rFonts w:hint="eastAsia" w:ascii="Times New Roman" w:hAnsi="Times New Roman" w:eastAsia="宋体" w:cs="Times New Roman"/>
                <w:color w:val="auto"/>
                <w:sz w:val="24"/>
                <w:lang w:val="en-US" w:eastAsia="zh-CN"/>
              </w:rPr>
              <w:instrText xml:space="preserve"> = 8 \* GB3 \* MERGEFORMAT </w:instrText>
            </w:r>
            <w:r>
              <w:rPr>
                <w:rFonts w:hint="eastAsia" w:ascii="Times New Roman" w:hAnsi="Times New Roman" w:eastAsia="宋体" w:cs="Times New Roman"/>
                <w:color w:val="auto"/>
                <w:sz w:val="24"/>
                <w:lang w:val="en-US" w:eastAsia="zh-CN"/>
              </w:rPr>
              <w:fldChar w:fldCharType="separate"/>
            </w:r>
            <w:r>
              <w:rPr>
                <w:rFonts w:hint="eastAsia" w:ascii="Times New Roman" w:hAnsi="Times New Roman" w:eastAsia="宋体" w:cs="Times New Roman"/>
                <w:color w:val="auto"/>
                <w:sz w:val="24"/>
                <w:lang w:val="en-US" w:eastAsia="zh-CN"/>
              </w:rPr>
              <w:t>⑧</w:t>
            </w:r>
            <w:r>
              <w:rPr>
                <w:rFonts w:hint="eastAsia" w:ascii="Times New Roman" w:hAnsi="Times New Roman" w:eastAsia="宋体" w:cs="Times New Roman"/>
                <w:color w:val="auto"/>
                <w:sz w:val="24"/>
                <w:lang w:val="en-US" w:eastAsia="zh-CN"/>
              </w:rPr>
              <w:fldChar w:fldCharType="end"/>
            </w:r>
            <w:r>
              <w:rPr>
                <w:rFonts w:hint="eastAsia" w:ascii="Times New Roman" w:hAnsi="Times New Roman" w:eastAsia="宋体" w:cs="Times New Roman"/>
                <w:color w:val="auto"/>
                <w:sz w:val="24"/>
                <w:lang w:val="en-US" w:eastAsia="zh-CN"/>
              </w:rPr>
              <w:t>成品：晾干后的合格结构件转运至堆场暂存，拉运外售。</w:t>
            </w:r>
          </w:p>
          <w:p w14:paraId="36AF0FC3">
            <w:pPr>
              <w:keepNext w:val="0"/>
              <w:keepLines w:val="0"/>
              <w:pageBreakBefore w:val="0"/>
              <w:widowControl w:val="0"/>
              <w:kinsoku/>
              <w:wordWrap/>
              <w:overflowPunct/>
              <w:topLinePunct w:val="0"/>
              <w:autoSpaceDE/>
              <w:autoSpaceDN/>
              <w:bidi w:val="0"/>
              <w:adjustRightInd/>
              <w:snapToGrid/>
              <w:spacing w:line="353"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（3）产污环节分析</w:t>
            </w:r>
          </w:p>
          <w:p w14:paraId="158A3E54">
            <w:pPr>
              <w:keepNext w:val="0"/>
              <w:keepLines w:val="0"/>
              <w:pageBreakBefore w:val="0"/>
              <w:widowControl w:val="0"/>
              <w:kinsoku/>
              <w:wordWrap/>
              <w:overflowPunct/>
              <w:topLinePunct w:val="0"/>
              <w:autoSpaceDE/>
              <w:autoSpaceDN/>
              <w:bidi w:val="0"/>
              <w:adjustRightInd/>
              <w:snapToGrid/>
              <w:spacing w:line="353"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根据工艺流程分析，本项目运营期主要污染源排放情况见表2-</w:t>
            </w:r>
            <w:r>
              <w:rPr>
                <w:rFonts w:hint="eastAsia" w:cs="Times New Roman"/>
                <w:color w:val="auto"/>
                <w:sz w:val="24"/>
                <w:lang w:val="en-US" w:eastAsia="zh-CN"/>
              </w:rPr>
              <w:t>11</w:t>
            </w:r>
            <w:r>
              <w:rPr>
                <w:rFonts w:hint="eastAsia" w:ascii="Times New Roman" w:hAnsi="Times New Roman" w:eastAsia="宋体" w:cs="Times New Roman"/>
                <w:color w:val="auto"/>
                <w:sz w:val="24"/>
                <w:lang w:val="en-US" w:eastAsia="zh-CN"/>
              </w:rPr>
              <w:t>。</w:t>
            </w:r>
          </w:p>
          <w:p w14:paraId="023331F0">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2-</w:t>
            </w:r>
            <w:r>
              <w:rPr>
                <w:rFonts w:hint="eastAsia" w:cs="Times New Roman"/>
                <w:b/>
                <w:bCs/>
                <w:color w:val="auto"/>
                <w:lang w:val="en-US" w:eastAsia="zh-CN"/>
              </w:rPr>
              <w:t>11</w:t>
            </w:r>
            <w:r>
              <w:rPr>
                <w:rFonts w:hint="default" w:ascii="Times New Roman" w:hAnsi="Times New Roman" w:eastAsia="宋体" w:cs="Times New Roman"/>
                <w:b/>
                <w:bCs/>
                <w:color w:val="auto"/>
              </w:rPr>
              <w:t xml:space="preserve"> 运营期主要污染源污染物排放情况表</w:t>
            </w:r>
          </w:p>
          <w:tbl>
            <w:tblPr>
              <w:tblStyle w:val="26"/>
              <w:tblW w:w="4993"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76"/>
              <w:gridCol w:w="697"/>
              <w:gridCol w:w="1228"/>
              <w:gridCol w:w="1860"/>
              <w:gridCol w:w="3680"/>
            </w:tblGrid>
            <w:tr w14:paraId="79C62E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5" w:type="pct"/>
                  <w:noWrap w:val="0"/>
                  <w:vAlign w:val="center"/>
                </w:tcPr>
                <w:p w14:paraId="04275336">
                  <w:pPr>
                    <w:adjustRightInd w:val="0"/>
                    <w:snapToGrid w:val="0"/>
                    <w:jc w:val="center"/>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类别</w:t>
                  </w:r>
                </w:p>
              </w:tc>
              <w:tc>
                <w:tcPr>
                  <w:tcW w:w="428" w:type="pct"/>
                  <w:tcBorders>
                    <w:bottom w:val="single" w:color="auto" w:sz="12" w:space="0"/>
                  </w:tcBorders>
                  <w:noWrap w:val="0"/>
                  <w:vAlign w:val="center"/>
                </w:tcPr>
                <w:p w14:paraId="332BC41F">
                  <w:pPr>
                    <w:adjustRightInd w:val="0"/>
                    <w:snapToGrid w:val="0"/>
                    <w:jc w:val="center"/>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编号</w:t>
                  </w:r>
                </w:p>
              </w:tc>
              <w:tc>
                <w:tcPr>
                  <w:tcW w:w="754" w:type="pct"/>
                  <w:tcBorders>
                    <w:bottom w:val="single" w:color="auto" w:sz="12" w:space="0"/>
                  </w:tcBorders>
                  <w:noWrap w:val="0"/>
                  <w:vAlign w:val="center"/>
                </w:tcPr>
                <w:p w14:paraId="3BDD525C">
                  <w:pPr>
                    <w:adjustRightInd w:val="0"/>
                    <w:snapToGrid w:val="0"/>
                    <w:jc w:val="center"/>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产污环节</w:t>
                  </w:r>
                </w:p>
              </w:tc>
              <w:tc>
                <w:tcPr>
                  <w:tcW w:w="1142" w:type="pct"/>
                  <w:tcBorders>
                    <w:bottom w:val="single" w:color="auto" w:sz="12" w:space="0"/>
                  </w:tcBorders>
                  <w:noWrap w:val="0"/>
                  <w:vAlign w:val="center"/>
                </w:tcPr>
                <w:p w14:paraId="01CA12AD">
                  <w:pPr>
                    <w:adjustRightInd w:val="0"/>
                    <w:snapToGrid w:val="0"/>
                    <w:jc w:val="center"/>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主要污染物</w:t>
                  </w:r>
                </w:p>
              </w:tc>
              <w:tc>
                <w:tcPr>
                  <w:tcW w:w="2260" w:type="pct"/>
                  <w:tcBorders>
                    <w:bottom w:val="single" w:color="auto" w:sz="12" w:space="0"/>
                  </w:tcBorders>
                  <w:noWrap w:val="0"/>
                  <w:vAlign w:val="center"/>
                </w:tcPr>
                <w:p w14:paraId="04E9ADB4">
                  <w:pPr>
                    <w:adjustRightInd w:val="0"/>
                    <w:snapToGrid w:val="0"/>
                    <w:jc w:val="center"/>
                    <w:rPr>
                      <w:rFonts w:hint="default" w:ascii="Times New Roman" w:hAnsi="Times New Roman" w:eastAsia="宋体" w:cs="Times New Roman"/>
                      <w:b/>
                      <w:bCs/>
                      <w:color w:val="auto"/>
                      <w:lang w:val="en-US" w:eastAsia="zh-CN"/>
                    </w:rPr>
                  </w:pPr>
                  <w:r>
                    <w:rPr>
                      <w:rFonts w:hint="eastAsia"/>
                      <w:b/>
                      <w:bCs/>
                      <w:color w:val="auto"/>
                      <w:highlight w:val="none"/>
                      <w:lang w:eastAsia="zh-CN"/>
                    </w:rPr>
                    <w:t>污染防治措施</w:t>
                  </w:r>
                </w:p>
              </w:tc>
            </w:tr>
            <w:tr w14:paraId="5ED22A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415" w:type="pct"/>
                  <w:tcBorders>
                    <w:top w:val="single" w:color="auto" w:sz="12" w:space="0"/>
                  </w:tcBorders>
                  <w:noWrap w:val="0"/>
                  <w:vAlign w:val="center"/>
                </w:tcPr>
                <w:p w14:paraId="0CEBFEB3">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废气</w:t>
                  </w:r>
                </w:p>
              </w:tc>
              <w:tc>
                <w:tcPr>
                  <w:tcW w:w="428" w:type="pct"/>
                  <w:tcBorders>
                    <w:top w:val="single" w:color="auto" w:sz="12" w:space="0"/>
                  </w:tcBorders>
                  <w:noWrap w:val="0"/>
                  <w:vAlign w:val="center"/>
                </w:tcPr>
                <w:p w14:paraId="6C892C9B">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G</w:t>
                  </w:r>
                  <w:r>
                    <w:rPr>
                      <w:rFonts w:hint="eastAsia" w:ascii="Times New Roman" w:hAnsi="Times New Roman" w:eastAsia="宋体" w:cs="Times New Roman"/>
                      <w:color w:val="auto"/>
                      <w:vertAlign w:val="subscript"/>
                      <w:lang w:val="en-US" w:eastAsia="zh-CN"/>
                    </w:rPr>
                    <w:t>1</w:t>
                  </w:r>
                </w:p>
              </w:tc>
              <w:tc>
                <w:tcPr>
                  <w:tcW w:w="754" w:type="pct"/>
                  <w:tcBorders>
                    <w:top w:val="single" w:color="auto" w:sz="12" w:space="0"/>
                  </w:tcBorders>
                  <w:noWrap w:val="0"/>
                  <w:vAlign w:val="center"/>
                </w:tcPr>
                <w:p w14:paraId="4E79F9B1">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切割</w:t>
                  </w:r>
                </w:p>
              </w:tc>
              <w:tc>
                <w:tcPr>
                  <w:tcW w:w="1142" w:type="pct"/>
                  <w:tcBorders>
                    <w:top w:val="single" w:color="auto" w:sz="12" w:space="0"/>
                  </w:tcBorders>
                  <w:noWrap w:val="0"/>
                  <w:vAlign w:val="center"/>
                </w:tcPr>
                <w:p w14:paraId="26565D8A">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颗粒物</w:t>
                  </w:r>
                </w:p>
              </w:tc>
              <w:tc>
                <w:tcPr>
                  <w:tcW w:w="2260" w:type="pct"/>
                  <w:tcBorders>
                    <w:top w:val="single" w:color="auto" w:sz="12" w:space="0"/>
                  </w:tcBorders>
                  <w:noWrap w:val="0"/>
                  <w:vAlign w:val="center"/>
                </w:tcPr>
                <w:p w14:paraId="516EFA17">
                  <w:pPr>
                    <w:adjustRightInd w:val="0"/>
                    <w:snapToGrid w:val="0"/>
                    <w:spacing w:line="260" w:lineRule="exact"/>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激光切割机自带袋式除尘器，火焰切割机设移动式烟尘净化器，未被收集的切割粉尘在厂房内无组织排放。</w:t>
                  </w:r>
                </w:p>
              </w:tc>
            </w:tr>
          </w:tbl>
          <w:p w14:paraId="7D5F1540">
            <w:pPr>
              <w:keepNext w:val="0"/>
              <w:keepLines w:val="0"/>
              <w:pageBreakBefore w:val="0"/>
              <w:widowControl w:val="0"/>
              <w:kinsoku/>
              <w:wordWrap/>
              <w:overflowPunct/>
              <w:topLinePunct w:val="0"/>
              <w:autoSpaceDE/>
              <w:autoSpaceDN/>
              <w:bidi w:val="0"/>
              <w:adjustRightInd/>
              <w:snapToGrid/>
              <w:spacing w:before="157" w:beforeLines="50" w:line="300" w:lineRule="auto"/>
              <w:jc w:val="right"/>
              <w:textAlignment w:val="auto"/>
              <w:rPr>
                <w:rFonts w:hint="default" w:ascii="Times New Roman" w:hAnsi="Times New Roman" w:eastAsia="宋体" w:cs="Times New Roman"/>
                <w:b/>
                <w:bCs/>
                <w:color w:val="auto"/>
              </w:rPr>
            </w:pPr>
            <w:r>
              <w:rPr>
                <w:rFonts w:hint="eastAsia" w:cs="Times New Roman"/>
                <w:b/>
                <w:bCs/>
                <w:color w:val="auto"/>
                <w:lang w:val="en-US" w:eastAsia="zh-CN"/>
              </w:rPr>
              <w:t>续</w:t>
            </w:r>
            <w:r>
              <w:rPr>
                <w:rFonts w:hint="default"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2-</w:t>
            </w:r>
            <w:r>
              <w:rPr>
                <w:rFonts w:hint="eastAsia" w:cs="Times New Roman"/>
                <w:b/>
                <w:bCs/>
                <w:color w:val="auto"/>
                <w:lang w:val="en-US" w:eastAsia="zh-CN"/>
              </w:rPr>
              <w:t>11</w:t>
            </w:r>
          </w:p>
          <w:tbl>
            <w:tblPr>
              <w:tblStyle w:val="26"/>
              <w:tblW w:w="504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76"/>
              <w:gridCol w:w="2"/>
              <w:gridCol w:w="695"/>
              <w:gridCol w:w="4"/>
              <w:gridCol w:w="1224"/>
              <w:gridCol w:w="5"/>
              <w:gridCol w:w="1855"/>
              <w:gridCol w:w="6"/>
              <w:gridCol w:w="3674"/>
              <w:gridCol w:w="90"/>
            </w:tblGrid>
            <w:tr w14:paraId="16CB86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54" w:type="pct"/>
                <w:trHeight w:val="369" w:hRule="atLeast"/>
                <w:jc w:val="center"/>
              </w:trPr>
              <w:tc>
                <w:tcPr>
                  <w:tcW w:w="410" w:type="pct"/>
                  <w:noWrap w:val="0"/>
                  <w:vAlign w:val="center"/>
                </w:tcPr>
                <w:p w14:paraId="02ECBF14">
                  <w:pPr>
                    <w:adjustRightInd w:val="0"/>
                    <w:snapToGrid w:val="0"/>
                    <w:jc w:val="center"/>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类别</w:t>
                  </w:r>
                </w:p>
              </w:tc>
              <w:tc>
                <w:tcPr>
                  <w:tcW w:w="423" w:type="pct"/>
                  <w:gridSpan w:val="2"/>
                  <w:tcBorders>
                    <w:bottom w:val="single" w:color="auto" w:sz="12" w:space="0"/>
                  </w:tcBorders>
                  <w:noWrap w:val="0"/>
                  <w:vAlign w:val="center"/>
                </w:tcPr>
                <w:p w14:paraId="2D86936C">
                  <w:pPr>
                    <w:adjustRightInd w:val="0"/>
                    <w:snapToGrid w:val="0"/>
                    <w:jc w:val="center"/>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编号</w:t>
                  </w:r>
                </w:p>
              </w:tc>
              <w:tc>
                <w:tcPr>
                  <w:tcW w:w="745" w:type="pct"/>
                  <w:gridSpan w:val="2"/>
                  <w:tcBorders>
                    <w:bottom w:val="single" w:color="auto" w:sz="12" w:space="0"/>
                  </w:tcBorders>
                  <w:noWrap w:val="0"/>
                  <w:vAlign w:val="center"/>
                </w:tcPr>
                <w:p w14:paraId="61D9939C">
                  <w:pPr>
                    <w:adjustRightInd w:val="0"/>
                    <w:snapToGrid w:val="0"/>
                    <w:jc w:val="center"/>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产污环节</w:t>
                  </w:r>
                </w:p>
              </w:tc>
              <w:tc>
                <w:tcPr>
                  <w:tcW w:w="1129" w:type="pct"/>
                  <w:gridSpan w:val="2"/>
                  <w:tcBorders>
                    <w:bottom w:val="single" w:color="auto" w:sz="12" w:space="0"/>
                  </w:tcBorders>
                  <w:noWrap w:val="0"/>
                  <w:vAlign w:val="center"/>
                </w:tcPr>
                <w:p w14:paraId="3FB78FC5">
                  <w:pPr>
                    <w:adjustRightInd w:val="0"/>
                    <w:snapToGrid w:val="0"/>
                    <w:jc w:val="center"/>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主要污染物</w:t>
                  </w:r>
                </w:p>
              </w:tc>
              <w:tc>
                <w:tcPr>
                  <w:tcW w:w="2235" w:type="pct"/>
                  <w:gridSpan w:val="2"/>
                  <w:tcBorders>
                    <w:bottom w:val="single" w:color="auto" w:sz="12" w:space="0"/>
                  </w:tcBorders>
                  <w:noWrap w:val="0"/>
                  <w:vAlign w:val="center"/>
                </w:tcPr>
                <w:p w14:paraId="226345C5">
                  <w:pPr>
                    <w:adjustRightInd w:val="0"/>
                    <w:snapToGrid w:val="0"/>
                    <w:jc w:val="center"/>
                    <w:rPr>
                      <w:rFonts w:hint="default" w:ascii="Times New Roman" w:hAnsi="Times New Roman" w:eastAsia="宋体" w:cs="Times New Roman"/>
                      <w:b/>
                      <w:bCs/>
                      <w:color w:val="auto"/>
                      <w:lang w:val="en-US" w:eastAsia="zh-CN"/>
                    </w:rPr>
                  </w:pPr>
                  <w:r>
                    <w:rPr>
                      <w:rFonts w:hint="eastAsia"/>
                      <w:b/>
                      <w:bCs/>
                      <w:color w:val="auto"/>
                      <w:highlight w:val="none"/>
                      <w:lang w:eastAsia="zh-CN"/>
                    </w:rPr>
                    <w:t>污染防治措施</w:t>
                  </w:r>
                </w:p>
              </w:tc>
            </w:tr>
            <w:tr w14:paraId="66859B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54" w:type="pct"/>
                <w:trHeight w:val="425" w:hRule="atLeast"/>
                <w:jc w:val="center"/>
              </w:trPr>
              <w:tc>
                <w:tcPr>
                  <w:tcW w:w="410" w:type="pct"/>
                  <w:vMerge w:val="restart"/>
                  <w:tcBorders>
                    <w:top w:val="single" w:color="auto" w:sz="12" w:space="0"/>
                  </w:tcBorders>
                  <w:noWrap w:val="0"/>
                  <w:vAlign w:val="center"/>
                </w:tcPr>
                <w:p w14:paraId="232C5796">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废气</w:t>
                  </w:r>
                </w:p>
              </w:tc>
              <w:tc>
                <w:tcPr>
                  <w:tcW w:w="423" w:type="pct"/>
                  <w:gridSpan w:val="2"/>
                  <w:tcBorders>
                    <w:top w:val="single" w:color="auto" w:sz="12" w:space="0"/>
                  </w:tcBorders>
                  <w:shd w:val="clear" w:color="auto" w:fill="auto"/>
                  <w:noWrap w:val="0"/>
                  <w:vAlign w:val="center"/>
                </w:tcPr>
                <w:p w14:paraId="06165677">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G</w:t>
                  </w:r>
                  <w:r>
                    <w:rPr>
                      <w:rFonts w:hint="eastAsia" w:ascii="Times New Roman" w:hAnsi="Times New Roman" w:eastAsia="宋体" w:cs="Times New Roman"/>
                      <w:color w:val="auto"/>
                      <w:vertAlign w:val="subscript"/>
                      <w:lang w:val="en-US" w:eastAsia="zh-CN"/>
                    </w:rPr>
                    <w:t>2</w:t>
                  </w:r>
                </w:p>
              </w:tc>
              <w:tc>
                <w:tcPr>
                  <w:tcW w:w="745" w:type="pct"/>
                  <w:gridSpan w:val="2"/>
                  <w:tcBorders>
                    <w:top w:val="single" w:color="auto" w:sz="12" w:space="0"/>
                  </w:tcBorders>
                  <w:shd w:val="clear" w:color="auto" w:fill="auto"/>
                  <w:noWrap w:val="0"/>
                  <w:vAlign w:val="center"/>
                </w:tcPr>
                <w:p w14:paraId="4254EA4A">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焊接</w:t>
                  </w:r>
                </w:p>
              </w:tc>
              <w:tc>
                <w:tcPr>
                  <w:tcW w:w="1129" w:type="pct"/>
                  <w:gridSpan w:val="2"/>
                  <w:tcBorders>
                    <w:top w:val="single" w:color="auto" w:sz="12" w:space="0"/>
                  </w:tcBorders>
                  <w:shd w:val="clear" w:color="auto" w:fill="auto"/>
                  <w:noWrap w:val="0"/>
                  <w:vAlign w:val="center"/>
                </w:tcPr>
                <w:p w14:paraId="28ED4B88">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颗粒物</w:t>
                  </w:r>
                </w:p>
              </w:tc>
              <w:tc>
                <w:tcPr>
                  <w:tcW w:w="2235" w:type="pct"/>
                  <w:gridSpan w:val="2"/>
                  <w:vMerge w:val="restart"/>
                  <w:tcBorders>
                    <w:top w:val="single" w:color="auto" w:sz="12" w:space="0"/>
                  </w:tcBorders>
                  <w:noWrap w:val="0"/>
                  <w:vAlign w:val="center"/>
                </w:tcPr>
                <w:p w14:paraId="6928CD9F">
                  <w:pPr>
                    <w:adjustRightInd w:val="0"/>
                    <w:snapToGrid w:val="0"/>
                    <w:spacing w:line="260" w:lineRule="exact"/>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焊接、打磨废气由高效</w:t>
                  </w:r>
                  <w:r>
                    <w:rPr>
                      <w:rFonts w:hint="default" w:ascii="Times New Roman" w:hAnsi="Times New Roman" w:eastAsia="宋体" w:cs="Times New Roman"/>
                      <w:color w:val="auto"/>
                      <w:lang w:val="en-US" w:eastAsia="zh-CN"/>
                    </w:rPr>
                    <w:t>集气系统</w:t>
                  </w:r>
                  <w:r>
                    <w:rPr>
                      <w:rFonts w:hint="eastAsia" w:ascii="Times New Roman" w:hAnsi="Times New Roman" w:eastAsia="宋体" w:cs="Times New Roman"/>
                      <w:color w:val="auto"/>
                      <w:lang w:val="en-US" w:eastAsia="zh-CN"/>
                    </w:rPr>
                    <w:t>收集，采用</w:t>
                  </w:r>
                  <w:r>
                    <w:rPr>
                      <w:rFonts w:hint="default" w:ascii="Times New Roman" w:hAnsi="Times New Roman" w:eastAsia="宋体" w:cs="Times New Roman"/>
                      <w:color w:val="0000FF"/>
                      <w:lang w:val="en-US" w:eastAsia="zh-CN"/>
                    </w:rPr>
                    <w:t>气箱式脉冲袋式除尘器</w:t>
                  </w:r>
                  <w:r>
                    <w:rPr>
                      <w:rFonts w:hint="eastAsia" w:ascii="Times New Roman" w:hAnsi="Times New Roman" w:eastAsia="宋体" w:cs="Times New Roman"/>
                      <w:color w:val="auto"/>
                      <w:lang w:val="en-US" w:eastAsia="zh-CN"/>
                    </w:rPr>
                    <w:t>处理后通过15</w:t>
                  </w:r>
                  <w:r>
                    <w:rPr>
                      <w:rFonts w:hint="default" w:ascii="Times New Roman" w:hAnsi="Times New Roman" w:eastAsia="宋体" w:cs="Times New Roman"/>
                      <w:color w:val="auto"/>
                      <w:lang w:val="en-US" w:eastAsia="zh-CN"/>
                    </w:rPr>
                    <w:t>m排气筒</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DA00</w:t>
                  </w:r>
                  <w:r>
                    <w:rPr>
                      <w:rFonts w:hint="eastAsia" w:ascii="Times New Roman" w:hAnsi="Times New Roman" w:eastAsia="宋体" w:cs="Times New Roman"/>
                      <w:color w:val="auto"/>
                      <w:lang w:val="en-US" w:eastAsia="zh-CN"/>
                    </w:rPr>
                    <w:t>1）</w:t>
                  </w:r>
                  <w:r>
                    <w:rPr>
                      <w:rFonts w:hint="default" w:ascii="Times New Roman" w:hAnsi="Times New Roman" w:eastAsia="宋体" w:cs="Times New Roman"/>
                      <w:color w:val="auto"/>
                      <w:lang w:val="en-US" w:eastAsia="zh-CN"/>
                    </w:rPr>
                    <w:t>排放</w:t>
                  </w:r>
                  <w:r>
                    <w:rPr>
                      <w:rFonts w:hint="eastAsia" w:ascii="Times New Roman" w:hAnsi="Times New Roman" w:eastAsia="宋体" w:cs="Times New Roman"/>
                      <w:color w:val="auto"/>
                      <w:lang w:val="en-US" w:eastAsia="zh-CN"/>
                    </w:rPr>
                    <w:t>。</w:t>
                  </w:r>
                </w:p>
              </w:tc>
            </w:tr>
            <w:tr w14:paraId="1E801A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54" w:type="pct"/>
                <w:trHeight w:val="425" w:hRule="atLeast"/>
                <w:jc w:val="center"/>
              </w:trPr>
              <w:tc>
                <w:tcPr>
                  <w:tcW w:w="410" w:type="pct"/>
                  <w:vMerge w:val="continue"/>
                  <w:noWrap w:val="0"/>
                  <w:vAlign w:val="center"/>
                </w:tcPr>
                <w:p w14:paraId="069E9424">
                  <w:pPr>
                    <w:adjustRightInd w:val="0"/>
                    <w:snapToGrid w:val="0"/>
                    <w:jc w:val="center"/>
                    <w:rPr>
                      <w:rFonts w:hint="eastAsia" w:ascii="Times New Roman" w:hAnsi="Times New Roman" w:eastAsia="宋体" w:cs="Times New Roman"/>
                      <w:color w:val="auto"/>
                      <w:lang w:val="en-US" w:eastAsia="zh-CN"/>
                    </w:rPr>
                  </w:pPr>
                </w:p>
              </w:tc>
              <w:tc>
                <w:tcPr>
                  <w:tcW w:w="423" w:type="pct"/>
                  <w:gridSpan w:val="2"/>
                  <w:noWrap w:val="0"/>
                  <w:vAlign w:val="center"/>
                </w:tcPr>
                <w:p w14:paraId="7582A3E1">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G</w:t>
                  </w:r>
                  <w:r>
                    <w:rPr>
                      <w:rFonts w:hint="eastAsia" w:ascii="Times New Roman" w:hAnsi="Times New Roman" w:eastAsia="宋体" w:cs="Times New Roman"/>
                      <w:color w:val="auto"/>
                      <w:vertAlign w:val="subscript"/>
                      <w:lang w:val="en-US" w:eastAsia="zh-CN"/>
                    </w:rPr>
                    <w:t>3</w:t>
                  </w:r>
                </w:p>
              </w:tc>
              <w:tc>
                <w:tcPr>
                  <w:tcW w:w="745" w:type="pct"/>
                  <w:gridSpan w:val="2"/>
                  <w:noWrap w:val="0"/>
                  <w:vAlign w:val="center"/>
                </w:tcPr>
                <w:p w14:paraId="0AC13A49">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打磨</w:t>
                  </w:r>
                </w:p>
              </w:tc>
              <w:tc>
                <w:tcPr>
                  <w:tcW w:w="1129" w:type="pct"/>
                  <w:gridSpan w:val="2"/>
                  <w:noWrap w:val="0"/>
                  <w:vAlign w:val="center"/>
                </w:tcPr>
                <w:p w14:paraId="2428F0E3">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颗粒物</w:t>
                  </w:r>
                </w:p>
              </w:tc>
              <w:tc>
                <w:tcPr>
                  <w:tcW w:w="2235" w:type="pct"/>
                  <w:gridSpan w:val="2"/>
                  <w:vMerge w:val="continue"/>
                  <w:noWrap w:val="0"/>
                  <w:vAlign w:val="center"/>
                </w:tcPr>
                <w:p w14:paraId="43AB3251">
                  <w:pPr>
                    <w:adjustRightInd w:val="0"/>
                    <w:snapToGrid w:val="0"/>
                    <w:spacing w:line="260" w:lineRule="exact"/>
                    <w:jc w:val="both"/>
                    <w:rPr>
                      <w:rFonts w:hint="eastAsia" w:ascii="Times New Roman" w:hAnsi="Times New Roman" w:eastAsia="宋体" w:cs="Times New Roman"/>
                      <w:color w:val="auto"/>
                      <w:lang w:val="en-US" w:eastAsia="zh-CN"/>
                    </w:rPr>
                  </w:pPr>
                </w:p>
              </w:tc>
            </w:tr>
            <w:tr w14:paraId="1CFFBE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411" w:type="pct"/>
                  <w:gridSpan w:val="2"/>
                  <w:vMerge w:val="continue"/>
                  <w:noWrap w:val="0"/>
                  <w:vAlign w:val="center"/>
                </w:tcPr>
                <w:p w14:paraId="2B34586F">
                  <w:pPr>
                    <w:adjustRightInd w:val="0"/>
                    <w:snapToGrid w:val="0"/>
                    <w:jc w:val="center"/>
                    <w:rPr>
                      <w:rFonts w:hint="eastAsia" w:ascii="Times New Roman" w:hAnsi="Times New Roman" w:eastAsia="宋体" w:cs="Times New Roman"/>
                      <w:color w:val="auto"/>
                      <w:lang w:val="en-US" w:eastAsia="zh-CN"/>
                    </w:rPr>
                  </w:pPr>
                </w:p>
              </w:tc>
              <w:tc>
                <w:tcPr>
                  <w:tcW w:w="424" w:type="pct"/>
                  <w:gridSpan w:val="2"/>
                  <w:tcBorders>
                    <w:top w:val="single" w:color="auto" w:sz="4" w:space="0"/>
                  </w:tcBorders>
                  <w:noWrap w:val="0"/>
                  <w:vAlign w:val="center"/>
                </w:tcPr>
                <w:p w14:paraId="4C9BB64C">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G</w:t>
                  </w:r>
                  <w:r>
                    <w:rPr>
                      <w:rFonts w:hint="eastAsia" w:ascii="Times New Roman" w:hAnsi="Times New Roman" w:eastAsia="宋体" w:cs="Times New Roman"/>
                      <w:color w:val="auto"/>
                      <w:vertAlign w:val="subscript"/>
                      <w:lang w:val="en-US" w:eastAsia="zh-CN"/>
                    </w:rPr>
                    <w:t>4</w:t>
                  </w:r>
                </w:p>
              </w:tc>
              <w:tc>
                <w:tcPr>
                  <w:tcW w:w="746" w:type="pct"/>
                  <w:gridSpan w:val="2"/>
                  <w:tcBorders>
                    <w:top w:val="single" w:color="auto" w:sz="4" w:space="0"/>
                  </w:tcBorders>
                  <w:noWrap w:val="0"/>
                  <w:vAlign w:val="center"/>
                </w:tcPr>
                <w:p w14:paraId="5AC268FE">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抛丸</w:t>
                  </w:r>
                </w:p>
              </w:tc>
              <w:tc>
                <w:tcPr>
                  <w:tcW w:w="1130" w:type="pct"/>
                  <w:gridSpan w:val="2"/>
                  <w:tcBorders>
                    <w:top w:val="single" w:color="auto" w:sz="4" w:space="0"/>
                  </w:tcBorders>
                  <w:noWrap w:val="0"/>
                  <w:vAlign w:val="center"/>
                </w:tcPr>
                <w:p w14:paraId="7BBF900B">
                  <w:pPr>
                    <w:adjustRightInd w:val="0"/>
                    <w:snapToGrid w:val="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颗粒物</w:t>
                  </w:r>
                </w:p>
              </w:tc>
              <w:tc>
                <w:tcPr>
                  <w:tcW w:w="2286" w:type="pct"/>
                  <w:gridSpan w:val="2"/>
                  <w:tcBorders>
                    <w:top w:val="single" w:color="auto" w:sz="4" w:space="0"/>
                  </w:tcBorders>
                  <w:noWrap w:val="0"/>
                  <w:vAlign w:val="center"/>
                </w:tcPr>
                <w:p w14:paraId="04E3A4CA">
                  <w:pPr>
                    <w:adjustRightInd w:val="0"/>
                    <w:snapToGrid w:val="0"/>
                    <w:spacing w:line="260" w:lineRule="exact"/>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抛丸粉尘</w:t>
                  </w:r>
                  <w:r>
                    <w:rPr>
                      <w:rFonts w:hint="default" w:ascii="Times New Roman" w:hAnsi="Times New Roman" w:eastAsia="宋体" w:cs="Times New Roman"/>
                      <w:color w:val="auto"/>
                      <w:lang w:val="en-US" w:eastAsia="zh-CN"/>
                    </w:rPr>
                    <w:t>密闭收集</w:t>
                  </w:r>
                  <w:r>
                    <w:rPr>
                      <w:rFonts w:hint="eastAsia" w:ascii="Times New Roman" w:hAnsi="Times New Roman" w:eastAsia="宋体" w:cs="Times New Roman"/>
                      <w:color w:val="auto"/>
                      <w:lang w:val="en-US" w:eastAsia="zh-CN"/>
                    </w:rPr>
                    <w:t>，经配套</w:t>
                  </w:r>
                  <w:r>
                    <w:rPr>
                      <w:rFonts w:hint="default" w:ascii="Times New Roman" w:hAnsi="Times New Roman" w:eastAsia="宋体" w:cs="Times New Roman"/>
                      <w:color w:val="0000FF"/>
                      <w:lang w:val="en-US" w:eastAsia="zh-CN"/>
                    </w:rPr>
                    <w:t>气箱式脉冲袋式除尘器</w:t>
                  </w:r>
                  <w:r>
                    <w:rPr>
                      <w:rFonts w:hint="default" w:ascii="Times New Roman" w:hAnsi="Times New Roman" w:eastAsia="宋体" w:cs="Times New Roman"/>
                      <w:color w:val="auto"/>
                      <w:lang w:val="en-US" w:eastAsia="zh-CN"/>
                    </w:rPr>
                    <w:t>处理后</w:t>
                  </w:r>
                  <w:r>
                    <w:rPr>
                      <w:rFonts w:hint="eastAsia" w:ascii="Times New Roman" w:hAnsi="Times New Roman" w:eastAsia="宋体" w:cs="Times New Roman"/>
                      <w:color w:val="auto"/>
                      <w:lang w:val="en-US" w:eastAsia="zh-CN"/>
                    </w:rPr>
                    <w:t>通过15</w:t>
                  </w:r>
                  <w:r>
                    <w:rPr>
                      <w:rFonts w:hint="default" w:ascii="Times New Roman" w:hAnsi="Times New Roman" w:eastAsia="宋体" w:cs="Times New Roman"/>
                      <w:color w:val="auto"/>
                      <w:lang w:val="en-US" w:eastAsia="zh-CN"/>
                    </w:rPr>
                    <w:t>m排气筒（DA00</w:t>
                  </w:r>
                  <w:r>
                    <w:rPr>
                      <w:rFonts w:hint="eastAsia" w:ascii="Times New Roman" w:hAnsi="Times New Roman" w:eastAsia="宋体" w:cs="Times New Roman"/>
                      <w:color w:val="auto"/>
                      <w:lang w:val="en-US" w:eastAsia="zh-CN"/>
                    </w:rPr>
                    <w:t>2</w:t>
                  </w:r>
                  <w:r>
                    <w:rPr>
                      <w:rFonts w:hint="default" w:ascii="Times New Roman" w:hAnsi="Times New Roman" w:eastAsia="宋体" w:cs="Times New Roman"/>
                      <w:color w:val="auto"/>
                      <w:lang w:val="en-US" w:eastAsia="zh-CN"/>
                    </w:rPr>
                    <w:t>）排放</w:t>
                  </w:r>
                  <w:r>
                    <w:rPr>
                      <w:rFonts w:hint="eastAsia" w:ascii="Times New Roman" w:hAnsi="Times New Roman" w:eastAsia="宋体" w:cs="Times New Roman"/>
                      <w:color w:val="auto"/>
                      <w:lang w:val="en-US" w:eastAsia="zh-CN"/>
                    </w:rPr>
                    <w:t>。</w:t>
                  </w:r>
                </w:p>
              </w:tc>
            </w:tr>
            <w:tr w14:paraId="22BD2C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411" w:type="pct"/>
                  <w:gridSpan w:val="2"/>
                  <w:vMerge w:val="continue"/>
                  <w:noWrap w:val="0"/>
                  <w:vAlign w:val="center"/>
                </w:tcPr>
                <w:p w14:paraId="512FF9EA">
                  <w:pPr>
                    <w:adjustRightInd w:val="0"/>
                    <w:snapToGrid w:val="0"/>
                    <w:jc w:val="center"/>
                    <w:rPr>
                      <w:rFonts w:hint="eastAsia" w:ascii="Times New Roman" w:hAnsi="Times New Roman" w:eastAsia="宋体" w:cs="Times New Roman"/>
                      <w:color w:val="auto"/>
                      <w:lang w:val="en-US" w:eastAsia="zh-CN"/>
                    </w:rPr>
                  </w:pPr>
                </w:p>
              </w:tc>
              <w:tc>
                <w:tcPr>
                  <w:tcW w:w="424" w:type="pct"/>
                  <w:gridSpan w:val="2"/>
                  <w:noWrap w:val="0"/>
                  <w:vAlign w:val="center"/>
                </w:tcPr>
                <w:p w14:paraId="2E7FF8AD">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G</w:t>
                  </w:r>
                  <w:r>
                    <w:rPr>
                      <w:rFonts w:hint="eastAsia" w:ascii="Times New Roman" w:hAnsi="Times New Roman" w:eastAsia="宋体" w:cs="Times New Roman"/>
                      <w:color w:val="auto"/>
                      <w:vertAlign w:val="subscript"/>
                      <w:lang w:val="en-US" w:eastAsia="zh-CN"/>
                    </w:rPr>
                    <w:t>5</w:t>
                  </w:r>
                </w:p>
              </w:tc>
              <w:tc>
                <w:tcPr>
                  <w:tcW w:w="746" w:type="pct"/>
                  <w:gridSpan w:val="2"/>
                  <w:noWrap w:val="0"/>
                  <w:vAlign w:val="center"/>
                </w:tcPr>
                <w:p w14:paraId="48EBF35F">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涂装</w:t>
                  </w:r>
                </w:p>
              </w:tc>
              <w:tc>
                <w:tcPr>
                  <w:tcW w:w="1130" w:type="pct"/>
                  <w:gridSpan w:val="2"/>
                  <w:noWrap w:val="0"/>
                  <w:vAlign w:val="center"/>
                </w:tcPr>
                <w:p w14:paraId="0F940791">
                  <w:pPr>
                    <w:adjustRightInd w:val="0"/>
                    <w:snapToGrid w:val="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漆雾（颗粒物）、VOC</w:t>
                  </w:r>
                  <w:r>
                    <w:rPr>
                      <w:rFonts w:hint="eastAsia" w:ascii="Times New Roman" w:hAnsi="Times New Roman" w:eastAsia="宋体" w:cs="Times New Roman"/>
                      <w:color w:val="auto"/>
                      <w:sz w:val="21"/>
                      <w:szCs w:val="21"/>
                      <w:highlight w:val="none"/>
                      <w:vertAlign w:val="subscript"/>
                      <w:lang w:val="en-US" w:eastAsia="zh-CN"/>
                    </w:rPr>
                    <w:t>S</w:t>
                  </w:r>
                  <w:r>
                    <w:rPr>
                      <w:rFonts w:hint="default" w:ascii="Times New Roman" w:hAnsi="Times New Roman" w:eastAsia="宋体" w:cs="Times New Roman"/>
                      <w:color w:val="auto"/>
                      <w:sz w:val="21"/>
                      <w:szCs w:val="21"/>
                      <w:highlight w:val="none"/>
                      <w:vertAlign w:val="baseline"/>
                      <w:lang w:val="en-US" w:eastAsia="zh-CN"/>
                    </w:rPr>
                    <w:t>（以非甲烷总烃计）、甲苯、二甲苯</w:t>
                  </w:r>
                </w:p>
              </w:tc>
              <w:tc>
                <w:tcPr>
                  <w:tcW w:w="2286" w:type="pct"/>
                  <w:gridSpan w:val="2"/>
                  <w:noWrap w:val="0"/>
                  <w:vAlign w:val="center"/>
                </w:tcPr>
                <w:p w14:paraId="7EE57C04">
                  <w:pPr>
                    <w:adjustRightInd w:val="0"/>
                    <w:snapToGrid w:val="0"/>
                    <w:spacing w:line="260" w:lineRule="exact"/>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涂装</w:t>
                  </w:r>
                  <w:r>
                    <w:rPr>
                      <w:rFonts w:hint="default" w:ascii="Times New Roman" w:hAnsi="Times New Roman" w:eastAsia="宋体" w:cs="Times New Roman"/>
                      <w:color w:val="auto"/>
                      <w:lang w:val="en-US" w:eastAsia="zh-CN"/>
                    </w:rPr>
                    <w:t>工序</w:t>
                  </w:r>
                  <w:r>
                    <w:rPr>
                      <w:rFonts w:hint="eastAsia" w:ascii="Times New Roman" w:hAnsi="Times New Roman" w:eastAsia="宋体" w:cs="Times New Roman"/>
                      <w:color w:val="auto"/>
                      <w:lang w:val="en-US" w:eastAsia="zh-CN"/>
                    </w:rPr>
                    <w:t>设密闭喷漆房，涂装废气通过密闭负压收集，采用“干式漆雾过滤模组+活性炭吸附-脱附+催化燃烧装置”处理后通过</w:t>
                  </w:r>
                  <w:r>
                    <w:rPr>
                      <w:rFonts w:hint="default" w:ascii="Times New Roman" w:hAnsi="Times New Roman" w:eastAsia="宋体" w:cs="Times New Roman"/>
                      <w:color w:val="auto"/>
                      <w:lang w:val="en-US" w:eastAsia="zh-CN"/>
                    </w:rPr>
                    <w:t>20m排气筒（DA00</w:t>
                  </w:r>
                  <w:r>
                    <w:rPr>
                      <w:rFonts w:hint="eastAsia" w:ascii="Times New Roman" w:hAnsi="Times New Roman" w:eastAsia="宋体" w:cs="Times New Roman"/>
                      <w:color w:val="auto"/>
                      <w:lang w:val="en-US" w:eastAsia="zh-CN"/>
                    </w:rPr>
                    <w:t>3</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排放。</w:t>
                  </w:r>
                </w:p>
              </w:tc>
            </w:tr>
            <w:tr w14:paraId="5CA5CF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1" w:type="pct"/>
                  <w:gridSpan w:val="2"/>
                  <w:noWrap w:val="0"/>
                  <w:vAlign w:val="center"/>
                </w:tcPr>
                <w:p w14:paraId="4ACD2977">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废水</w:t>
                  </w:r>
                </w:p>
              </w:tc>
              <w:tc>
                <w:tcPr>
                  <w:tcW w:w="424" w:type="pct"/>
                  <w:gridSpan w:val="2"/>
                  <w:noWrap w:val="0"/>
                  <w:vAlign w:val="center"/>
                </w:tcPr>
                <w:p w14:paraId="1E60927E">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w:t>
                  </w:r>
                </w:p>
              </w:tc>
              <w:tc>
                <w:tcPr>
                  <w:tcW w:w="746" w:type="pct"/>
                  <w:gridSpan w:val="2"/>
                  <w:noWrap w:val="0"/>
                  <w:vAlign w:val="center"/>
                </w:tcPr>
                <w:p w14:paraId="26104D27">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生活污水</w:t>
                  </w:r>
                </w:p>
              </w:tc>
              <w:tc>
                <w:tcPr>
                  <w:tcW w:w="1130" w:type="pct"/>
                  <w:gridSpan w:val="2"/>
                  <w:noWrap w:val="0"/>
                  <w:vAlign w:val="center"/>
                </w:tcPr>
                <w:p w14:paraId="618C1968">
                  <w:pPr>
                    <w:adjustRightInd w:val="0"/>
                    <w:snapToGrid w:val="0"/>
                    <w:jc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sz w:val="21"/>
                      <w:szCs w:val="21"/>
                      <w:highlight w:val="none"/>
                      <w:vertAlign w:val="baseline"/>
                      <w:lang w:val="en-US" w:eastAsia="zh-CN"/>
                    </w:rPr>
                    <w:t>COD、BOD</w:t>
                  </w:r>
                  <w:r>
                    <w:rPr>
                      <w:rFonts w:hint="default" w:ascii="Times New Roman" w:hAnsi="Times New Roman" w:eastAsia="宋体" w:cs="Times New Roman"/>
                      <w:color w:val="auto"/>
                      <w:sz w:val="21"/>
                      <w:szCs w:val="21"/>
                      <w:highlight w:val="none"/>
                      <w:vertAlign w:val="subscript"/>
                      <w:lang w:val="en-US" w:eastAsia="zh-CN"/>
                    </w:rPr>
                    <w:t>5</w:t>
                  </w:r>
                  <w:r>
                    <w:rPr>
                      <w:rFonts w:hint="default" w:ascii="Times New Roman" w:hAnsi="Times New Roman" w:eastAsia="宋体" w:cs="Times New Roman"/>
                      <w:color w:val="auto"/>
                      <w:sz w:val="21"/>
                      <w:szCs w:val="21"/>
                      <w:highlight w:val="none"/>
                      <w:vertAlign w:val="baseline"/>
                      <w:lang w:val="en-US" w:eastAsia="zh-CN"/>
                    </w:rPr>
                    <w:t>、NH</w:t>
                  </w:r>
                  <w:r>
                    <w:rPr>
                      <w:rFonts w:hint="default" w:ascii="Times New Roman" w:hAnsi="Times New Roman" w:eastAsia="宋体" w:cs="Times New Roman"/>
                      <w:color w:val="auto"/>
                      <w:sz w:val="21"/>
                      <w:szCs w:val="21"/>
                      <w:highlight w:val="none"/>
                      <w:vertAlign w:val="subscript"/>
                      <w:lang w:val="en-US" w:eastAsia="zh-CN"/>
                    </w:rPr>
                    <w:t>3</w:t>
                  </w:r>
                  <w:r>
                    <w:rPr>
                      <w:rFonts w:hint="default" w:ascii="Times New Roman" w:hAnsi="Times New Roman" w:eastAsia="宋体" w:cs="Times New Roman"/>
                      <w:color w:val="auto"/>
                      <w:sz w:val="21"/>
                      <w:szCs w:val="21"/>
                      <w:highlight w:val="none"/>
                      <w:vertAlign w:val="baseline"/>
                      <w:lang w:val="en-US" w:eastAsia="zh-CN"/>
                    </w:rPr>
                    <w:t>-N、SS</w:t>
                  </w:r>
                </w:p>
              </w:tc>
              <w:tc>
                <w:tcPr>
                  <w:tcW w:w="2286" w:type="pct"/>
                  <w:gridSpan w:val="2"/>
                  <w:noWrap w:val="0"/>
                  <w:vAlign w:val="center"/>
                </w:tcPr>
                <w:p w14:paraId="4783F450">
                  <w:pPr>
                    <w:adjustRightInd w:val="0"/>
                    <w:snapToGrid w:val="0"/>
                    <w:spacing w:line="260" w:lineRule="exact"/>
                    <w:jc w:val="both"/>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生活污水排入园区污水管网，最终进入园区污水处理厂处理。</w:t>
                  </w:r>
                </w:p>
              </w:tc>
            </w:tr>
            <w:tr w14:paraId="21FBC6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1" w:type="pct"/>
                  <w:gridSpan w:val="2"/>
                  <w:noWrap w:val="0"/>
                  <w:vAlign w:val="center"/>
                </w:tcPr>
                <w:p w14:paraId="3A0BB405">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噪声</w:t>
                  </w:r>
                </w:p>
              </w:tc>
              <w:tc>
                <w:tcPr>
                  <w:tcW w:w="424" w:type="pct"/>
                  <w:gridSpan w:val="2"/>
                  <w:noWrap w:val="0"/>
                  <w:vAlign w:val="center"/>
                </w:tcPr>
                <w:p w14:paraId="272BE094">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N</w:t>
                  </w:r>
                </w:p>
              </w:tc>
              <w:tc>
                <w:tcPr>
                  <w:tcW w:w="746" w:type="pct"/>
                  <w:gridSpan w:val="2"/>
                  <w:noWrap w:val="0"/>
                  <w:vAlign w:val="center"/>
                </w:tcPr>
                <w:p w14:paraId="482C55D2">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生产设备</w:t>
                  </w:r>
                </w:p>
              </w:tc>
              <w:tc>
                <w:tcPr>
                  <w:tcW w:w="1130" w:type="pct"/>
                  <w:gridSpan w:val="2"/>
                  <w:noWrap w:val="0"/>
                  <w:vAlign w:val="center"/>
                </w:tcPr>
                <w:p w14:paraId="46DF8A02">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highlight w:val="none"/>
                      <w:lang w:val="en-US" w:eastAsia="zh-CN"/>
                    </w:rPr>
                    <w:t>等效</w:t>
                  </w:r>
                  <w:r>
                    <w:rPr>
                      <w:rFonts w:hint="eastAsia" w:cs="Times New Roman"/>
                      <w:color w:val="auto"/>
                      <w:highlight w:val="none"/>
                      <w:lang w:val="en-US" w:eastAsia="zh-CN"/>
                    </w:rPr>
                    <w:t>连续</w:t>
                  </w:r>
                  <w:r>
                    <w:rPr>
                      <w:rFonts w:hint="eastAsia" w:ascii="Times New Roman" w:hAnsi="Times New Roman" w:eastAsia="宋体" w:cs="Times New Roman"/>
                      <w:color w:val="auto"/>
                      <w:highlight w:val="none"/>
                      <w:lang w:val="en-US" w:eastAsia="zh-CN"/>
                    </w:rPr>
                    <w:t>A声级</w:t>
                  </w:r>
                </w:p>
              </w:tc>
              <w:tc>
                <w:tcPr>
                  <w:tcW w:w="2286" w:type="pct"/>
                  <w:gridSpan w:val="2"/>
                  <w:noWrap w:val="0"/>
                  <w:vAlign w:val="center"/>
                </w:tcPr>
                <w:p w14:paraId="0A511DBD">
                  <w:pPr>
                    <w:adjustRightInd w:val="0"/>
                    <w:snapToGrid w:val="0"/>
                    <w:spacing w:line="260" w:lineRule="exact"/>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选用低噪声设备，采取基础减振、厂房隔声等措施。</w:t>
                  </w:r>
                </w:p>
              </w:tc>
            </w:tr>
            <w:tr w14:paraId="795296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pct"/>
                  <w:gridSpan w:val="2"/>
                  <w:vMerge w:val="restart"/>
                  <w:noWrap w:val="0"/>
                  <w:vAlign w:val="center"/>
                </w:tcPr>
                <w:p w14:paraId="11F95A75">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固废</w:t>
                  </w:r>
                </w:p>
              </w:tc>
              <w:tc>
                <w:tcPr>
                  <w:tcW w:w="424" w:type="pct"/>
                  <w:gridSpan w:val="2"/>
                  <w:noWrap w:val="0"/>
                  <w:vAlign w:val="center"/>
                </w:tcPr>
                <w:p w14:paraId="2E6E6822">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S</w:t>
                  </w:r>
                  <w:r>
                    <w:rPr>
                      <w:rFonts w:hint="eastAsia" w:ascii="Times New Roman" w:hAnsi="Times New Roman" w:eastAsia="宋体" w:cs="Times New Roman"/>
                      <w:color w:val="auto"/>
                      <w:vertAlign w:val="subscript"/>
                      <w:lang w:val="en-US" w:eastAsia="zh-CN"/>
                    </w:rPr>
                    <w:t>1</w:t>
                  </w:r>
                </w:p>
              </w:tc>
              <w:tc>
                <w:tcPr>
                  <w:tcW w:w="746" w:type="pct"/>
                  <w:gridSpan w:val="2"/>
                  <w:noWrap w:val="0"/>
                  <w:vAlign w:val="center"/>
                </w:tcPr>
                <w:p w14:paraId="083EDD5C">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切割</w:t>
                  </w:r>
                </w:p>
              </w:tc>
              <w:tc>
                <w:tcPr>
                  <w:tcW w:w="1130" w:type="pct"/>
                  <w:gridSpan w:val="2"/>
                  <w:noWrap w:val="0"/>
                  <w:vAlign w:val="center"/>
                </w:tcPr>
                <w:p w14:paraId="0B8F0865">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spacing w:val="-6"/>
                      <w:sz w:val="21"/>
                      <w:lang w:val="en-US" w:eastAsia="zh-CN"/>
                    </w:rPr>
                    <w:t>金属屑及废边角料</w:t>
                  </w:r>
                </w:p>
              </w:tc>
              <w:tc>
                <w:tcPr>
                  <w:tcW w:w="2286" w:type="pct"/>
                  <w:gridSpan w:val="2"/>
                  <w:vMerge w:val="restart"/>
                  <w:noWrap w:val="0"/>
                  <w:vAlign w:val="center"/>
                </w:tcPr>
                <w:p w14:paraId="78169729">
                  <w:pPr>
                    <w:adjustRightInd w:val="0"/>
                    <w:snapToGrid w:val="0"/>
                    <w:spacing w:line="260" w:lineRule="exact"/>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分类收集暂存于一般固废暂存区，外售综合利用。</w:t>
                  </w:r>
                </w:p>
              </w:tc>
            </w:tr>
            <w:tr w14:paraId="5CF06B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pct"/>
                  <w:gridSpan w:val="2"/>
                  <w:vMerge w:val="continue"/>
                  <w:noWrap w:val="0"/>
                  <w:vAlign w:val="center"/>
                </w:tcPr>
                <w:p w14:paraId="6E997963">
                  <w:pPr>
                    <w:adjustRightInd w:val="0"/>
                    <w:snapToGrid w:val="0"/>
                    <w:jc w:val="center"/>
                    <w:rPr>
                      <w:rFonts w:hint="default"/>
                      <w:color w:val="auto"/>
                      <w:kern w:val="2"/>
                      <w:sz w:val="21"/>
                      <w:szCs w:val="24"/>
                      <w:lang w:val="en-US" w:eastAsia="zh-CN" w:bidi="ar-SA"/>
                    </w:rPr>
                  </w:pPr>
                </w:p>
              </w:tc>
              <w:tc>
                <w:tcPr>
                  <w:tcW w:w="424" w:type="pct"/>
                  <w:gridSpan w:val="2"/>
                  <w:noWrap w:val="0"/>
                  <w:vAlign w:val="center"/>
                </w:tcPr>
                <w:p w14:paraId="50F51AF4">
                  <w:pPr>
                    <w:adjustRightInd w:val="0"/>
                    <w:snapToGrid w:val="0"/>
                    <w:jc w:val="center"/>
                    <w:rPr>
                      <w:rFonts w:hint="default"/>
                      <w:color w:val="auto"/>
                      <w:lang w:val="en-US"/>
                    </w:rPr>
                  </w:pPr>
                  <w:r>
                    <w:rPr>
                      <w:rFonts w:hint="eastAsia" w:ascii="Times New Roman" w:hAnsi="Times New Roman" w:eastAsia="宋体" w:cs="Times New Roman"/>
                      <w:color w:val="auto"/>
                      <w:lang w:val="en-US" w:eastAsia="zh-CN"/>
                    </w:rPr>
                    <w:t>S</w:t>
                  </w:r>
                  <w:r>
                    <w:rPr>
                      <w:rFonts w:hint="eastAsia" w:ascii="Times New Roman" w:hAnsi="Times New Roman" w:eastAsia="宋体" w:cs="Times New Roman"/>
                      <w:color w:val="auto"/>
                      <w:vertAlign w:val="subscript"/>
                      <w:lang w:val="en-US" w:eastAsia="zh-CN"/>
                    </w:rPr>
                    <w:t>2</w:t>
                  </w:r>
                </w:p>
              </w:tc>
              <w:tc>
                <w:tcPr>
                  <w:tcW w:w="746" w:type="pct"/>
                  <w:gridSpan w:val="2"/>
                  <w:noWrap w:val="0"/>
                  <w:vAlign w:val="center"/>
                </w:tcPr>
                <w:p w14:paraId="672DA700">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焊接</w:t>
                  </w:r>
                </w:p>
              </w:tc>
              <w:tc>
                <w:tcPr>
                  <w:tcW w:w="1130" w:type="pct"/>
                  <w:gridSpan w:val="2"/>
                  <w:noWrap w:val="0"/>
                  <w:vAlign w:val="center"/>
                </w:tcPr>
                <w:p w14:paraId="1E935AC0">
                  <w:pPr>
                    <w:adjustRightInd w:val="0"/>
                    <w:snapToGrid w:val="0"/>
                    <w:jc w:val="center"/>
                    <w:rPr>
                      <w:rFonts w:hint="default"/>
                      <w:color w:val="auto"/>
                      <w:kern w:val="2"/>
                      <w:sz w:val="21"/>
                      <w:szCs w:val="24"/>
                      <w:lang w:val="en-US" w:eastAsia="zh-CN" w:bidi="ar-SA"/>
                    </w:rPr>
                  </w:pPr>
                  <w:r>
                    <w:rPr>
                      <w:rFonts w:hint="eastAsia"/>
                      <w:color w:val="auto"/>
                      <w:kern w:val="2"/>
                      <w:sz w:val="21"/>
                      <w:szCs w:val="24"/>
                      <w:lang w:val="en-US" w:eastAsia="zh-CN" w:bidi="ar-SA"/>
                    </w:rPr>
                    <w:t>焊渣</w:t>
                  </w:r>
                </w:p>
              </w:tc>
              <w:tc>
                <w:tcPr>
                  <w:tcW w:w="2286" w:type="pct"/>
                  <w:gridSpan w:val="2"/>
                  <w:vMerge w:val="continue"/>
                  <w:noWrap w:val="0"/>
                  <w:vAlign w:val="center"/>
                </w:tcPr>
                <w:p w14:paraId="13FAF70C">
                  <w:pPr>
                    <w:adjustRightInd w:val="0"/>
                    <w:snapToGrid w:val="0"/>
                    <w:spacing w:line="260" w:lineRule="exact"/>
                    <w:jc w:val="both"/>
                    <w:rPr>
                      <w:rFonts w:hint="eastAsia" w:ascii="Times New Roman" w:hAnsi="Times New Roman" w:eastAsia="宋体" w:cs="Times New Roman"/>
                      <w:color w:val="auto"/>
                      <w:lang w:val="en-US" w:eastAsia="zh-CN"/>
                    </w:rPr>
                  </w:pPr>
                </w:p>
              </w:tc>
            </w:tr>
            <w:tr w14:paraId="304B6D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pct"/>
                  <w:gridSpan w:val="2"/>
                  <w:vMerge w:val="continue"/>
                  <w:noWrap w:val="0"/>
                  <w:vAlign w:val="center"/>
                </w:tcPr>
                <w:p w14:paraId="7087D3BB">
                  <w:pPr>
                    <w:adjustRightInd w:val="0"/>
                    <w:snapToGrid w:val="0"/>
                    <w:jc w:val="center"/>
                    <w:rPr>
                      <w:rFonts w:hint="default"/>
                      <w:color w:val="auto"/>
                      <w:kern w:val="2"/>
                      <w:sz w:val="21"/>
                      <w:szCs w:val="24"/>
                      <w:lang w:val="en-US" w:eastAsia="zh-CN" w:bidi="ar-SA"/>
                    </w:rPr>
                  </w:pPr>
                </w:p>
              </w:tc>
              <w:tc>
                <w:tcPr>
                  <w:tcW w:w="424" w:type="pct"/>
                  <w:gridSpan w:val="2"/>
                  <w:noWrap w:val="0"/>
                  <w:vAlign w:val="center"/>
                </w:tcPr>
                <w:p w14:paraId="7AFBD8B2">
                  <w:pPr>
                    <w:adjustRightInd w:val="0"/>
                    <w:snapToGrid w:val="0"/>
                    <w:jc w:val="center"/>
                    <w:rPr>
                      <w:color w:val="auto"/>
                    </w:rPr>
                  </w:pPr>
                  <w:r>
                    <w:rPr>
                      <w:rFonts w:hint="eastAsia" w:ascii="Times New Roman" w:hAnsi="Times New Roman" w:eastAsia="宋体" w:cs="Times New Roman"/>
                      <w:color w:val="auto"/>
                      <w:lang w:val="en-US" w:eastAsia="zh-CN"/>
                    </w:rPr>
                    <w:t>S</w:t>
                  </w:r>
                  <w:r>
                    <w:rPr>
                      <w:rFonts w:hint="eastAsia" w:ascii="Times New Roman" w:hAnsi="Times New Roman" w:eastAsia="宋体" w:cs="Times New Roman"/>
                      <w:color w:val="auto"/>
                      <w:vertAlign w:val="subscript"/>
                      <w:lang w:val="en-US" w:eastAsia="zh-CN"/>
                    </w:rPr>
                    <w:t>3</w:t>
                  </w:r>
                </w:p>
              </w:tc>
              <w:tc>
                <w:tcPr>
                  <w:tcW w:w="746" w:type="pct"/>
                  <w:gridSpan w:val="2"/>
                  <w:noWrap w:val="0"/>
                  <w:vAlign w:val="center"/>
                </w:tcPr>
                <w:p w14:paraId="6F253754">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打磨</w:t>
                  </w:r>
                </w:p>
              </w:tc>
              <w:tc>
                <w:tcPr>
                  <w:tcW w:w="1130" w:type="pct"/>
                  <w:gridSpan w:val="2"/>
                  <w:noWrap w:val="0"/>
                  <w:vAlign w:val="center"/>
                </w:tcPr>
                <w:p w14:paraId="65B4B211">
                  <w:pPr>
                    <w:adjustRightInd w:val="0"/>
                    <w:snapToGrid w:val="0"/>
                    <w:jc w:val="center"/>
                    <w:rPr>
                      <w:rFonts w:hint="default"/>
                      <w:color w:val="auto"/>
                      <w:kern w:val="2"/>
                      <w:sz w:val="21"/>
                      <w:szCs w:val="24"/>
                      <w:lang w:val="en-US" w:eastAsia="zh-CN" w:bidi="ar-SA"/>
                    </w:rPr>
                  </w:pPr>
                  <w:r>
                    <w:rPr>
                      <w:rFonts w:hint="eastAsia" w:cs="Times New Roman"/>
                      <w:color w:val="auto"/>
                      <w:kern w:val="2"/>
                      <w:sz w:val="21"/>
                      <w:szCs w:val="24"/>
                      <w:lang w:val="en-US" w:eastAsia="zh-CN" w:bidi="ar-SA"/>
                    </w:rPr>
                    <w:t>金属磨屑</w:t>
                  </w:r>
                </w:p>
              </w:tc>
              <w:tc>
                <w:tcPr>
                  <w:tcW w:w="2286" w:type="pct"/>
                  <w:gridSpan w:val="2"/>
                  <w:vMerge w:val="continue"/>
                  <w:noWrap w:val="0"/>
                  <w:vAlign w:val="center"/>
                </w:tcPr>
                <w:p w14:paraId="686A82C8">
                  <w:pPr>
                    <w:adjustRightInd w:val="0"/>
                    <w:snapToGrid w:val="0"/>
                    <w:spacing w:line="260" w:lineRule="exact"/>
                    <w:jc w:val="both"/>
                    <w:rPr>
                      <w:rFonts w:hint="eastAsia" w:ascii="Times New Roman" w:hAnsi="Times New Roman" w:eastAsia="宋体" w:cs="Times New Roman"/>
                      <w:color w:val="auto"/>
                      <w:lang w:val="en-US" w:eastAsia="zh-CN"/>
                    </w:rPr>
                  </w:pPr>
                </w:p>
              </w:tc>
            </w:tr>
            <w:tr w14:paraId="0641E3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pct"/>
                  <w:gridSpan w:val="2"/>
                  <w:vMerge w:val="continue"/>
                  <w:noWrap w:val="0"/>
                  <w:vAlign w:val="center"/>
                </w:tcPr>
                <w:p w14:paraId="568C1029">
                  <w:pPr>
                    <w:adjustRightInd w:val="0"/>
                    <w:snapToGrid w:val="0"/>
                    <w:jc w:val="center"/>
                    <w:rPr>
                      <w:rFonts w:hint="default"/>
                      <w:color w:val="auto"/>
                      <w:kern w:val="2"/>
                      <w:sz w:val="21"/>
                      <w:szCs w:val="24"/>
                      <w:lang w:val="en-US" w:eastAsia="zh-CN" w:bidi="ar-SA"/>
                    </w:rPr>
                  </w:pPr>
                </w:p>
              </w:tc>
              <w:tc>
                <w:tcPr>
                  <w:tcW w:w="424" w:type="pct"/>
                  <w:gridSpan w:val="2"/>
                  <w:noWrap w:val="0"/>
                  <w:vAlign w:val="center"/>
                </w:tcPr>
                <w:p w14:paraId="04FB055A">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S</w:t>
                  </w:r>
                  <w:r>
                    <w:rPr>
                      <w:rFonts w:hint="eastAsia" w:cs="Times New Roman"/>
                      <w:color w:val="auto"/>
                      <w:vertAlign w:val="subscript"/>
                      <w:lang w:val="en-US" w:eastAsia="zh-CN"/>
                    </w:rPr>
                    <w:t>4</w:t>
                  </w:r>
                </w:p>
              </w:tc>
              <w:tc>
                <w:tcPr>
                  <w:tcW w:w="746" w:type="pct"/>
                  <w:gridSpan w:val="2"/>
                  <w:noWrap w:val="0"/>
                  <w:vAlign w:val="center"/>
                </w:tcPr>
                <w:p w14:paraId="01C28B36">
                  <w:pPr>
                    <w:adjustRightInd w:val="0"/>
                    <w:snapToGrid w:val="0"/>
                    <w:jc w:val="center"/>
                    <w:rPr>
                      <w:rFonts w:hint="eastAsia" w:ascii="Times New Roman" w:hAnsi="Times New Roman" w:eastAsia="宋体" w:cs="Times New Roman"/>
                      <w:color w:val="auto"/>
                      <w:lang w:val="en-US" w:eastAsia="zh-CN"/>
                    </w:rPr>
                  </w:pPr>
                  <w:r>
                    <w:rPr>
                      <w:rFonts w:hint="eastAsia" w:cs="Times New Roman"/>
                      <w:color w:val="auto"/>
                      <w:lang w:val="en-US" w:eastAsia="zh-CN"/>
                    </w:rPr>
                    <w:t>抛丸</w:t>
                  </w:r>
                </w:p>
              </w:tc>
              <w:tc>
                <w:tcPr>
                  <w:tcW w:w="1130" w:type="pct"/>
                  <w:gridSpan w:val="2"/>
                  <w:noWrap w:val="0"/>
                  <w:vAlign w:val="center"/>
                </w:tcPr>
                <w:p w14:paraId="19AE57BF">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铁锈渣</w:t>
                  </w:r>
                </w:p>
              </w:tc>
              <w:tc>
                <w:tcPr>
                  <w:tcW w:w="2286" w:type="pct"/>
                  <w:gridSpan w:val="2"/>
                  <w:vMerge w:val="continue"/>
                  <w:noWrap w:val="0"/>
                  <w:vAlign w:val="center"/>
                </w:tcPr>
                <w:p w14:paraId="5AEC5DEA">
                  <w:pPr>
                    <w:adjustRightInd w:val="0"/>
                    <w:snapToGrid w:val="0"/>
                    <w:spacing w:line="260" w:lineRule="exact"/>
                    <w:jc w:val="both"/>
                    <w:rPr>
                      <w:rFonts w:hint="default" w:ascii="Times New Roman" w:hAnsi="Times New Roman" w:eastAsia="宋体" w:cs="Times New Roman"/>
                      <w:color w:val="auto"/>
                      <w:lang w:val="en-US" w:eastAsia="zh-CN"/>
                    </w:rPr>
                  </w:pPr>
                </w:p>
              </w:tc>
            </w:tr>
            <w:tr w14:paraId="2FB066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pct"/>
                  <w:gridSpan w:val="2"/>
                  <w:vMerge w:val="continue"/>
                  <w:noWrap w:val="0"/>
                  <w:vAlign w:val="center"/>
                </w:tcPr>
                <w:p w14:paraId="3C7A2B70">
                  <w:pPr>
                    <w:adjustRightInd w:val="0"/>
                    <w:snapToGrid w:val="0"/>
                    <w:jc w:val="center"/>
                    <w:rPr>
                      <w:rFonts w:hint="default"/>
                      <w:color w:val="auto"/>
                      <w:kern w:val="2"/>
                      <w:sz w:val="21"/>
                      <w:szCs w:val="24"/>
                      <w:lang w:val="en-US" w:eastAsia="zh-CN" w:bidi="ar-SA"/>
                    </w:rPr>
                  </w:pPr>
                </w:p>
              </w:tc>
              <w:tc>
                <w:tcPr>
                  <w:tcW w:w="424" w:type="pct"/>
                  <w:gridSpan w:val="2"/>
                  <w:noWrap w:val="0"/>
                  <w:vAlign w:val="center"/>
                </w:tcPr>
                <w:p w14:paraId="2ED1725F">
                  <w:pPr>
                    <w:adjustRightInd w:val="0"/>
                    <w:snapToGrid w:val="0"/>
                    <w:jc w:val="center"/>
                    <w:rPr>
                      <w:rFonts w:hint="default"/>
                      <w:color w:val="auto"/>
                      <w:lang w:val="en-US"/>
                    </w:rPr>
                  </w:pPr>
                  <w:r>
                    <w:rPr>
                      <w:rFonts w:hint="eastAsia" w:ascii="Times New Roman" w:hAnsi="Times New Roman" w:eastAsia="宋体" w:cs="Times New Roman"/>
                      <w:color w:val="auto"/>
                      <w:lang w:val="en-US" w:eastAsia="zh-CN"/>
                    </w:rPr>
                    <w:t>S</w:t>
                  </w:r>
                  <w:r>
                    <w:rPr>
                      <w:rFonts w:hint="eastAsia" w:ascii="Times New Roman" w:hAnsi="Times New Roman" w:eastAsia="宋体" w:cs="Times New Roman"/>
                      <w:color w:val="auto"/>
                      <w:vertAlign w:val="subscript"/>
                      <w:lang w:val="en-US" w:eastAsia="zh-CN"/>
                    </w:rPr>
                    <w:t>5</w:t>
                  </w:r>
                </w:p>
              </w:tc>
              <w:tc>
                <w:tcPr>
                  <w:tcW w:w="746" w:type="pct"/>
                  <w:gridSpan w:val="2"/>
                  <w:vMerge w:val="restart"/>
                  <w:noWrap w:val="0"/>
                  <w:vAlign w:val="center"/>
                </w:tcPr>
                <w:p w14:paraId="2DDBFCD4">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涂装</w:t>
                  </w:r>
                </w:p>
              </w:tc>
              <w:tc>
                <w:tcPr>
                  <w:tcW w:w="1130" w:type="pct"/>
                  <w:gridSpan w:val="2"/>
                  <w:noWrap w:val="0"/>
                  <w:vAlign w:val="center"/>
                </w:tcPr>
                <w:p w14:paraId="6ACD08E3">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漆渣及废过滤棉</w:t>
                  </w:r>
                </w:p>
              </w:tc>
              <w:tc>
                <w:tcPr>
                  <w:tcW w:w="2286" w:type="pct"/>
                  <w:gridSpan w:val="2"/>
                  <w:vMerge w:val="restart"/>
                  <w:noWrap w:val="0"/>
                  <w:vAlign w:val="center"/>
                </w:tcPr>
                <w:p w14:paraId="1C8708E1">
                  <w:pPr>
                    <w:adjustRightInd w:val="0"/>
                    <w:snapToGrid w:val="0"/>
                    <w:spacing w:line="260" w:lineRule="exact"/>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分类收集暂存于危废贮存</w:t>
                  </w:r>
                  <w:r>
                    <w:rPr>
                      <w:rFonts w:hint="eastAsia" w:cs="Times New Roman"/>
                      <w:color w:val="auto"/>
                      <w:lang w:val="en-US" w:eastAsia="zh-CN"/>
                    </w:rPr>
                    <w:t>点</w:t>
                  </w:r>
                  <w:r>
                    <w:rPr>
                      <w:rFonts w:hint="eastAsia" w:ascii="Times New Roman" w:hAnsi="Times New Roman" w:eastAsia="宋体" w:cs="Times New Roman"/>
                      <w:color w:val="auto"/>
                      <w:lang w:val="en-US" w:eastAsia="zh-CN"/>
                    </w:rPr>
                    <w:t>，委托有资质单位处置。</w:t>
                  </w:r>
                </w:p>
              </w:tc>
            </w:tr>
            <w:tr w14:paraId="4F8AD0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pct"/>
                  <w:gridSpan w:val="2"/>
                  <w:vMerge w:val="continue"/>
                  <w:noWrap w:val="0"/>
                  <w:vAlign w:val="center"/>
                </w:tcPr>
                <w:p w14:paraId="45E1052E">
                  <w:pPr>
                    <w:adjustRightInd w:val="0"/>
                    <w:snapToGrid w:val="0"/>
                    <w:jc w:val="center"/>
                    <w:rPr>
                      <w:rFonts w:hint="default"/>
                      <w:color w:val="auto"/>
                      <w:kern w:val="2"/>
                      <w:sz w:val="21"/>
                      <w:szCs w:val="24"/>
                      <w:lang w:val="en-US" w:eastAsia="zh-CN" w:bidi="ar-SA"/>
                    </w:rPr>
                  </w:pPr>
                </w:p>
              </w:tc>
              <w:tc>
                <w:tcPr>
                  <w:tcW w:w="424" w:type="pct"/>
                  <w:gridSpan w:val="2"/>
                  <w:noWrap w:val="0"/>
                  <w:vAlign w:val="center"/>
                </w:tcPr>
                <w:p w14:paraId="6BC8FF60">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S</w:t>
                  </w:r>
                  <w:r>
                    <w:rPr>
                      <w:rFonts w:hint="eastAsia" w:cs="Times New Roman"/>
                      <w:color w:val="auto"/>
                      <w:vertAlign w:val="subscript"/>
                      <w:lang w:val="en-US" w:eastAsia="zh-CN"/>
                    </w:rPr>
                    <w:t>6</w:t>
                  </w:r>
                </w:p>
              </w:tc>
              <w:tc>
                <w:tcPr>
                  <w:tcW w:w="746" w:type="pct"/>
                  <w:gridSpan w:val="2"/>
                  <w:vMerge w:val="continue"/>
                  <w:noWrap w:val="0"/>
                  <w:vAlign w:val="center"/>
                </w:tcPr>
                <w:p w14:paraId="054C7042">
                  <w:pPr>
                    <w:adjustRightInd w:val="0"/>
                    <w:snapToGrid w:val="0"/>
                    <w:jc w:val="center"/>
                    <w:rPr>
                      <w:rFonts w:hint="eastAsia" w:ascii="Times New Roman" w:hAnsi="Times New Roman" w:eastAsia="宋体" w:cs="Times New Roman"/>
                      <w:color w:val="auto"/>
                      <w:lang w:val="en-US" w:eastAsia="zh-CN"/>
                    </w:rPr>
                  </w:pPr>
                </w:p>
              </w:tc>
              <w:tc>
                <w:tcPr>
                  <w:tcW w:w="1130" w:type="pct"/>
                  <w:gridSpan w:val="2"/>
                  <w:noWrap w:val="0"/>
                  <w:vAlign w:val="center"/>
                </w:tcPr>
                <w:p w14:paraId="551CA754">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废包装桶</w:t>
                  </w:r>
                </w:p>
              </w:tc>
              <w:tc>
                <w:tcPr>
                  <w:tcW w:w="2286" w:type="pct"/>
                  <w:gridSpan w:val="2"/>
                  <w:vMerge w:val="continue"/>
                  <w:noWrap w:val="0"/>
                  <w:vAlign w:val="center"/>
                </w:tcPr>
                <w:p w14:paraId="556E2012">
                  <w:pPr>
                    <w:adjustRightInd w:val="0"/>
                    <w:snapToGrid w:val="0"/>
                    <w:spacing w:line="260" w:lineRule="exact"/>
                    <w:jc w:val="both"/>
                    <w:rPr>
                      <w:rFonts w:hint="eastAsia" w:ascii="Times New Roman" w:hAnsi="Times New Roman" w:eastAsia="宋体" w:cs="Times New Roman"/>
                      <w:color w:val="auto"/>
                      <w:kern w:val="2"/>
                      <w:sz w:val="21"/>
                      <w:szCs w:val="24"/>
                      <w:lang w:val="en-US" w:eastAsia="zh-CN" w:bidi="ar-SA"/>
                    </w:rPr>
                  </w:pPr>
                </w:p>
              </w:tc>
            </w:tr>
            <w:tr w14:paraId="31D88E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pct"/>
                  <w:gridSpan w:val="2"/>
                  <w:vMerge w:val="continue"/>
                  <w:noWrap w:val="0"/>
                  <w:vAlign w:val="center"/>
                </w:tcPr>
                <w:p w14:paraId="0D3111EB">
                  <w:pPr>
                    <w:adjustRightInd w:val="0"/>
                    <w:snapToGrid w:val="0"/>
                    <w:jc w:val="center"/>
                    <w:rPr>
                      <w:rFonts w:hint="default"/>
                      <w:color w:val="auto"/>
                      <w:kern w:val="2"/>
                      <w:sz w:val="21"/>
                      <w:szCs w:val="24"/>
                      <w:lang w:val="en-US" w:eastAsia="zh-CN" w:bidi="ar-SA"/>
                    </w:rPr>
                  </w:pPr>
                </w:p>
              </w:tc>
              <w:tc>
                <w:tcPr>
                  <w:tcW w:w="424" w:type="pct"/>
                  <w:gridSpan w:val="2"/>
                  <w:noWrap w:val="0"/>
                  <w:vAlign w:val="center"/>
                </w:tcPr>
                <w:p w14:paraId="2A00E50B">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S</w:t>
                  </w:r>
                  <w:r>
                    <w:rPr>
                      <w:rFonts w:hint="eastAsia" w:cs="Times New Roman"/>
                      <w:color w:val="auto"/>
                      <w:vertAlign w:val="subscript"/>
                      <w:lang w:val="en-US" w:eastAsia="zh-CN"/>
                    </w:rPr>
                    <w:t>7</w:t>
                  </w:r>
                </w:p>
              </w:tc>
              <w:tc>
                <w:tcPr>
                  <w:tcW w:w="746" w:type="pct"/>
                  <w:gridSpan w:val="2"/>
                  <w:vMerge w:val="continue"/>
                  <w:noWrap w:val="0"/>
                  <w:vAlign w:val="center"/>
                </w:tcPr>
                <w:p w14:paraId="67C68736">
                  <w:pPr>
                    <w:adjustRightInd w:val="0"/>
                    <w:snapToGrid w:val="0"/>
                    <w:jc w:val="center"/>
                    <w:rPr>
                      <w:rFonts w:hint="eastAsia" w:ascii="Times New Roman" w:hAnsi="Times New Roman" w:eastAsia="宋体" w:cs="Times New Roman"/>
                      <w:color w:val="auto"/>
                      <w:lang w:val="en-US" w:eastAsia="zh-CN"/>
                    </w:rPr>
                  </w:pPr>
                </w:p>
              </w:tc>
              <w:tc>
                <w:tcPr>
                  <w:tcW w:w="1130" w:type="pct"/>
                  <w:gridSpan w:val="2"/>
                  <w:noWrap w:val="0"/>
                  <w:vAlign w:val="center"/>
                </w:tcPr>
                <w:p w14:paraId="65806CB9">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废活性炭</w:t>
                  </w:r>
                </w:p>
              </w:tc>
              <w:tc>
                <w:tcPr>
                  <w:tcW w:w="2286" w:type="pct"/>
                  <w:gridSpan w:val="2"/>
                  <w:vMerge w:val="continue"/>
                  <w:noWrap w:val="0"/>
                  <w:vAlign w:val="center"/>
                </w:tcPr>
                <w:p w14:paraId="7A6486FE">
                  <w:pPr>
                    <w:adjustRightInd w:val="0"/>
                    <w:snapToGrid w:val="0"/>
                    <w:spacing w:line="260" w:lineRule="exact"/>
                    <w:jc w:val="both"/>
                    <w:rPr>
                      <w:rFonts w:hint="eastAsia"/>
                      <w:color w:val="auto"/>
                      <w:kern w:val="2"/>
                      <w:sz w:val="21"/>
                      <w:szCs w:val="24"/>
                      <w:lang w:val="en-US" w:eastAsia="zh-CN" w:bidi="ar-SA"/>
                    </w:rPr>
                  </w:pPr>
                </w:p>
              </w:tc>
            </w:tr>
            <w:tr w14:paraId="296546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pct"/>
                  <w:gridSpan w:val="2"/>
                  <w:vMerge w:val="continue"/>
                  <w:noWrap w:val="0"/>
                  <w:vAlign w:val="center"/>
                </w:tcPr>
                <w:p w14:paraId="3BF09434">
                  <w:pPr>
                    <w:adjustRightInd w:val="0"/>
                    <w:snapToGrid w:val="0"/>
                    <w:jc w:val="center"/>
                    <w:rPr>
                      <w:rFonts w:hint="default"/>
                      <w:color w:val="auto"/>
                      <w:kern w:val="2"/>
                      <w:sz w:val="21"/>
                      <w:szCs w:val="24"/>
                      <w:lang w:val="en-US" w:eastAsia="zh-CN" w:bidi="ar-SA"/>
                    </w:rPr>
                  </w:pPr>
                </w:p>
              </w:tc>
              <w:tc>
                <w:tcPr>
                  <w:tcW w:w="424" w:type="pct"/>
                  <w:gridSpan w:val="2"/>
                  <w:noWrap w:val="0"/>
                  <w:vAlign w:val="center"/>
                </w:tcPr>
                <w:p w14:paraId="0D32C2C5">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S</w:t>
                  </w:r>
                  <w:r>
                    <w:rPr>
                      <w:rFonts w:hint="eastAsia" w:cs="Times New Roman"/>
                      <w:color w:val="auto"/>
                      <w:vertAlign w:val="subscript"/>
                      <w:lang w:val="en-US" w:eastAsia="zh-CN"/>
                    </w:rPr>
                    <w:t>8</w:t>
                  </w:r>
                </w:p>
              </w:tc>
              <w:tc>
                <w:tcPr>
                  <w:tcW w:w="746" w:type="pct"/>
                  <w:gridSpan w:val="2"/>
                  <w:vMerge w:val="continue"/>
                  <w:noWrap w:val="0"/>
                  <w:vAlign w:val="center"/>
                </w:tcPr>
                <w:p w14:paraId="1FCDF9C1">
                  <w:pPr>
                    <w:adjustRightInd w:val="0"/>
                    <w:snapToGrid w:val="0"/>
                    <w:jc w:val="center"/>
                    <w:rPr>
                      <w:rFonts w:hint="eastAsia" w:ascii="Times New Roman" w:hAnsi="Times New Roman" w:eastAsia="宋体" w:cs="Times New Roman"/>
                      <w:color w:val="auto"/>
                      <w:lang w:val="en-US" w:eastAsia="zh-CN"/>
                    </w:rPr>
                  </w:pPr>
                </w:p>
              </w:tc>
              <w:tc>
                <w:tcPr>
                  <w:tcW w:w="1130" w:type="pct"/>
                  <w:gridSpan w:val="2"/>
                  <w:noWrap w:val="0"/>
                  <w:vAlign w:val="center"/>
                </w:tcPr>
                <w:p w14:paraId="07F42CEE">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废催化剂</w:t>
                  </w:r>
                </w:p>
              </w:tc>
              <w:tc>
                <w:tcPr>
                  <w:tcW w:w="2286" w:type="pct"/>
                  <w:gridSpan w:val="2"/>
                  <w:vMerge w:val="continue"/>
                  <w:noWrap w:val="0"/>
                  <w:vAlign w:val="center"/>
                </w:tcPr>
                <w:p w14:paraId="11755790">
                  <w:pPr>
                    <w:adjustRightInd w:val="0"/>
                    <w:snapToGrid w:val="0"/>
                    <w:spacing w:line="260" w:lineRule="exact"/>
                    <w:jc w:val="both"/>
                    <w:rPr>
                      <w:rFonts w:hint="eastAsia"/>
                      <w:color w:val="auto"/>
                      <w:kern w:val="2"/>
                      <w:sz w:val="21"/>
                      <w:szCs w:val="24"/>
                      <w:lang w:val="en-US" w:eastAsia="zh-CN" w:bidi="ar-SA"/>
                    </w:rPr>
                  </w:pPr>
                </w:p>
              </w:tc>
            </w:tr>
            <w:tr w14:paraId="0E4B3F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pct"/>
                  <w:gridSpan w:val="2"/>
                  <w:vMerge w:val="continue"/>
                  <w:noWrap w:val="0"/>
                  <w:vAlign w:val="center"/>
                </w:tcPr>
                <w:p w14:paraId="3D1CA01D">
                  <w:pPr>
                    <w:adjustRightInd w:val="0"/>
                    <w:snapToGrid w:val="0"/>
                    <w:jc w:val="center"/>
                    <w:rPr>
                      <w:rFonts w:hint="default"/>
                      <w:color w:val="auto"/>
                      <w:kern w:val="2"/>
                      <w:sz w:val="21"/>
                      <w:szCs w:val="24"/>
                      <w:lang w:val="en-US" w:eastAsia="zh-CN" w:bidi="ar-SA"/>
                    </w:rPr>
                  </w:pPr>
                </w:p>
              </w:tc>
              <w:tc>
                <w:tcPr>
                  <w:tcW w:w="424" w:type="pct"/>
                  <w:gridSpan w:val="2"/>
                  <w:noWrap w:val="0"/>
                  <w:vAlign w:val="center"/>
                </w:tcPr>
                <w:p w14:paraId="2B412848">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S</w:t>
                  </w:r>
                  <w:r>
                    <w:rPr>
                      <w:rFonts w:hint="eastAsia" w:cs="Times New Roman"/>
                      <w:color w:val="auto"/>
                      <w:vertAlign w:val="subscript"/>
                      <w:lang w:val="en-US" w:eastAsia="zh-CN"/>
                    </w:rPr>
                    <w:t>9</w:t>
                  </w:r>
                </w:p>
              </w:tc>
              <w:tc>
                <w:tcPr>
                  <w:tcW w:w="746" w:type="pct"/>
                  <w:gridSpan w:val="2"/>
                  <w:vMerge w:val="restart"/>
                  <w:noWrap w:val="0"/>
                  <w:vAlign w:val="center"/>
                </w:tcPr>
                <w:p w14:paraId="36F87751">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除尘设备</w:t>
                  </w:r>
                </w:p>
              </w:tc>
              <w:tc>
                <w:tcPr>
                  <w:tcW w:w="1130" w:type="pct"/>
                  <w:gridSpan w:val="2"/>
                  <w:noWrap w:val="0"/>
                  <w:vAlign w:val="center"/>
                </w:tcPr>
                <w:p w14:paraId="546D7075">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收集尘</w:t>
                  </w:r>
                </w:p>
              </w:tc>
              <w:tc>
                <w:tcPr>
                  <w:tcW w:w="2286" w:type="pct"/>
                  <w:gridSpan w:val="2"/>
                  <w:vMerge w:val="restart"/>
                  <w:noWrap w:val="0"/>
                  <w:vAlign w:val="center"/>
                </w:tcPr>
                <w:p w14:paraId="21DCA26D">
                  <w:pPr>
                    <w:adjustRightInd w:val="0"/>
                    <w:snapToGrid w:val="0"/>
                    <w:spacing w:line="260" w:lineRule="exact"/>
                    <w:jc w:val="both"/>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收集暂存于一般固废暂存区，外售综合利用。</w:t>
                  </w:r>
                </w:p>
              </w:tc>
            </w:tr>
            <w:tr w14:paraId="30D549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pct"/>
                  <w:gridSpan w:val="2"/>
                  <w:vMerge w:val="continue"/>
                  <w:noWrap w:val="0"/>
                  <w:vAlign w:val="center"/>
                </w:tcPr>
                <w:p w14:paraId="54D1157E">
                  <w:pPr>
                    <w:adjustRightInd w:val="0"/>
                    <w:snapToGrid w:val="0"/>
                    <w:jc w:val="center"/>
                    <w:rPr>
                      <w:rFonts w:hint="default"/>
                      <w:color w:val="auto"/>
                      <w:kern w:val="2"/>
                      <w:sz w:val="21"/>
                      <w:szCs w:val="24"/>
                      <w:lang w:val="en-US" w:eastAsia="zh-CN" w:bidi="ar-SA"/>
                    </w:rPr>
                  </w:pPr>
                </w:p>
              </w:tc>
              <w:tc>
                <w:tcPr>
                  <w:tcW w:w="424" w:type="pct"/>
                  <w:gridSpan w:val="2"/>
                  <w:noWrap w:val="0"/>
                  <w:vAlign w:val="center"/>
                </w:tcPr>
                <w:p w14:paraId="419DA3E0">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S</w:t>
                  </w:r>
                  <w:r>
                    <w:rPr>
                      <w:rFonts w:hint="eastAsia" w:ascii="Times New Roman" w:hAnsi="Times New Roman" w:eastAsia="宋体" w:cs="Times New Roman"/>
                      <w:color w:val="auto"/>
                      <w:vertAlign w:val="subscript"/>
                      <w:lang w:val="en-US" w:eastAsia="zh-CN"/>
                    </w:rPr>
                    <w:t>1</w:t>
                  </w:r>
                  <w:r>
                    <w:rPr>
                      <w:rFonts w:hint="eastAsia" w:cs="Times New Roman"/>
                      <w:color w:val="auto"/>
                      <w:vertAlign w:val="subscript"/>
                      <w:lang w:val="en-US" w:eastAsia="zh-CN"/>
                    </w:rPr>
                    <w:t>0</w:t>
                  </w:r>
                </w:p>
              </w:tc>
              <w:tc>
                <w:tcPr>
                  <w:tcW w:w="746" w:type="pct"/>
                  <w:gridSpan w:val="2"/>
                  <w:vMerge w:val="continue"/>
                  <w:noWrap w:val="0"/>
                  <w:vAlign w:val="center"/>
                </w:tcPr>
                <w:p w14:paraId="3B439340">
                  <w:pPr>
                    <w:adjustRightInd w:val="0"/>
                    <w:snapToGrid w:val="0"/>
                    <w:jc w:val="center"/>
                    <w:rPr>
                      <w:rFonts w:hint="eastAsia" w:ascii="Times New Roman" w:hAnsi="Times New Roman" w:eastAsia="宋体" w:cs="Times New Roman"/>
                      <w:color w:val="auto"/>
                      <w:lang w:val="en-US" w:eastAsia="zh-CN"/>
                    </w:rPr>
                  </w:pPr>
                </w:p>
              </w:tc>
              <w:tc>
                <w:tcPr>
                  <w:tcW w:w="1130" w:type="pct"/>
                  <w:gridSpan w:val="2"/>
                  <w:noWrap w:val="0"/>
                  <w:vAlign w:val="center"/>
                </w:tcPr>
                <w:p w14:paraId="494ECE0C">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废布袋</w:t>
                  </w:r>
                </w:p>
              </w:tc>
              <w:tc>
                <w:tcPr>
                  <w:tcW w:w="2286" w:type="pct"/>
                  <w:gridSpan w:val="2"/>
                  <w:vMerge w:val="continue"/>
                  <w:noWrap w:val="0"/>
                  <w:vAlign w:val="center"/>
                </w:tcPr>
                <w:p w14:paraId="388A0C63">
                  <w:pPr>
                    <w:adjustRightInd w:val="0"/>
                    <w:snapToGrid w:val="0"/>
                    <w:spacing w:line="260" w:lineRule="exact"/>
                    <w:jc w:val="both"/>
                    <w:rPr>
                      <w:rFonts w:hint="eastAsia" w:ascii="Times New Roman" w:hAnsi="Times New Roman" w:eastAsia="宋体" w:cs="Times New Roman"/>
                      <w:color w:val="auto"/>
                      <w:kern w:val="2"/>
                      <w:sz w:val="21"/>
                      <w:szCs w:val="24"/>
                      <w:lang w:val="en-US" w:eastAsia="zh-CN" w:bidi="ar-SA"/>
                    </w:rPr>
                  </w:pPr>
                </w:p>
              </w:tc>
            </w:tr>
            <w:tr w14:paraId="0FA851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pct"/>
                  <w:gridSpan w:val="2"/>
                  <w:vMerge w:val="continue"/>
                  <w:noWrap w:val="0"/>
                  <w:vAlign w:val="center"/>
                </w:tcPr>
                <w:p w14:paraId="1AA340B9">
                  <w:pPr>
                    <w:adjustRightInd w:val="0"/>
                    <w:snapToGrid w:val="0"/>
                    <w:jc w:val="center"/>
                    <w:rPr>
                      <w:rFonts w:hint="default"/>
                      <w:color w:val="auto"/>
                      <w:kern w:val="2"/>
                      <w:sz w:val="21"/>
                      <w:szCs w:val="24"/>
                      <w:lang w:val="en-US" w:eastAsia="zh-CN" w:bidi="ar-SA"/>
                    </w:rPr>
                  </w:pPr>
                </w:p>
              </w:tc>
              <w:tc>
                <w:tcPr>
                  <w:tcW w:w="424" w:type="pct"/>
                  <w:gridSpan w:val="2"/>
                  <w:noWrap w:val="0"/>
                  <w:vAlign w:val="center"/>
                </w:tcPr>
                <w:p w14:paraId="4A7F7E53">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S</w:t>
                  </w:r>
                  <w:r>
                    <w:rPr>
                      <w:rFonts w:hint="eastAsia" w:ascii="Times New Roman" w:hAnsi="Times New Roman" w:eastAsia="宋体" w:cs="Times New Roman"/>
                      <w:color w:val="auto"/>
                      <w:vertAlign w:val="subscript"/>
                      <w:lang w:val="en-US" w:eastAsia="zh-CN"/>
                    </w:rPr>
                    <w:t>1</w:t>
                  </w:r>
                  <w:r>
                    <w:rPr>
                      <w:rFonts w:hint="eastAsia" w:cs="Times New Roman"/>
                      <w:color w:val="auto"/>
                      <w:vertAlign w:val="subscript"/>
                      <w:lang w:val="en-US" w:eastAsia="zh-CN"/>
                    </w:rPr>
                    <w:t>1</w:t>
                  </w:r>
                </w:p>
              </w:tc>
              <w:tc>
                <w:tcPr>
                  <w:tcW w:w="746" w:type="pct"/>
                  <w:gridSpan w:val="2"/>
                  <w:vMerge w:val="restart"/>
                  <w:noWrap w:val="0"/>
                  <w:vAlign w:val="center"/>
                </w:tcPr>
                <w:p w14:paraId="6D21CDFF">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设备维护保养</w:t>
                  </w:r>
                </w:p>
              </w:tc>
              <w:tc>
                <w:tcPr>
                  <w:tcW w:w="1130" w:type="pct"/>
                  <w:gridSpan w:val="2"/>
                  <w:noWrap w:val="0"/>
                  <w:vAlign w:val="center"/>
                </w:tcPr>
                <w:p w14:paraId="31CCC52A">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废</w:t>
                  </w:r>
                  <w:r>
                    <w:rPr>
                      <w:rFonts w:hint="eastAsia" w:cs="Times New Roman"/>
                      <w:color w:val="auto"/>
                      <w:kern w:val="2"/>
                      <w:sz w:val="21"/>
                      <w:szCs w:val="24"/>
                      <w:lang w:val="en-US" w:eastAsia="zh-CN" w:bidi="ar-SA"/>
                    </w:rPr>
                    <w:t>润滑</w:t>
                  </w:r>
                  <w:r>
                    <w:rPr>
                      <w:rFonts w:hint="eastAsia" w:ascii="Times New Roman" w:hAnsi="Times New Roman" w:eastAsia="宋体" w:cs="Times New Roman"/>
                      <w:color w:val="auto"/>
                      <w:kern w:val="2"/>
                      <w:sz w:val="21"/>
                      <w:szCs w:val="24"/>
                      <w:lang w:val="en-US" w:eastAsia="zh-CN" w:bidi="ar-SA"/>
                    </w:rPr>
                    <w:t>油</w:t>
                  </w:r>
                </w:p>
              </w:tc>
              <w:tc>
                <w:tcPr>
                  <w:tcW w:w="2286" w:type="pct"/>
                  <w:gridSpan w:val="2"/>
                  <w:vMerge w:val="restart"/>
                  <w:noWrap w:val="0"/>
                  <w:vAlign w:val="center"/>
                </w:tcPr>
                <w:p w14:paraId="01A69243">
                  <w:pPr>
                    <w:adjustRightInd w:val="0"/>
                    <w:snapToGrid w:val="0"/>
                    <w:spacing w:line="260" w:lineRule="exact"/>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分类收集暂存于危废贮存</w:t>
                  </w:r>
                  <w:r>
                    <w:rPr>
                      <w:rFonts w:hint="eastAsia" w:cs="Times New Roman"/>
                      <w:color w:val="auto"/>
                      <w:lang w:val="en-US" w:eastAsia="zh-CN"/>
                    </w:rPr>
                    <w:t>点</w:t>
                  </w:r>
                  <w:r>
                    <w:rPr>
                      <w:rFonts w:hint="eastAsia" w:ascii="Times New Roman" w:hAnsi="Times New Roman" w:eastAsia="宋体" w:cs="Times New Roman"/>
                      <w:color w:val="auto"/>
                      <w:lang w:val="en-US" w:eastAsia="zh-CN"/>
                    </w:rPr>
                    <w:t>，委托有资质单位处置。</w:t>
                  </w:r>
                </w:p>
              </w:tc>
            </w:tr>
            <w:tr w14:paraId="17DE09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pct"/>
                  <w:gridSpan w:val="2"/>
                  <w:vMerge w:val="continue"/>
                  <w:noWrap w:val="0"/>
                  <w:vAlign w:val="center"/>
                </w:tcPr>
                <w:p w14:paraId="53168AF3">
                  <w:pPr>
                    <w:adjustRightInd w:val="0"/>
                    <w:snapToGrid w:val="0"/>
                    <w:jc w:val="center"/>
                    <w:rPr>
                      <w:rFonts w:hint="default"/>
                      <w:color w:val="auto"/>
                      <w:kern w:val="2"/>
                      <w:sz w:val="21"/>
                      <w:szCs w:val="24"/>
                      <w:lang w:val="en-US" w:eastAsia="zh-CN" w:bidi="ar-SA"/>
                    </w:rPr>
                  </w:pPr>
                </w:p>
              </w:tc>
              <w:tc>
                <w:tcPr>
                  <w:tcW w:w="424" w:type="pct"/>
                  <w:gridSpan w:val="2"/>
                  <w:noWrap w:val="0"/>
                  <w:vAlign w:val="center"/>
                </w:tcPr>
                <w:p w14:paraId="008E56A3">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S</w:t>
                  </w:r>
                  <w:r>
                    <w:rPr>
                      <w:rFonts w:hint="eastAsia" w:ascii="Times New Roman" w:hAnsi="Times New Roman" w:eastAsia="宋体" w:cs="Times New Roman"/>
                      <w:color w:val="auto"/>
                      <w:vertAlign w:val="subscript"/>
                      <w:lang w:val="en-US" w:eastAsia="zh-CN"/>
                    </w:rPr>
                    <w:t>1</w:t>
                  </w:r>
                  <w:r>
                    <w:rPr>
                      <w:rFonts w:hint="eastAsia" w:cs="Times New Roman"/>
                      <w:color w:val="auto"/>
                      <w:vertAlign w:val="subscript"/>
                      <w:lang w:val="en-US" w:eastAsia="zh-CN"/>
                    </w:rPr>
                    <w:t>2</w:t>
                  </w:r>
                </w:p>
              </w:tc>
              <w:tc>
                <w:tcPr>
                  <w:tcW w:w="746" w:type="pct"/>
                  <w:gridSpan w:val="2"/>
                  <w:vMerge w:val="continue"/>
                  <w:noWrap w:val="0"/>
                  <w:vAlign w:val="center"/>
                </w:tcPr>
                <w:p w14:paraId="19CEFA2F">
                  <w:pPr>
                    <w:adjustRightInd w:val="0"/>
                    <w:snapToGrid w:val="0"/>
                    <w:jc w:val="center"/>
                    <w:rPr>
                      <w:rFonts w:hint="eastAsia" w:ascii="Times New Roman" w:hAnsi="Times New Roman" w:eastAsia="宋体" w:cs="Times New Roman"/>
                      <w:color w:val="auto"/>
                      <w:lang w:val="en-US" w:eastAsia="zh-CN"/>
                    </w:rPr>
                  </w:pPr>
                </w:p>
              </w:tc>
              <w:tc>
                <w:tcPr>
                  <w:tcW w:w="1130" w:type="pct"/>
                  <w:gridSpan w:val="2"/>
                  <w:noWrap w:val="0"/>
                  <w:vAlign w:val="center"/>
                </w:tcPr>
                <w:p w14:paraId="2185FB49">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废油桶</w:t>
                  </w:r>
                </w:p>
              </w:tc>
              <w:tc>
                <w:tcPr>
                  <w:tcW w:w="2286" w:type="pct"/>
                  <w:gridSpan w:val="2"/>
                  <w:vMerge w:val="continue"/>
                  <w:noWrap w:val="0"/>
                  <w:vAlign w:val="center"/>
                </w:tcPr>
                <w:p w14:paraId="3EF50F70">
                  <w:pPr>
                    <w:adjustRightInd w:val="0"/>
                    <w:snapToGrid w:val="0"/>
                    <w:spacing w:line="260" w:lineRule="exact"/>
                    <w:jc w:val="both"/>
                    <w:rPr>
                      <w:rFonts w:hint="eastAsia" w:ascii="Times New Roman" w:hAnsi="Times New Roman" w:eastAsia="宋体" w:cs="Times New Roman"/>
                      <w:color w:val="auto"/>
                      <w:lang w:val="en-US" w:eastAsia="zh-CN"/>
                    </w:rPr>
                  </w:pPr>
                </w:p>
              </w:tc>
            </w:tr>
            <w:tr w14:paraId="4C4C77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pct"/>
                  <w:gridSpan w:val="2"/>
                  <w:vMerge w:val="continue"/>
                  <w:noWrap w:val="0"/>
                  <w:vAlign w:val="center"/>
                </w:tcPr>
                <w:p w14:paraId="20E84FE9">
                  <w:pPr>
                    <w:adjustRightInd w:val="0"/>
                    <w:snapToGrid w:val="0"/>
                    <w:jc w:val="center"/>
                    <w:rPr>
                      <w:rFonts w:hint="default"/>
                      <w:color w:val="auto"/>
                      <w:kern w:val="2"/>
                      <w:sz w:val="21"/>
                      <w:szCs w:val="24"/>
                      <w:lang w:val="en-US" w:eastAsia="zh-CN" w:bidi="ar-SA"/>
                    </w:rPr>
                  </w:pPr>
                </w:p>
              </w:tc>
              <w:tc>
                <w:tcPr>
                  <w:tcW w:w="424" w:type="pct"/>
                  <w:gridSpan w:val="2"/>
                  <w:noWrap w:val="0"/>
                  <w:vAlign w:val="center"/>
                </w:tcPr>
                <w:p w14:paraId="6BDE975A">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S</w:t>
                  </w:r>
                  <w:r>
                    <w:rPr>
                      <w:rFonts w:hint="eastAsia" w:ascii="Times New Roman" w:hAnsi="Times New Roman" w:eastAsia="宋体" w:cs="Times New Roman"/>
                      <w:color w:val="auto"/>
                      <w:vertAlign w:val="subscript"/>
                      <w:lang w:val="en-US" w:eastAsia="zh-CN"/>
                    </w:rPr>
                    <w:t>1</w:t>
                  </w:r>
                  <w:r>
                    <w:rPr>
                      <w:rFonts w:hint="eastAsia" w:cs="Times New Roman"/>
                      <w:color w:val="auto"/>
                      <w:vertAlign w:val="subscript"/>
                      <w:lang w:val="en-US" w:eastAsia="zh-CN"/>
                    </w:rPr>
                    <w:t>3</w:t>
                  </w:r>
                </w:p>
              </w:tc>
              <w:tc>
                <w:tcPr>
                  <w:tcW w:w="746" w:type="pct"/>
                  <w:gridSpan w:val="2"/>
                  <w:vMerge w:val="continue"/>
                  <w:noWrap w:val="0"/>
                  <w:vAlign w:val="center"/>
                </w:tcPr>
                <w:p w14:paraId="585E6FF3">
                  <w:pPr>
                    <w:adjustRightInd w:val="0"/>
                    <w:snapToGrid w:val="0"/>
                    <w:jc w:val="center"/>
                    <w:rPr>
                      <w:rFonts w:hint="eastAsia" w:ascii="Times New Roman" w:hAnsi="Times New Roman" w:eastAsia="宋体" w:cs="Times New Roman"/>
                      <w:color w:val="auto"/>
                      <w:lang w:val="en-US" w:eastAsia="zh-CN"/>
                    </w:rPr>
                  </w:pPr>
                </w:p>
              </w:tc>
              <w:tc>
                <w:tcPr>
                  <w:tcW w:w="1130" w:type="pct"/>
                  <w:gridSpan w:val="2"/>
                  <w:noWrap w:val="0"/>
                  <w:vAlign w:val="center"/>
                </w:tcPr>
                <w:p w14:paraId="3E2382A4">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废液压油</w:t>
                  </w:r>
                </w:p>
              </w:tc>
              <w:tc>
                <w:tcPr>
                  <w:tcW w:w="2286" w:type="pct"/>
                  <w:gridSpan w:val="2"/>
                  <w:vMerge w:val="continue"/>
                  <w:noWrap w:val="0"/>
                  <w:vAlign w:val="center"/>
                </w:tcPr>
                <w:p w14:paraId="14677E45">
                  <w:pPr>
                    <w:adjustRightInd w:val="0"/>
                    <w:snapToGrid w:val="0"/>
                    <w:spacing w:line="260" w:lineRule="exact"/>
                    <w:jc w:val="both"/>
                    <w:rPr>
                      <w:rFonts w:hint="eastAsia" w:ascii="Times New Roman" w:hAnsi="Times New Roman" w:eastAsia="宋体" w:cs="Times New Roman"/>
                      <w:color w:val="auto"/>
                      <w:lang w:val="en-US" w:eastAsia="zh-CN"/>
                    </w:rPr>
                  </w:pPr>
                </w:p>
              </w:tc>
            </w:tr>
            <w:tr w14:paraId="62739F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1" w:type="pct"/>
                  <w:gridSpan w:val="2"/>
                  <w:vMerge w:val="continue"/>
                  <w:noWrap w:val="0"/>
                  <w:vAlign w:val="center"/>
                </w:tcPr>
                <w:p w14:paraId="049AF841">
                  <w:pPr>
                    <w:adjustRightInd w:val="0"/>
                    <w:snapToGrid w:val="0"/>
                    <w:jc w:val="center"/>
                    <w:rPr>
                      <w:rFonts w:hint="default"/>
                      <w:color w:val="auto"/>
                      <w:kern w:val="2"/>
                      <w:sz w:val="21"/>
                      <w:szCs w:val="24"/>
                      <w:lang w:val="en-US" w:eastAsia="zh-CN" w:bidi="ar-SA"/>
                    </w:rPr>
                  </w:pPr>
                </w:p>
              </w:tc>
              <w:tc>
                <w:tcPr>
                  <w:tcW w:w="424" w:type="pct"/>
                  <w:gridSpan w:val="2"/>
                  <w:noWrap w:val="0"/>
                  <w:vAlign w:val="center"/>
                </w:tcPr>
                <w:p w14:paraId="72A51289">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S</w:t>
                  </w:r>
                  <w:r>
                    <w:rPr>
                      <w:rFonts w:hint="eastAsia" w:ascii="Times New Roman" w:hAnsi="Times New Roman" w:eastAsia="宋体" w:cs="Times New Roman"/>
                      <w:color w:val="auto"/>
                      <w:vertAlign w:val="subscript"/>
                      <w:lang w:val="en-US" w:eastAsia="zh-CN"/>
                    </w:rPr>
                    <w:t>1</w:t>
                  </w:r>
                  <w:r>
                    <w:rPr>
                      <w:rFonts w:hint="eastAsia" w:eastAsia="宋体" w:cs="Times New Roman"/>
                      <w:color w:val="auto"/>
                      <w:vertAlign w:val="subscript"/>
                      <w:lang w:val="en-US" w:eastAsia="zh-CN"/>
                    </w:rPr>
                    <w:t>4</w:t>
                  </w:r>
                </w:p>
              </w:tc>
              <w:tc>
                <w:tcPr>
                  <w:tcW w:w="746" w:type="pct"/>
                  <w:gridSpan w:val="2"/>
                  <w:noWrap w:val="0"/>
                  <w:vAlign w:val="center"/>
                </w:tcPr>
                <w:p w14:paraId="2FEDC89B">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办公、生活</w:t>
                  </w:r>
                </w:p>
              </w:tc>
              <w:tc>
                <w:tcPr>
                  <w:tcW w:w="1130" w:type="pct"/>
                  <w:gridSpan w:val="2"/>
                  <w:noWrap w:val="0"/>
                  <w:vAlign w:val="center"/>
                </w:tcPr>
                <w:p w14:paraId="3F59BB60">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生活垃圾</w:t>
                  </w:r>
                </w:p>
              </w:tc>
              <w:tc>
                <w:tcPr>
                  <w:tcW w:w="2286" w:type="pct"/>
                  <w:gridSpan w:val="2"/>
                  <w:noWrap w:val="0"/>
                  <w:vAlign w:val="center"/>
                </w:tcPr>
                <w:p w14:paraId="0B30712D">
                  <w:pPr>
                    <w:adjustRightInd w:val="0"/>
                    <w:snapToGrid w:val="0"/>
                    <w:spacing w:line="260" w:lineRule="exact"/>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厂内集中收集，由环卫部门统一拉运至生活垃圾填埋场处置。</w:t>
                  </w:r>
                </w:p>
              </w:tc>
            </w:tr>
          </w:tbl>
          <w:p w14:paraId="7A43564A">
            <w:pPr>
              <w:spacing w:line="360" w:lineRule="auto"/>
              <w:ind w:firstLine="420" w:firstLineChars="200"/>
              <w:rPr>
                <w:color w:val="auto"/>
              </w:rPr>
            </w:pPr>
          </w:p>
        </w:tc>
      </w:tr>
      <w:tr w14:paraId="4BE42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3" w:hRule="atLeast"/>
          <w:jc w:val="center"/>
        </w:trPr>
        <w:tc>
          <w:tcPr>
            <w:tcW w:w="746" w:type="dxa"/>
            <w:noWrap w:val="0"/>
            <w:vAlign w:val="center"/>
          </w:tcPr>
          <w:p w14:paraId="0EE96259">
            <w:pPr>
              <w:autoSpaceDE w:val="0"/>
              <w:autoSpaceDN w:val="0"/>
              <w:adjustRightInd w:val="0"/>
              <w:snapToGrid w:val="0"/>
              <w:jc w:val="center"/>
              <w:rPr>
                <w:color w:val="auto"/>
                <w:kern w:val="0"/>
                <w:sz w:val="24"/>
              </w:rPr>
            </w:pPr>
            <w:r>
              <w:rPr>
                <w:color w:val="auto"/>
                <w:kern w:val="0"/>
                <w:sz w:val="24"/>
              </w:rPr>
              <w:t>与项目有关的原有环境污染问题</w:t>
            </w:r>
          </w:p>
        </w:tc>
        <w:tc>
          <w:tcPr>
            <w:tcW w:w="8368" w:type="dxa"/>
            <w:gridSpan w:val="2"/>
            <w:noWrap w:val="0"/>
            <w:vAlign w:val="center"/>
          </w:tcPr>
          <w:p w14:paraId="5F882EF0">
            <w:pPr>
              <w:spacing w:line="360" w:lineRule="auto"/>
              <w:ind w:firstLine="480" w:firstLineChars="200"/>
              <w:jc w:val="both"/>
              <w:rPr>
                <w:color w:val="auto"/>
              </w:rPr>
            </w:pPr>
            <w:r>
              <w:rPr>
                <w:rFonts w:hint="eastAsia" w:ascii="Times New Roman" w:hAnsi="Times New Roman" w:eastAsia="宋体" w:cs="Times New Roman"/>
                <w:color w:val="auto"/>
                <w:sz w:val="24"/>
                <w:lang w:val="en-US" w:eastAsia="zh-CN"/>
              </w:rPr>
              <w:t>本项目为新建项目，不存在与本项目有关的原有环境污染问题。</w:t>
            </w:r>
          </w:p>
        </w:tc>
      </w:tr>
    </w:tbl>
    <w:p w14:paraId="2084609C">
      <w:pPr>
        <w:pStyle w:val="23"/>
        <w:jc w:val="center"/>
        <w:rPr>
          <w:rFonts w:ascii="Times New Roman" w:hAnsi="Times New Roman" w:eastAsia="黑体"/>
          <w:snapToGrid w:val="0"/>
          <w:color w:val="auto"/>
          <w:sz w:val="36"/>
          <w:szCs w:val="36"/>
          <w:highlight w:val="yellow"/>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280DCC9F">
      <w:pPr>
        <w:pStyle w:val="23"/>
        <w:jc w:val="center"/>
        <w:outlineLvl w:val="0"/>
        <w:rPr>
          <w:rFonts w:ascii="Times New Roman" w:hAnsi="Times New Roman" w:eastAsia="黑体"/>
          <w:snapToGrid w:val="0"/>
          <w:color w:val="auto"/>
          <w:sz w:val="30"/>
          <w:szCs w:val="30"/>
        </w:rPr>
      </w:pPr>
      <w:bookmarkStart w:id="6" w:name="_Toc8236"/>
      <w:r>
        <w:rPr>
          <w:rFonts w:ascii="Times New Roman" w:hAnsi="Times New Roman" w:eastAsia="黑体"/>
          <w:snapToGrid w:val="0"/>
          <w:color w:val="auto"/>
          <w:sz w:val="30"/>
          <w:szCs w:val="30"/>
        </w:rPr>
        <w:t>三、区域环境质量现状、环境保护目标及评价标准</w:t>
      </w:r>
      <w:bookmarkEnd w:id="6"/>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71"/>
        <w:gridCol w:w="8254"/>
      </w:tblGrid>
      <w:tr w14:paraId="42918B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771" w:type="dxa"/>
            <w:noWrap w:val="0"/>
            <w:vAlign w:val="center"/>
          </w:tcPr>
          <w:p w14:paraId="5AEDD5D7">
            <w:pPr>
              <w:autoSpaceDE w:val="0"/>
              <w:autoSpaceDN w:val="0"/>
              <w:adjustRightInd w:val="0"/>
              <w:snapToGrid w:val="0"/>
              <w:jc w:val="center"/>
              <w:rPr>
                <w:color w:val="auto"/>
                <w:kern w:val="0"/>
                <w:sz w:val="24"/>
              </w:rPr>
            </w:pPr>
            <w:r>
              <w:rPr>
                <w:color w:val="auto"/>
                <w:kern w:val="0"/>
                <w:sz w:val="24"/>
              </w:rPr>
              <w:t>区域</w:t>
            </w:r>
          </w:p>
          <w:p w14:paraId="058CBE8B">
            <w:pPr>
              <w:autoSpaceDE w:val="0"/>
              <w:autoSpaceDN w:val="0"/>
              <w:adjustRightInd w:val="0"/>
              <w:snapToGrid w:val="0"/>
              <w:jc w:val="center"/>
              <w:rPr>
                <w:color w:val="auto"/>
                <w:kern w:val="0"/>
                <w:sz w:val="24"/>
              </w:rPr>
            </w:pPr>
            <w:r>
              <w:rPr>
                <w:color w:val="auto"/>
                <w:kern w:val="0"/>
                <w:sz w:val="24"/>
              </w:rPr>
              <w:t>环境</w:t>
            </w:r>
          </w:p>
          <w:p w14:paraId="4245F9ED">
            <w:pPr>
              <w:autoSpaceDE w:val="0"/>
              <w:autoSpaceDN w:val="0"/>
              <w:adjustRightInd w:val="0"/>
              <w:snapToGrid w:val="0"/>
              <w:jc w:val="center"/>
              <w:rPr>
                <w:color w:val="auto"/>
                <w:kern w:val="0"/>
                <w:sz w:val="24"/>
              </w:rPr>
            </w:pPr>
            <w:r>
              <w:rPr>
                <w:color w:val="auto"/>
                <w:kern w:val="0"/>
                <w:sz w:val="24"/>
              </w:rPr>
              <w:t>质量</w:t>
            </w:r>
          </w:p>
          <w:p w14:paraId="09E5EB41">
            <w:pPr>
              <w:autoSpaceDE w:val="0"/>
              <w:autoSpaceDN w:val="0"/>
              <w:adjustRightInd w:val="0"/>
              <w:snapToGrid w:val="0"/>
              <w:jc w:val="center"/>
              <w:rPr>
                <w:color w:val="auto"/>
                <w:kern w:val="0"/>
                <w:sz w:val="24"/>
              </w:rPr>
            </w:pPr>
            <w:r>
              <w:rPr>
                <w:color w:val="auto"/>
                <w:kern w:val="0"/>
                <w:sz w:val="24"/>
              </w:rPr>
              <w:t>现状</w:t>
            </w:r>
          </w:p>
        </w:tc>
        <w:tc>
          <w:tcPr>
            <w:tcW w:w="8254" w:type="dxa"/>
            <w:noWrap w:val="0"/>
            <w:vAlign w:val="center"/>
          </w:tcPr>
          <w:p w14:paraId="3E2F91C3">
            <w:pPr>
              <w:adjustRightInd w:val="0"/>
              <w:snapToGrid w:val="0"/>
              <w:spacing w:before="120" w:beforeLines="50" w:line="360" w:lineRule="auto"/>
              <w:jc w:val="left"/>
              <w:rPr>
                <w:rFonts w:hint="eastAsia" w:ascii="宋体" w:hAnsi="宋体" w:cs="宋体"/>
                <w:b/>
                <w:bCs/>
                <w:color w:val="auto"/>
                <w:sz w:val="24"/>
              </w:rPr>
            </w:pPr>
            <w:r>
              <w:rPr>
                <w:rFonts w:hint="eastAsia" w:ascii="宋体" w:hAnsi="宋体" w:cs="宋体"/>
                <w:b/>
                <w:bCs/>
                <w:color w:val="auto"/>
                <w:sz w:val="24"/>
                <w:lang w:val="en-US" w:eastAsia="zh-CN"/>
              </w:rPr>
              <w:t>1.大气环境</w:t>
            </w:r>
            <w:r>
              <w:rPr>
                <w:rFonts w:hint="eastAsia" w:ascii="宋体" w:hAnsi="宋体" w:cs="宋体"/>
                <w:b/>
                <w:bCs/>
                <w:color w:val="auto"/>
                <w:sz w:val="24"/>
              </w:rPr>
              <w:t>质量现状调查与评价</w:t>
            </w:r>
          </w:p>
          <w:p w14:paraId="50793120">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1</w:t>
            </w:r>
            <w:r>
              <w:rPr>
                <w:rFonts w:hint="eastAsia" w:ascii="Times New Roman" w:hAnsi="Times New Roman" w:eastAsia="宋体" w:cs="Times New Roman"/>
                <w:color w:val="auto"/>
                <w:sz w:val="24"/>
                <w:szCs w:val="24"/>
                <w:lang w:val="en-US" w:eastAsia="zh-CN"/>
              </w:rPr>
              <w:t>）基本污染物环境质量现状</w:t>
            </w:r>
          </w:p>
          <w:p w14:paraId="3A91FB3F">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fldChar w:fldCharType="begin"/>
            </w:r>
            <w:r>
              <w:rPr>
                <w:rFonts w:hint="eastAsia" w:ascii="Times New Roman" w:hAnsi="Times New Roman" w:eastAsia="宋体" w:cs="Times New Roman"/>
                <w:color w:val="auto"/>
                <w:sz w:val="24"/>
                <w:szCs w:val="24"/>
                <w:lang w:val="en-US" w:eastAsia="zh-CN"/>
              </w:rPr>
              <w:instrText xml:space="preserve"> = 1 \* GB3 \* MERGEFORMAT </w:instrText>
            </w:r>
            <w:r>
              <w:rPr>
                <w:rFonts w:hint="eastAsia" w:ascii="Times New Roman" w:hAnsi="Times New Roman" w:eastAsia="宋体" w:cs="Times New Roman"/>
                <w:color w:val="auto"/>
                <w:sz w:val="24"/>
                <w:szCs w:val="24"/>
                <w:lang w:val="en-US" w:eastAsia="zh-CN"/>
              </w:rPr>
              <w:fldChar w:fldCharType="separate"/>
            </w:r>
            <w:r>
              <w:rPr>
                <w:rFonts w:hint="default" w:ascii="Times New Roman" w:hAnsi="Times New Roman" w:eastAsia="宋体" w:cs="Times New Roman"/>
                <w:color w:val="auto"/>
                <w:sz w:val="24"/>
                <w:szCs w:val="24"/>
                <w:lang w:val="en-US" w:eastAsia="zh-CN"/>
              </w:rPr>
              <w:t>①</w:t>
            </w:r>
            <w:r>
              <w:rPr>
                <w:rFonts w:hint="eastAsia" w:ascii="Times New Roman" w:hAnsi="Times New Roman" w:eastAsia="宋体" w:cs="Times New Roman"/>
                <w:color w:val="auto"/>
                <w:sz w:val="24"/>
                <w:szCs w:val="24"/>
                <w:lang w:val="en-US" w:eastAsia="zh-CN"/>
              </w:rPr>
              <w:fldChar w:fldCharType="end"/>
            </w:r>
            <w:r>
              <w:rPr>
                <w:rFonts w:hint="eastAsia" w:ascii="Times New Roman" w:hAnsi="Times New Roman" w:eastAsia="宋体" w:cs="Times New Roman"/>
                <w:color w:val="auto"/>
                <w:sz w:val="24"/>
                <w:szCs w:val="24"/>
                <w:lang w:val="en-US" w:eastAsia="zh-CN"/>
              </w:rPr>
              <w:t>数据来源</w:t>
            </w:r>
          </w:p>
          <w:p w14:paraId="5B1EB2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根据《环境影响评价技术导则-大气环境》（HJ2.2-2018）要求，本次评价采用环境空气质量模型技术支持服务系统中新疆维吾尔自治区</w:t>
            </w:r>
            <w:r>
              <w:rPr>
                <w:rFonts w:hint="eastAsia" w:ascii="Times New Roman" w:hAnsi="Times New Roman" w:eastAsia="宋体" w:cs="Times New Roman"/>
                <w:color w:val="0000FF"/>
                <w:sz w:val="24"/>
                <w:szCs w:val="24"/>
                <w:highlight w:val="none"/>
                <w:lang w:val="en-US" w:eastAsia="zh-CN"/>
              </w:rPr>
              <w:t>昌吉州</w:t>
            </w:r>
            <w:r>
              <w:rPr>
                <w:rFonts w:hint="default" w:ascii="Times New Roman" w:hAnsi="Times New Roman" w:eastAsia="宋体" w:cs="Times New Roman"/>
                <w:color w:val="0000FF"/>
                <w:sz w:val="24"/>
                <w:szCs w:val="24"/>
                <w:highlight w:val="none"/>
                <w:lang w:val="en-US" w:eastAsia="zh-CN"/>
              </w:rPr>
              <w:t>202</w:t>
            </w:r>
            <w:r>
              <w:rPr>
                <w:rFonts w:hint="eastAsia" w:ascii="Times New Roman" w:hAnsi="Times New Roman" w:eastAsia="宋体" w:cs="Times New Roman"/>
                <w:color w:val="0000FF"/>
                <w:sz w:val="24"/>
                <w:szCs w:val="24"/>
                <w:highlight w:val="none"/>
                <w:lang w:val="en-US" w:eastAsia="zh-CN"/>
              </w:rPr>
              <w:t>5</w:t>
            </w:r>
            <w:r>
              <w:rPr>
                <w:rFonts w:hint="default" w:ascii="Times New Roman" w:hAnsi="Times New Roman" w:eastAsia="宋体" w:cs="Times New Roman"/>
                <w:color w:val="0000FF"/>
                <w:sz w:val="24"/>
                <w:szCs w:val="24"/>
                <w:highlight w:val="none"/>
                <w:lang w:val="en-US" w:eastAsia="zh-CN"/>
              </w:rPr>
              <w:t>年</w:t>
            </w:r>
            <w:r>
              <w:rPr>
                <w:rFonts w:hint="default" w:ascii="Times New Roman" w:hAnsi="Times New Roman" w:eastAsia="宋体" w:cs="Times New Roman"/>
                <w:color w:val="auto"/>
                <w:sz w:val="24"/>
                <w:szCs w:val="24"/>
                <w:highlight w:val="none"/>
                <w:lang w:val="en-US" w:eastAsia="zh-CN"/>
              </w:rPr>
              <w:t>环境空气质量数据作为项目区环境空气现状评价基本污染物</w:t>
            </w:r>
            <w:r>
              <w:rPr>
                <w:rFonts w:hint="default" w:ascii="Times New Roman" w:hAnsi="Times New Roman" w:eastAsia="宋体" w:cs="Times New Roman"/>
                <w:color w:val="auto"/>
                <w:spacing w:val="-6"/>
                <w:sz w:val="24"/>
                <w:szCs w:val="24"/>
                <w:highlight w:val="none"/>
                <w:lang w:val="en-US" w:eastAsia="zh-CN"/>
              </w:rPr>
              <w:t>SO</w:t>
            </w:r>
            <w:r>
              <w:rPr>
                <w:rFonts w:hint="default" w:ascii="Times New Roman" w:hAnsi="Times New Roman" w:eastAsia="宋体" w:cs="Times New Roman"/>
                <w:color w:val="auto"/>
                <w:spacing w:val="-6"/>
                <w:sz w:val="24"/>
                <w:szCs w:val="24"/>
                <w:highlight w:val="none"/>
                <w:vertAlign w:val="subscript"/>
                <w:lang w:val="en-US" w:eastAsia="zh-CN"/>
              </w:rPr>
              <w:t>2</w:t>
            </w:r>
            <w:r>
              <w:rPr>
                <w:rFonts w:hint="default" w:ascii="Times New Roman" w:hAnsi="Times New Roman" w:eastAsia="宋体" w:cs="Times New Roman"/>
                <w:color w:val="auto"/>
                <w:spacing w:val="-6"/>
                <w:sz w:val="24"/>
                <w:szCs w:val="24"/>
                <w:highlight w:val="none"/>
                <w:lang w:val="en-US" w:eastAsia="zh-CN"/>
              </w:rPr>
              <w:t>、NO</w:t>
            </w:r>
            <w:r>
              <w:rPr>
                <w:rFonts w:hint="default" w:ascii="Times New Roman" w:hAnsi="Times New Roman" w:eastAsia="宋体" w:cs="Times New Roman"/>
                <w:color w:val="auto"/>
                <w:spacing w:val="-6"/>
                <w:sz w:val="24"/>
                <w:szCs w:val="24"/>
                <w:highlight w:val="none"/>
                <w:vertAlign w:val="subscript"/>
                <w:lang w:val="en-US" w:eastAsia="zh-CN"/>
              </w:rPr>
              <w:t>2</w:t>
            </w:r>
            <w:r>
              <w:rPr>
                <w:rFonts w:hint="default" w:ascii="Times New Roman" w:hAnsi="Times New Roman" w:eastAsia="宋体" w:cs="Times New Roman"/>
                <w:color w:val="auto"/>
                <w:spacing w:val="-6"/>
                <w:sz w:val="24"/>
                <w:szCs w:val="24"/>
                <w:highlight w:val="none"/>
                <w:lang w:val="en-US" w:eastAsia="zh-CN"/>
              </w:rPr>
              <w:t>、PM</w:t>
            </w:r>
            <w:r>
              <w:rPr>
                <w:rFonts w:hint="default" w:ascii="Times New Roman" w:hAnsi="Times New Roman" w:eastAsia="宋体" w:cs="Times New Roman"/>
                <w:color w:val="auto"/>
                <w:spacing w:val="-6"/>
                <w:sz w:val="24"/>
                <w:szCs w:val="24"/>
                <w:highlight w:val="none"/>
                <w:vertAlign w:val="subscript"/>
                <w:lang w:val="en-US" w:eastAsia="zh-CN"/>
              </w:rPr>
              <w:t>10</w:t>
            </w:r>
            <w:r>
              <w:rPr>
                <w:rFonts w:hint="default" w:ascii="Times New Roman" w:hAnsi="Times New Roman" w:eastAsia="宋体" w:cs="Times New Roman"/>
                <w:color w:val="auto"/>
                <w:spacing w:val="-6"/>
                <w:sz w:val="24"/>
                <w:szCs w:val="24"/>
                <w:highlight w:val="none"/>
                <w:lang w:val="en-US" w:eastAsia="zh-CN"/>
              </w:rPr>
              <w:t>、PM</w:t>
            </w:r>
            <w:r>
              <w:rPr>
                <w:rFonts w:hint="default" w:ascii="Times New Roman" w:hAnsi="Times New Roman" w:eastAsia="宋体" w:cs="Times New Roman"/>
                <w:color w:val="auto"/>
                <w:spacing w:val="-6"/>
                <w:sz w:val="24"/>
                <w:szCs w:val="24"/>
                <w:highlight w:val="none"/>
                <w:vertAlign w:val="subscript"/>
                <w:lang w:val="en-US" w:eastAsia="zh-CN"/>
              </w:rPr>
              <w:t>2.5</w:t>
            </w:r>
            <w:r>
              <w:rPr>
                <w:rFonts w:hint="default" w:ascii="Times New Roman" w:hAnsi="Times New Roman" w:eastAsia="宋体" w:cs="Times New Roman"/>
                <w:color w:val="auto"/>
                <w:spacing w:val="-6"/>
                <w:sz w:val="24"/>
                <w:szCs w:val="24"/>
                <w:highlight w:val="none"/>
                <w:lang w:val="en-US" w:eastAsia="zh-CN"/>
              </w:rPr>
              <w:t>、CO和O</w:t>
            </w:r>
            <w:r>
              <w:rPr>
                <w:rFonts w:hint="default" w:ascii="Times New Roman" w:hAnsi="Times New Roman" w:eastAsia="宋体" w:cs="Times New Roman"/>
                <w:color w:val="auto"/>
                <w:spacing w:val="-6"/>
                <w:sz w:val="24"/>
                <w:szCs w:val="24"/>
                <w:highlight w:val="none"/>
                <w:vertAlign w:val="subscript"/>
                <w:lang w:val="en-US" w:eastAsia="zh-CN"/>
              </w:rPr>
              <w:t>3</w:t>
            </w:r>
            <w:r>
              <w:rPr>
                <w:rFonts w:hint="default" w:ascii="Times New Roman" w:hAnsi="Times New Roman" w:eastAsia="宋体" w:cs="Times New Roman"/>
                <w:color w:val="auto"/>
                <w:sz w:val="24"/>
                <w:szCs w:val="24"/>
                <w:highlight w:val="none"/>
                <w:lang w:val="en-US" w:eastAsia="zh-CN"/>
              </w:rPr>
              <w:t>的数据来源。</w:t>
            </w:r>
          </w:p>
          <w:p w14:paraId="2C54C0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fldChar w:fldCharType="begin"/>
            </w:r>
            <w:r>
              <w:rPr>
                <w:rFonts w:hint="eastAsia" w:ascii="Times New Roman" w:hAnsi="Times New Roman" w:eastAsia="宋体" w:cs="Times New Roman"/>
                <w:color w:val="auto"/>
                <w:sz w:val="24"/>
                <w:szCs w:val="24"/>
                <w:highlight w:val="none"/>
                <w:lang w:val="en-US" w:eastAsia="zh-CN"/>
              </w:rPr>
              <w:instrText xml:space="preserve"> = 2 \* GB3 \* MERGEFORMAT </w:instrText>
            </w:r>
            <w:r>
              <w:rPr>
                <w:rFonts w:hint="eastAsia" w:ascii="Times New Roman" w:hAnsi="Times New Roman" w:eastAsia="宋体" w:cs="Times New Roman"/>
                <w:color w:val="auto"/>
                <w:sz w:val="24"/>
                <w:szCs w:val="24"/>
                <w:highlight w:val="none"/>
                <w:lang w:val="en-US" w:eastAsia="zh-CN"/>
              </w:rPr>
              <w:fldChar w:fldCharType="separate"/>
            </w:r>
            <w:r>
              <w:rPr>
                <w:rFonts w:hint="eastAsia" w:ascii="Times New Roman" w:hAnsi="Times New Roman" w:eastAsia="宋体" w:cs="Times New Roman"/>
                <w:color w:val="auto"/>
                <w:sz w:val="24"/>
                <w:szCs w:val="24"/>
                <w:highlight w:val="none"/>
                <w:lang w:val="en-US" w:eastAsia="zh-CN"/>
              </w:rPr>
              <w:t>②</w:t>
            </w:r>
            <w:r>
              <w:rPr>
                <w:rFonts w:hint="eastAsia" w:ascii="Times New Roman" w:hAnsi="Times New Roman" w:eastAsia="宋体" w:cs="Times New Roman"/>
                <w:color w:val="auto"/>
                <w:sz w:val="24"/>
                <w:szCs w:val="24"/>
                <w:highlight w:val="none"/>
                <w:lang w:val="en-US" w:eastAsia="zh-CN"/>
              </w:rPr>
              <w:fldChar w:fldCharType="end"/>
            </w:r>
            <w:r>
              <w:rPr>
                <w:rFonts w:hint="eastAsia" w:ascii="Times New Roman" w:hAnsi="Times New Roman" w:eastAsia="宋体" w:cs="Times New Roman"/>
                <w:color w:val="auto"/>
                <w:sz w:val="24"/>
                <w:szCs w:val="24"/>
                <w:highlight w:val="none"/>
                <w:lang w:val="en-US" w:eastAsia="zh-CN"/>
              </w:rPr>
              <w:t>评价标准</w:t>
            </w:r>
          </w:p>
          <w:p w14:paraId="19665D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执行《环境空气质量标准》（GB3095-2026）表1中过渡阶段浓度限值二级标准要求，详见表3-1。</w:t>
            </w:r>
          </w:p>
          <w:p w14:paraId="3538684E">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表3-</w:t>
            </w:r>
            <w:r>
              <w:rPr>
                <w:rFonts w:hint="default" w:ascii="Times New Roman" w:hAnsi="Times New Roman" w:eastAsia="宋体" w:cs="Times New Roman"/>
                <w:b/>
                <w:bCs/>
                <w:color w:val="auto"/>
                <w:highlight w:val="none"/>
                <w:lang w:val="en-US" w:eastAsia="zh-CN"/>
              </w:rPr>
              <w:t xml:space="preserve">1 </w:t>
            </w:r>
            <w:r>
              <w:rPr>
                <w:rFonts w:hint="default" w:ascii="Times New Roman" w:hAnsi="Times New Roman" w:eastAsia="宋体" w:cs="Times New Roman"/>
                <w:b/>
                <w:bCs/>
                <w:color w:val="auto"/>
                <w:highlight w:val="none"/>
              </w:rPr>
              <w:t>环境空气质量标准</w:t>
            </w:r>
          </w:p>
          <w:tbl>
            <w:tblPr>
              <w:tblStyle w:val="84"/>
              <w:tblW w:w="7899" w:type="dxa"/>
              <w:tblInd w:w="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9"/>
              <w:gridCol w:w="2171"/>
              <w:gridCol w:w="1817"/>
              <w:gridCol w:w="750"/>
              <w:gridCol w:w="1992"/>
            </w:tblGrid>
            <w:tr w14:paraId="7E77A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69" w:type="dxa"/>
                  <w:tcBorders>
                    <w:top w:val="single" w:color="000000" w:sz="12" w:space="0"/>
                    <w:left w:val="nil"/>
                    <w:right w:val="single" w:color="000000" w:sz="2" w:space="0"/>
                  </w:tcBorders>
                  <w:noWrap w:val="0"/>
                  <w:vAlign w:val="center"/>
                </w:tcPr>
                <w:p w14:paraId="41AC8AD7">
                  <w:pPr>
                    <w:adjustRightInd w:val="0"/>
                    <w:snapToGrid w:val="0"/>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lang w:val="en-US" w:eastAsia="zh-CN"/>
                    </w:rPr>
                    <w:t>污染物项目</w:t>
                  </w:r>
                </w:p>
              </w:tc>
              <w:tc>
                <w:tcPr>
                  <w:tcW w:w="2171" w:type="dxa"/>
                  <w:tcBorders>
                    <w:top w:val="single" w:color="000000" w:sz="12" w:space="0"/>
                    <w:left w:val="single" w:color="000000" w:sz="2" w:space="0"/>
                    <w:right w:val="single" w:color="000000" w:sz="2" w:space="0"/>
                  </w:tcBorders>
                  <w:noWrap w:val="0"/>
                  <w:vAlign w:val="center"/>
                </w:tcPr>
                <w:p w14:paraId="438BE9D7">
                  <w:pPr>
                    <w:adjustRightInd w:val="0"/>
                    <w:snapToGrid w:val="0"/>
                    <w:jc w:val="center"/>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平均时间</w:t>
                  </w:r>
                </w:p>
              </w:tc>
              <w:tc>
                <w:tcPr>
                  <w:tcW w:w="1817" w:type="dxa"/>
                  <w:tcBorders>
                    <w:top w:val="single" w:color="000000" w:sz="12" w:space="0"/>
                    <w:left w:val="single" w:color="000000" w:sz="2" w:space="0"/>
                    <w:bottom w:val="single" w:color="000000" w:sz="12" w:space="0"/>
                    <w:right w:val="single" w:color="000000" w:sz="2" w:space="0"/>
                  </w:tcBorders>
                  <w:noWrap w:val="0"/>
                  <w:vAlign w:val="center"/>
                </w:tcPr>
                <w:p w14:paraId="66EDDC0B">
                  <w:pPr>
                    <w:adjustRightInd w:val="0"/>
                    <w:snapToGrid w:val="0"/>
                    <w:jc w:val="center"/>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过渡阶段</w:t>
                  </w:r>
                  <w:r>
                    <w:rPr>
                      <w:rFonts w:hint="eastAsia" w:cs="Times New Roman"/>
                      <w:b/>
                      <w:bCs/>
                      <w:color w:val="auto"/>
                      <w:highlight w:val="none"/>
                      <w:lang w:val="en-US" w:eastAsia="zh-CN"/>
                    </w:rPr>
                    <w:t>浓度限值二级标准</w:t>
                  </w:r>
                </w:p>
              </w:tc>
              <w:tc>
                <w:tcPr>
                  <w:tcW w:w="750" w:type="dxa"/>
                  <w:tcBorders>
                    <w:top w:val="single" w:color="000000" w:sz="12" w:space="0"/>
                    <w:left w:val="single" w:color="000000" w:sz="2" w:space="0"/>
                    <w:bottom w:val="single" w:color="000000" w:sz="12" w:space="0"/>
                    <w:right w:val="single" w:color="000000" w:sz="2" w:space="0"/>
                  </w:tcBorders>
                  <w:noWrap w:val="0"/>
                  <w:vAlign w:val="center"/>
                </w:tcPr>
                <w:p w14:paraId="60A54CD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pacing w:val="3"/>
                      <w:sz w:val="21"/>
                      <w:szCs w:val="21"/>
                      <w:highlight w:val="none"/>
                    </w:rPr>
                  </w:pPr>
                  <w:r>
                    <w:rPr>
                      <w:rFonts w:hint="default" w:ascii="Times New Roman" w:hAnsi="Times New Roman" w:eastAsia="宋体" w:cs="Times New Roman"/>
                      <w:b/>
                      <w:bCs/>
                      <w:color w:val="auto"/>
                      <w:highlight w:val="none"/>
                    </w:rPr>
                    <w:t>单位</w:t>
                  </w:r>
                </w:p>
              </w:tc>
              <w:tc>
                <w:tcPr>
                  <w:tcW w:w="1992" w:type="dxa"/>
                  <w:tcBorders>
                    <w:top w:val="single" w:color="000000" w:sz="12" w:space="0"/>
                    <w:left w:val="single" w:color="000000" w:sz="2" w:space="0"/>
                    <w:bottom w:val="single" w:color="000000" w:sz="12" w:space="0"/>
                    <w:right w:val="nil"/>
                  </w:tcBorders>
                  <w:noWrap w:val="0"/>
                  <w:vAlign w:val="center"/>
                </w:tcPr>
                <w:p w14:paraId="58CA6DF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pacing w:val="5"/>
                      <w:sz w:val="21"/>
                      <w:szCs w:val="21"/>
                      <w:highlight w:val="none"/>
                    </w:rPr>
                  </w:pPr>
                  <w:r>
                    <w:rPr>
                      <w:rFonts w:hint="default" w:ascii="Times New Roman" w:hAnsi="Times New Roman" w:eastAsia="宋体" w:cs="Times New Roman"/>
                      <w:b/>
                      <w:bCs/>
                      <w:color w:val="auto"/>
                      <w:highlight w:val="none"/>
                    </w:rPr>
                    <w:t>标准来源</w:t>
                  </w:r>
                </w:p>
              </w:tc>
            </w:tr>
            <w:tr w14:paraId="6E7EC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169" w:type="dxa"/>
                  <w:tcBorders>
                    <w:top w:val="single" w:color="000000" w:sz="12" w:space="0"/>
                    <w:left w:val="nil"/>
                    <w:bottom w:val="single" w:color="000000" w:sz="2" w:space="0"/>
                    <w:right w:val="single" w:color="000000" w:sz="2" w:space="0"/>
                  </w:tcBorders>
                  <w:noWrap w:val="0"/>
                  <w:vAlign w:val="center"/>
                </w:tcPr>
                <w:p w14:paraId="337C3FF7">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SO</w:t>
                  </w:r>
                  <w:r>
                    <w:rPr>
                      <w:rFonts w:hint="default" w:ascii="Times New Roman" w:hAnsi="Times New Roman" w:eastAsia="宋体" w:cs="Times New Roman"/>
                      <w:color w:val="auto"/>
                      <w:highlight w:val="none"/>
                      <w:vertAlign w:val="subscript"/>
                    </w:rPr>
                    <w:t>2</w:t>
                  </w:r>
                </w:p>
              </w:tc>
              <w:tc>
                <w:tcPr>
                  <w:tcW w:w="2171" w:type="dxa"/>
                  <w:tcBorders>
                    <w:top w:val="single" w:color="000000" w:sz="12" w:space="0"/>
                    <w:left w:val="single" w:color="000000" w:sz="2" w:space="0"/>
                    <w:bottom w:val="single" w:color="000000" w:sz="2" w:space="0"/>
                    <w:right w:val="single" w:color="000000" w:sz="2" w:space="0"/>
                  </w:tcBorders>
                  <w:noWrap w:val="0"/>
                  <w:vAlign w:val="center"/>
                </w:tcPr>
                <w:p w14:paraId="18287B68">
                  <w:pPr>
                    <w:adjustRightInd w:val="0"/>
                    <w:snapToGrid w:val="0"/>
                    <w:jc w:val="center"/>
                    <w:rPr>
                      <w:rFonts w:hint="default" w:ascii="Times New Roman" w:hAnsi="Times New Roman" w:eastAsia="宋体" w:cs="Times New Roman"/>
                      <w:color w:val="auto"/>
                      <w:highlight w:val="none"/>
                      <w:lang w:val="en-US" w:eastAsia="zh-CN"/>
                    </w:rPr>
                  </w:pPr>
                  <w:bookmarkStart w:id="7" w:name="OLE_LINK1"/>
                  <w:r>
                    <w:rPr>
                      <w:rFonts w:hint="default" w:ascii="Times New Roman" w:hAnsi="Times New Roman" w:eastAsia="宋体" w:cs="Times New Roman"/>
                      <w:color w:val="auto"/>
                      <w:highlight w:val="none"/>
                    </w:rPr>
                    <w:t>年平均</w:t>
                  </w:r>
                  <w:bookmarkEnd w:id="7"/>
                </w:p>
              </w:tc>
              <w:tc>
                <w:tcPr>
                  <w:tcW w:w="1817" w:type="dxa"/>
                  <w:tcBorders>
                    <w:top w:val="single" w:color="000000" w:sz="12" w:space="0"/>
                    <w:left w:val="single" w:color="000000" w:sz="2" w:space="0"/>
                    <w:bottom w:val="single" w:color="000000" w:sz="2" w:space="0"/>
                    <w:right w:val="single" w:color="000000" w:sz="2" w:space="0"/>
                  </w:tcBorders>
                  <w:noWrap w:val="0"/>
                  <w:vAlign w:val="center"/>
                </w:tcPr>
                <w:p w14:paraId="188313DB">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60</w:t>
                  </w:r>
                </w:p>
              </w:tc>
              <w:tc>
                <w:tcPr>
                  <w:tcW w:w="750" w:type="dxa"/>
                  <w:vMerge w:val="restart"/>
                  <w:tcBorders>
                    <w:top w:val="single" w:color="000000" w:sz="12" w:space="0"/>
                    <w:left w:val="single" w:color="000000" w:sz="2" w:space="0"/>
                    <w:bottom w:val="single" w:color="000000" w:sz="4" w:space="0"/>
                    <w:right w:val="single" w:color="000000" w:sz="2" w:space="0"/>
                  </w:tcBorders>
                  <w:noWrap w:val="0"/>
                  <w:vAlign w:val="center"/>
                </w:tcPr>
                <w:p w14:paraId="665CDF7C">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µg/m³</w:t>
                  </w:r>
                </w:p>
              </w:tc>
              <w:tc>
                <w:tcPr>
                  <w:tcW w:w="1992" w:type="dxa"/>
                  <w:vMerge w:val="restart"/>
                  <w:tcBorders>
                    <w:top w:val="single" w:color="000000" w:sz="12" w:space="0"/>
                    <w:left w:val="single" w:color="000000" w:sz="2" w:space="0"/>
                    <w:bottom w:val="nil"/>
                    <w:right w:val="nil"/>
                  </w:tcBorders>
                  <w:noWrap w:val="0"/>
                  <w:vAlign w:val="center"/>
                </w:tcPr>
                <w:p w14:paraId="3D16B64F">
                  <w:pPr>
                    <w:pStyle w:val="8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5"/>
                      <w:sz w:val="21"/>
                      <w:szCs w:val="21"/>
                      <w:highlight w:val="none"/>
                    </w:rPr>
                    <w:t>《环境空气质量标准》（</w:t>
                  </w:r>
                  <w:r>
                    <w:rPr>
                      <w:rFonts w:hint="default" w:ascii="Times New Roman" w:hAnsi="Times New Roman" w:cs="Times New Roman"/>
                      <w:color w:val="auto"/>
                      <w:spacing w:val="-5"/>
                      <w:sz w:val="21"/>
                      <w:szCs w:val="21"/>
                      <w:highlight w:val="none"/>
                    </w:rPr>
                    <w:t>GB3095</w:t>
                  </w:r>
                  <w:r>
                    <w:rPr>
                      <w:rFonts w:hint="default" w:ascii="Times New Roman" w:hAnsi="Times New Roman" w:cs="Times New Roman"/>
                      <w:color w:val="auto"/>
                      <w:spacing w:val="5"/>
                      <w:sz w:val="21"/>
                      <w:szCs w:val="21"/>
                      <w:highlight w:val="none"/>
                    </w:rPr>
                    <w:t>-20</w:t>
                  </w:r>
                  <w:r>
                    <w:rPr>
                      <w:rFonts w:hint="default" w:ascii="Times New Roman" w:hAnsi="Times New Roman" w:eastAsia="宋体" w:cs="Times New Roman"/>
                      <w:color w:val="auto"/>
                      <w:spacing w:val="5"/>
                      <w:sz w:val="21"/>
                      <w:szCs w:val="21"/>
                      <w:highlight w:val="none"/>
                      <w:lang w:val="en-US" w:eastAsia="zh-CN"/>
                    </w:rPr>
                    <w:t>26</w:t>
                  </w:r>
                  <w:r>
                    <w:rPr>
                      <w:rFonts w:hint="default" w:ascii="Times New Roman" w:hAnsi="Times New Roman" w:eastAsia="宋体" w:cs="Times New Roman"/>
                      <w:color w:val="auto"/>
                      <w:spacing w:val="5"/>
                      <w:sz w:val="21"/>
                      <w:szCs w:val="21"/>
                      <w:highlight w:val="none"/>
                    </w:rPr>
                    <w:t>）</w:t>
                  </w:r>
                  <w:r>
                    <w:rPr>
                      <w:rFonts w:hint="eastAsia" w:ascii="Times New Roman" w:hAnsi="Times New Roman" w:cs="Times New Roman"/>
                      <w:color w:val="auto"/>
                      <w:spacing w:val="5"/>
                      <w:sz w:val="21"/>
                      <w:szCs w:val="21"/>
                      <w:highlight w:val="none"/>
                      <w:lang w:val="en-US" w:eastAsia="zh-CN"/>
                    </w:rPr>
                    <w:t>过渡阶段</w:t>
                  </w:r>
                  <w:r>
                    <w:rPr>
                      <w:rFonts w:hint="default" w:ascii="Times New Roman" w:hAnsi="Times New Roman" w:eastAsia="宋体" w:cs="Times New Roman"/>
                      <w:color w:val="auto"/>
                      <w:spacing w:val="5"/>
                      <w:sz w:val="21"/>
                      <w:szCs w:val="21"/>
                      <w:highlight w:val="none"/>
                    </w:rPr>
                    <w:t>二级标准</w:t>
                  </w:r>
                </w:p>
              </w:tc>
            </w:tr>
            <w:tr w14:paraId="7BD801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169" w:type="dxa"/>
                  <w:tcBorders>
                    <w:top w:val="single" w:color="000000" w:sz="2" w:space="0"/>
                    <w:left w:val="nil"/>
                    <w:bottom w:val="single" w:color="000000" w:sz="2" w:space="0"/>
                    <w:right w:val="single" w:color="000000" w:sz="2" w:space="0"/>
                  </w:tcBorders>
                  <w:noWrap w:val="0"/>
                  <w:vAlign w:val="center"/>
                </w:tcPr>
                <w:p w14:paraId="4B95D934">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NO</w:t>
                  </w:r>
                  <w:r>
                    <w:rPr>
                      <w:rFonts w:hint="default" w:ascii="Times New Roman" w:hAnsi="Times New Roman" w:eastAsia="宋体" w:cs="Times New Roman"/>
                      <w:color w:val="auto"/>
                      <w:highlight w:val="none"/>
                      <w:vertAlign w:val="subscript"/>
                    </w:rPr>
                    <w:t>2</w:t>
                  </w:r>
                </w:p>
              </w:tc>
              <w:tc>
                <w:tcPr>
                  <w:tcW w:w="2171" w:type="dxa"/>
                  <w:tcBorders>
                    <w:top w:val="single" w:color="000000" w:sz="2" w:space="0"/>
                    <w:left w:val="single" w:color="000000" w:sz="2" w:space="0"/>
                    <w:bottom w:val="single" w:color="000000" w:sz="2" w:space="0"/>
                    <w:right w:val="single" w:color="000000" w:sz="2" w:space="0"/>
                  </w:tcBorders>
                  <w:noWrap w:val="0"/>
                  <w:vAlign w:val="center"/>
                </w:tcPr>
                <w:p w14:paraId="2949B1D1">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年</w:t>
                  </w:r>
                  <w:r>
                    <w:rPr>
                      <w:rFonts w:hint="eastAsia" w:cs="Times New Roman"/>
                      <w:color w:val="auto"/>
                      <w:highlight w:val="none"/>
                      <w:lang w:val="en-US" w:eastAsia="zh-CN"/>
                    </w:rPr>
                    <w:t>平均</w:t>
                  </w:r>
                </w:p>
              </w:tc>
              <w:tc>
                <w:tcPr>
                  <w:tcW w:w="1817" w:type="dxa"/>
                  <w:tcBorders>
                    <w:top w:val="single" w:color="000000" w:sz="2" w:space="0"/>
                    <w:left w:val="single" w:color="000000" w:sz="2" w:space="0"/>
                    <w:bottom w:val="single" w:color="000000" w:sz="2" w:space="0"/>
                    <w:right w:val="single" w:color="000000" w:sz="2" w:space="0"/>
                  </w:tcBorders>
                  <w:noWrap w:val="0"/>
                  <w:vAlign w:val="center"/>
                </w:tcPr>
                <w:p w14:paraId="79215D8A">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40</w:t>
                  </w:r>
                </w:p>
              </w:tc>
              <w:tc>
                <w:tcPr>
                  <w:tcW w:w="750" w:type="dxa"/>
                  <w:vMerge w:val="continue"/>
                  <w:tcBorders>
                    <w:top w:val="single" w:color="000000" w:sz="4" w:space="0"/>
                    <w:left w:val="single" w:color="000000" w:sz="2" w:space="0"/>
                    <w:bottom w:val="single" w:color="000000" w:sz="4" w:space="0"/>
                    <w:right w:val="single" w:color="000000" w:sz="2" w:space="0"/>
                  </w:tcBorders>
                  <w:noWrap w:val="0"/>
                  <w:vAlign w:val="center"/>
                </w:tcPr>
                <w:p w14:paraId="200980A2">
                  <w:pPr>
                    <w:adjustRightInd w:val="0"/>
                    <w:snapToGrid w:val="0"/>
                    <w:jc w:val="center"/>
                    <w:rPr>
                      <w:rFonts w:hint="default" w:ascii="Times New Roman" w:hAnsi="Times New Roman" w:eastAsia="宋体" w:cs="Times New Roman"/>
                      <w:color w:val="auto"/>
                      <w:highlight w:val="none"/>
                    </w:rPr>
                  </w:pPr>
                </w:p>
              </w:tc>
              <w:tc>
                <w:tcPr>
                  <w:tcW w:w="1992" w:type="dxa"/>
                  <w:vMerge w:val="continue"/>
                  <w:tcBorders>
                    <w:top w:val="nil"/>
                    <w:left w:val="single" w:color="000000" w:sz="2" w:space="0"/>
                    <w:bottom w:val="nil"/>
                    <w:right w:val="nil"/>
                  </w:tcBorders>
                  <w:noWrap w:val="0"/>
                  <w:vAlign w:val="center"/>
                </w:tcPr>
                <w:p w14:paraId="75A11C6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cs="Times New Roman"/>
                      <w:color w:val="auto"/>
                      <w:sz w:val="21"/>
                      <w:szCs w:val="21"/>
                      <w:highlight w:val="none"/>
                    </w:rPr>
                  </w:pPr>
                </w:p>
              </w:tc>
            </w:tr>
            <w:tr w14:paraId="30F90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169" w:type="dxa"/>
                  <w:tcBorders>
                    <w:top w:val="single" w:color="000000" w:sz="2" w:space="0"/>
                    <w:left w:val="nil"/>
                    <w:bottom w:val="single" w:color="000000" w:sz="2" w:space="0"/>
                    <w:right w:val="single" w:color="000000" w:sz="2" w:space="0"/>
                  </w:tcBorders>
                  <w:noWrap w:val="0"/>
                  <w:vAlign w:val="center"/>
                </w:tcPr>
                <w:p w14:paraId="41D55938">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PM</w:t>
                  </w:r>
                  <w:r>
                    <w:rPr>
                      <w:rFonts w:hint="default" w:ascii="Times New Roman" w:hAnsi="Times New Roman" w:eastAsia="宋体" w:cs="Times New Roman"/>
                      <w:color w:val="auto"/>
                      <w:highlight w:val="none"/>
                      <w:vertAlign w:val="subscript"/>
                    </w:rPr>
                    <w:t>10</w:t>
                  </w:r>
                </w:p>
              </w:tc>
              <w:tc>
                <w:tcPr>
                  <w:tcW w:w="2171" w:type="dxa"/>
                  <w:tcBorders>
                    <w:top w:val="single" w:color="000000" w:sz="2" w:space="0"/>
                    <w:left w:val="single" w:color="000000" w:sz="2" w:space="0"/>
                    <w:bottom w:val="single" w:color="000000" w:sz="2" w:space="0"/>
                    <w:right w:val="single" w:color="000000" w:sz="2" w:space="0"/>
                  </w:tcBorders>
                  <w:noWrap w:val="0"/>
                  <w:vAlign w:val="center"/>
                </w:tcPr>
                <w:p w14:paraId="21258CB7">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年平均</w:t>
                  </w:r>
                </w:p>
              </w:tc>
              <w:tc>
                <w:tcPr>
                  <w:tcW w:w="1817" w:type="dxa"/>
                  <w:tcBorders>
                    <w:top w:val="single" w:color="000000" w:sz="2" w:space="0"/>
                    <w:left w:val="single" w:color="000000" w:sz="2" w:space="0"/>
                    <w:bottom w:val="single" w:color="000000" w:sz="2" w:space="0"/>
                    <w:right w:val="single" w:color="000000" w:sz="2" w:space="0"/>
                  </w:tcBorders>
                  <w:noWrap w:val="0"/>
                  <w:vAlign w:val="center"/>
                </w:tcPr>
                <w:p w14:paraId="37A739BF">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60</w:t>
                  </w:r>
                </w:p>
              </w:tc>
              <w:tc>
                <w:tcPr>
                  <w:tcW w:w="750" w:type="dxa"/>
                  <w:vMerge w:val="continue"/>
                  <w:tcBorders>
                    <w:top w:val="single" w:color="000000" w:sz="4" w:space="0"/>
                    <w:left w:val="single" w:color="000000" w:sz="2" w:space="0"/>
                    <w:bottom w:val="single" w:color="000000" w:sz="4" w:space="0"/>
                    <w:right w:val="single" w:color="000000" w:sz="2" w:space="0"/>
                  </w:tcBorders>
                  <w:noWrap w:val="0"/>
                  <w:vAlign w:val="center"/>
                </w:tcPr>
                <w:p w14:paraId="401D057B">
                  <w:pPr>
                    <w:adjustRightInd w:val="0"/>
                    <w:snapToGrid w:val="0"/>
                    <w:jc w:val="center"/>
                    <w:rPr>
                      <w:rFonts w:hint="default" w:ascii="Times New Roman" w:hAnsi="Times New Roman" w:eastAsia="宋体" w:cs="Times New Roman"/>
                      <w:color w:val="auto"/>
                      <w:highlight w:val="none"/>
                    </w:rPr>
                  </w:pPr>
                </w:p>
              </w:tc>
              <w:tc>
                <w:tcPr>
                  <w:tcW w:w="1992" w:type="dxa"/>
                  <w:vMerge w:val="continue"/>
                  <w:tcBorders>
                    <w:top w:val="nil"/>
                    <w:left w:val="single" w:color="000000" w:sz="2" w:space="0"/>
                    <w:bottom w:val="nil"/>
                    <w:right w:val="nil"/>
                  </w:tcBorders>
                  <w:noWrap w:val="0"/>
                  <w:vAlign w:val="center"/>
                </w:tcPr>
                <w:p w14:paraId="1ABC519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cs="Times New Roman"/>
                      <w:color w:val="auto"/>
                      <w:sz w:val="21"/>
                      <w:szCs w:val="21"/>
                      <w:highlight w:val="none"/>
                    </w:rPr>
                  </w:pPr>
                </w:p>
              </w:tc>
            </w:tr>
            <w:tr w14:paraId="744122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169" w:type="dxa"/>
                  <w:tcBorders>
                    <w:top w:val="single" w:color="000000" w:sz="2" w:space="0"/>
                    <w:left w:val="nil"/>
                    <w:bottom w:val="single" w:color="000000" w:sz="2" w:space="0"/>
                    <w:right w:val="single" w:color="000000" w:sz="2" w:space="0"/>
                  </w:tcBorders>
                  <w:noWrap w:val="0"/>
                  <w:vAlign w:val="center"/>
                </w:tcPr>
                <w:p w14:paraId="49AB5ECA">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PM</w:t>
                  </w:r>
                  <w:r>
                    <w:rPr>
                      <w:rFonts w:hint="default" w:ascii="Times New Roman" w:hAnsi="Times New Roman" w:eastAsia="宋体" w:cs="Times New Roman"/>
                      <w:color w:val="auto"/>
                      <w:highlight w:val="none"/>
                      <w:vertAlign w:val="subscript"/>
                    </w:rPr>
                    <w:t>2.5</w:t>
                  </w:r>
                </w:p>
              </w:tc>
              <w:tc>
                <w:tcPr>
                  <w:tcW w:w="2171" w:type="dxa"/>
                  <w:tcBorders>
                    <w:top w:val="single" w:color="000000" w:sz="2" w:space="0"/>
                    <w:left w:val="single" w:color="000000" w:sz="2" w:space="0"/>
                    <w:bottom w:val="single" w:color="000000" w:sz="2" w:space="0"/>
                    <w:right w:val="single" w:color="000000" w:sz="2" w:space="0"/>
                  </w:tcBorders>
                  <w:noWrap w:val="0"/>
                  <w:vAlign w:val="center"/>
                </w:tcPr>
                <w:p w14:paraId="4D502560">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年平均</w:t>
                  </w:r>
                </w:p>
              </w:tc>
              <w:tc>
                <w:tcPr>
                  <w:tcW w:w="1817" w:type="dxa"/>
                  <w:tcBorders>
                    <w:top w:val="single" w:color="000000" w:sz="2" w:space="0"/>
                    <w:left w:val="single" w:color="000000" w:sz="2" w:space="0"/>
                    <w:bottom w:val="single" w:color="000000" w:sz="2" w:space="0"/>
                    <w:right w:val="single" w:color="000000" w:sz="2" w:space="0"/>
                  </w:tcBorders>
                  <w:noWrap w:val="0"/>
                  <w:vAlign w:val="center"/>
                </w:tcPr>
                <w:p w14:paraId="6E51E479">
                  <w:pPr>
                    <w:adjustRightInd w:val="0"/>
                    <w:snapToGrid w:val="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30</w:t>
                  </w:r>
                </w:p>
              </w:tc>
              <w:tc>
                <w:tcPr>
                  <w:tcW w:w="750" w:type="dxa"/>
                  <w:vMerge w:val="continue"/>
                  <w:tcBorders>
                    <w:top w:val="single" w:color="000000" w:sz="4" w:space="0"/>
                    <w:left w:val="single" w:color="000000" w:sz="2" w:space="0"/>
                    <w:bottom w:val="single" w:color="000000" w:sz="4" w:space="0"/>
                    <w:right w:val="single" w:color="000000" w:sz="2" w:space="0"/>
                  </w:tcBorders>
                  <w:noWrap w:val="0"/>
                  <w:vAlign w:val="center"/>
                </w:tcPr>
                <w:p w14:paraId="2F93280A">
                  <w:pPr>
                    <w:adjustRightInd w:val="0"/>
                    <w:snapToGrid w:val="0"/>
                    <w:jc w:val="center"/>
                    <w:rPr>
                      <w:rFonts w:hint="default" w:ascii="Times New Roman" w:hAnsi="Times New Roman" w:eastAsia="宋体" w:cs="Times New Roman"/>
                      <w:color w:val="auto"/>
                      <w:highlight w:val="none"/>
                    </w:rPr>
                  </w:pPr>
                </w:p>
              </w:tc>
              <w:tc>
                <w:tcPr>
                  <w:tcW w:w="1992" w:type="dxa"/>
                  <w:vMerge w:val="continue"/>
                  <w:tcBorders>
                    <w:top w:val="nil"/>
                    <w:left w:val="single" w:color="000000" w:sz="2" w:space="0"/>
                    <w:bottom w:val="nil"/>
                    <w:right w:val="nil"/>
                  </w:tcBorders>
                  <w:noWrap w:val="0"/>
                  <w:vAlign w:val="center"/>
                </w:tcPr>
                <w:p w14:paraId="296B4AB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cs="Times New Roman"/>
                      <w:color w:val="auto"/>
                      <w:sz w:val="21"/>
                      <w:szCs w:val="21"/>
                      <w:highlight w:val="none"/>
                    </w:rPr>
                  </w:pPr>
                </w:p>
              </w:tc>
            </w:tr>
            <w:tr w14:paraId="303D54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169" w:type="dxa"/>
                  <w:tcBorders>
                    <w:top w:val="single" w:color="000000" w:sz="2" w:space="0"/>
                    <w:left w:val="nil"/>
                    <w:bottom w:val="single" w:color="000000" w:sz="2" w:space="0"/>
                    <w:right w:val="single" w:color="000000" w:sz="2" w:space="0"/>
                  </w:tcBorders>
                  <w:noWrap w:val="0"/>
                  <w:vAlign w:val="center"/>
                </w:tcPr>
                <w:p w14:paraId="361E98F6">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O</w:t>
                  </w:r>
                  <w:r>
                    <w:rPr>
                      <w:rFonts w:hint="default" w:ascii="Times New Roman" w:hAnsi="Times New Roman" w:eastAsia="宋体" w:cs="Times New Roman"/>
                      <w:color w:val="auto"/>
                      <w:highlight w:val="none"/>
                      <w:vertAlign w:val="subscript"/>
                    </w:rPr>
                    <w:t>3</w:t>
                  </w:r>
                </w:p>
              </w:tc>
              <w:tc>
                <w:tcPr>
                  <w:tcW w:w="2171" w:type="dxa"/>
                  <w:tcBorders>
                    <w:top w:val="single" w:color="000000" w:sz="2" w:space="0"/>
                    <w:left w:val="single" w:color="000000" w:sz="2" w:space="0"/>
                    <w:bottom w:val="single" w:color="000000" w:sz="2" w:space="0"/>
                    <w:right w:val="single" w:color="000000" w:sz="2" w:space="0"/>
                  </w:tcBorders>
                  <w:noWrap w:val="0"/>
                  <w:vAlign w:val="center"/>
                </w:tcPr>
                <w:p w14:paraId="2812CEDF">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日最大8小时平均</w:t>
                  </w:r>
                </w:p>
              </w:tc>
              <w:tc>
                <w:tcPr>
                  <w:tcW w:w="1817" w:type="dxa"/>
                  <w:tcBorders>
                    <w:top w:val="single" w:color="000000" w:sz="2" w:space="0"/>
                    <w:left w:val="single" w:color="000000" w:sz="2" w:space="0"/>
                    <w:bottom w:val="single" w:color="000000" w:sz="2" w:space="0"/>
                    <w:right w:val="single" w:color="000000" w:sz="2" w:space="0"/>
                  </w:tcBorders>
                  <w:noWrap w:val="0"/>
                  <w:vAlign w:val="center"/>
                </w:tcPr>
                <w:p w14:paraId="1E4134D0">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160</w:t>
                  </w:r>
                </w:p>
              </w:tc>
              <w:tc>
                <w:tcPr>
                  <w:tcW w:w="750" w:type="dxa"/>
                  <w:vMerge w:val="continue"/>
                  <w:tcBorders>
                    <w:top w:val="single" w:color="000000" w:sz="4" w:space="0"/>
                    <w:left w:val="single" w:color="000000" w:sz="2" w:space="0"/>
                    <w:bottom w:val="single" w:color="000000" w:sz="4" w:space="0"/>
                    <w:right w:val="single" w:color="000000" w:sz="2" w:space="0"/>
                  </w:tcBorders>
                  <w:noWrap w:val="0"/>
                  <w:vAlign w:val="center"/>
                </w:tcPr>
                <w:p w14:paraId="3ECD50AB">
                  <w:pPr>
                    <w:adjustRightInd w:val="0"/>
                    <w:snapToGrid w:val="0"/>
                    <w:jc w:val="center"/>
                    <w:rPr>
                      <w:rFonts w:hint="default" w:ascii="Times New Roman" w:hAnsi="Times New Roman" w:eastAsia="宋体" w:cs="Times New Roman"/>
                      <w:color w:val="auto"/>
                      <w:highlight w:val="none"/>
                    </w:rPr>
                  </w:pPr>
                </w:p>
              </w:tc>
              <w:tc>
                <w:tcPr>
                  <w:tcW w:w="1992" w:type="dxa"/>
                  <w:vMerge w:val="continue"/>
                  <w:tcBorders>
                    <w:top w:val="nil"/>
                    <w:left w:val="single" w:color="000000" w:sz="2" w:space="0"/>
                    <w:bottom w:val="nil"/>
                    <w:right w:val="nil"/>
                  </w:tcBorders>
                  <w:noWrap w:val="0"/>
                  <w:vAlign w:val="center"/>
                </w:tcPr>
                <w:p w14:paraId="1849C10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cs="Times New Roman"/>
                      <w:color w:val="auto"/>
                      <w:sz w:val="21"/>
                      <w:szCs w:val="21"/>
                      <w:highlight w:val="none"/>
                    </w:rPr>
                  </w:pPr>
                </w:p>
              </w:tc>
            </w:tr>
            <w:tr w14:paraId="741FC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169" w:type="dxa"/>
                  <w:tcBorders>
                    <w:top w:val="single" w:color="000000" w:sz="2" w:space="0"/>
                    <w:left w:val="nil"/>
                    <w:bottom w:val="single" w:color="000000" w:sz="12" w:space="0"/>
                    <w:right w:val="single" w:color="000000" w:sz="2" w:space="0"/>
                  </w:tcBorders>
                  <w:noWrap w:val="0"/>
                  <w:vAlign w:val="center"/>
                </w:tcPr>
                <w:p w14:paraId="272860C3">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CO</w:t>
                  </w:r>
                </w:p>
              </w:tc>
              <w:tc>
                <w:tcPr>
                  <w:tcW w:w="2171" w:type="dxa"/>
                  <w:tcBorders>
                    <w:top w:val="single" w:color="000000" w:sz="2" w:space="0"/>
                    <w:left w:val="single" w:color="000000" w:sz="2" w:space="0"/>
                    <w:bottom w:val="single" w:color="000000" w:sz="12" w:space="0"/>
                    <w:right w:val="single" w:color="000000" w:sz="2" w:space="0"/>
                  </w:tcBorders>
                  <w:noWrap w:val="0"/>
                  <w:vAlign w:val="center"/>
                </w:tcPr>
                <w:p w14:paraId="7A5B1FE6">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日</w:t>
                  </w:r>
                  <w:r>
                    <w:rPr>
                      <w:rFonts w:hint="default" w:ascii="Times New Roman" w:hAnsi="Times New Roman" w:eastAsia="宋体" w:cs="Times New Roman"/>
                      <w:color w:val="auto"/>
                      <w:highlight w:val="none"/>
                    </w:rPr>
                    <w:t>平均</w:t>
                  </w:r>
                </w:p>
              </w:tc>
              <w:tc>
                <w:tcPr>
                  <w:tcW w:w="1817" w:type="dxa"/>
                  <w:tcBorders>
                    <w:top w:val="single" w:color="000000" w:sz="2" w:space="0"/>
                    <w:left w:val="single" w:color="000000" w:sz="2" w:space="0"/>
                    <w:bottom w:val="single" w:color="000000" w:sz="12" w:space="0"/>
                    <w:right w:val="single" w:color="000000" w:sz="2" w:space="0"/>
                  </w:tcBorders>
                  <w:noWrap w:val="0"/>
                  <w:vAlign w:val="center"/>
                </w:tcPr>
                <w:p w14:paraId="11E17771">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w:t>
                  </w:r>
                </w:p>
              </w:tc>
              <w:tc>
                <w:tcPr>
                  <w:tcW w:w="750" w:type="dxa"/>
                  <w:tcBorders>
                    <w:top w:val="single" w:color="000000" w:sz="4" w:space="0"/>
                    <w:left w:val="single" w:color="000000" w:sz="2" w:space="0"/>
                    <w:bottom w:val="single" w:color="000000" w:sz="12" w:space="0"/>
                    <w:right w:val="single" w:color="000000" w:sz="2" w:space="0"/>
                  </w:tcBorders>
                  <w:noWrap w:val="0"/>
                  <w:vAlign w:val="center"/>
                </w:tcPr>
                <w:p w14:paraId="2D703858">
                  <w:pPr>
                    <w:adjustRightInd w:val="0"/>
                    <w:snapToGrid w:val="0"/>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mg/</w:t>
                  </w:r>
                  <w:r>
                    <w:rPr>
                      <w:rFonts w:hint="default" w:ascii="Times New Roman" w:hAnsi="Times New Roman" w:eastAsia="宋体" w:cs="Times New Roman"/>
                      <w:color w:val="auto"/>
                      <w:highlight w:val="none"/>
                      <w:lang w:val="en-US" w:eastAsia="zh-CN"/>
                    </w:rPr>
                    <w:t>m³</w:t>
                  </w:r>
                </w:p>
              </w:tc>
              <w:tc>
                <w:tcPr>
                  <w:tcW w:w="1992" w:type="dxa"/>
                  <w:vMerge w:val="continue"/>
                  <w:tcBorders>
                    <w:top w:val="nil"/>
                    <w:left w:val="single" w:color="000000" w:sz="2" w:space="0"/>
                    <w:bottom w:val="single" w:color="000000" w:sz="12" w:space="0"/>
                    <w:right w:val="nil"/>
                  </w:tcBorders>
                  <w:noWrap w:val="0"/>
                  <w:vAlign w:val="center"/>
                </w:tcPr>
                <w:p w14:paraId="575D596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cs="Times New Roman"/>
                      <w:color w:val="auto"/>
                      <w:sz w:val="21"/>
                      <w:szCs w:val="21"/>
                      <w:highlight w:val="none"/>
                    </w:rPr>
                  </w:pPr>
                </w:p>
              </w:tc>
            </w:tr>
          </w:tbl>
          <w:p w14:paraId="763ECD31">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fldChar w:fldCharType="begin"/>
            </w:r>
            <w:r>
              <w:rPr>
                <w:rFonts w:hint="eastAsia" w:ascii="Times New Roman" w:hAnsi="Times New Roman" w:eastAsia="宋体" w:cs="Times New Roman"/>
                <w:color w:val="auto"/>
                <w:sz w:val="24"/>
                <w:szCs w:val="24"/>
                <w:highlight w:val="none"/>
                <w:lang w:val="en-US" w:eastAsia="zh-CN"/>
              </w:rPr>
              <w:instrText xml:space="preserve"> = 3 \* GB3 \* MERGEFORMAT </w:instrText>
            </w:r>
            <w:r>
              <w:rPr>
                <w:rFonts w:hint="eastAsia" w:ascii="Times New Roman" w:hAnsi="Times New Roman" w:eastAsia="宋体" w:cs="Times New Roman"/>
                <w:color w:val="auto"/>
                <w:sz w:val="24"/>
                <w:szCs w:val="24"/>
                <w:highlight w:val="none"/>
                <w:lang w:val="en-US" w:eastAsia="zh-CN"/>
              </w:rPr>
              <w:fldChar w:fldCharType="separate"/>
            </w:r>
            <w:r>
              <w:rPr>
                <w:rFonts w:hint="eastAsia" w:ascii="Times New Roman" w:hAnsi="Times New Roman" w:eastAsia="宋体" w:cs="Times New Roman"/>
                <w:color w:val="auto"/>
                <w:sz w:val="24"/>
                <w:szCs w:val="24"/>
                <w:highlight w:val="none"/>
                <w:lang w:val="en-US" w:eastAsia="zh-CN"/>
              </w:rPr>
              <w:t>③</w:t>
            </w:r>
            <w:r>
              <w:rPr>
                <w:rFonts w:hint="eastAsia" w:ascii="Times New Roman" w:hAnsi="Times New Roman" w:eastAsia="宋体" w:cs="Times New Roman"/>
                <w:color w:val="auto"/>
                <w:sz w:val="24"/>
                <w:szCs w:val="24"/>
                <w:highlight w:val="none"/>
                <w:lang w:val="en-US" w:eastAsia="zh-CN"/>
              </w:rPr>
              <w:fldChar w:fldCharType="end"/>
            </w:r>
            <w:r>
              <w:rPr>
                <w:rFonts w:hint="eastAsia" w:ascii="Times New Roman" w:hAnsi="Times New Roman" w:eastAsia="宋体" w:cs="Times New Roman"/>
                <w:color w:val="auto"/>
                <w:sz w:val="24"/>
                <w:szCs w:val="24"/>
                <w:highlight w:val="none"/>
                <w:lang w:val="en-US" w:eastAsia="zh-CN"/>
              </w:rPr>
              <w:t>评价方法</w:t>
            </w:r>
          </w:p>
          <w:p w14:paraId="7E39E8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按照《环境空气质量评价技术规范》（HJ663-2026）中各评价项目的年评价指标进行判定。年评价指标中的年均浓度满足《环境空气质量标准》（GB3095-2026）</w:t>
            </w:r>
            <w:r>
              <w:rPr>
                <w:rFonts w:hint="eastAsia" w:ascii="Times New Roman" w:hAnsi="Times New Roman" w:eastAsia="宋体" w:cs="Times New Roman"/>
                <w:color w:val="auto"/>
                <w:sz w:val="24"/>
                <w:szCs w:val="24"/>
                <w:highlight w:val="none"/>
                <w:lang w:val="en-US" w:eastAsia="zh-CN"/>
              </w:rPr>
              <w:t>表1中过渡</w:t>
            </w:r>
            <w:r>
              <w:rPr>
                <w:rFonts w:hint="default" w:ascii="Times New Roman" w:hAnsi="Times New Roman" w:eastAsia="宋体" w:cs="Times New Roman"/>
                <w:color w:val="auto"/>
                <w:sz w:val="24"/>
                <w:szCs w:val="24"/>
                <w:highlight w:val="none"/>
                <w:lang w:val="en-US" w:eastAsia="zh-CN"/>
              </w:rPr>
              <w:t>阶段</w:t>
            </w:r>
            <w:r>
              <w:rPr>
                <w:rFonts w:hint="eastAsia" w:ascii="Times New Roman" w:hAnsi="Times New Roman" w:eastAsia="宋体" w:cs="Times New Roman"/>
                <w:color w:val="auto"/>
                <w:sz w:val="24"/>
                <w:szCs w:val="24"/>
                <w:highlight w:val="none"/>
                <w:lang w:val="en-US" w:eastAsia="zh-CN"/>
              </w:rPr>
              <w:t>浓度限值</w:t>
            </w:r>
            <w:r>
              <w:rPr>
                <w:rFonts w:hint="default" w:ascii="Times New Roman" w:hAnsi="Times New Roman" w:eastAsia="宋体" w:cs="Times New Roman"/>
                <w:color w:val="auto"/>
                <w:sz w:val="24"/>
                <w:szCs w:val="24"/>
                <w:highlight w:val="none"/>
                <w:lang w:val="en-US" w:eastAsia="zh-CN"/>
              </w:rPr>
              <w:t>二级</w:t>
            </w:r>
            <w:r>
              <w:rPr>
                <w:rFonts w:hint="eastAsia" w:ascii="Times New Roman" w:hAnsi="Times New Roman" w:eastAsia="宋体" w:cs="Times New Roman"/>
                <w:color w:val="auto"/>
                <w:sz w:val="24"/>
                <w:szCs w:val="24"/>
                <w:highlight w:val="none"/>
                <w:lang w:val="en-US" w:eastAsia="zh-CN"/>
              </w:rPr>
              <w:t>标准</w:t>
            </w:r>
            <w:r>
              <w:rPr>
                <w:rFonts w:hint="default" w:ascii="Times New Roman" w:hAnsi="Times New Roman" w:eastAsia="宋体" w:cs="Times New Roman"/>
                <w:color w:val="auto"/>
                <w:sz w:val="24"/>
                <w:szCs w:val="24"/>
                <w:highlight w:val="none"/>
                <w:lang w:val="en-US" w:eastAsia="zh-CN"/>
              </w:rPr>
              <w:t>要求即为达标。</w:t>
            </w:r>
          </w:p>
          <w:p w14:paraId="352860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fldChar w:fldCharType="begin"/>
            </w:r>
            <w:r>
              <w:rPr>
                <w:rFonts w:hint="eastAsia" w:ascii="Times New Roman" w:hAnsi="Times New Roman" w:eastAsia="宋体" w:cs="Times New Roman"/>
                <w:color w:val="auto"/>
                <w:sz w:val="24"/>
                <w:szCs w:val="24"/>
                <w:highlight w:val="none"/>
                <w:lang w:val="en-US" w:eastAsia="zh-CN"/>
              </w:rPr>
              <w:instrText xml:space="preserve"> = 4 \* GB3 \* MERGEFORMAT </w:instrText>
            </w:r>
            <w:r>
              <w:rPr>
                <w:rFonts w:hint="eastAsia" w:ascii="Times New Roman" w:hAnsi="Times New Roman" w:eastAsia="宋体" w:cs="Times New Roman"/>
                <w:color w:val="auto"/>
                <w:sz w:val="24"/>
                <w:szCs w:val="24"/>
                <w:highlight w:val="none"/>
                <w:lang w:val="en-US" w:eastAsia="zh-CN"/>
              </w:rPr>
              <w:fldChar w:fldCharType="separate"/>
            </w:r>
            <w:r>
              <w:rPr>
                <w:rFonts w:hint="eastAsia" w:ascii="Times New Roman" w:hAnsi="Times New Roman" w:eastAsia="宋体" w:cs="Times New Roman"/>
                <w:color w:val="auto"/>
                <w:sz w:val="24"/>
                <w:szCs w:val="24"/>
                <w:highlight w:val="none"/>
                <w:lang w:val="en-US" w:eastAsia="zh-CN"/>
              </w:rPr>
              <w:t>④</w:t>
            </w:r>
            <w:r>
              <w:rPr>
                <w:rFonts w:hint="eastAsia" w:ascii="Times New Roman" w:hAnsi="Times New Roman" w:eastAsia="宋体" w:cs="Times New Roman"/>
                <w:color w:val="auto"/>
                <w:sz w:val="24"/>
                <w:szCs w:val="24"/>
                <w:highlight w:val="none"/>
                <w:lang w:val="en-US" w:eastAsia="zh-CN"/>
              </w:rPr>
              <w:fldChar w:fldCharType="end"/>
            </w:r>
            <w:r>
              <w:rPr>
                <w:rFonts w:hint="default" w:ascii="Times New Roman" w:hAnsi="Times New Roman" w:eastAsia="宋体" w:cs="Times New Roman"/>
                <w:color w:val="auto"/>
                <w:sz w:val="24"/>
                <w:szCs w:val="24"/>
                <w:highlight w:val="none"/>
                <w:lang w:val="en-US" w:eastAsia="zh-CN"/>
              </w:rPr>
              <w:t>环境空气质量达标区判定</w:t>
            </w:r>
          </w:p>
          <w:p w14:paraId="4247EB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0000FF"/>
                <w:sz w:val="24"/>
                <w:szCs w:val="24"/>
                <w:highlight w:val="none"/>
                <w:lang w:val="en-US" w:eastAsia="zh-CN"/>
              </w:rPr>
              <w:t>昌吉州2025年</w:t>
            </w:r>
            <w:r>
              <w:rPr>
                <w:rFonts w:hint="eastAsia" w:ascii="Times New Roman" w:hAnsi="Times New Roman" w:eastAsia="宋体" w:cs="Times New Roman"/>
                <w:color w:val="auto"/>
                <w:sz w:val="24"/>
                <w:szCs w:val="24"/>
                <w:highlight w:val="none"/>
                <w:lang w:val="en-US" w:eastAsia="zh-CN"/>
              </w:rPr>
              <w:t>基本污染物环境空气质量监测结果见表3-2。</w:t>
            </w:r>
          </w:p>
          <w:p w14:paraId="24D40023">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0000FF"/>
              </w:rPr>
            </w:pPr>
          </w:p>
          <w:p w14:paraId="2293FCEC">
            <w:pPr>
              <w:keepNext w:val="0"/>
              <w:keepLines w:val="0"/>
              <w:pageBreakBefore w:val="0"/>
              <w:widowControl w:val="0"/>
              <w:kinsoku/>
              <w:wordWrap/>
              <w:overflowPunct/>
              <w:topLinePunct w:val="0"/>
              <w:autoSpaceDE/>
              <w:autoSpaceDN/>
              <w:bidi w:val="0"/>
              <w:adjustRightInd/>
              <w:snapToGrid/>
              <w:spacing w:before="157" w:beforeLines="50" w:line="300" w:lineRule="auto"/>
              <w:jc w:val="center"/>
              <w:textAlignment w:val="auto"/>
              <w:rPr>
                <w:rFonts w:hint="eastAsia"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rPr>
              <w:t>表</w:t>
            </w:r>
            <w:r>
              <w:rPr>
                <w:rFonts w:hint="eastAsia" w:ascii="Times New Roman" w:hAnsi="Times New Roman" w:eastAsia="宋体" w:cs="Times New Roman"/>
                <w:b/>
                <w:bCs/>
                <w:color w:val="auto"/>
                <w:highlight w:val="none"/>
                <w:lang w:val="en-US" w:eastAsia="zh-CN"/>
              </w:rPr>
              <w:t>3-2 昌吉州</w:t>
            </w:r>
            <w:r>
              <w:rPr>
                <w:rFonts w:hint="eastAsia" w:ascii="Times New Roman" w:hAnsi="Times New Roman" w:eastAsia="宋体" w:cs="Times New Roman"/>
                <w:b/>
                <w:bCs/>
                <w:color w:val="auto"/>
                <w:highlight w:val="none"/>
              </w:rPr>
              <w:t>202</w:t>
            </w:r>
            <w:r>
              <w:rPr>
                <w:rFonts w:hint="eastAsia" w:ascii="Times New Roman" w:hAnsi="Times New Roman" w:eastAsia="宋体" w:cs="Times New Roman"/>
                <w:b/>
                <w:bCs/>
                <w:color w:val="auto"/>
                <w:highlight w:val="none"/>
                <w:lang w:val="en-US" w:eastAsia="zh-CN"/>
              </w:rPr>
              <w:t>5</w:t>
            </w:r>
            <w:r>
              <w:rPr>
                <w:rFonts w:hint="eastAsia" w:ascii="Times New Roman" w:hAnsi="Times New Roman" w:eastAsia="宋体" w:cs="Times New Roman"/>
                <w:b/>
                <w:bCs/>
                <w:color w:val="auto"/>
                <w:highlight w:val="none"/>
              </w:rPr>
              <w:t>年基本污染物</w:t>
            </w:r>
            <w:r>
              <w:rPr>
                <w:rFonts w:hint="eastAsia" w:ascii="Times New Roman" w:hAnsi="Times New Roman" w:eastAsia="宋体" w:cs="Times New Roman"/>
                <w:b/>
                <w:bCs/>
                <w:color w:val="auto"/>
                <w:highlight w:val="none"/>
                <w:lang w:val="en-US" w:eastAsia="zh-CN"/>
              </w:rPr>
              <w:t>环境空气质量监测及评价结果</w:t>
            </w:r>
          </w:p>
          <w:tbl>
            <w:tblPr>
              <w:tblStyle w:val="26"/>
              <w:tblW w:w="803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
              <w:gridCol w:w="2121"/>
              <w:gridCol w:w="1188"/>
              <w:gridCol w:w="1613"/>
              <w:gridCol w:w="1222"/>
              <w:gridCol w:w="1175"/>
            </w:tblGrid>
            <w:tr w14:paraId="2C52AB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446" w:type="pct"/>
                  <w:noWrap w:val="0"/>
                  <w:vAlign w:val="center"/>
                </w:tcPr>
                <w:p w14:paraId="7DF6F3DA">
                  <w:pPr>
                    <w:adjustRightInd w:val="0"/>
                    <w:snapToGrid w:val="0"/>
                    <w:jc w:val="center"/>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评价</w:t>
                  </w:r>
                </w:p>
                <w:p w14:paraId="2B89F9DF">
                  <w:pPr>
                    <w:adjustRightInd w:val="0"/>
                    <w:snapToGrid w:val="0"/>
                    <w:jc w:val="center"/>
                    <w:rPr>
                      <w:rFonts w:hint="default" w:ascii="Times New Roman" w:hAnsi="Times New Roman" w:eastAsia="宋体" w:cs="Times New Roman"/>
                      <w:b/>
                      <w:bCs/>
                      <w:color w:val="auto"/>
                      <w:highlight w:val="none"/>
                      <w:lang w:val="en-US" w:eastAsia="zh-CN"/>
                    </w:rPr>
                  </w:pPr>
                  <w:r>
                    <w:rPr>
                      <w:rFonts w:hint="default" w:ascii="Times New Roman" w:hAnsi="Times New Roman" w:cs="Times New Roman"/>
                      <w:b/>
                      <w:bCs/>
                      <w:color w:val="auto"/>
                      <w:highlight w:val="none"/>
                      <w:lang w:val="en-US" w:eastAsia="zh-CN"/>
                    </w:rPr>
                    <w:t>项目</w:t>
                  </w:r>
                </w:p>
              </w:tc>
              <w:tc>
                <w:tcPr>
                  <w:tcW w:w="1320" w:type="pct"/>
                  <w:gridSpan w:val="2"/>
                  <w:noWrap w:val="0"/>
                  <w:vAlign w:val="center"/>
                </w:tcPr>
                <w:p w14:paraId="29002027">
                  <w:pPr>
                    <w:adjustRightInd w:val="0"/>
                    <w:snapToGrid w:val="0"/>
                    <w:jc w:val="center"/>
                    <w:rPr>
                      <w:rFonts w:hint="default" w:ascii="Times New Roman" w:hAnsi="Times New Roman" w:cs="Times New Roman"/>
                      <w:b/>
                      <w:bCs/>
                      <w:color w:val="auto"/>
                      <w:spacing w:val="-6"/>
                      <w:sz w:val="21"/>
                      <w:highlight w:val="none"/>
                    </w:rPr>
                  </w:pPr>
                  <w:r>
                    <w:rPr>
                      <w:rFonts w:hint="default" w:ascii="Times New Roman" w:hAnsi="Times New Roman" w:cs="Times New Roman"/>
                      <w:b/>
                      <w:bCs/>
                      <w:color w:val="auto"/>
                      <w:spacing w:val="-6"/>
                      <w:sz w:val="21"/>
                      <w:highlight w:val="none"/>
                    </w:rPr>
                    <w:t>评价指标</w:t>
                  </w:r>
                </w:p>
              </w:tc>
              <w:tc>
                <w:tcPr>
                  <w:tcW w:w="739" w:type="pct"/>
                  <w:noWrap w:val="0"/>
                  <w:vAlign w:val="center"/>
                </w:tcPr>
                <w:p w14:paraId="6E3F0843">
                  <w:pPr>
                    <w:adjustRightInd w:val="0"/>
                    <w:snapToGrid w:val="0"/>
                    <w:jc w:val="center"/>
                    <w:rPr>
                      <w:rFonts w:hint="default" w:ascii="Times New Roman" w:hAnsi="Times New Roman" w:cs="Times New Roman"/>
                      <w:b/>
                      <w:bCs/>
                      <w:color w:val="auto"/>
                      <w:spacing w:val="-6"/>
                      <w:sz w:val="21"/>
                      <w:highlight w:val="none"/>
                    </w:rPr>
                  </w:pPr>
                  <w:r>
                    <w:rPr>
                      <w:rFonts w:hint="default" w:ascii="Times New Roman" w:hAnsi="Times New Roman" w:cs="Times New Roman"/>
                      <w:b/>
                      <w:bCs/>
                      <w:color w:val="auto"/>
                      <w:spacing w:val="-6"/>
                      <w:sz w:val="21"/>
                      <w:highlight w:val="none"/>
                    </w:rPr>
                    <w:t>现状浓度µg/m³</w:t>
                  </w:r>
                </w:p>
              </w:tc>
              <w:tc>
                <w:tcPr>
                  <w:tcW w:w="1003" w:type="pct"/>
                  <w:noWrap w:val="0"/>
                  <w:vAlign w:val="center"/>
                </w:tcPr>
                <w:p w14:paraId="20C065D1">
                  <w:pPr>
                    <w:adjustRightInd w:val="0"/>
                    <w:snapToGrid w:val="0"/>
                    <w:jc w:val="center"/>
                    <w:rPr>
                      <w:rFonts w:hint="default" w:ascii="Times New Roman" w:hAnsi="Times New Roman" w:cs="Times New Roman"/>
                      <w:b/>
                      <w:bCs/>
                      <w:color w:val="auto"/>
                      <w:highlight w:val="none"/>
                    </w:rPr>
                  </w:pPr>
                  <w:r>
                    <w:rPr>
                      <w:rFonts w:hint="default" w:ascii="Times New Roman" w:hAnsi="Times New Roman" w:eastAsia="宋体" w:cs="Times New Roman"/>
                      <w:b/>
                      <w:bCs/>
                      <w:color w:val="auto"/>
                      <w:highlight w:val="none"/>
                      <w:lang w:val="en-US" w:eastAsia="zh-CN"/>
                    </w:rPr>
                    <w:t>过渡阶段</w:t>
                  </w:r>
                  <w:r>
                    <w:rPr>
                      <w:rFonts w:hint="eastAsia" w:cs="Times New Roman"/>
                      <w:b/>
                      <w:bCs/>
                      <w:color w:val="auto"/>
                      <w:highlight w:val="none"/>
                      <w:lang w:val="en-US" w:eastAsia="zh-CN"/>
                    </w:rPr>
                    <w:t>二级标准限值</w:t>
                  </w:r>
                  <w:r>
                    <w:rPr>
                      <w:rFonts w:hint="default" w:ascii="Times New Roman" w:hAnsi="Times New Roman" w:cs="Times New Roman"/>
                      <w:b/>
                      <w:bCs/>
                      <w:color w:val="auto"/>
                      <w:spacing w:val="-6"/>
                      <w:sz w:val="21"/>
                      <w:highlight w:val="none"/>
                    </w:rPr>
                    <w:t>µg/m³</w:t>
                  </w:r>
                </w:p>
              </w:tc>
              <w:tc>
                <w:tcPr>
                  <w:tcW w:w="760" w:type="pct"/>
                  <w:noWrap w:val="0"/>
                  <w:vAlign w:val="center"/>
                </w:tcPr>
                <w:p w14:paraId="47CE368E">
                  <w:pPr>
                    <w:adjustRightInd w:val="0"/>
                    <w:snapToGrid w:val="0"/>
                    <w:jc w:val="center"/>
                    <w:rPr>
                      <w:rFonts w:hint="default" w:ascii="Times New Roman" w:hAnsi="Times New Roman" w:eastAsia="宋体" w:cs="Times New Roman"/>
                      <w:b/>
                      <w:bCs/>
                      <w:color w:val="auto"/>
                      <w:kern w:val="2"/>
                      <w:sz w:val="21"/>
                      <w:szCs w:val="24"/>
                      <w:highlight w:val="none"/>
                      <w:lang w:val="en-US" w:eastAsia="zh-CN" w:bidi="ar-SA"/>
                    </w:rPr>
                  </w:pPr>
                  <w:r>
                    <w:rPr>
                      <w:rFonts w:hint="default" w:ascii="Times New Roman" w:hAnsi="Times New Roman" w:cs="Times New Roman"/>
                      <w:b/>
                      <w:bCs/>
                      <w:color w:val="auto"/>
                      <w:highlight w:val="none"/>
                    </w:rPr>
                    <w:t>占标率%</w:t>
                  </w:r>
                </w:p>
              </w:tc>
              <w:tc>
                <w:tcPr>
                  <w:tcW w:w="730" w:type="pct"/>
                  <w:tcBorders>
                    <w:bottom w:val="single" w:color="auto" w:sz="12" w:space="0"/>
                  </w:tcBorders>
                  <w:noWrap w:val="0"/>
                  <w:vAlign w:val="center"/>
                </w:tcPr>
                <w:p w14:paraId="2247B0BB">
                  <w:pPr>
                    <w:adjustRightInd w:val="0"/>
                    <w:snapToGrid w:val="0"/>
                    <w:jc w:val="center"/>
                    <w:rPr>
                      <w:rFonts w:hint="default" w:ascii="Times New Roman" w:hAnsi="Times New Roman" w:eastAsia="宋体" w:cs="Times New Roman"/>
                      <w:b/>
                      <w:bCs/>
                      <w:color w:val="auto"/>
                      <w:kern w:val="2"/>
                      <w:sz w:val="21"/>
                      <w:szCs w:val="24"/>
                      <w:highlight w:val="none"/>
                      <w:lang w:val="en-US" w:eastAsia="zh-CN" w:bidi="ar-SA"/>
                    </w:rPr>
                  </w:pPr>
                  <w:r>
                    <w:rPr>
                      <w:rFonts w:hint="default" w:ascii="Times New Roman" w:hAnsi="Times New Roman" w:cs="Times New Roman"/>
                      <w:b/>
                      <w:bCs/>
                      <w:color w:val="auto"/>
                      <w:highlight w:val="none"/>
                    </w:rPr>
                    <w:t>达标情况</w:t>
                  </w:r>
                </w:p>
              </w:tc>
            </w:tr>
            <w:tr w14:paraId="19F590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6" w:type="pct"/>
                  <w:gridSpan w:val="2"/>
                  <w:tcBorders>
                    <w:top w:val="single" w:color="auto" w:sz="12" w:space="0"/>
                  </w:tcBorders>
                  <w:noWrap w:val="0"/>
                  <w:vAlign w:val="center"/>
                </w:tcPr>
                <w:p w14:paraId="6378895A">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SO</w:t>
                  </w:r>
                  <w:r>
                    <w:rPr>
                      <w:rFonts w:hint="default" w:ascii="Times New Roman" w:hAnsi="Times New Roman" w:cs="Times New Roman"/>
                      <w:color w:val="auto"/>
                      <w:highlight w:val="none"/>
                      <w:vertAlign w:val="subscript"/>
                    </w:rPr>
                    <w:t>2</w:t>
                  </w:r>
                </w:p>
              </w:tc>
              <w:tc>
                <w:tcPr>
                  <w:tcW w:w="1319" w:type="pct"/>
                  <w:tcBorders>
                    <w:top w:val="single" w:color="auto" w:sz="12" w:space="0"/>
                  </w:tcBorders>
                  <w:noWrap w:val="0"/>
                  <w:vAlign w:val="center"/>
                </w:tcPr>
                <w:p w14:paraId="12925125">
                  <w:pPr>
                    <w:adjustRightInd w:val="0"/>
                    <w:snapToGrid w:val="0"/>
                    <w:jc w:val="center"/>
                    <w:rPr>
                      <w:rFonts w:hint="default" w:ascii="Times New Roman" w:hAnsi="Times New Roman" w:eastAsia="宋体" w:cs="Times New Roman"/>
                      <w:color w:val="auto"/>
                      <w:spacing w:val="-6"/>
                      <w:sz w:val="21"/>
                      <w:highlight w:val="none"/>
                    </w:rPr>
                  </w:pPr>
                  <w:r>
                    <w:rPr>
                      <w:rFonts w:hint="default" w:ascii="Times New Roman" w:hAnsi="Times New Roman" w:eastAsia="宋体" w:cs="Times New Roman"/>
                      <w:color w:val="auto"/>
                      <w:spacing w:val="-6"/>
                      <w:sz w:val="21"/>
                      <w:highlight w:val="none"/>
                    </w:rPr>
                    <w:t>年平均质量浓度</w:t>
                  </w:r>
                </w:p>
              </w:tc>
              <w:tc>
                <w:tcPr>
                  <w:tcW w:w="739" w:type="pct"/>
                  <w:tcBorders>
                    <w:top w:val="single" w:color="auto" w:sz="12" w:space="0"/>
                  </w:tcBorders>
                  <w:noWrap w:val="0"/>
                  <w:vAlign w:val="center"/>
                </w:tcPr>
                <w:p w14:paraId="296D33B2">
                  <w:pPr>
                    <w:adjustRightInd w:val="0"/>
                    <w:snapToGrid w:val="0"/>
                    <w:jc w:val="center"/>
                    <w:rPr>
                      <w:rFonts w:hint="default" w:ascii="Times New Roman" w:hAnsi="Times New Roman" w:eastAsia="宋体" w:cs="Times New Roman"/>
                      <w:color w:val="0000FF"/>
                      <w:spacing w:val="-6"/>
                      <w:sz w:val="21"/>
                      <w:highlight w:val="none"/>
                      <w:lang w:eastAsia="zh-CN"/>
                    </w:rPr>
                  </w:pPr>
                  <w:r>
                    <w:rPr>
                      <w:rFonts w:hint="eastAsia" w:ascii="Times New Roman" w:hAnsi="Times New Roman" w:eastAsia="宋体" w:cs="Times New Roman"/>
                      <w:color w:val="0000FF"/>
                      <w:spacing w:val="-6"/>
                      <w:sz w:val="21"/>
                      <w:highlight w:val="none"/>
                      <w:lang w:val="en-US" w:eastAsia="zh-CN"/>
                    </w:rPr>
                    <w:t>7</w:t>
                  </w:r>
                </w:p>
              </w:tc>
              <w:tc>
                <w:tcPr>
                  <w:tcW w:w="1003" w:type="pct"/>
                  <w:tcBorders>
                    <w:top w:val="single" w:color="auto" w:sz="12" w:space="0"/>
                  </w:tcBorders>
                  <w:shd w:val="clear" w:color="auto" w:fill="auto"/>
                  <w:noWrap w:val="0"/>
                  <w:vAlign w:val="center"/>
                </w:tcPr>
                <w:p w14:paraId="0AABEFBB">
                  <w:pPr>
                    <w:adjustRightInd w:val="0"/>
                    <w:snapToGrid w:val="0"/>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rPr>
                    <w:t>60</w:t>
                  </w:r>
                </w:p>
              </w:tc>
              <w:tc>
                <w:tcPr>
                  <w:tcW w:w="760" w:type="pct"/>
                  <w:tcBorders>
                    <w:top w:val="single" w:color="auto" w:sz="12" w:space="0"/>
                  </w:tcBorders>
                  <w:shd w:val="clear" w:color="auto" w:fill="auto"/>
                  <w:noWrap w:val="0"/>
                  <w:vAlign w:val="center"/>
                </w:tcPr>
                <w:p w14:paraId="034951A3">
                  <w:pPr>
                    <w:adjustRightInd w:val="0"/>
                    <w:snapToGrid w:val="0"/>
                    <w:jc w:val="center"/>
                    <w:rPr>
                      <w:rFonts w:hint="default" w:ascii="Times New Roman" w:hAnsi="Times New Roman" w:eastAsia="宋体" w:cs="Times New Roman"/>
                      <w:color w:val="0000FF"/>
                      <w:kern w:val="2"/>
                      <w:sz w:val="21"/>
                      <w:szCs w:val="24"/>
                      <w:highlight w:val="none"/>
                      <w:lang w:val="en-US" w:eastAsia="zh-CN" w:bidi="ar-SA"/>
                    </w:rPr>
                  </w:pPr>
                  <w:r>
                    <w:rPr>
                      <w:rFonts w:hint="eastAsia" w:ascii="Times New Roman" w:hAnsi="Times New Roman" w:eastAsia="宋体" w:cs="Times New Roman"/>
                      <w:color w:val="0000FF"/>
                      <w:highlight w:val="none"/>
                      <w:lang w:val="en-US" w:eastAsia="zh-CN"/>
                    </w:rPr>
                    <w:t>11.7</w:t>
                  </w:r>
                </w:p>
              </w:tc>
              <w:tc>
                <w:tcPr>
                  <w:tcW w:w="730" w:type="pct"/>
                  <w:tcBorders>
                    <w:top w:val="single" w:color="auto" w:sz="12" w:space="0"/>
                  </w:tcBorders>
                  <w:shd w:val="clear" w:color="auto" w:fill="auto"/>
                  <w:noWrap w:val="0"/>
                  <w:vAlign w:val="center"/>
                </w:tcPr>
                <w:p w14:paraId="4E1EE215">
                  <w:pPr>
                    <w:adjustRightInd w:val="0"/>
                    <w:snapToGrid w:val="0"/>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highlight w:val="none"/>
                    </w:rPr>
                    <w:t>达标</w:t>
                  </w:r>
                </w:p>
              </w:tc>
            </w:tr>
            <w:tr w14:paraId="39F1CF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6" w:type="pct"/>
                  <w:gridSpan w:val="2"/>
                  <w:noWrap w:val="0"/>
                  <w:vAlign w:val="center"/>
                </w:tcPr>
                <w:p w14:paraId="1AFB42B1">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NO</w:t>
                  </w:r>
                  <w:r>
                    <w:rPr>
                      <w:rFonts w:hint="default" w:ascii="Times New Roman" w:hAnsi="Times New Roman" w:cs="Times New Roman"/>
                      <w:color w:val="auto"/>
                      <w:highlight w:val="none"/>
                      <w:vertAlign w:val="subscript"/>
                    </w:rPr>
                    <w:t>2</w:t>
                  </w:r>
                </w:p>
              </w:tc>
              <w:tc>
                <w:tcPr>
                  <w:tcW w:w="1319" w:type="pct"/>
                  <w:noWrap w:val="0"/>
                  <w:vAlign w:val="center"/>
                </w:tcPr>
                <w:p w14:paraId="624C54FA">
                  <w:pPr>
                    <w:adjustRightInd w:val="0"/>
                    <w:snapToGrid w:val="0"/>
                    <w:jc w:val="center"/>
                    <w:rPr>
                      <w:rFonts w:hint="default" w:ascii="Times New Roman" w:hAnsi="Times New Roman" w:eastAsia="宋体" w:cs="Times New Roman"/>
                      <w:color w:val="auto"/>
                      <w:spacing w:val="-6"/>
                      <w:sz w:val="21"/>
                      <w:highlight w:val="none"/>
                    </w:rPr>
                  </w:pPr>
                  <w:r>
                    <w:rPr>
                      <w:rFonts w:hint="default" w:ascii="Times New Roman" w:hAnsi="Times New Roman" w:eastAsia="宋体" w:cs="Times New Roman"/>
                      <w:color w:val="auto"/>
                      <w:spacing w:val="-6"/>
                      <w:sz w:val="21"/>
                      <w:highlight w:val="none"/>
                    </w:rPr>
                    <w:t>年平均质量浓度</w:t>
                  </w:r>
                </w:p>
              </w:tc>
              <w:tc>
                <w:tcPr>
                  <w:tcW w:w="739" w:type="pct"/>
                  <w:noWrap w:val="0"/>
                  <w:vAlign w:val="center"/>
                </w:tcPr>
                <w:p w14:paraId="08122FBA">
                  <w:pPr>
                    <w:adjustRightInd w:val="0"/>
                    <w:snapToGrid w:val="0"/>
                    <w:jc w:val="center"/>
                    <w:rPr>
                      <w:rFonts w:hint="default" w:ascii="Times New Roman" w:hAnsi="Times New Roman" w:eastAsia="宋体" w:cs="Times New Roman"/>
                      <w:color w:val="0000FF"/>
                      <w:spacing w:val="-6"/>
                      <w:sz w:val="21"/>
                      <w:highlight w:val="none"/>
                      <w:lang w:val="en-US" w:eastAsia="zh-CN"/>
                    </w:rPr>
                  </w:pPr>
                  <w:r>
                    <w:rPr>
                      <w:rFonts w:hint="eastAsia" w:ascii="Times New Roman" w:hAnsi="Times New Roman" w:eastAsia="宋体" w:cs="Times New Roman"/>
                      <w:color w:val="0000FF"/>
                      <w:spacing w:val="-6"/>
                      <w:sz w:val="21"/>
                      <w:highlight w:val="none"/>
                      <w:lang w:val="en-US" w:eastAsia="zh-CN"/>
                    </w:rPr>
                    <w:t>25</w:t>
                  </w:r>
                </w:p>
              </w:tc>
              <w:tc>
                <w:tcPr>
                  <w:tcW w:w="1003" w:type="pct"/>
                  <w:shd w:val="clear" w:color="auto" w:fill="auto"/>
                  <w:noWrap w:val="0"/>
                  <w:vAlign w:val="center"/>
                </w:tcPr>
                <w:p w14:paraId="3E9F2B43">
                  <w:pPr>
                    <w:adjustRightInd w:val="0"/>
                    <w:snapToGrid w:val="0"/>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rPr>
                    <w:t>40</w:t>
                  </w:r>
                </w:p>
              </w:tc>
              <w:tc>
                <w:tcPr>
                  <w:tcW w:w="760" w:type="pct"/>
                  <w:shd w:val="clear" w:color="auto" w:fill="auto"/>
                  <w:noWrap w:val="0"/>
                  <w:vAlign w:val="center"/>
                </w:tcPr>
                <w:p w14:paraId="335B5D7C">
                  <w:pPr>
                    <w:adjustRightInd w:val="0"/>
                    <w:snapToGrid w:val="0"/>
                    <w:jc w:val="center"/>
                    <w:rPr>
                      <w:rFonts w:hint="default" w:ascii="Times New Roman" w:hAnsi="Times New Roman" w:eastAsia="宋体" w:cs="Times New Roman"/>
                      <w:color w:val="0000FF"/>
                      <w:kern w:val="2"/>
                      <w:sz w:val="21"/>
                      <w:szCs w:val="24"/>
                      <w:highlight w:val="none"/>
                      <w:lang w:val="en-US" w:eastAsia="zh-CN" w:bidi="ar-SA"/>
                    </w:rPr>
                  </w:pPr>
                  <w:r>
                    <w:rPr>
                      <w:rFonts w:hint="eastAsia" w:ascii="Times New Roman" w:hAnsi="Times New Roman" w:eastAsia="宋体" w:cs="Times New Roman"/>
                      <w:color w:val="0000FF"/>
                      <w:kern w:val="2"/>
                      <w:sz w:val="21"/>
                      <w:szCs w:val="24"/>
                      <w:highlight w:val="none"/>
                      <w:lang w:val="en-US" w:eastAsia="zh-CN" w:bidi="ar-SA"/>
                    </w:rPr>
                    <w:t>62.5</w:t>
                  </w:r>
                </w:p>
              </w:tc>
              <w:tc>
                <w:tcPr>
                  <w:tcW w:w="730" w:type="pct"/>
                  <w:shd w:val="clear" w:color="auto" w:fill="auto"/>
                  <w:noWrap w:val="0"/>
                  <w:vAlign w:val="center"/>
                </w:tcPr>
                <w:p w14:paraId="2D0BF353">
                  <w:pPr>
                    <w:adjustRightInd w:val="0"/>
                    <w:snapToGrid w:val="0"/>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highlight w:val="none"/>
                    </w:rPr>
                    <w:t>达标</w:t>
                  </w:r>
                </w:p>
              </w:tc>
            </w:tr>
            <w:tr w14:paraId="5D0CD7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6" w:type="pct"/>
                  <w:gridSpan w:val="2"/>
                  <w:noWrap w:val="0"/>
                  <w:vAlign w:val="center"/>
                </w:tcPr>
                <w:p w14:paraId="0F8B789C">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PM</w:t>
                  </w:r>
                  <w:r>
                    <w:rPr>
                      <w:rFonts w:hint="default" w:ascii="Times New Roman" w:hAnsi="Times New Roman" w:cs="Times New Roman"/>
                      <w:color w:val="auto"/>
                      <w:highlight w:val="none"/>
                      <w:vertAlign w:val="subscript"/>
                    </w:rPr>
                    <w:t>10</w:t>
                  </w:r>
                </w:p>
              </w:tc>
              <w:tc>
                <w:tcPr>
                  <w:tcW w:w="1319" w:type="pct"/>
                  <w:noWrap w:val="0"/>
                  <w:vAlign w:val="center"/>
                </w:tcPr>
                <w:p w14:paraId="235BD635">
                  <w:pPr>
                    <w:adjustRightInd w:val="0"/>
                    <w:snapToGrid w:val="0"/>
                    <w:jc w:val="center"/>
                    <w:rPr>
                      <w:rFonts w:hint="default" w:ascii="Times New Roman" w:hAnsi="Times New Roman" w:eastAsia="宋体" w:cs="Times New Roman"/>
                      <w:color w:val="auto"/>
                      <w:spacing w:val="-6"/>
                      <w:sz w:val="21"/>
                      <w:highlight w:val="none"/>
                    </w:rPr>
                  </w:pPr>
                  <w:r>
                    <w:rPr>
                      <w:rFonts w:hint="default" w:ascii="Times New Roman" w:hAnsi="Times New Roman" w:eastAsia="宋体" w:cs="Times New Roman"/>
                      <w:color w:val="auto"/>
                      <w:spacing w:val="-6"/>
                      <w:sz w:val="21"/>
                      <w:highlight w:val="none"/>
                    </w:rPr>
                    <w:t>年平均质量浓度</w:t>
                  </w:r>
                </w:p>
              </w:tc>
              <w:tc>
                <w:tcPr>
                  <w:tcW w:w="739" w:type="pct"/>
                  <w:noWrap w:val="0"/>
                  <w:vAlign w:val="center"/>
                </w:tcPr>
                <w:p w14:paraId="06A8EB6E">
                  <w:pPr>
                    <w:adjustRightInd w:val="0"/>
                    <w:snapToGrid w:val="0"/>
                    <w:jc w:val="center"/>
                    <w:rPr>
                      <w:rFonts w:hint="default" w:ascii="Times New Roman" w:hAnsi="Times New Roman" w:eastAsia="宋体" w:cs="Times New Roman"/>
                      <w:color w:val="0000FF"/>
                      <w:spacing w:val="-6"/>
                      <w:sz w:val="21"/>
                      <w:highlight w:val="none"/>
                      <w:lang w:val="en-US" w:eastAsia="zh-CN"/>
                    </w:rPr>
                  </w:pPr>
                  <w:r>
                    <w:rPr>
                      <w:rFonts w:hint="eastAsia" w:ascii="Times New Roman" w:hAnsi="Times New Roman" w:eastAsia="宋体" w:cs="Times New Roman"/>
                      <w:color w:val="0000FF"/>
                      <w:spacing w:val="-6"/>
                      <w:sz w:val="21"/>
                      <w:highlight w:val="none"/>
                      <w:lang w:val="en-US" w:eastAsia="zh-CN"/>
                    </w:rPr>
                    <w:t>67</w:t>
                  </w:r>
                </w:p>
              </w:tc>
              <w:tc>
                <w:tcPr>
                  <w:tcW w:w="1003" w:type="pct"/>
                  <w:shd w:val="clear" w:color="auto" w:fill="auto"/>
                  <w:noWrap w:val="0"/>
                  <w:vAlign w:val="center"/>
                </w:tcPr>
                <w:p w14:paraId="623330DA">
                  <w:pPr>
                    <w:adjustRightInd w:val="0"/>
                    <w:snapToGrid w:val="0"/>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60</w:t>
                  </w:r>
                </w:p>
              </w:tc>
              <w:tc>
                <w:tcPr>
                  <w:tcW w:w="760" w:type="pct"/>
                  <w:shd w:val="clear" w:color="auto" w:fill="auto"/>
                  <w:noWrap w:val="0"/>
                  <w:vAlign w:val="center"/>
                </w:tcPr>
                <w:p w14:paraId="56918F26">
                  <w:pPr>
                    <w:adjustRightInd w:val="0"/>
                    <w:snapToGrid w:val="0"/>
                    <w:jc w:val="center"/>
                    <w:rPr>
                      <w:rFonts w:hint="default" w:ascii="Times New Roman" w:hAnsi="Times New Roman" w:eastAsia="宋体" w:cs="Times New Roman"/>
                      <w:color w:val="0000FF"/>
                      <w:kern w:val="2"/>
                      <w:sz w:val="21"/>
                      <w:szCs w:val="24"/>
                      <w:highlight w:val="none"/>
                      <w:lang w:val="en-US" w:eastAsia="zh-CN" w:bidi="ar-SA"/>
                    </w:rPr>
                  </w:pPr>
                  <w:r>
                    <w:rPr>
                      <w:rFonts w:hint="eastAsia" w:ascii="Times New Roman" w:hAnsi="Times New Roman" w:eastAsia="宋体" w:cs="Times New Roman"/>
                      <w:color w:val="0000FF"/>
                      <w:kern w:val="2"/>
                      <w:sz w:val="21"/>
                      <w:szCs w:val="24"/>
                      <w:highlight w:val="none"/>
                      <w:lang w:val="en-US" w:eastAsia="zh-CN" w:bidi="ar-SA"/>
                    </w:rPr>
                    <w:t>111.7</w:t>
                  </w:r>
                </w:p>
              </w:tc>
              <w:tc>
                <w:tcPr>
                  <w:tcW w:w="730" w:type="pct"/>
                  <w:shd w:val="clear" w:color="auto" w:fill="auto"/>
                  <w:noWrap w:val="0"/>
                  <w:vAlign w:val="center"/>
                </w:tcPr>
                <w:p w14:paraId="468FE892">
                  <w:pPr>
                    <w:adjustRightInd w:val="0"/>
                    <w:snapToGrid w:val="0"/>
                    <w:jc w:val="center"/>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不</w:t>
                  </w:r>
                  <w:r>
                    <w:rPr>
                      <w:rFonts w:hint="default" w:ascii="Times New Roman" w:hAnsi="Times New Roman" w:cs="Times New Roman"/>
                      <w:color w:val="auto"/>
                      <w:highlight w:val="none"/>
                    </w:rPr>
                    <w:t>达标</w:t>
                  </w:r>
                </w:p>
              </w:tc>
            </w:tr>
            <w:tr w14:paraId="688A53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6" w:type="pct"/>
                  <w:gridSpan w:val="2"/>
                  <w:noWrap w:val="0"/>
                  <w:vAlign w:val="center"/>
                </w:tcPr>
                <w:p w14:paraId="2AFAF9D0">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PM</w:t>
                  </w:r>
                  <w:r>
                    <w:rPr>
                      <w:rFonts w:hint="default" w:ascii="Times New Roman" w:hAnsi="Times New Roman" w:cs="Times New Roman"/>
                      <w:color w:val="auto"/>
                      <w:highlight w:val="none"/>
                      <w:vertAlign w:val="subscript"/>
                    </w:rPr>
                    <w:t>2.5</w:t>
                  </w:r>
                </w:p>
              </w:tc>
              <w:tc>
                <w:tcPr>
                  <w:tcW w:w="1319" w:type="pct"/>
                  <w:noWrap w:val="0"/>
                  <w:vAlign w:val="center"/>
                </w:tcPr>
                <w:p w14:paraId="1668B6B2">
                  <w:pPr>
                    <w:adjustRightInd w:val="0"/>
                    <w:snapToGrid w:val="0"/>
                    <w:jc w:val="center"/>
                    <w:rPr>
                      <w:rFonts w:hint="default" w:ascii="Times New Roman" w:hAnsi="Times New Roman" w:eastAsia="宋体" w:cs="Times New Roman"/>
                      <w:color w:val="auto"/>
                      <w:spacing w:val="-6"/>
                      <w:sz w:val="21"/>
                      <w:highlight w:val="none"/>
                    </w:rPr>
                  </w:pPr>
                  <w:r>
                    <w:rPr>
                      <w:rFonts w:hint="default" w:ascii="Times New Roman" w:hAnsi="Times New Roman" w:eastAsia="宋体" w:cs="Times New Roman"/>
                      <w:color w:val="auto"/>
                      <w:spacing w:val="-6"/>
                      <w:sz w:val="21"/>
                      <w:highlight w:val="none"/>
                    </w:rPr>
                    <w:t>年平均质量浓度</w:t>
                  </w:r>
                </w:p>
              </w:tc>
              <w:tc>
                <w:tcPr>
                  <w:tcW w:w="739" w:type="pct"/>
                  <w:noWrap w:val="0"/>
                  <w:vAlign w:val="center"/>
                </w:tcPr>
                <w:p w14:paraId="2632ACD4">
                  <w:pPr>
                    <w:adjustRightInd w:val="0"/>
                    <w:snapToGrid w:val="0"/>
                    <w:jc w:val="center"/>
                    <w:rPr>
                      <w:rFonts w:hint="default" w:ascii="Times New Roman" w:hAnsi="Times New Roman" w:eastAsia="宋体" w:cs="Times New Roman"/>
                      <w:color w:val="0000FF"/>
                      <w:spacing w:val="-6"/>
                      <w:sz w:val="21"/>
                      <w:highlight w:val="none"/>
                      <w:lang w:val="en-US" w:eastAsia="zh-CN"/>
                    </w:rPr>
                  </w:pPr>
                  <w:r>
                    <w:rPr>
                      <w:rFonts w:hint="eastAsia" w:ascii="Times New Roman" w:hAnsi="Times New Roman" w:eastAsia="宋体" w:cs="Times New Roman"/>
                      <w:color w:val="0000FF"/>
                      <w:spacing w:val="-6"/>
                      <w:sz w:val="21"/>
                      <w:highlight w:val="none"/>
                      <w:lang w:val="en-US" w:eastAsia="zh-CN"/>
                    </w:rPr>
                    <w:t>37</w:t>
                  </w:r>
                </w:p>
              </w:tc>
              <w:tc>
                <w:tcPr>
                  <w:tcW w:w="1003" w:type="pct"/>
                  <w:shd w:val="clear" w:color="auto" w:fill="auto"/>
                  <w:noWrap w:val="0"/>
                  <w:vAlign w:val="center"/>
                </w:tcPr>
                <w:p w14:paraId="4097BE70">
                  <w:pPr>
                    <w:adjustRightInd w:val="0"/>
                    <w:snapToGrid w:val="0"/>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30</w:t>
                  </w:r>
                </w:p>
              </w:tc>
              <w:tc>
                <w:tcPr>
                  <w:tcW w:w="760" w:type="pct"/>
                  <w:shd w:val="clear" w:color="auto" w:fill="auto"/>
                  <w:noWrap w:val="0"/>
                  <w:vAlign w:val="center"/>
                </w:tcPr>
                <w:p w14:paraId="1EF69A25">
                  <w:pPr>
                    <w:adjustRightInd w:val="0"/>
                    <w:snapToGrid w:val="0"/>
                    <w:jc w:val="center"/>
                    <w:rPr>
                      <w:rFonts w:hint="default" w:ascii="Times New Roman" w:hAnsi="Times New Roman" w:eastAsia="宋体" w:cs="Times New Roman"/>
                      <w:color w:val="0000FF"/>
                      <w:kern w:val="2"/>
                      <w:sz w:val="21"/>
                      <w:szCs w:val="24"/>
                      <w:highlight w:val="none"/>
                      <w:lang w:val="en-US" w:eastAsia="zh-CN" w:bidi="ar-SA"/>
                    </w:rPr>
                  </w:pPr>
                  <w:r>
                    <w:rPr>
                      <w:rFonts w:hint="eastAsia" w:ascii="Times New Roman" w:hAnsi="Times New Roman" w:eastAsia="宋体" w:cs="Times New Roman"/>
                      <w:color w:val="0000FF"/>
                      <w:kern w:val="2"/>
                      <w:sz w:val="21"/>
                      <w:szCs w:val="24"/>
                      <w:highlight w:val="none"/>
                      <w:lang w:val="en-US" w:eastAsia="zh-CN" w:bidi="ar-SA"/>
                    </w:rPr>
                    <w:t>123.3</w:t>
                  </w:r>
                </w:p>
              </w:tc>
              <w:tc>
                <w:tcPr>
                  <w:tcW w:w="730" w:type="pct"/>
                  <w:shd w:val="clear" w:color="auto" w:fill="auto"/>
                  <w:noWrap w:val="0"/>
                  <w:vAlign w:val="center"/>
                </w:tcPr>
                <w:p w14:paraId="360679F8">
                  <w:pPr>
                    <w:adjustRightInd w:val="0"/>
                    <w:snapToGrid w:val="0"/>
                    <w:jc w:val="center"/>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不</w:t>
                  </w:r>
                  <w:r>
                    <w:rPr>
                      <w:rFonts w:hint="default" w:ascii="Times New Roman" w:hAnsi="Times New Roman" w:cs="Times New Roman"/>
                      <w:color w:val="auto"/>
                      <w:highlight w:val="none"/>
                    </w:rPr>
                    <w:t>达标</w:t>
                  </w:r>
                </w:p>
              </w:tc>
            </w:tr>
            <w:tr w14:paraId="071EDD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6" w:type="pct"/>
                  <w:gridSpan w:val="2"/>
                  <w:noWrap w:val="0"/>
                  <w:vAlign w:val="center"/>
                </w:tcPr>
                <w:p w14:paraId="597AE0C0">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CO</w:t>
                  </w:r>
                </w:p>
              </w:tc>
              <w:tc>
                <w:tcPr>
                  <w:tcW w:w="1319" w:type="pct"/>
                  <w:noWrap w:val="0"/>
                  <w:vAlign w:val="center"/>
                </w:tcPr>
                <w:p w14:paraId="65D3311F">
                  <w:pPr>
                    <w:adjustRightInd w:val="0"/>
                    <w:snapToGrid w:val="0"/>
                    <w:jc w:val="center"/>
                    <w:rPr>
                      <w:rFonts w:hint="default" w:ascii="Times New Roman" w:hAnsi="Times New Roman" w:eastAsia="宋体" w:cs="Times New Roman"/>
                      <w:color w:val="auto"/>
                      <w:spacing w:val="-6"/>
                      <w:sz w:val="21"/>
                      <w:highlight w:val="none"/>
                    </w:rPr>
                  </w:pPr>
                  <w:r>
                    <w:rPr>
                      <w:rFonts w:hint="default" w:ascii="Times New Roman" w:hAnsi="Times New Roman" w:cs="Times New Roman"/>
                      <w:color w:val="auto"/>
                      <w:spacing w:val="-6"/>
                      <w:sz w:val="21"/>
                      <w:highlight w:val="none"/>
                      <w:lang w:val="en-US" w:eastAsia="zh-CN"/>
                    </w:rPr>
                    <w:t>日</w:t>
                  </w:r>
                  <w:r>
                    <w:rPr>
                      <w:rFonts w:hint="default" w:ascii="Times New Roman" w:hAnsi="Times New Roman" w:eastAsia="宋体" w:cs="Times New Roman"/>
                      <w:color w:val="auto"/>
                      <w:spacing w:val="-6"/>
                      <w:sz w:val="21"/>
                      <w:highlight w:val="none"/>
                    </w:rPr>
                    <w:t>平均第95百分位数</w:t>
                  </w:r>
                </w:p>
              </w:tc>
              <w:tc>
                <w:tcPr>
                  <w:tcW w:w="739" w:type="pct"/>
                  <w:noWrap w:val="0"/>
                  <w:vAlign w:val="center"/>
                </w:tcPr>
                <w:p w14:paraId="1370C742">
                  <w:pPr>
                    <w:adjustRightInd w:val="0"/>
                    <w:snapToGrid w:val="0"/>
                    <w:jc w:val="center"/>
                    <w:rPr>
                      <w:rFonts w:hint="default" w:ascii="Times New Roman" w:hAnsi="Times New Roman" w:eastAsia="宋体" w:cs="Times New Roman"/>
                      <w:color w:val="0000FF"/>
                      <w:spacing w:val="-6"/>
                      <w:sz w:val="21"/>
                      <w:highlight w:val="none"/>
                      <w:lang w:val="en-US" w:eastAsia="zh-CN"/>
                    </w:rPr>
                  </w:pPr>
                  <w:r>
                    <w:rPr>
                      <w:rFonts w:hint="eastAsia" w:ascii="Times New Roman" w:hAnsi="Times New Roman" w:eastAsia="宋体" w:cs="Times New Roman"/>
                      <w:color w:val="0000FF"/>
                      <w:spacing w:val="-6"/>
                      <w:sz w:val="21"/>
                      <w:highlight w:val="none"/>
                      <w:lang w:val="en-US" w:eastAsia="zh-CN"/>
                    </w:rPr>
                    <w:t>1600</w:t>
                  </w:r>
                </w:p>
              </w:tc>
              <w:tc>
                <w:tcPr>
                  <w:tcW w:w="1003" w:type="pct"/>
                  <w:shd w:val="clear" w:color="auto" w:fill="auto"/>
                  <w:noWrap w:val="0"/>
                  <w:vAlign w:val="center"/>
                </w:tcPr>
                <w:p w14:paraId="04605446">
                  <w:pPr>
                    <w:adjustRightInd w:val="0"/>
                    <w:snapToGrid w:val="0"/>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rPr>
                    <w:t>4</w:t>
                  </w:r>
                  <w:r>
                    <w:rPr>
                      <w:rFonts w:hint="default" w:ascii="Times New Roman" w:hAnsi="Times New Roman" w:eastAsia="宋体" w:cs="Times New Roman"/>
                      <w:color w:val="auto"/>
                      <w:highlight w:val="none"/>
                      <w:lang w:val="en-US" w:eastAsia="zh-CN"/>
                    </w:rPr>
                    <w:t>000</w:t>
                  </w:r>
                </w:p>
              </w:tc>
              <w:tc>
                <w:tcPr>
                  <w:tcW w:w="760" w:type="pct"/>
                  <w:shd w:val="clear" w:color="auto" w:fill="auto"/>
                  <w:noWrap w:val="0"/>
                  <w:vAlign w:val="center"/>
                </w:tcPr>
                <w:p w14:paraId="28F2CF69">
                  <w:pPr>
                    <w:adjustRightInd w:val="0"/>
                    <w:snapToGrid w:val="0"/>
                    <w:jc w:val="center"/>
                    <w:rPr>
                      <w:rFonts w:hint="default" w:ascii="Times New Roman" w:hAnsi="Times New Roman" w:eastAsia="宋体" w:cs="Times New Roman"/>
                      <w:color w:val="0000FF"/>
                      <w:kern w:val="2"/>
                      <w:sz w:val="21"/>
                      <w:szCs w:val="24"/>
                      <w:highlight w:val="none"/>
                      <w:lang w:val="en-US" w:eastAsia="zh-CN" w:bidi="ar-SA"/>
                    </w:rPr>
                  </w:pPr>
                  <w:r>
                    <w:rPr>
                      <w:rFonts w:hint="eastAsia" w:ascii="Times New Roman" w:hAnsi="Times New Roman" w:eastAsia="宋体" w:cs="Times New Roman"/>
                      <w:color w:val="0000FF"/>
                      <w:kern w:val="2"/>
                      <w:sz w:val="21"/>
                      <w:szCs w:val="24"/>
                      <w:highlight w:val="none"/>
                      <w:lang w:val="en-US" w:eastAsia="zh-CN" w:bidi="ar-SA"/>
                    </w:rPr>
                    <w:t>40</w:t>
                  </w:r>
                </w:p>
              </w:tc>
              <w:tc>
                <w:tcPr>
                  <w:tcW w:w="730" w:type="pct"/>
                  <w:shd w:val="clear" w:color="auto" w:fill="auto"/>
                  <w:noWrap w:val="0"/>
                  <w:vAlign w:val="center"/>
                </w:tcPr>
                <w:p w14:paraId="2D1E3B0D">
                  <w:pPr>
                    <w:adjustRightInd w:val="0"/>
                    <w:snapToGrid w:val="0"/>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highlight w:val="none"/>
                    </w:rPr>
                    <w:t>达标</w:t>
                  </w:r>
                </w:p>
              </w:tc>
            </w:tr>
            <w:tr w14:paraId="1C3059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446" w:type="pct"/>
                  <w:gridSpan w:val="2"/>
                  <w:noWrap w:val="0"/>
                  <w:vAlign w:val="center"/>
                </w:tcPr>
                <w:p w14:paraId="0C72A709">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O</w:t>
                  </w:r>
                  <w:r>
                    <w:rPr>
                      <w:rFonts w:hint="default" w:ascii="Times New Roman" w:hAnsi="Times New Roman" w:cs="Times New Roman"/>
                      <w:color w:val="auto"/>
                      <w:highlight w:val="none"/>
                      <w:vertAlign w:val="subscript"/>
                    </w:rPr>
                    <w:t>3</w:t>
                  </w:r>
                </w:p>
              </w:tc>
              <w:tc>
                <w:tcPr>
                  <w:tcW w:w="1319" w:type="pct"/>
                  <w:noWrap w:val="0"/>
                  <w:vAlign w:val="center"/>
                </w:tcPr>
                <w:p w14:paraId="57F3885F">
                  <w:pPr>
                    <w:adjustRightInd w:val="0"/>
                    <w:snapToGrid w:val="0"/>
                    <w:jc w:val="center"/>
                    <w:rPr>
                      <w:rFonts w:hint="default" w:ascii="Times New Roman" w:hAnsi="Times New Roman" w:eastAsia="宋体" w:cs="Times New Roman"/>
                      <w:color w:val="auto"/>
                      <w:spacing w:val="-6"/>
                      <w:sz w:val="21"/>
                      <w:highlight w:val="none"/>
                    </w:rPr>
                  </w:pPr>
                  <w:r>
                    <w:rPr>
                      <w:rFonts w:hint="default" w:ascii="Times New Roman" w:hAnsi="Times New Roman" w:eastAsia="宋体" w:cs="Times New Roman"/>
                      <w:color w:val="auto"/>
                      <w:spacing w:val="-6"/>
                      <w:sz w:val="21"/>
                      <w:highlight w:val="none"/>
                    </w:rPr>
                    <w:t>日最大8小时平均第90百分位数</w:t>
                  </w:r>
                </w:p>
              </w:tc>
              <w:tc>
                <w:tcPr>
                  <w:tcW w:w="739" w:type="pct"/>
                  <w:noWrap w:val="0"/>
                  <w:vAlign w:val="center"/>
                </w:tcPr>
                <w:p w14:paraId="35A37DD0">
                  <w:pPr>
                    <w:adjustRightInd w:val="0"/>
                    <w:snapToGrid w:val="0"/>
                    <w:jc w:val="center"/>
                    <w:rPr>
                      <w:rFonts w:hint="default" w:ascii="Times New Roman" w:hAnsi="Times New Roman" w:eastAsia="宋体" w:cs="Times New Roman"/>
                      <w:color w:val="0000FF"/>
                      <w:spacing w:val="-6"/>
                      <w:sz w:val="21"/>
                      <w:highlight w:val="none"/>
                      <w:lang w:val="en-US" w:eastAsia="zh-CN"/>
                    </w:rPr>
                  </w:pPr>
                  <w:r>
                    <w:rPr>
                      <w:rFonts w:hint="eastAsia" w:ascii="Times New Roman" w:hAnsi="Times New Roman" w:eastAsia="宋体" w:cs="Times New Roman"/>
                      <w:color w:val="0000FF"/>
                      <w:spacing w:val="-6"/>
                      <w:sz w:val="21"/>
                      <w:highlight w:val="none"/>
                      <w:lang w:val="en-US" w:eastAsia="zh-CN"/>
                    </w:rPr>
                    <w:t>131</w:t>
                  </w:r>
                </w:p>
              </w:tc>
              <w:tc>
                <w:tcPr>
                  <w:tcW w:w="1003" w:type="pct"/>
                  <w:shd w:val="clear" w:color="auto" w:fill="auto"/>
                  <w:noWrap w:val="0"/>
                  <w:vAlign w:val="center"/>
                </w:tcPr>
                <w:p w14:paraId="4BE0DC81">
                  <w:pPr>
                    <w:adjustRightInd w:val="0"/>
                    <w:snapToGrid w:val="0"/>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rPr>
                    <w:t>160</w:t>
                  </w:r>
                </w:p>
              </w:tc>
              <w:tc>
                <w:tcPr>
                  <w:tcW w:w="760" w:type="pct"/>
                  <w:shd w:val="clear" w:color="auto" w:fill="auto"/>
                  <w:noWrap w:val="0"/>
                  <w:vAlign w:val="center"/>
                </w:tcPr>
                <w:p w14:paraId="491EF24F">
                  <w:pPr>
                    <w:adjustRightInd w:val="0"/>
                    <w:snapToGrid w:val="0"/>
                    <w:jc w:val="center"/>
                    <w:rPr>
                      <w:rFonts w:hint="default" w:ascii="Times New Roman" w:hAnsi="Times New Roman" w:eastAsia="宋体" w:cs="Times New Roman"/>
                      <w:color w:val="0000FF"/>
                      <w:kern w:val="2"/>
                      <w:sz w:val="21"/>
                      <w:szCs w:val="24"/>
                      <w:highlight w:val="none"/>
                      <w:lang w:val="en-US" w:eastAsia="zh-CN" w:bidi="ar-SA"/>
                    </w:rPr>
                  </w:pPr>
                  <w:r>
                    <w:rPr>
                      <w:rFonts w:hint="eastAsia" w:ascii="Times New Roman" w:hAnsi="Times New Roman" w:eastAsia="宋体" w:cs="Times New Roman"/>
                      <w:color w:val="0000FF"/>
                      <w:kern w:val="2"/>
                      <w:sz w:val="21"/>
                      <w:szCs w:val="24"/>
                      <w:highlight w:val="none"/>
                      <w:lang w:val="en-US" w:eastAsia="zh-CN" w:bidi="ar-SA"/>
                    </w:rPr>
                    <w:t>81.9</w:t>
                  </w:r>
                </w:p>
              </w:tc>
              <w:tc>
                <w:tcPr>
                  <w:tcW w:w="730" w:type="pct"/>
                  <w:shd w:val="clear" w:color="auto" w:fill="auto"/>
                  <w:noWrap w:val="0"/>
                  <w:vAlign w:val="center"/>
                </w:tcPr>
                <w:p w14:paraId="3CECA182">
                  <w:pPr>
                    <w:adjustRightInd w:val="0"/>
                    <w:snapToGrid w:val="0"/>
                    <w:jc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highlight w:val="none"/>
                    </w:rPr>
                    <w:t>达标</w:t>
                  </w:r>
                </w:p>
              </w:tc>
            </w:tr>
          </w:tbl>
          <w:p w14:paraId="00105A53">
            <w:pPr>
              <w:keepNext w:val="0"/>
              <w:keepLines w:val="0"/>
              <w:pageBreakBefore w:val="0"/>
              <w:widowControl w:val="0"/>
              <w:kinsoku/>
              <w:wordWrap/>
              <w:overflowPunct/>
              <w:topLinePunct w:val="0"/>
              <w:autoSpaceDE/>
              <w:autoSpaceDN/>
              <w:bidi w:val="0"/>
              <w:adjustRightInd/>
              <w:snapToGrid/>
              <w:spacing w:before="157" w:beforeLines="50" w:line="348" w:lineRule="auto"/>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由上表评价结果可知，</w:t>
            </w:r>
            <w:r>
              <w:rPr>
                <w:rFonts w:hint="eastAsia" w:ascii="Times New Roman" w:hAnsi="Times New Roman" w:eastAsia="宋体" w:cs="Times New Roman"/>
                <w:color w:val="0000FF"/>
                <w:sz w:val="24"/>
                <w:szCs w:val="24"/>
                <w:highlight w:val="none"/>
                <w:lang w:val="en-US" w:eastAsia="zh-CN"/>
              </w:rPr>
              <w:t>昌吉州2025年</w:t>
            </w:r>
            <w:r>
              <w:rPr>
                <w:rFonts w:hint="eastAsia" w:ascii="Times New Roman" w:hAnsi="Times New Roman" w:eastAsia="宋体" w:cs="Times New Roman"/>
                <w:color w:val="auto"/>
                <w:sz w:val="24"/>
                <w:szCs w:val="24"/>
                <w:highlight w:val="none"/>
                <w:lang w:val="en-US" w:eastAsia="zh-CN"/>
              </w:rPr>
              <w:t>SO</w:t>
            </w:r>
            <w:r>
              <w:rPr>
                <w:rFonts w:hint="eastAsia" w:ascii="Times New Roman" w:hAnsi="Times New Roman" w:eastAsia="宋体" w:cs="Times New Roman"/>
                <w:color w:val="auto"/>
                <w:sz w:val="24"/>
                <w:szCs w:val="24"/>
                <w:highlight w:val="none"/>
                <w:vertAlign w:val="subscript"/>
                <w:lang w:val="en-US" w:eastAsia="zh-CN"/>
              </w:rPr>
              <w:t>2</w:t>
            </w:r>
            <w:r>
              <w:rPr>
                <w:rFonts w:hint="eastAsia" w:ascii="Times New Roman" w:hAnsi="Times New Roman" w:eastAsia="宋体" w:cs="Times New Roman"/>
                <w:color w:val="auto"/>
                <w:sz w:val="24"/>
                <w:szCs w:val="24"/>
                <w:highlight w:val="none"/>
                <w:lang w:val="en-US" w:eastAsia="zh-CN"/>
              </w:rPr>
              <w:t>和NO</w:t>
            </w:r>
            <w:r>
              <w:rPr>
                <w:rFonts w:hint="eastAsia"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年平均质量浓度</w:t>
            </w:r>
            <w:r>
              <w:rPr>
                <w:rFonts w:hint="eastAsia" w:ascii="Times New Roman" w:hAnsi="Times New Roman" w:eastAsia="宋体" w:cs="Times New Roman"/>
                <w:color w:val="auto"/>
                <w:sz w:val="24"/>
                <w:szCs w:val="24"/>
                <w:highlight w:val="none"/>
                <w:lang w:val="en-US" w:eastAsia="zh-CN"/>
              </w:rPr>
              <w:t>、CO 日平均第95百分位数及O</w:t>
            </w:r>
            <w:r>
              <w:rPr>
                <w:rFonts w:hint="eastAsia" w:ascii="Times New Roman" w:hAnsi="Times New Roman" w:eastAsia="宋体" w:cs="Times New Roman"/>
                <w:color w:val="auto"/>
                <w:sz w:val="24"/>
                <w:szCs w:val="24"/>
                <w:highlight w:val="none"/>
                <w:vertAlign w:val="subscript"/>
                <w:lang w:val="en-US" w:eastAsia="zh-CN"/>
              </w:rPr>
              <w:t>3</w:t>
            </w:r>
            <w:r>
              <w:rPr>
                <w:rFonts w:hint="eastAsia" w:ascii="Times New Roman" w:hAnsi="Times New Roman" w:eastAsia="宋体" w:cs="Times New Roman"/>
                <w:color w:val="auto"/>
                <w:sz w:val="24"/>
                <w:szCs w:val="24"/>
                <w:highlight w:val="none"/>
                <w:lang w:val="en-US" w:eastAsia="zh-CN"/>
              </w:rPr>
              <w:t>日最大8小时平均第90百分位数均满足《环境空气质量标准》（GB3095-2026）表1中过渡</w:t>
            </w:r>
            <w:r>
              <w:rPr>
                <w:rFonts w:hint="default" w:ascii="Times New Roman" w:hAnsi="Times New Roman" w:eastAsia="宋体" w:cs="Times New Roman"/>
                <w:color w:val="auto"/>
                <w:sz w:val="24"/>
                <w:szCs w:val="24"/>
                <w:highlight w:val="none"/>
                <w:lang w:val="en-US" w:eastAsia="zh-CN"/>
              </w:rPr>
              <w:t>阶段</w:t>
            </w:r>
            <w:r>
              <w:rPr>
                <w:rFonts w:hint="eastAsia" w:ascii="Times New Roman" w:hAnsi="Times New Roman" w:eastAsia="宋体" w:cs="Times New Roman"/>
                <w:color w:val="auto"/>
                <w:sz w:val="24"/>
                <w:szCs w:val="24"/>
                <w:highlight w:val="none"/>
                <w:lang w:val="en-US" w:eastAsia="zh-CN"/>
              </w:rPr>
              <w:t>浓度限值</w:t>
            </w:r>
            <w:r>
              <w:rPr>
                <w:rFonts w:hint="default" w:ascii="Times New Roman" w:hAnsi="Times New Roman" w:eastAsia="宋体" w:cs="Times New Roman"/>
                <w:color w:val="auto"/>
                <w:sz w:val="24"/>
                <w:szCs w:val="24"/>
                <w:highlight w:val="none"/>
                <w:lang w:val="en-US" w:eastAsia="zh-CN"/>
              </w:rPr>
              <w:t>二级</w:t>
            </w:r>
            <w:r>
              <w:rPr>
                <w:rFonts w:hint="eastAsia" w:ascii="Times New Roman" w:hAnsi="Times New Roman" w:eastAsia="宋体" w:cs="Times New Roman"/>
                <w:color w:val="auto"/>
                <w:sz w:val="24"/>
                <w:szCs w:val="24"/>
                <w:highlight w:val="none"/>
                <w:lang w:val="en-US" w:eastAsia="zh-CN"/>
              </w:rPr>
              <w:t>标准要求，PM</w:t>
            </w:r>
            <w:r>
              <w:rPr>
                <w:rFonts w:hint="eastAsia" w:ascii="Times New Roman" w:hAnsi="Times New Roman" w:eastAsia="宋体" w:cs="Times New Roman"/>
                <w:color w:val="auto"/>
                <w:sz w:val="24"/>
                <w:szCs w:val="24"/>
                <w:highlight w:val="none"/>
                <w:vertAlign w:val="subscript"/>
                <w:lang w:val="en-US" w:eastAsia="zh-CN"/>
              </w:rPr>
              <w:t>10</w:t>
            </w:r>
            <w:r>
              <w:rPr>
                <w:rFonts w:hint="eastAsia" w:ascii="Times New Roman" w:hAnsi="Times New Roman" w:eastAsia="宋体" w:cs="Times New Roman"/>
                <w:color w:val="auto"/>
                <w:sz w:val="24"/>
                <w:szCs w:val="24"/>
                <w:highlight w:val="none"/>
                <w:lang w:val="en-US" w:eastAsia="zh-CN"/>
              </w:rPr>
              <w:t>和PM</w:t>
            </w:r>
            <w:r>
              <w:rPr>
                <w:rFonts w:hint="eastAsia" w:ascii="Times New Roman" w:hAnsi="Times New Roman" w:eastAsia="宋体" w:cs="Times New Roman"/>
                <w:color w:val="auto"/>
                <w:sz w:val="24"/>
                <w:szCs w:val="24"/>
                <w:highlight w:val="none"/>
                <w:vertAlign w:val="subscript"/>
                <w:lang w:val="en-US" w:eastAsia="zh-CN"/>
              </w:rPr>
              <w:t>2.5</w:t>
            </w:r>
            <w:r>
              <w:rPr>
                <w:rFonts w:hint="eastAsia" w:ascii="Times New Roman" w:hAnsi="Times New Roman" w:eastAsia="宋体" w:cs="Times New Roman"/>
                <w:color w:val="auto"/>
                <w:sz w:val="24"/>
                <w:szCs w:val="24"/>
                <w:highlight w:val="none"/>
                <w:lang w:val="en-US" w:eastAsia="zh-CN"/>
              </w:rPr>
              <w:t>年平均质量浓度超标排放，超标原因主要是气象条件不利造成，该地区冬季多静稳天气，边界层低、风速小、湿度大、污染扩散条件较差等。因此，判定评价区域为环境质量不达标区。</w:t>
            </w:r>
          </w:p>
          <w:p w14:paraId="42DEA09D">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3</w:t>
            </w:r>
            <w:r>
              <w:rPr>
                <w:rFonts w:hint="eastAsia" w:ascii="Times New Roman" w:hAnsi="Times New Roman" w:eastAsia="宋体" w:cs="Times New Roman"/>
                <w:color w:val="auto"/>
                <w:sz w:val="24"/>
                <w:szCs w:val="24"/>
                <w:lang w:val="en-US" w:eastAsia="zh-CN"/>
              </w:rPr>
              <w:t>）特征污染物质量现状调查及评价</w:t>
            </w:r>
          </w:p>
          <w:p w14:paraId="55347A16">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建设项目环境影响报告表编制技术指南（污染影响类）（试行）》要求“排放国家、地方环境空气质量标准中有标准限值要求的特征污染物时，引用建设项目周边5千米范围内近3年的现有监测数据，无相关数据的选择当季主导风向下风向1个点位补充不少于3天的监测数据”。</w:t>
            </w:r>
            <w:r>
              <w:rPr>
                <w:rFonts w:hint="eastAsia" w:ascii="Times New Roman" w:hAnsi="Times New Roman" w:eastAsia="宋体" w:cs="Times New Roman"/>
                <w:color w:val="auto"/>
                <w:spacing w:val="6"/>
                <w:sz w:val="24"/>
                <w:szCs w:val="24"/>
                <w:lang w:val="en-US" w:eastAsia="zh-CN"/>
              </w:rPr>
              <w:t>本项目特征污</w:t>
            </w:r>
            <w:r>
              <w:rPr>
                <w:rFonts w:hint="eastAsia" w:ascii="Times New Roman" w:hAnsi="Times New Roman" w:eastAsia="宋体" w:cs="Times New Roman"/>
                <w:color w:val="auto"/>
                <w:sz w:val="24"/>
                <w:szCs w:val="24"/>
                <w:lang w:val="en-US" w:eastAsia="zh-CN"/>
              </w:rPr>
              <w:t>染物为总悬浮颗粒物</w:t>
            </w:r>
            <w:r>
              <w:rPr>
                <w:rFonts w:hint="eastAsia" w:cs="Times New Roman"/>
                <w:color w:val="auto"/>
                <w:sz w:val="24"/>
                <w:szCs w:val="24"/>
                <w:lang w:val="en-US" w:eastAsia="zh-CN"/>
              </w:rPr>
              <w:t>（TSP）</w:t>
            </w:r>
            <w:r>
              <w:rPr>
                <w:rFonts w:hint="eastAsia" w:ascii="Times New Roman" w:hAnsi="Times New Roman" w:eastAsia="宋体" w:cs="Times New Roman"/>
                <w:color w:val="auto"/>
                <w:sz w:val="24"/>
                <w:szCs w:val="24"/>
                <w:lang w:val="en-US" w:eastAsia="zh-CN"/>
              </w:rPr>
              <w:t>和非甲烷总烃，现状评价引用新疆新能源（集团）环境检测有限公司</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新疆贝特力新材料科技有限公司新增年产5000吨聚氨酯密封胶项目环境影响评价现状监测检测报告</w:t>
            </w:r>
            <w:r>
              <w:rPr>
                <w:rFonts w:hint="eastAsia" w:cs="Times New Roman"/>
                <w:color w:val="auto"/>
                <w:sz w:val="24"/>
                <w:szCs w:val="24"/>
                <w:lang w:val="en-US" w:eastAsia="zh-CN"/>
              </w:rPr>
              <w:t>》中</w:t>
            </w:r>
            <w:r>
              <w:rPr>
                <w:rFonts w:hint="eastAsia" w:ascii="Times New Roman" w:hAnsi="Times New Roman" w:eastAsia="宋体" w:cs="Times New Roman"/>
                <w:color w:val="auto"/>
                <w:sz w:val="24"/>
                <w:szCs w:val="24"/>
                <w:lang w:val="en-US" w:eastAsia="zh-CN"/>
              </w:rPr>
              <w:t>数据，引用数据监测点位于本项目区东北侧约1.3km处，项目与引用数据监测点位置关系见</w:t>
            </w:r>
            <w:r>
              <w:rPr>
                <w:rFonts w:hint="eastAsia" w:ascii="Times New Roman" w:hAnsi="Times New Roman" w:eastAsia="宋体" w:cs="Times New Roman"/>
                <w:b/>
                <w:bCs/>
                <w:color w:val="auto"/>
                <w:sz w:val="24"/>
                <w:szCs w:val="24"/>
                <w:lang w:val="en-US" w:eastAsia="zh-CN"/>
              </w:rPr>
              <w:t>附图</w:t>
            </w:r>
            <w:r>
              <w:rPr>
                <w:rFonts w:hint="eastAsia" w:cs="Times New Roman"/>
                <w:b/>
                <w:bCs/>
                <w:color w:val="auto"/>
                <w:sz w:val="24"/>
                <w:szCs w:val="24"/>
                <w:lang w:val="en-US" w:eastAsia="zh-CN"/>
              </w:rPr>
              <w:t>8</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引用检测报告</w:t>
            </w:r>
            <w:r>
              <w:rPr>
                <w:rFonts w:hint="eastAsia" w:ascii="Times New Roman" w:hAnsi="Times New Roman" w:eastAsia="宋体" w:cs="Times New Roman"/>
                <w:color w:val="auto"/>
                <w:sz w:val="24"/>
                <w:szCs w:val="24"/>
                <w:lang w:val="en-US" w:eastAsia="zh-CN"/>
              </w:rPr>
              <w:t>见附件6。具体监测情况如下：</w:t>
            </w:r>
          </w:p>
          <w:p w14:paraId="0F5625C3">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fldChar w:fldCharType="begin"/>
            </w:r>
            <w:r>
              <w:rPr>
                <w:rFonts w:hint="default" w:ascii="Times New Roman" w:hAnsi="Times New Roman" w:eastAsia="宋体" w:cs="Times New Roman"/>
                <w:color w:val="auto"/>
                <w:sz w:val="24"/>
                <w:szCs w:val="24"/>
                <w:lang w:val="en-US" w:eastAsia="zh-CN"/>
              </w:rPr>
              <w:instrText xml:space="preserve"> = 1 \* GB3 \* MERGEFORMAT </w:instrText>
            </w:r>
            <w:r>
              <w:rPr>
                <w:rFonts w:hint="default" w:ascii="Times New Roman" w:hAnsi="Times New Roman" w:eastAsia="宋体" w:cs="Times New Roman"/>
                <w:color w:val="auto"/>
                <w:sz w:val="24"/>
                <w:szCs w:val="24"/>
                <w:lang w:val="en-US" w:eastAsia="zh-CN"/>
              </w:rPr>
              <w:fldChar w:fldCharType="separate"/>
            </w:r>
            <w:r>
              <w:rPr>
                <w:rFonts w:hint="default" w:ascii="Times New Roman" w:hAnsi="Times New Roman" w:eastAsia="宋体" w:cs="Times New Roman"/>
                <w:color w:val="auto"/>
                <w:sz w:val="24"/>
                <w:szCs w:val="24"/>
                <w:lang w:val="en-US" w:eastAsia="zh-CN"/>
              </w:rPr>
              <w:t>①</w:t>
            </w:r>
            <w:r>
              <w:rPr>
                <w:rFonts w:hint="default" w:ascii="Times New Roman" w:hAnsi="Times New Roman" w:eastAsia="宋体" w:cs="Times New Roman"/>
                <w:color w:val="auto"/>
                <w:sz w:val="24"/>
                <w:szCs w:val="24"/>
                <w:lang w:val="en-US" w:eastAsia="zh-CN"/>
              </w:rPr>
              <w:fldChar w:fldCharType="end"/>
            </w:r>
            <w:r>
              <w:rPr>
                <w:rFonts w:hint="default" w:ascii="Times New Roman" w:hAnsi="Times New Roman" w:eastAsia="宋体" w:cs="Times New Roman"/>
                <w:color w:val="auto"/>
                <w:sz w:val="24"/>
                <w:szCs w:val="24"/>
                <w:lang w:val="en-US" w:eastAsia="zh-CN"/>
              </w:rPr>
              <w:t>监测项目</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TSP</w:t>
            </w:r>
            <w:r>
              <w:rPr>
                <w:rFonts w:hint="eastAsia" w:ascii="Times New Roman" w:hAnsi="Times New Roman" w:eastAsia="宋体" w:cs="Times New Roman"/>
                <w:color w:val="auto"/>
                <w:sz w:val="24"/>
                <w:szCs w:val="24"/>
                <w:lang w:val="en-US" w:eastAsia="zh-CN"/>
              </w:rPr>
              <w:t>、非甲烷总烃</w:t>
            </w:r>
            <w:r>
              <w:rPr>
                <w:rFonts w:hint="default" w:ascii="Times New Roman" w:hAnsi="Times New Roman" w:eastAsia="宋体" w:cs="Times New Roman"/>
                <w:color w:val="auto"/>
                <w:sz w:val="24"/>
                <w:szCs w:val="24"/>
                <w:lang w:val="en-US" w:eastAsia="zh-CN"/>
              </w:rPr>
              <w:t>。</w:t>
            </w:r>
          </w:p>
          <w:p w14:paraId="4E15A431">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fldChar w:fldCharType="begin"/>
            </w:r>
            <w:r>
              <w:rPr>
                <w:rFonts w:hint="default" w:ascii="Times New Roman" w:hAnsi="Times New Roman" w:eastAsia="宋体" w:cs="Times New Roman"/>
                <w:color w:val="auto"/>
                <w:sz w:val="24"/>
                <w:szCs w:val="24"/>
                <w:lang w:val="en-US" w:eastAsia="zh-CN"/>
              </w:rPr>
              <w:instrText xml:space="preserve"> = 2 \* GB3 \* MERGEFORMAT </w:instrText>
            </w:r>
            <w:r>
              <w:rPr>
                <w:rFonts w:hint="default" w:ascii="Times New Roman" w:hAnsi="Times New Roman" w:eastAsia="宋体" w:cs="Times New Roman"/>
                <w:color w:val="auto"/>
                <w:sz w:val="24"/>
                <w:szCs w:val="24"/>
                <w:lang w:val="en-US" w:eastAsia="zh-CN"/>
              </w:rPr>
              <w:fldChar w:fldCharType="separate"/>
            </w:r>
            <w:r>
              <w:rPr>
                <w:rFonts w:hint="default" w:ascii="Times New Roman" w:hAnsi="Times New Roman" w:eastAsia="宋体" w:cs="Times New Roman"/>
                <w:color w:val="auto"/>
                <w:sz w:val="24"/>
                <w:szCs w:val="24"/>
                <w:lang w:val="en-US" w:eastAsia="zh-CN"/>
              </w:rPr>
              <w:t>②</w:t>
            </w:r>
            <w:r>
              <w:rPr>
                <w:rFonts w:hint="default" w:ascii="Times New Roman" w:hAnsi="Times New Roman" w:eastAsia="宋体" w:cs="Times New Roman"/>
                <w:color w:val="auto"/>
                <w:sz w:val="24"/>
                <w:szCs w:val="24"/>
                <w:lang w:val="en-US" w:eastAsia="zh-CN"/>
              </w:rPr>
              <w:fldChar w:fldCharType="end"/>
            </w:r>
            <w:r>
              <w:rPr>
                <w:rFonts w:hint="default" w:ascii="Times New Roman" w:hAnsi="Times New Roman" w:eastAsia="宋体" w:cs="Times New Roman"/>
                <w:color w:val="auto"/>
                <w:sz w:val="24"/>
                <w:szCs w:val="24"/>
                <w:lang w:val="en-US" w:eastAsia="zh-CN"/>
              </w:rPr>
              <w:t>监测</w:t>
            </w:r>
            <w:r>
              <w:rPr>
                <w:rFonts w:hint="eastAsia" w:ascii="Times New Roman" w:hAnsi="Times New Roman" w:eastAsia="宋体" w:cs="Times New Roman"/>
                <w:color w:val="auto"/>
                <w:sz w:val="24"/>
                <w:szCs w:val="24"/>
                <w:lang w:val="en-US" w:eastAsia="zh-CN"/>
              </w:rPr>
              <w:t>时间和频率：2025年4月4日至2025年4月6日，TSP为连续监测24小时，非甲烷总烃</w:t>
            </w:r>
            <w:r>
              <w:rPr>
                <w:rFonts w:hint="eastAsia" w:cs="Times New Roman"/>
                <w:color w:val="auto"/>
                <w:sz w:val="24"/>
                <w:szCs w:val="24"/>
                <w:lang w:val="en-US" w:eastAsia="zh-CN"/>
              </w:rPr>
              <w:t>为</w:t>
            </w:r>
            <w:r>
              <w:rPr>
                <w:rFonts w:hint="eastAsia" w:ascii="Times New Roman" w:hAnsi="Times New Roman" w:eastAsia="宋体" w:cs="Times New Roman"/>
                <w:color w:val="auto"/>
                <w:sz w:val="24"/>
                <w:szCs w:val="24"/>
                <w:lang w:val="en-US" w:eastAsia="zh-CN"/>
              </w:rPr>
              <w:t>每天采样4次。</w:t>
            </w:r>
          </w:p>
          <w:p w14:paraId="79DB418B">
            <w:pPr>
              <w:keepNext w:val="0"/>
              <w:keepLines w:val="0"/>
              <w:pageBreakBefore w:val="0"/>
              <w:widowControl w:val="0"/>
              <w:kinsoku/>
              <w:wordWrap/>
              <w:overflowPunct/>
              <w:topLinePunct w:val="0"/>
              <w:autoSpaceDE/>
              <w:autoSpaceDN/>
              <w:bidi w:val="0"/>
              <w:adjustRightInd/>
              <w:snapToGrid/>
              <w:spacing w:before="157" w:beforeLines="50" w:line="348"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fldChar w:fldCharType="begin"/>
            </w:r>
            <w:r>
              <w:rPr>
                <w:rFonts w:hint="default" w:ascii="Times New Roman" w:hAnsi="Times New Roman" w:eastAsia="宋体" w:cs="Times New Roman"/>
                <w:color w:val="auto"/>
                <w:sz w:val="24"/>
                <w:szCs w:val="24"/>
                <w:lang w:val="en-US" w:eastAsia="zh-CN"/>
              </w:rPr>
              <w:instrText xml:space="preserve"> = 3 \* GB3 \* MERGEFORMAT </w:instrText>
            </w:r>
            <w:r>
              <w:rPr>
                <w:rFonts w:hint="default" w:ascii="Times New Roman" w:hAnsi="Times New Roman" w:eastAsia="宋体" w:cs="Times New Roman"/>
                <w:color w:val="auto"/>
                <w:sz w:val="24"/>
                <w:szCs w:val="24"/>
                <w:lang w:val="en-US" w:eastAsia="zh-CN"/>
              </w:rPr>
              <w:fldChar w:fldCharType="separate"/>
            </w:r>
            <w:r>
              <w:rPr>
                <w:rFonts w:hint="default" w:ascii="Times New Roman" w:hAnsi="Times New Roman" w:eastAsia="宋体" w:cs="Times New Roman"/>
                <w:color w:val="auto"/>
                <w:sz w:val="24"/>
                <w:szCs w:val="24"/>
                <w:lang w:val="en-US" w:eastAsia="zh-CN"/>
              </w:rPr>
              <w:t>③</w:t>
            </w:r>
            <w:r>
              <w:rPr>
                <w:rFonts w:hint="default" w:ascii="Times New Roman" w:hAnsi="Times New Roman" w:eastAsia="宋体" w:cs="Times New Roman"/>
                <w:color w:val="auto"/>
                <w:sz w:val="24"/>
                <w:szCs w:val="24"/>
                <w:lang w:val="en-US" w:eastAsia="zh-CN"/>
              </w:rPr>
              <w:fldChar w:fldCharType="end"/>
            </w:r>
            <w:r>
              <w:rPr>
                <w:rFonts w:hint="eastAsia" w:ascii="Times New Roman" w:hAnsi="Times New Roman" w:eastAsia="宋体" w:cs="Times New Roman"/>
                <w:color w:val="auto"/>
                <w:sz w:val="24"/>
                <w:szCs w:val="24"/>
                <w:lang w:val="en-US" w:eastAsia="zh-CN"/>
              </w:rPr>
              <w:t>评价标准</w:t>
            </w:r>
          </w:p>
          <w:p w14:paraId="7FC0DD55">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highlight w:val="none"/>
                <w:lang w:val="en-US" w:eastAsia="zh-CN"/>
              </w:rPr>
              <w:t>TSP现状评价执行《环境空气质量标准》（GB3095-2026）表2中总悬浮颗粒物（TSP）日平均二级</w:t>
            </w:r>
            <w:r>
              <w:rPr>
                <w:rFonts w:hint="eastAsia" w:cs="Times New Roman"/>
                <w:color w:val="auto"/>
                <w:sz w:val="24"/>
                <w:szCs w:val="24"/>
                <w:highlight w:val="none"/>
                <w:lang w:val="en-US" w:eastAsia="zh-CN"/>
              </w:rPr>
              <w:t>标准浓度</w:t>
            </w:r>
            <w:r>
              <w:rPr>
                <w:rFonts w:hint="default" w:ascii="Times New Roman" w:hAnsi="Times New Roman" w:cs="Times New Roman"/>
                <w:color w:val="auto"/>
                <w:sz w:val="24"/>
                <w:szCs w:val="24"/>
                <w:highlight w:val="none"/>
                <w:lang w:val="en-US" w:eastAsia="zh-CN"/>
              </w:rPr>
              <w:t>限值（300μg/m³）</w:t>
            </w:r>
            <w:r>
              <w:rPr>
                <w:rFonts w:hint="eastAsia" w:ascii="Times New Roman" w:hAnsi="Times New Roman" w:eastAsia="宋体" w:cs="Times New Roman"/>
                <w:color w:val="auto"/>
                <w:sz w:val="24"/>
                <w:szCs w:val="24"/>
                <w:lang w:val="en-US" w:eastAsia="zh-CN"/>
              </w:rPr>
              <w:t>，非甲烷总烃现状评价执行《大气污染物综合排放标准详解》中一次浓度限值（2.0mg/m³）。</w:t>
            </w:r>
          </w:p>
          <w:p w14:paraId="71D9B5E5">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fldChar w:fldCharType="begin"/>
            </w:r>
            <w:r>
              <w:rPr>
                <w:rFonts w:hint="default" w:ascii="Times New Roman" w:hAnsi="Times New Roman" w:eastAsia="宋体" w:cs="Times New Roman"/>
                <w:color w:val="auto"/>
                <w:sz w:val="24"/>
                <w:szCs w:val="24"/>
                <w:lang w:val="en-US" w:eastAsia="zh-CN"/>
              </w:rPr>
              <w:instrText xml:space="preserve"> = 4 \* GB3 \* MERGEFORMAT </w:instrText>
            </w:r>
            <w:r>
              <w:rPr>
                <w:rFonts w:hint="default" w:ascii="Times New Roman" w:hAnsi="Times New Roman" w:eastAsia="宋体" w:cs="Times New Roman"/>
                <w:color w:val="auto"/>
                <w:sz w:val="24"/>
                <w:szCs w:val="24"/>
                <w:lang w:val="en-US" w:eastAsia="zh-CN"/>
              </w:rPr>
              <w:fldChar w:fldCharType="separate"/>
            </w:r>
            <w:r>
              <w:rPr>
                <w:rFonts w:hint="default" w:ascii="Times New Roman" w:hAnsi="Times New Roman" w:eastAsia="宋体" w:cs="Times New Roman"/>
                <w:color w:val="auto"/>
                <w:sz w:val="24"/>
                <w:szCs w:val="24"/>
                <w:lang w:val="en-US" w:eastAsia="zh-CN"/>
              </w:rPr>
              <w:t>④</w:t>
            </w:r>
            <w:r>
              <w:rPr>
                <w:rFonts w:hint="default" w:ascii="Times New Roman" w:hAnsi="Times New Roman" w:eastAsia="宋体" w:cs="Times New Roman"/>
                <w:color w:val="auto"/>
                <w:sz w:val="24"/>
                <w:szCs w:val="24"/>
                <w:lang w:val="en-US" w:eastAsia="zh-CN"/>
              </w:rPr>
              <w:fldChar w:fldCharType="end"/>
            </w:r>
            <w:r>
              <w:rPr>
                <w:rFonts w:hint="eastAsia" w:ascii="Times New Roman" w:hAnsi="Times New Roman" w:eastAsia="宋体" w:cs="Times New Roman"/>
                <w:color w:val="auto"/>
                <w:sz w:val="24"/>
                <w:szCs w:val="24"/>
                <w:lang w:val="en-US" w:eastAsia="zh-CN"/>
              </w:rPr>
              <w:t>评价方法</w:t>
            </w:r>
          </w:p>
          <w:p w14:paraId="56681375">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取污染物不同评价时段监测浓度的最大值，作为评价范围内环境空气保护目标及网格点环境质量现状浓度，选占标率进行评价，公式为：</w:t>
            </w:r>
          </w:p>
          <w:p w14:paraId="5BAAE6DB">
            <w:pPr>
              <w:keepNext w:val="0"/>
              <w:keepLines w:val="0"/>
              <w:pageBreakBefore w:val="0"/>
              <w:widowControl w:val="0"/>
              <w:kinsoku/>
              <w:wordWrap/>
              <w:overflowPunct/>
              <w:topLinePunct w:val="0"/>
              <w:autoSpaceDE/>
              <w:autoSpaceDN/>
              <w:bidi w:val="0"/>
              <w:adjustRightInd/>
              <w:snapToGrid/>
              <w:spacing w:line="348" w:lineRule="auto"/>
              <w:ind w:firstLine="480" w:firstLineChars="200"/>
              <w:jc w:val="center"/>
              <w:textAlignment w:val="auto"/>
              <w:rPr>
                <w:rFonts w:hint="default" w:ascii="Times New Roman" w:hAnsi="Times New Roman" w:eastAsia="宋体" w:cs="Times New Roman"/>
                <w:color w:val="auto"/>
                <w:sz w:val="24"/>
                <w:szCs w:val="24"/>
                <w:lang w:val="en-US" w:eastAsia="zh-CN"/>
              </w:rPr>
            </w:pPr>
            <m:oMathPara>
              <m:oMath>
                <m:sSub>
                  <m:sSubPr>
                    <m:ctrlPr>
                      <w:rPr>
                        <w:rFonts w:hint="default" w:ascii="Cambria Math" w:hAnsi="Cambria Math" w:eastAsia="宋体" w:cs="Times New Roman"/>
                        <w:i/>
                        <w:color w:val="auto"/>
                        <w:sz w:val="24"/>
                        <w:szCs w:val="24"/>
                        <w:lang w:val="en-US" w:eastAsia="zh-CN"/>
                      </w:rPr>
                    </m:ctrlPr>
                  </m:sSubPr>
                  <m:e>
                    <m:r>
                      <m:rPr/>
                      <w:rPr>
                        <w:rFonts w:hint="default" w:ascii="Cambria Math" w:hAnsi="Cambria Math" w:eastAsia="宋体" w:cs="Times New Roman"/>
                        <w:color w:val="auto"/>
                        <w:sz w:val="24"/>
                        <w:szCs w:val="24"/>
                        <w:lang w:val="en-US" w:eastAsia="zh-CN"/>
                      </w:rPr>
                      <m:t>P</m:t>
                    </m:r>
                    <m:ctrlPr>
                      <w:rPr>
                        <w:rFonts w:hint="default" w:ascii="Cambria Math" w:hAnsi="Cambria Math" w:eastAsia="宋体" w:cs="Times New Roman"/>
                        <w:i/>
                        <w:color w:val="auto"/>
                        <w:sz w:val="24"/>
                        <w:szCs w:val="24"/>
                        <w:lang w:val="en-US" w:eastAsia="zh-CN"/>
                      </w:rPr>
                    </m:ctrlPr>
                  </m:e>
                  <m:sub>
                    <m:r>
                      <m:rPr/>
                      <w:rPr>
                        <w:rFonts w:hint="default" w:ascii="Cambria Math" w:hAnsi="Cambria Math" w:eastAsia="宋体" w:cs="Times New Roman"/>
                        <w:color w:val="auto"/>
                        <w:sz w:val="24"/>
                        <w:szCs w:val="24"/>
                        <w:lang w:val="en-US" w:eastAsia="zh-CN"/>
                      </w:rPr>
                      <m:t>i</m:t>
                    </m:r>
                    <m:ctrlPr>
                      <w:rPr>
                        <w:rFonts w:hint="default" w:ascii="Cambria Math" w:hAnsi="Cambria Math" w:eastAsia="宋体" w:cs="Times New Roman"/>
                        <w:i/>
                        <w:color w:val="auto"/>
                        <w:sz w:val="24"/>
                        <w:szCs w:val="24"/>
                        <w:lang w:val="en-US" w:eastAsia="zh-CN"/>
                      </w:rPr>
                    </m:ctrlPr>
                  </m:sub>
                </m:sSub>
                <m:r>
                  <m:rPr/>
                  <w:rPr>
                    <w:rFonts w:hint="default" w:ascii="Cambria Math" w:hAnsi="Cambria Math" w:cs="Times New Roman"/>
                    <w:color w:val="auto"/>
                    <w:sz w:val="24"/>
                    <w:szCs w:val="24"/>
                    <w:lang w:val="en-US"/>
                  </w:rPr>
                  <m:t>=</m:t>
                </m:r>
                <m:f>
                  <m:fPr>
                    <m:ctrlPr>
                      <w:rPr>
                        <w:rFonts w:hint="default" w:ascii="Cambria Math" w:hAnsi="Cambria Math" w:cs="Times New Roman"/>
                        <w:i/>
                        <w:color w:val="auto"/>
                        <w:sz w:val="24"/>
                        <w:szCs w:val="24"/>
                        <w:lang w:val="en-US"/>
                      </w:rPr>
                    </m:ctrlPr>
                  </m:fPr>
                  <m:num>
                    <m:sSub>
                      <m:sSubPr>
                        <m:ctrlPr>
                          <w:rPr>
                            <w:rFonts w:hint="default" w:ascii="Cambria Math" w:hAnsi="Cambria Math" w:cs="Times New Roman"/>
                            <w:i/>
                            <w:color w:val="auto"/>
                            <w:sz w:val="24"/>
                            <w:szCs w:val="24"/>
                            <w:lang w:val="en-US"/>
                          </w:rPr>
                        </m:ctrlPr>
                      </m:sSubPr>
                      <m:e>
                        <m:r>
                          <m:rPr/>
                          <w:rPr>
                            <w:rFonts w:hint="default" w:ascii="Cambria Math" w:hAnsi="Cambria Math" w:cs="Times New Roman"/>
                            <w:color w:val="auto"/>
                            <w:sz w:val="24"/>
                            <w:szCs w:val="24"/>
                            <w:lang w:val="en-US" w:eastAsia="zh-CN"/>
                          </w:rPr>
                          <m:t>C</m:t>
                        </m:r>
                        <m:ctrlPr>
                          <w:rPr>
                            <w:rFonts w:hint="default" w:ascii="Cambria Math" w:hAnsi="Cambria Math" w:cs="Times New Roman"/>
                            <w:i/>
                            <w:color w:val="auto"/>
                            <w:sz w:val="24"/>
                            <w:szCs w:val="24"/>
                            <w:lang w:val="en-US"/>
                          </w:rPr>
                        </m:ctrlPr>
                      </m:e>
                      <m:sub>
                        <m:r>
                          <m:rPr/>
                          <w:rPr>
                            <w:rFonts w:hint="default" w:ascii="Cambria Math" w:hAnsi="Cambria Math" w:cs="Times New Roman"/>
                            <w:color w:val="auto"/>
                            <w:sz w:val="24"/>
                            <w:szCs w:val="24"/>
                            <w:lang w:val="en-US" w:eastAsia="zh-CN"/>
                          </w:rPr>
                          <m:t>i</m:t>
                        </m:r>
                        <m:ctrlPr>
                          <w:rPr>
                            <w:rFonts w:hint="default" w:ascii="Cambria Math" w:hAnsi="Cambria Math" w:cs="Times New Roman"/>
                            <w:i/>
                            <w:color w:val="auto"/>
                            <w:sz w:val="24"/>
                            <w:szCs w:val="24"/>
                            <w:lang w:val="en-US"/>
                          </w:rPr>
                        </m:ctrlPr>
                      </m:sub>
                    </m:sSub>
                    <m:ctrlPr>
                      <w:rPr>
                        <w:rFonts w:hint="default" w:ascii="Cambria Math" w:hAnsi="Cambria Math" w:cs="Times New Roman"/>
                        <w:i/>
                        <w:color w:val="auto"/>
                        <w:sz w:val="24"/>
                        <w:szCs w:val="24"/>
                        <w:lang w:val="en-US"/>
                      </w:rPr>
                    </m:ctrlPr>
                  </m:num>
                  <m:den>
                    <m:sSub>
                      <m:sSubPr>
                        <m:ctrlPr>
                          <w:rPr>
                            <w:rFonts w:hint="default" w:ascii="Cambria Math" w:hAnsi="Cambria Math" w:cs="Times New Roman"/>
                            <w:i/>
                            <w:color w:val="auto"/>
                            <w:sz w:val="24"/>
                            <w:szCs w:val="24"/>
                            <w:lang w:val="en-US"/>
                          </w:rPr>
                        </m:ctrlPr>
                      </m:sSubPr>
                      <m:e>
                        <m:r>
                          <m:rPr/>
                          <w:rPr>
                            <w:rFonts w:hint="default" w:ascii="Cambria Math" w:hAnsi="Cambria Math" w:cs="Times New Roman"/>
                            <w:color w:val="auto"/>
                            <w:sz w:val="24"/>
                            <w:szCs w:val="24"/>
                            <w:lang w:val="en-US" w:eastAsia="zh-CN"/>
                          </w:rPr>
                          <m:t>C</m:t>
                        </m:r>
                        <m:ctrlPr>
                          <w:rPr>
                            <w:rFonts w:hint="default" w:ascii="Cambria Math" w:hAnsi="Cambria Math" w:cs="Times New Roman"/>
                            <w:i/>
                            <w:color w:val="auto"/>
                            <w:sz w:val="24"/>
                            <w:szCs w:val="24"/>
                            <w:lang w:val="en-US"/>
                          </w:rPr>
                        </m:ctrlPr>
                      </m:e>
                      <m:sub>
                        <m:r>
                          <m:rPr/>
                          <w:rPr>
                            <w:rFonts w:hint="default" w:ascii="Cambria Math" w:hAnsi="Cambria Math" w:cs="Times New Roman"/>
                            <w:color w:val="auto"/>
                            <w:sz w:val="24"/>
                            <w:szCs w:val="24"/>
                            <w:lang w:val="en-US" w:eastAsia="zh-CN"/>
                          </w:rPr>
                          <m:t>oi</m:t>
                        </m:r>
                        <m:ctrlPr>
                          <w:rPr>
                            <w:rFonts w:hint="default" w:ascii="Cambria Math" w:hAnsi="Cambria Math" w:cs="Times New Roman"/>
                            <w:i/>
                            <w:color w:val="auto"/>
                            <w:sz w:val="24"/>
                            <w:szCs w:val="24"/>
                            <w:lang w:val="en-US"/>
                          </w:rPr>
                        </m:ctrlPr>
                      </m:sub>
                    </m:sSub>
                    <m:ctrlPr>
                      <w:rPr>
                        <w:rFonts w:hint="default" w:ascii="Cambria Math" w:hAnsi="Cambria Math" w:cs="Times New Roman"/>
                        <w:i/>
                        <w:color w:val="auto"/>
                        <w:sz w:val="24"/>
                        <w:szCs w:val="24"/>
                        <w:lang w:val="en-US"/>
                      </w:rPr>
                    </m:ctrlPr>
                  </m:den>
                </m:f>
                <m:r>
                  <m:rPr/>
                  <w:rPr>
                    <w:rFonts w:hint="default" w:ascii="Cambria Math" w:hAnsi="Cambria Math" w:cs="Cambria Math"/>
                    <w:color w:val="auto"/>
                    <w:sz w:val="24"/>
                    <w:szCs w:val="24"/>
                    <w:lang w:val="en-US"/>
                  </w:rPr>
                  <m:t>×</m:t>
                </m:r>
                <m:r>
                  <m:rPr/>
                  <w:rPr>
                    <w:rFonts w:hint="default" w:ascii="Cambria Math" w:hAnsi="Cambria Math" w:cs="Cambria Math"/>
                    <w:color w:val="auto"/>
                    <w:sz w:val="24"/>
                    <w:szCs w:val="24"/>
                    <w:lang w:val="en-US" w:eastAsia="zh-CN"/>
                  </w:rPr>
                  <m:t>100%</m:t>
                </m:r>
              </m:oMath>
            </m:oMathPara>
          </w:p>
          <w:p w14:paraId="1CB8FFA1">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式中</w:t>
            </w:r>
            <w:r>
              <w:rPr>
                <w:rFonts w:hint="eastAsia" w:ascii="Times New Roman" w:hAnsi="Times New Roman" w:eastAsia="宋体" w:cs="Times New Roman"/>
                <w:color w:val="auto"/>
                <w:sz w:val="24"/>
                <w:szCs w:val="24"/>
                <w:lang w:val="en-US" w:eastAsia="zh-CN"/>
              </w:rPr>
              <w:t>：</w:t>
            </w:r>
            <m:oMath>
              <m:sSub>
                <m:sSubPr>
                  <m:ctrlPr>
                    <w:rPr>
                      <w:rFonts w:hint="default" w:ascii="Cambria Math" w:hAnsi="Cambria Math" w:eastAsia="宋体" w:cs="Times New Roman"/>
                      <w:i/>
                      <w:color w:val="auto"/>
                      <w:sz w:val="24"/>
                      <w:szCs w:val="24"/>
                      <w:lang w:val="en-US" w:eastAsia="zh-CN"/>
                    </w:rPr>
                  </m:ctrlPr>
                </m:sSubPr>
                <m:e>
                  <m:r>
                    <m:rPr/>
                    <w:rPr>
                      <w:rFonts w:hint="default" w:ascii="Cambria Math" w:hAnsi="Cambria Math" w:eastAsia="宋体" w:cs="Times New Roman"/>
                      <w:color w:val="auto"/>
                      <w:sz w:val="24"/>
                      <w:szCs w:val="24"/>
                      <w:lang w:val="en-US" w:eastAsia="zh-CN"/>
                    </w:rPr>
                    <m:t>P</m:t>
                  </m:r>
                  <m:ctrlPr>
                    <w:rPr>
                      <w:rFonts w:hint="default" w:ascii="Cambria Math" w:hAnsi="Cambria Math" w:eastAsia="宋体" w:cs="Times New Roman"/>
                      <w:i/>
                      <w:color w:val="auto"/>
                      <w:sz w:val="24"/>
                      <w:szCs w:val="24"/>
                      <w:lang w:val="en-US" w:eastAsia="zh-CN"/>
                    </w:rPr>
                  </m:ctrlPr>
                </m:e>
                <m:sub>
                  <m:r>
                    <m:rPr/>
                    <w:rPr>
                      <w:rFonts w:hint="default" w:ascii="Cambria Math" w:hAnsi="Cambria Math" w:eastAsia="宋体" w:cs="Times New Roman"/>
                      <w:color w:val="auto"/>
                      <w:sz w:val="24"/>
                      <w:szCs w:val="24"/>
                      <w:lang w:val="en-US" w:eastAsia="zh-CN"/>
                    </w:rPr>
                    <m:t>i</m:t>
                  </m:r>
                  <m:ctrlPr>
                    <w:rPr>
                      <w:rFonts w:hint="default" w:ascii="Cambria Math" w:hAnsi="Cambria Math" w:eastAsia="宋体" w:cs="Times New Roman"/>
                      <w:i/>
                      <w:color w:val="auto"/>
                      <w:sz w:val="24"/>
                      <w:szCs w:val="24"/>
                      <w:lang w:val="en-US" w:eastAsia="zh-CN"/>
                    </w:rPr>
                  </m:ctrlPr>
                </m:sub>
              </m:sSub>
            </m:oMath>
            <w:r>
              <w:rPr>
                <w:rFonts w:hint="default" w:ascii="Times New Roman" w:hAnsi="Times New Roman" w:eastAsia="宋体" w:cs="Times New Roman"/>
                <w:color w:val="auto"/>
                <w:sz w:val="24"/>
                <w:szCs w:val="24"/>
                <w:lang w:val="en-US" w:eastAsia="zh-CN"/>
              </w:rPr>
              <w:t>－第i个污染物的最大地面质量浓度占标率，%；</w:t>
            </w:r>
          </w:p>
          <w:p w14:paraId="5387C5B2">
            <w:pPr>
              <w:keepNext w:val="0"/>
              <w:keepLines w:val="0"/>
              <w:pageBreakBefore w:val="0"/>
              <w:widowControl w:val="0"/>
              <w:kinsoku/>
              <w:wordWrap/>
              <w:overflowPunct/>
              <w:topLinePunct w:val="0"/>
              <w:autoSpaceDE/>
              <w:autoSpaceDN/>
              <w:bidi w:val="0"/>
              <w:adjustRightInd/>
              <w:snapToGrid/>
              <w:spacing w:line="348" w:lineRule="auto"/>
              <w:ind w:firstLine="1200" w:firstLineChars="500"/>
              <w:textAlignment w:val="auto"/>
              <w:rPr>
                <w:rFonts w:hint="default" w:ascii="Times New Roman" w:hAnsi="Times New Roman" w:eastAsia="宋体" w:cs="Times New Roman"/>
                <w:color w:val="auto"/>
                <w:sz w:val="24"/>
                <w:szCs w:val="24"/>
                <w:lang w:val="en-US" w:eastAsia="zh-CN"/>
              </w:rPr>
            </w:pPr>
            <m:oMath>
              <m:sSub>
                <m:sSubPr>
                  <m:ctrlPr>
                    <w:rPr>
                      <w:rFonts w:hint="default" w:ascii="Cambria Math" w:hAnsi="Cambria Math" w:cs="Times New Roman"/>
                      <w:i/>
                      <w:color w:val="auto"/>
                      <w:sz w:val="24"/>
                      <w:szCs w:val="24"/>
                      <w:lang w:val="en-US"/>
                    </w:rPr>
                  </m:ctrlPr>
                </m:sSubPr>
                <m:e>
                  <m:r>
                    <m:rPr/>
                    <w:rPr>
                      <w:rFonts w:hint="default" w:ascii="Cambria Math" w:hAnsi="Cambria Math" w:cs="Times New Roman"/>
                      <w:color w:val="auto"/>
                      <w:sz w:val="24"/>
                      <w:szCs w:val="24"/>
                      <w:lang w:val="en-US" w:eastAsia="zh-CN"/>
                    </w:rPr>
                    <m:t>C</m:t>
                  </m:r>
                  <m:ctrlPr>
                    <w:rPr>
                      <w:rFonts w:hint="default" w:ascii="Cambria Math" w:hAnsi="Cambria Math" w:cs="Times New Roman"/>
                      <w:i/>
                      <w:color w:val="auto"/>
                      <w:sz w:val="24"/>
                      <w:szCs w:val="24"/>
                      <w:lang w:val="en-US"/>
                    </w:rPr>
                  </m:ctrlPr>
                </m:e>
                <m:sub>
                  <m:r>
                    <m:rPr/>
                    <w:rPr>
                      <w:rFonts w:hint="default" w:ascii="Cambria Math" w:hAnsi="Cambria Math" w:cs="Times New Roman"/>
                      <w:color w:val="auto"/>
                      <w:sz w:val="24"/>
                      <w:szCs w:val="24"/>
                      <w:lang w:val="en-US" w:eastAsia="zh-CN"/>
                    </w:rPr>
                    <m:t>i</m:t>
                  </m:r>
                  <m:ctrlPr>
                    <w:rPr>
                      <w:rFonts w:hint="default" w:ascii="Cambria Math" w:hAnsi="Cambria Math" w:cs="Times New Roman"/>
                      <w:i/>
                      <w:color w:val="auto"/>
                      <w:sz w:val="24"/>
                      <w:szCs w:val="24"/>
                      <w:lang w:val="en-US"/>
                    </w:rPr>
                  </m:ctrlPr>
                </m:sub>
              </m:sSub>
            </m:oMath>
            <w:r>
              <w:rPr>
                <w:rFonts w:hint="default" w:ascii="Times New Roman" w:hAnsi="Times New Roman" w:eastAsia="宋体" w:cs="Times New Roman"/>
                <w:color w:val="auto"/>
                <w:sz w:val="24"/>
                <w:szCs w:val="24"/>
                <w:lang w:val="en-US" w:eastAsia="zh-CN"/>
              </w:rPr>
              <w:t>－第i个污染物的浓度，mg/</w:t>
            </w:r>
            <w:r>
              <w:rPr>
                <w:rFonts w:hint="eastAsia" w:ascii="Times New Roman" w:hAnsi="Times New Roman" w:eastAsia="宋体" w:cs="Times New Roman"/>
                <w:color w:val="auto"/>
                <w:sz w:val="24"/>
                <w:szCs w:val="24"/>
                <w:lang w:val="en-US" w:eastAsia="zh-CN"/>
              </w:rPr>
              <w:t>m³</w:t>
            </w:r>
            <w:r>
              <w:rPr>
                <w:rFonts w:hint="default" w:ascii="Times New Roman" w:hAnsi="Times New Roman" w:eastAsia="宋体" w:cs="Times New Roman"/>
                <w:color w:val="auto"/>
                <w:sz w:val="24"/>
                <w:szCs w:val="24"/>
                <w:lang w:val="en-US" w:eastAsia="zh-CN"/>
              </w:rPr>
              <w:t>（标准状态）；</w:t>
            </w:r>
          </w:p>
          <w:p w14:paraId="0270EA09">
            <w:pPr>
              <w:keepNext w:val="0"/>
              <w:keepLines w:val="0"/>
              <w:pageBreakBefore w:val="0"/>
              <w:widowControl w:val="0"/>
              <w:kinsoku/>
              <w:wordWrap/>
              <w:overflowPunct/>
              <w:topLinePunct w:val="0"/>
              <w:autoSpaceDE/>
              <w:autoSpaceDN/>
              <w:bidi w:val="0"/>
              <w:adjustRightInd/>
              <w:snapToGrid/>
              <w:spacing w:line="348" w:lineRule="auto"/>
              <w:ind w:firstLine="1200" w:firstLineChars="500"/>
              <w:textAlignment w:val="auto"/>
              <w:rPr>
                <w:rFonts w:hint="default" w:ascii="Times New Roman" w:hAnsi="Times New Roman" w:eastAsia="宋体" w:cs="Times New Roman"/>
                <w:color w:val="auto"/>
                <w:sz w:val="24"/>
                <w:szCs w:val="24"/>
                <w:lang w:val="en-US" w:eastAsia="zh-CN"/>
              </w:rPr>
            </w:pPr>
            <m:oMath>
              <m:sSub>
                <m:sSubPr>
                  <m:ctrlPr>
                    <w:rPr>
                      <w:rFonts w:hint="default" w:ascii="Cambria Math" w:hAnsi="Cambria Math" w:cs="Times New Roman"/>
                      <w:i/>
                      <w:color w:val="auto"/>
                      <w:sz w:val="24"/>
                      <w:szCs w:val="24"/>
                      <w:lang w:val="en-US"/>
                    </w:rPr>
                  </m:ctrlPr>
                </m:sSubPr>
                <m:e>
                  <m:r>
                    <m:rPr/>
                    <w:rPr>
                      <w:rFonts w:hint="default" w:ascii="Cambria Math" w:hAnsi="Cambria Math" w:cs="Times New Roman"/>
                      <w:color w:val="auto"/>
                      <w:sz w:val="24"/>
                      <w:szCs w:val="24"/>
                      <w:lang w:val="en-US" w:eastAsia="zh-CN"/>
                    </w:rPr>
                    <m:t>C</m:t>
                  </m:r>
                  <m:ctrlPr>
                    <w:rPr>
                      <w:rFonts w:hint="default" w:ascii="Cambria Math" w:hAnsi="Cambria Math" w:cs="Times New Roman"/>
                      <w:i/>
                      <w:color w:val="auto"/>
                      <w:sz w:val="24"/>
                      <w:szCs w:val="24"/>
                      <w:lang w:val="en-US"/>
                    </w:rPr>
                  </m:ctrlPr>
                </m:e>
                <m:sub>
                  <m:r>
                    <m:rPr/>
                    <w:rPr>
                      <w:rFonts w:hint="default" w:ascii="Cambria Math" w:hAnsi="Cambria Math" w:cs="Times New Roman"/>
                      <w:color w:val="auto"/>
                      <w:sz w:val="24"/>
                      <w:szCs w:val="24"/>
                      <w:lang w:val="en-US" w:eastAsia="zh-CN"/>
                    </w:rPr>
                    <m:t>oi</m:t>
                  </m:r>
                  <m:ctrlPr>
                    <w:rPr>
                      <w:rFonts w:hint="default" w:ascii="Cambria Math" w:hAnsi="Cambria Math" w:cs="Times New Roman"/>
                      <w:i/>
                      <w:color w:val="auto"/>
                      <w:sz w:val="24"/>
                      <w:szCs w:val="24"/>
                      <w:lang w:val="en-US"/>
                    </w:rPr>
                  </m:ctrlPr>
                </m:sub>
              </m:sSub>
            </m:oMath>
            <w:r>
              <w:rPr>
                <w:rFonts w:hint="default" w:ascii="Times New Roman" w:hAnsi="Times New Roman" w:eastAsia="宋体" w:cs="Times New Roman"/>
                <w:color w:val="auto"/>
                <w:sz w:val="24"/>
                <w:szCs w:val="24"/>
                <w:lang w:val="en-US" w:eastAsia="zh-CN"/>
              </w:rPr>
              <w:t>－第i个污染物的环境空气质量浓度标准，mg/</w:t>
            </w:r>
            <w:r>
              <w:rPr>
                <w:rFonts w:hint="eastAsia" w:ascii="Times New Roman" w:hAnsi="Times New Roman" w:eastAsia="宋体" w:cs="Times New Roman"/>
                <w:color w:val="auto"/>
                <w:sz w:val="24"/>
                <w:szCs w:val="24"/>
                <w:lang w:val="en-US" w:eastAsia="zh-CN"/>
              </w:rPr>
              <w:t>m³</w:t>
            </w:r>
            <w:r>
              <w:rPr>
                <w:rFonts w:hint="default" w:ascii="Times New Roman" w:hAnsi="Times New Roman" w:eastAsia="宋体" w:cs="Times New Roman"/>
                <w:color w:val="auto"/>
                <w:sz w:val="24"/>
                <w:szCs w:val="24"/>
                <w:lang w:val="en-US" w:eastAsia="zh-CN"/>
              </w:rPr>
              <w:t>（标准状态）。</w:t>
            </w:r>
          </w:p>
          <w:p w14:paraId="03BC5CC5">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fldChar w:fldCharType="begin"/>
            </w:r>
            <w:r>
              <w:rPr>
                <w:rFonts w:hint="default" w:ascii="Times New Roman" w:hAnsi="Times New Roman" w:eastAsia="宋体" w:cs="Times New Roman"/>
                <w:color w:val="auto"/>
                <w:sz w:val="24"/>
                <w:szCs w:val="24"/>
                <w:lang w:val="en-US" w:eastAsia="zh-CN"/>
              </w:rPr>
              <w:instrText xml:space="preserve"> = 5 \* GB3 \* MERGEFORMAT </w:instrText>
            </w:r>
            <w:r>
              <w:rPr>
                <w:rFonts w:hint="default" w:ascii="Times New Roman" w:hAnsi="Times New Roman" w:eastAsia="宋体" w:cs="Times New Roman"/>
                <w:color w:val="auto"/>
                <w:sz w:val="24"/>
                <w:szCs w:val="24"/>
                <w:lang w:val="en-US" w:eastAsia="zh-CN"/>
              </w:rPr>
              <w:fldChar w:fldCharType="separate"/>
            </w:r>
            <w:r>
              <w:rPr>
                <w:rFonts w:hint="default" w:ascii="Times New Roman" w:hAnsi="Times New Roman" w:eastAsia="宋体" w:cs="Times New Roman"/>
                <w:color w:val="auto"/>
                <w:sz w:val="24"/>
                <w:szCs w:val="24"/>
                <w:lang w:val="en-US" w:eastAsia="zh-CN"/>
              </w:rPr>
              <w:t>⑤</w:t>
            </w:r>
            <w:r>
              <w:rPr>
                <w:rFonts w:hint="default" w:ascii="Times New Roman" w:hAnsi="Times New Roman" w:eastAsia="宋体" w:cs="Times New Roman"/>
                <w:color w:val="auto"/>
                <w:sz w:val="24"/>
                <w:szCs w:val="24"/>
                <w:lang w:val="en-US" w:eastAsia="zh-CN"/>
              </w:rPr>
              <w:fldChar w:fldCharType="end"/>
            </w:r>
            <w:r>
              <w:rPr>
                <w:rFonts w:hint="default" w:ascii="Times New Roman" w:hAnsi="Times New Roman" w:eastAsia="宋体" w:cs="Times New Roman"/>
                <w:color w:val="auto"/>
                <w:sz w:val="24"/>
                <w:szCs w:val="24"/>
                <w:lang w:val="en-US" w:eastAsia="zh-CN"/>
              </w:rPr>
              <w:t>监测结果</w:t>
            </w:r>
          </w:p>
          <w:p w14:paraId="74669464">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监测数据统计结果见表</w:t>
            </w:r>
            <w:r>
              <w:rPr>
                <w:rFonts w:hint="eastAsia" w:ascii="Times New Roman" w:hAnsi="Times New Roman" w:eastAsia="宋体" w:cs="Times New Roman"/>
                <w:color w:val="auto"/>
                <w:sz w:val="24"/>
                <w:szCs w:val="24"/>
                <w:lang w:val="en-US" w:eastAsia="zh-CN"/>
              </w:rPr>
              <w:t>3-</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lang w:val="en-US" w:eastAsia="zh-CN"/>
              </w:rPr>
              <w:t>。</w:t>
            </w:r>
          </w:p>
          <w:p w14:paraId="11924977">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lang w:val="en-US"/>
              </w:rPr>
            </w:pPr>
            <w:r>
              <w:rPr>
                <w:rFonts w:hint="default"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3-</w:t>
            </w:r>
            <w:r>
              <w:rPr>
                <w:rFonts w:hint="eastAsia" w:cs="Times New Roman"/>
                <w:b/>
                <w:bCs/>
                <w:color w:val="auto"/>
                <w:lang w:val="en-US" w:eastAsia="zh-CN"/>
              </w:rPr>
              <w:t>3</w:t>
            </w:r>
            <w:r>
              <w:rPr>
                <w:rFonts w:hint="eastAsia" w:ascii="Times New Roman" w:hAnsi="Times New Roman" w:eastAsia="宋体" w:cs="Times New Roman"/>
                <w:b/>
                <w:bCs/>
                <w:color w:val="auto"/>
                <w:lang w:val="en-US" w:eastAsia="zh-CN"/>
              </w:rPr>
              <w:t xml:space="preserve"> 环境空气监测结果一览</w:t>
            </w:r>
            <w:r>
              <w:rPr>
                <w:rFonts w:hint="default" w:ascii="Times New Roman" w:hAnsi="Times New Roman" w:eastAsia="宋体" w:cs="Times New Roman"/>
                <w:b/>
                <w:bCs/>
                <w:color w:val="auto"/>
                <w:lang w:eastAsia="zh-CN"/>
              </w:rPr>
              <w:t>表</w:t>
            </w:r>
            <w:r>
              <w:rPr>
                <w:rFonts w:hint="eastAsia" w:ascii="Times New Roman" w:hAnsi="Times New Roman" w:eastAsia="宋体" w:cs="Times New Roman"/>
                <w:b/>
                <w:bCs/>
                <w:color w:val="auto"/>
                <w:lang w:val="en-US" w:eastAsia="zh-CN"/>
              </w:rPr>
              <w:t xml:space="preserve">  单位：mg/m³</w:t>
            </w:r>
          </w:p>
          <w:tbl>
            <w:tblPr>
              <w:tblStyle w:val="26"/>
              <w:tblW w:w="8042" w:type="dxa"/>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412"/>
              <w:gridCol w:w="1014"/>
              <w:gridCol w:w="1138"/>
              <w:gridCol w:w="1335"/>
              <w:gridCol w:w="765"/>
              <w:gridCol w:w="1498"/>
              <w:gridCol w:w="880"/>
            </w:tblGrid>
            <w:tr w14:paraId="1751076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52" w:hRule="atLeast"/>
                <w:jc w:val="center"/>
              </w:trPr>
              <w:tc>
                <w:tcPr>
                  <w:tcW w:w="1412" w:type="dxa"/>
                  <w:noWrap w:val="0"/>
                  <w:vAlign w:val="center"/>
                </w:tcPr>
                <w:p w14:paraId="6816EDC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rPr>
                  </w:pPr>
                  <w:r>
                    <w:rPr>
                      <w:rFonts w:hint="eastAsia" w:ascii="Times New Roman" w:hAnsi="Times New Roman" w:cs="Times New Roman"/>
                      <w:b/>
                      <w:bCs/>
                      <w:color w:val="auto"/>
                      <w:lang w:val="en-US" w:eastAsia="zh-CN"/>
                    </w:rPr>
                    <w:t>监测</w:t>
                  </w:r>
                  <w:r>
                    <w:rPr>
                      <w:rFonts w:hint="default" w:ascii="Times New Roman" w:hAnsi="Times New Roman" w:cs="Times New Roman"/>
                      <w:b/>
                      <w:bCs/>
                      <w:color w:val="auto"/>
                    </w:rPr>
                    <w:t>点位</w:t>
                  </w:r>
                </w:p>
              </w:tc>
              <w:tc>
                <w:tcPr>
                  <w:tcW w:w="1014" w:type="dxa"/>
                  <w:noWrap w:val="0"/>
                  <w:vAlign w:val="center"/>
                </w:tcPr>
                <w:p w14:paraId="77C8B8D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rPr>
                  </w:pPr>
                  <w:r>
                    <w:rPr>
                      <w:rFonts w:hint="eastAsia" w:ascii="Times New Roman" w:hAnsi="Times New Roman" w:cs="Times New Roman"/>
                      <w:b/>
                      <w:bCs/>
                      <w:color w:val="auto"/>
                      <w:lang w:val="en-US" w:eastAsia="zh-CN"/>
                    </w:rPr>
                    <w:t>污染物</w:t>
                  </w:r>
                </w:p>
              </w:tc>
              <w:tc>
                <w:tcPr>
                  <w:tcW w:w="1138" w:type="dxa"/>
                  <w:noWrap w:val="0"/>
                  <w:vAlign w:val="center"/>
                </w:tcPr>
                <w:p w14:paraId="6AE5FCA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采样日期</w:t>
                  </w:r>
                </w:p>
              </w:tc>
              <w:tc>
                <w:tcPr>
                  <w:tcW w:w="1335" w:type="dxa"/>
                  <w:tcBorders>
                    <w:bottom w:val="single" w:color="auto" w:sz="12" w:space="0"/>
                  </w:tcBorders>
                  <w:noWrap w:val="0"/>
                  <w:vAlign w:val="center"/>
                </w:tcPr>
                <w:p w14:paraId="4ABDE97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检测结果</w:t>
                  </w:r>
                </w:p>
              </w:tc>
              <w:tc>
                <w:tcPr>
                  <w:tcW w:w="765" w:type="dxa"/>
                  <w:noWrap w:val="0"/>
                  <w:vAlign w:val="center"/>
                </w:tcPr>
                <w:p w14:paraId="1DFAF8B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标准</w:t>
                  </w:r>
                </w:p>
                <w:p w14:paraId="552468C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限值</w:t>
                  </w:r>
                </w:p>
              </w:tc>
              <w:tc>
                <w:tcPr>
                  <w:tcW w:w="1498" w:type="dxa"/>
                  <w:noWrap w:val="0"/>
                  <w:vAlign w:val="center"/>
                </w:tcPr>
                <w:p w14:paraId="7DE4BF5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占标率</w:t>
                  </w:r>
                  <w:r>
                    <w:rPr>
                      <w:rFonts w:hint="eastAsia" w:cs="Times New Roman"/>
                      <w:b/>
                      <w:bCs/>
                      <w:color w:val="auto"/>
                      <w:lang w:val="en-US" w:eastAsia="zh-CN"/>
                    </w:rPr>
                    <w:t>（%）</w:t>
                  </w:r>
                </w:p>
              </w:tc>
              <w:tc>
                <w:tcPr>
                  <w:tcW w:w="880" w:type="dxa"/>
                  <w:noWrap w:val="0"/>
                  <w:vAlign w:val="center"/>
                </w:tcPr>
                <w:p w14:paraId="7F1CFFB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达标</w:t>
                  </w:r>
                </w:p>
                <w:p w14:paraId="1A60449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情况</w:t>
                  </w:r>
                </w:p>
              </w:tc>
            </w:tr>
            <w:tr w14:paraId="33D6A0C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412" w:type="dxa"/>
                  <w:vMerge w:val="restart"/>
                  <w:tcBorders>
                    <w:top w:val="single" w:color="auto" w:sz="12" w:space="0"/>
                  </w:tcBorders>
                  <w:noWrap w:val="0"/>
                  <w:vAlign w:val="center"/>
                </w:tcPr>
                <w:p w14:paraId="29428873">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E8</w:t>
                  </w:r>
                  <w:r>
                    <w:rPr>
                      <w:rFonts w:hint="eastAsia" w:ascii="Times New Roman" w:hAnsi="Times New Roman" w:eastAsia="宋体" w:cs="Times New Roman"/>
                      <w:color w:val="auto"/>
                      <w:lang w:val="en-US" w:eastAsia="zh-CN"/>
                    </w:rPr>
                    <w:t>7</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2</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28.65</w:t>
                  </w:r>
                  <w:r>
                    <w:rPr>
                      <w:rFonts w:hint="default" w:ascii="Times New Roman" w:hAnsi="Times New Roman" w:eastAsia="宋体" w:cs="Times New Roman"/>
                      <w:color w:val="auto"/>
                      <w:lang w:val="en-US" w:eastAsia="zh-CN"/>
                    </w:rPr>
                    <w:t>″</w:t>
                  </w:r>
                </w:p>
                <w:p w14:paraId="21244F5C">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N4</w:t>
                  </w:r>
                  <w:r>
                    <w:rPr>
                      <w:rFonts w:hint="eastAsia" w:ascii="Times New Roman" w:hAnsi="Times New Roman" w:eastAsia="宋体" w:cs="Times New Roman"/>
                      <w:color w:val="auto"/>
                      <w:lang w:val="en-US" w:eastAsia="zh-CN"/>
                    </w:rPr>
                    <w:t>4</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7</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29.75</w:t>
                  </w:r>
                  <w:r>
                    <w:rPr>
                      <w:rFonts w:hint="default" w:ascii="Times New Roman" w:hAnsi="Times New Roman" w:eastAsia="宋体" w:cs="Times New Roman"/>
                      <w:color w:val="auto"/>
                      <w:lang w:val="en-US" w:eastAsia="zh-CN"/>
                    </w:rPr>
                    <w:t>″</w:t>
                  </w:r>
                </w:p>
              </w:tc>
              <w:tc>
                <w:tcPr>
                  <w:tcW w:w="1014" w:type="dxa"/>
                  <w:vMerge w:val="restart"/>
                  <w:tcBorders>
                    <w:top w:val="single" w:color="auto" w:sz="12" w:space="0"/>
                    <w:right w:val="single" w:color="auto" w:sz="4" w:space="0"/>
                  </w:tcBorders>
                  <w:noWrap w:val="0"/>
                  <w:vAlign w:val="center"/>
                </w:tcPr>
                <w:p w14:paraId="3AC33F4A">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TSP</w:t>
                  </w:r>
                </w:p>
              </w:tc>
              <w:tc>
                <w:tcPr>
                  <w:tcW w:w="1138" w:type="dxa"/>
                  <w:tcBorders>
                    <w:top w:val="single" w:color="auto" w:sz="12" w:space="0"/>
                    <w:left w:val="single" w:color="auto" w:sz="4" w:space="0"/>
                    <w:bottom w:val="single" w:color="auto" w:sz="4" w:space="0"/>
                  </w:tcBorders>
                  <w:noWrap w:val="0"/>
                  <w:vAlign w:val="center"/>
                </w:tcPr>
                <w:p w14:paraId="2BCC3CD1">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2025.4.4</w:t>
                  </w:r>
                </w:p>
              </w:tc>
              <w:tc>
                <w:tcPr>
                  <w:tcW w:w="1335" w:type="dxa"/>
                  <w:tcBorders>
                    <w:top w:val="single" w:color="auto" w:sz="12" w:space="0"/>
                    <w:bottom w:val="single" w:color="auto" w:sz="4" w:space="0"/>
                  </w:tcBorders>
                  <w:noWrap w:val="0"/>
                  <w:vAlign w:val="center"/>
                </w:tcPr>
                <w:p w14:paraId="2442B4D9">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0.079</w:t>
                  </w:r>
                </w:p>
              </w:tc>
              <w:tc>
                <w:tcPr>
                  <w:tcW w:w="765" w:type="dxa"/>
                  <w:vMerge w:val="restart"/>
                  <w:tcBorders>
                    <w:top w:val="single" w:color="auto" w:sz="12" w:space="0"/>
                  </w:tcBorders>
                  <w:noWrap w:val="0"/>
                  <w:vAlign w:val="center"/>
                </w:tcPr>
                <w:p w14:paraId="77C93D8F">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0.3</w:t>
                  </w:r>
                </w:p>
              </w:tc>
              <w:tc>
                <w:tcPr>
                  <w:tcW w:w="1498" w:type="dxa"/>
                  <w:tcBorders>
                    <w:top w:val="single" w:color="auto" w:sz="12" w:space="0"/>
                    <w:bottom w:val="single" w:color="auto" w:sz="4" w:space="0"/>
                  </w:tcBorders>
                  <w:noWrap w:val="0"/>
                  <w:vAlign w:val="center"/>
                </w:tcPr>
                <w:p w14:paraId="72A69D26">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26.3</w:t>
                  </w:r>
                </w:p>
              </w:tc>
              <w:tc>
                <w:tcPr>
                  <w:tcW w:w="880" w:type="dxa"/>
                  <w:tcBorders>
                    <w:top w:val="single" w:color="auto" w:sz="12" w:space="0"/>
                    <w:bottom w:val="single" w:color="auto" w:sz="4" w:space="0"/>
                  </w:tcBorders>
                  <w:noWrap w:val="0"/>
                  <w:vAlign w:val="center"/>
                </w:tcPr>
                <w:p w14:paraId="5D1BDC60">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达标</w:t>
                  </w:r>
                </w:p>
              </w:tc>
            </w:tr>
            <w:tr w14:paraId="28B866A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412" w:type="dxa"/>
                  <w:vMerge w:val="continue"/>
                  <w:noWrap w:val="0"/>
                  <w:vAlign w:val="center"/>
                </w:tcPr>
                <w:p w14:paraId="5A565F4A">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p>
              </w:tc>
              <w:tc>
                <w:tcPr>
                  <w:tcW w:w="1014" w:type="dxa"/>
                  <w:vMerge w:val="continue"/>
                  <w:tcBorders>
                    <w:right w:val="single" w:color="auto" w:sz="4" w:space="0"/>
                  </w:tcBorders>
                  <w:noWrap w:val="0"/>
                  <w:vAlign w:val="center"/>
                </w:tcPr>
                <w:p w14:paraId="72EE32DE">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color w:val="auto"/>
                      <w:lang w:val="en-US" w:eastAsia="zh-CN"/>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14:paraId="402588DE">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2025.4.5</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7F77B53D">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0.081</w:t>
                  </w:r>
                </w:p>
              </w:tc>
              <w:tc>
                <w:tcPr>
                  <w:tcW w:w="765" w:type="dxa"/>
                  <w:vMerge w:val="continue"/>
                  <w:noWrap w:val="0"/>
                  <w:vAlign w:val="center"/>
                </w:tcPr>
                <w:p w14:paraId="7DE17E1A">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color w:val="auto"/>
                      <w:lang w:val="en-US" w:eastAsia="zh-CN"/>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1E6D40C6">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27</w:t>
                  </w:r>
                </w:p>
              </w:tc>
              <w:tc>
                <w:tcPr>
                  <w:tcW w:w="880" w:type="dxa"/>
                  <w:tcBorders>
                    <w:top w:val="single" w:color="auto" w:sz="4" w:space="0"/>
                    <w:left w:val="single" w:color="auto" w:sz="4" w:space="0"/>
                    <w:bottom w:val="single" w:color="auto" w:sz="4" w:space="0"/>
                  </w:tcBorders>
                  <w:noWrap w:val="0"/>
                  <w:vAlign w:val="center"/>
                </w:tcPr>
                <w:p w14:paraId="4C48A18F">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达标</w:t>
                  </w:r>
                </w:p>
              </w:tc>
            </w:tr>
            <w:tr w14:paraId="19CED73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412" w:type="dxa"/>
                  <w:vMerge w:val="continue"/>
                  <w:noWrap w:val="0"/>
                  <w:vAlign w:val="center"/>
                </w:tcPr>
                <w:p w14:paraId="6870E728">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p>
              </w:tc>
              <w:tc>
                <w:tcPr>
                  <w:tcW w:w="1014" w:type="dxa"/>
                  <w:vMerge w:val="continue"/>
                  <w:tcBorders>
                    <w:right w:val="single" w:color="auto" w:sz="4" w:space="0"/>
                  </w:tcBorders>
                  <w:noWrap w:val="0"/>
                  <w:vAlign w:val="center"/>
                </w:tcPr>
                <w:p w14:paraId="5C3F8A7C">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color w:val="auto"/>
                      <w:lang w:val="en-US" w:eastAsia="zh-CN"/>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14:paraId="3A57557C">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2025.4.6</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516D64A7">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0.074</w:t>
                  </w:r>
                </w:p>
              </w:tc>
              <w:tc>
                <w:tcPr>
                  <w:tcW w:w="765" w:type="dxa"/>
                  <w:vMerge w:val="continue"/>
                  <w:tcBorders>
                    <w:bottom w:val="single" w:color="auto" w:sz="4" w:space="0"/>
                  </w:tcBorders>
                  <w:noWrap w:val="0"/>
                  <w:vAlign w:val="center"/>
                </w:tcPr>
                <w:p w14:paraId="38BEF78A">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color w:val="auto"/>
                      <w:lang w:val="en-US" w:eastAsia="zh-CN"/>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6632D8CA">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24.</w:t>
                  </w:r>
                  <w:r>
                    <w:rPr>
                      <w:rFonts w:hint="eastAsia" w:cs="Times New Roman"/>
                      <w:color w:val="auto"/>
                      <w:lang w:val="en-US" w:eastAsia="zh-CN"/>
                    </w:rPr>
                    <w:t>7</w:t>
                  </w:r>
                </w:p>
              </w:tc>
              <w:tc>
                <w:tcPr>
                  <w:tcW w:w="880" w:type="dxa"/>
                  <w:tcBorders>
                    <w:top w:val="single" w:color="auto" w:sz="4" w:space="0"/>
                    <w:left w:val="single" w:color="auto" w:sz="4" w:space="0"/>
                    <w:bottom w:val="single" w:color="auto" w:sz="4" w:space="0"/>
                  </w:tcBorders>
                  <w:noWrap w:val="0"/>
                  <w:vAlign w:val="center"/>
                </w:tcPr>
                <w:p w14:paraId="4D611EF9">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达标</w:t>
                  </w:r>
                </w:p>
              </w:tc>
            </w:tr>
            <w:tr w14:paraId="6DFBE2E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412" w:type="dxa"/>
                  <w:vMerge w:val="continue"/>
                  <w:noWrap w:val="0"/>
                  <w:vAlign w:val="center"/>
                </w:tcPr>
                <w:p w14:paraId="4F1C7550">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p>
              </w:tc>
              <w:tc>
                <w:tcPr>
                  <w:tcW w:w="1014" w:type="dxa"/>
                  <w:vMerge w:val="restart"/>
                  <w:tcBorders>
                    <w:top w:val="single" w:color="auto" w:sz="4" w:space="0"/>
                    <w:left w:val="single" w:color="auto" w:sz="4" w:space="0"/>
                    <w:right w:val="single" w:color="auto" w:sz="4" w:space="0"/>
                  </w:tcBorders>
                  <w:noWrap w:val="0"/>
                  <w:vAlign w:val="center"/>
                </w:tcPr>
                <w:p w14:paraId="512FFDCE">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非甲烷总烃</w:t>
                  </w:r>
                </w:p>
              </w:tc>
              <w:tc>
                <w:tcPr>
                  <w:tcW w:w="1138" w:type="dxa"/>
                  <w:tcBorders>
                    <w:top w:val="single" w:color="auto" w:sz="4" w:space="0"/>
                    <w:left w:val="single" w:color="auto" w:sz="4" w:space="0"/>
                    <w:bottom w:val="single" w:color="auto" w:sz="4" w:space="0"/>
                    <w:right w:val="single" w:color="auto" w:sz="4" w:space="0"/>
                  </w:tcBorders>
                  <w:noWrap w:val="0"/>
                  <w:vAlign w:val="center"/>
                </w:tcPr>
                <w:p w14:paraId="7FF67E1B">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2025.4.4</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7BA9CCD8">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1.24～1.55</w:t>
                  </w:r>
                </w:p>
              </w:tc>
              <w:tc>
                <w:tcPr>
                  <w:tcW w:w="765" w:type="dxa"/>
                  <w:vMerge w:val="restart"/>
                  <w:tcBorders>
                    <w:top w:val="single" w:color="auto" w:sz="4" w:space="0"/>
                    <w:left w:val="single" w:color="auto" w:sz="4" w:space="0"/>
                    <w:right w:val="single" w:color="auto" w:sz="4" w:space="0"/>
                  </w:tcBorders>
                  <w:noWrap w:val="0"/>
                  <w:vAlign w:val="center"/>
                </w:tcPr>
                <w:p w14:paraId="6E976103">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2.0</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046B6557">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77.5</w:t>
                  </w:r>
                </w:p>
              </w:tc>
              <w:tc>
                <w:tcPr>
                  <w:tcW w:w="880" w:type="dxa"/>
                  <w:tcBorders>
                    <w:top w:val="single" w:color="auto" w:sz="4" w:space="0"/>
                    <w:left w:val="single" w:color="auto" w:sz="4" w:space="0"/>
                    <w:bottom w:val="single" w:color="auto" w:sz="4" w:space="0"/>
                  </w:tcBorders>
                  <w:noWrap w:val="0"/>
                  <w:vAlign w:val="center"/>
                </w:tcPr>
                <w:p w14:paraId="6868EAC2">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达标</w:t>
                  </w:r>
                </w:p>
              </w:tc>
            </w:tr>
            <w:tr w14:paraId="68F8F4E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412" w:type="dxa"/>
                  <w:vMerge w:val="continue"/>
                  <w:noWrap w:val="0"/>
                  <w:vAlign w:val="center"/>
                </w:tcPr>
                <w:p w14:paraId="588882A3">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p>
              </w:tc>
              <w:tc>
                <w:tcPr>
                  <w:tcW w:w="1014" w:type="dxa"/>
                  <w:vMerge w:val="continue"/>
                  <w:tcBorders>
                    <w:left w:val="single" w:color="auto" w:sz="4" w:space="0"/>
                    <w:right w:val="single" w:color="auto" w:sz="4" w:space="0"/>
                  </w:tcBorders>
                  <w:noWrap w:val="0"/>
                  <w:vAlign w:val="center"/>
                </w:tcPr>
                <w:p w14:paraId="74BB5761">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color w:val="auto"/>
                      <w:lang w:val="en-US" w:eastAsia="zh-CN"/>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14:paraId="58D2FE01">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2025.4.5</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2201C328">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1.34～1.38</w:t>
                  </w:r>
                </w:p>
              </w:tc>
              <w:tc>
                <w:tcPr>
                  <w:tcW w:w="765" w:type="dxa"/>
                  <w:vMerge w:val="continue"/>
                  <w:tcBorders>
                    <w:left w:val="single" w:color="auto" w:sz="4" w:space="0"/>
                    <w:right w:val="single" w:color="auto" w:sz="4" w:space="0"/>
                  </w:tcBorders>
                  <w:noWrap w:val="0"/>
                  <w:vAlign w:val="center"/>
                </w:tcPr>
                <w:p w14:paraId="7D14B3E9">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color w:val="auto"/>
                      <w:lang w:val="en-US" w:eastAsia="zh-CN"/>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05C8530D">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69</w:t>
                  </w:r>
                </w:p>
              </w:tc>
              <w:tc>
                <w:tcPr>
                  <w:tcW w:w="880" w:type="dxa"/>
                  <w:tcBorders>
                    <w:top w:val="single" w:color="auto" w:sz="4" w:space="0"/>
                    <w:left w:val="single" w:color="auto" w:sz="4" w:space="0"/>
                    <w:bottom w:val="single" w:color="auto" w:sz="4" w:space="0"/>
                  </w:tcBorders>
                  <w:noWrap w:val="0"/>
                  <w:vAlign w:val="center"/>
                </w:tcPr>
                <w:p w14:paraId="1A960DEC">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达标</w:t>
                  </w:r>
                </w:p>
              </w:tc>
            </w:tr>
            <w:tr w14:paraId="36A692C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412" w:type="dxa"/>
                  <w:vMerge w:val="continue"/>
                  <w:noWrap w:val="0"/>
                  <w:vAlign w:val="center"/>
                </w:tcPr>
                <w:p w14:paraId="3D5FFA72">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p>
              </w:tc>
              <w:tc>
                <w:tcPr>
                  <w:tcW w:w="1014" w:type="dxa"/>
                  <w:vMerge w:val="continue"/>
                  <w:tcBorders>
                    <w:left w:val="single" w:color="auto" w:sz="4" w:space="0"/>
                    <w:right w:val="single" w:color="auto" w:sz="4" w:space="0"/>
                  </w:tcBorders>
                  <w:noWrap w:val="0"/>
                  <w:vAlign w:val="center"/>
                </w:tcPr>
                <w:p w14:paraId="1E7E8093">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color w:val="auto"/>
                      <w:lang w:val="en-US" w:eastAsia="zh-CN"/>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14:paraId="00C83763">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2025.4.6</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781A8BC5">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1.15～1.39</w:t>
                  </w:r>
                </w:p>
              </w:tc>
              <w:tc>
                <w:tcPr>
                  <w:tcW w:w="765" w:type="dxa"/>
                  <w:vMerge w:val="continue"/>
                  <w:tcBorders>
                    <w:left w:val="single" w:color="auto" w:sz="4" w:space="0"/>
                    <w:bottom w:val="single" w:color="auto" w:sz="4" w:space="0"/>
                    <w:right w:val="single" w:color="auto" w:sz="4" w:space="0"/>
                  </w:tcBorders>
                  <w:noWrap w:val="0"/>
                  <w:vAlign w:val="center"/>
                </w:tcPr>
                <w:p w14:paraId="3EBA16C8">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color w:val="auto"/>
                      <w:lang w:val="en-US" w:eastAsia="zh-CN"/>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70DFA8EA">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69.5</w:t>
                  </w:r>
                </w:p>
              </w:tc>
              <w:tc>
                <w:tcPr>
                  <w:tcW w:w="880" w:type="dxa"/>
                  <w:tcBorders>
                    <w:top w:val="single" w:color="auto" w:sz="4" w:space="0"/>
                    <w:left w:val="single" w:color="auto" w:sz="4" w:space="0"/>
                    <w:bottom w:val="single" w:color="auto" w:sz="4" w:space="0"/>
                  </w:tcBorders>
                  <w:noWrap w:val="0"/>
                  <w:vAlign w:val="center"/>
                </w:tcPr>
                <w:p w14:paraId="46D01656">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达标</w:t>
                  </w:r>
                </w:p>
              </w:tc>
            </w:tr>
            <w:tr w14:paraId="4DA7274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8042" w:type="dxa"/>
                  <w:gridSpan w:val="7"/>
                  <w:noWrap w:val="0"/>
                  <w:vAlign w:val="center"/>
                </w:tcPr>
                <w:p w14:paraId="2E64E641">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注：检测结果TSP为日均值；非甲烷总烃为小时</w:t>
                  </w:r>
                  <w:r>
                    <w:rPr>
                      <w:rFonts w:hint="eastAsia" w:cs="Times New Roman"/>
                      <w:color w:val="auto"/>
                      <w:lang w:val="en-US" w:eastAsia="zh-CN"/>
                    </w:rPr>
                    <w:t>均</w:t>
                  </w:r>
                  <w:r>
                    <w:rPr>
                      <w:rFonts w:hint="eastAsia" w:ascii="Times New Roman" w:hAnsi="Times New Roman" w:eastAsia="宋体" w:cs="Times New Roman"/>
                      <w:color w:val="auto"/>
                      <w:lang w:val="en-US" w:eastAsia="zh-CN"/>
                    </w:rPr>
                    <w:t>值范围，占标率为最大值占标率。</w:t>
                  </w:r>
                </w:p>
              </w:tc>
            </w:tr>
          </w:tbl>
          <w:p w14:paraId="0A06A587">
            <w:pPr>
              <w:keepNext w:val="0"/>
              <w:keepLines w:val="0"/>
              <w:pageBreakBefore w:val="0"/>
              <w:widowControl w:val="0"/>
              <w:kinsoku/>
              <w:wordWrap/>
              <w:overflowPunct/>
              <w:topLinePunct w:val="0"/>
              <w:autoSpaceDE/>
              <w:autoSpaceDN/>
              <w:bidi w:val="0"/>
              <w:adjustRightInd/>
              <w:snapToGrid/>
              <w:spacing w:before="120" w:beforeLines="50" w:line="348" w:lineRule="auto"/>
              <w:ind w:firstLine="480" w:firstLineChars="200"/>
              <w:textAlignment w:val="auto"/>
              <w:rPr>
                <w:rFonts w:hint="default" w:ascii="Times New Roman" w:hAnsi="Times New Roman" w:eastAsia="宋体" w:cs="Times New Roman"/>
                <w:color w:val="0000FF"/>
                <w:sz w:val="24"/>
                <w:szCs w:val="24"/>
                <w:lang w:val="en-US" w:eastAsia="zh-CN"/>
              </w:rPr>
            </w:pPr>
            <w:r>
              <w:rPr>
                <w:rFonts w:hint="eastAsia"/>
                <w:color w:val="auto"/>
                <w:spacing w:val="0"/>
                <w:sz w:val="24"/>
              </w:rPr>
              <w:t>由上表</w:t>
            </w:r>
            <w:r>
              <w:rPr>
                <w:rFonts w:hint="eastAsia"/>
                <w:color w:val="auto"/>
                <w:spacing w:val="0"/>
                <w:sz w:val="24"/>
                <w:lang w:val="en-US" w:eastAsia="zh-CN"/>
              </w:rPr>
              <w:t>监测结果</w:t>
            </w:r>
            <w:r>
              <w:rPr>
                <w:rFonts w:hint="eastAsia"/>
                <w:color w:val="auto"/>
                <w:spacing w:val="0"/>
                <w:sz w:val="24"/>
              </w:rPr>
              <w:t>可知</w:t>
            </w:r>
            <w:r>
              <w:rPr>
                <w:rFonts w:hint="eastAsia"/>
                <w:color w:val="auto"/>
                <w:spacing w:val="0"/>
                <w:sz w:val="24"/>
                <w:lang w:eastAsia="zh-CN"/>
              </w:rPr>
              <w:t>，</w:t>
            </w:r>
            <w:r>
              <w:rPr>
                <w:rFonts w:hint="eastAsia"/>
                <w:color w:val="auto"/>
                <w:spacing w:val="0"/>
                <w:sz w:val="24"/>
                <w:lang w:val="en-US" w:eastAsia="zh-CN"/>
              </w:rPr>
              <w:t>本项目所在区域大气环境中</w:t>
            </w:r>
            <w:r>
              <w:rPr>
                <w:rFonts w:hint="default" w:ascii="Times New Roman" w:hAnsi="Times New Roman" w:eastAsia="宋体" w:cs="Times New Roman"/>
                <w:color w:val="0000FF"/>
                <w:sz w:val="24"/>
                <w:szCs w:val="24"/>
                <w:lang w:val="en-US" w:eastAsia="zh-CN"/>
              </w:rPr>
              <w:t>TSP日均值满足《环境空气质量标准》（GB3095</w:t>
            </w:r>
            <w:r>
              <w:rPr>
                <w:rFonts w:hint="eastAsia" w:ascii="Times New Roman" w:hAnsi="Times New Roman" w:eastAsia="宋体" w:cs="Times New Roman"/>
                <w:color w:val="0000FF"/>
                <w:sz w:val="24"/>
                <w:szCs w:val="24"/>
                <w:lang w:val="en-US" w:eastAsia="zh-CN"/>
              </w:rPr>
              <w:t>-</w:t>
            </w:r>
            <w:r>
              <w:rPr>
                <w:rFonts w:hint="default" w:ascii="Times New Roman" w:hAnsi="Times New Roman" w:eastAsia="宋体" w:cs="Times New Roman"/>
                <w:color w:val="0000FF"/>
                <w:sz w:val="24"/>
                <w:szCs w:val="24"/>
                <w:lang w:val="en-US" w:eastAsia="zh-CN"/>
              </w:rPr>
              <w:t>20</w:t>
            </w:r>
            <w:r>
              <w:rPr>
                <w:rFonts w:hint="eastAsia" w:cs="Times New Roman"/>
                <w:color w:val="0000FF"/>
                <w:sz w:val="24"/>
                <w:szCs w:val="24"/>
                <w:lang w:val="en-US" w:eastAsia="zh-CN"/>
              </w:rPr>
              <w:t>26</w:t>
            </w:r>
            <w:r>
              <w:rPr>
                <w:rFonts w:hint="default" w:ascii="Times New Roman" w:hAnsi="Times New Roman" w:eastAsia="宋体" w:cs="Times New Roman"/>
                <w:color w:val="0000FF"/>
                <w:sz w:val="24"/>
                <w:szCs w:val="24"/>
                <w:lang w:val="en-US" w:eastAsia="zh-CN"/>
              </w:rPr>
              <w:t>）</w:t>
            </w:r>
            <w:r>
              <w:rPr>
                <w:rFonts w:hint="eastAsia" w:ascii="Times New Roman" w:hAnsi="Times New Roman" w:eastAsia="宋体" w:cs="Times New Roman"/>
                <w:color w:val="0000FF"/>
                <w:sz w:val="24"/>
                <w:szCs w:val="24"/>
                <w:lang w:val="en-US" w:eastAsia="zh-CN"/>
              </w:rPr>
              <w:t>表2中</w:t>
            </w:r>
            <w:r>
              <w:rPr>
                <w:rFonts w:hint="default" w:ascii="Times New Roman" w:hAnsi="Times New Roman" w:eastAsia="宋体" w:cs="Times New Roman"/>
                <w:color w:val="0000FF"/>
                <w:sz w:val="24"/>
                <w:szCs w:val="24"/>
                <w:lang w:val="en-US" w:eastAsia="zh-CN"/>
              </w:rPr>
              <w:t>二级</w:t>
            </w:r>
            <w:r>
              <w:rPr>
                <w:rFonts w:hint="eastAsia" w:cs="Times New Roman"/>
                <w:color w:val="0000FF"/>
                <w:sz w:val="24"/>
                <w:szCs w:val="24"/>
                <w:lang w:val="en-US" w:eastAsia="zh-CN"/>
              </w:rPr>
              <w:t>浓度限值</w:t>
            </w:r>
            <w:r>
              <w:rPr>
                <w:rFonts w:hint="default" w:ascii="Times New Roman" w:hAnsi="Times New Roman" w:eastAsia="宋体" w:cs="Times New Roman"/>
                <w:color w:val="0000FF"/>
                <w:sz w:val="24"/>
                <w:szCs w:val="24"/>
                <w:lang w:val="en-US" w:eastAsia="zh-CN"/>
              </w:rPr>
              <w:t>要求</w:t>
            </w:r>
            <w:r>
              <w:rPr>
                <w:rFonts w:hint="eastAsia" w:ascii="Times New Roman" w:hAnsi="Times New Roman" w:eastAsia="宋体" w:cs="Times New Roman"/>
                <w:color w:val="0000FF"/>
                <w:sz w:val="24"/>
                <w:szCs w:val="24"/>
                <w:lang w:val="en-US" w:eastAsia="zh-CN"/>
              </w:rPr>
              <w:t>。</w:t>
            </w:r>
            <w:r>
              <w:rPr>
                <w:rFonts w:hint="default" w:ascii="Times New Roman" w:hAnsi="Times New Roman" w:eastAsia="宋体" w:cs="Times New Roman"/>
                <w:color w:val="auto"/>
                <w:sz w:val="24"/>
                <w:szCs w:val="24"/>
                <w:lang w:val="en-US" w:eastAsia="zh-CN"/>
              </w:rPr>
              <w:t>非甲烷总烃小时</w:t>
            </w:r>
            <w:r>
              <w:rPr>
                <w:rFonts w:hint="eastAsia" w:cs="Times New Roman"/>
                <w:color w:val="auto"/>
                <w:sz w:val="24"/>
                <w:szCs w:val="24"/>
                <w:lang w:val="en-US" w:eastAsia="zh-CN"/>
              </w:rPr>
              <w:t>均</w:t>
            </w:r>
            <w:r>
              <w:rPr>
                <w:rFonts w:hint="default" w:ascii="Times New Roman" w:hAnsi="Times New Roman" w:eastAsia="宋体" w:cs="Times New Roman"/>
                <w:color w:val="auto"/>
                <w:sz w:val="24"/>
                <w:szCs w:val="24"/>
                <w:lang w:val="en-US" w:eastAsia="zh-CN"/>
              </w:rPr>
              <w:t>值浓度满足《大气污染物综合排放标准详解》中一次浓度限值要求</w:t>
            </w:r>
            <w:r>
              <w:rPr>
                <w:rFonts w:hint="eastAsia" w:cs="Times New Roman"/>
                <w:color w:val="auto"/>
                <w:sz w:val="24"/>
                <w:szCs w:val="24"/>
                <w:lang w:val="en-US" w:eastAsia="zh-CN"/>
              </w:rPr>
              <w:t>。</w:t>
            </w:r>
          </w:p>
          <w:p w14:paraId="67F75967">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2.地表水环境质量现状调查与评价</w:t>
            </w:r>
          </w:p>
          <w:p w14:paraId="5F6ECF05">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根据《建设项目环境影响报告表编制技术指南（污染影响类）试行》中</w:t>
            </w:r>
          </w:p>
          <w:p w14:paraId="7A92B84D">
            <w:pPr>
              <w:keepNext w:val="0"/>
              <w:keepLines w:val="0"/>
              <w:pageBreakBefore w:val="0"/>
              <w:widowControl w:val="0"/>
              <w:kinsoku/>
              <w:wordWrap/>
              <w:overflowPunct/>
              <w:topLinePunct w:val="0"/>
              <w:autoSpaceDE/>
              <w:autoSpaceDN/>
              <w:bidi w:val="0"/>
              <w:adjustRightInd/>
              <w:snapToGrid/>
              <w:spacing w:before="95" w:beforeLines="30" w:line="341" w:lineRule="auto"/>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地表水环境质量现状引用与建设项目距离近的有效数据，包括近3年的规划环境影响评价的监测数据，所在流域控制单元内国家、地方控制断面监测数据，生态环境主管部门发布的水环境质量数据或地表水达标情况的结论”。</w:t>
            </w:r>
          </w:p>
          <w:p w14:paraId="53ED5D68">
            <w:pPr>
              <w:keepNext w:val="0"/>
              <w:keepLines w:val="0"/>
              <w:pageBreakBefore w:val="0"/>
              <w:widowControl w:val="0"/>
              <w:kinsoku/>
              <w:wordWrap/>
              <w:overflowPunct/>
              <w:topLinePunct w:val="0"/>
              <w:autoSpaceDE/>
              <w:autoSpaceDN/>
              <w:bidi w:val="0"/>
              <w:adjustRightInd/>
              <w:snapToGrid/>
              <w:spacing w:line="341"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次地表水现状评价引用昌吉生态环境监测站在昌吉回族自治州人民政府官网（https://www.cj.gov.cn/p122/zdwrfz/20230820/179938.html）发布的《2023年1-7月环境质量监测专报》中的地表水基本情况“2023年1-7月，昌吉州7县市共监测地表水9条河流17个断面，其中国控断面6个，区控断面11个，自西向东依次为玛纳斯河、塔西河、呼图壁河、三屯河、头屯河、三工河、开垦河、二宫河和木垒河，监测项目为水温、pH值等32项。按照《地表水环境质量标准》（GB3838-2002）评价，2022年1-7月，八钢、老奇台、石门子、马家庄和棉纺厂断面水质达到Ⅰ类，与去年同期相比水质有所好转（上升），其余断面水质均达到或优于Ⅱ类标准，与去年同期相比无明显变化。全州河流水质状况优，水质类别均符合国家环境质量标准。”</w:t>
            </w:r>
          </w:p>
          <w:p w14:paraId="49373863">
            <w:pPr>
              <w:keepNext w:val="0"/>
              <w:keepLines w:val="0"/>
              <w:pageBreakBefore w:val="0"/>
              <w:widowControl w:val="0"/>
              <w:kinsoku/>
              <w:wordWrap/>
              <w:overflowPunct/>
              <w:topLinePunct w:val="0"/>
              <w:autoSpaceDE/>
              <w:autoSpaceDN/>
              <w:bidi w:val="0"/>
              <w:adjustRightInd w:val="0"/>
              <w:snapToGrid w:val="0"/>
              <w:spacing w:line="341" w:lineRule="auto"/>
              <w:jc w:val="left"/>
              <w:textAlignment w:val="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3.声环境质量现状调查与评价</w:t>
            </w:r>
          </w:p>
          <w:p w14:paraId="36169C1A">
            <w:pPr>
              <w:keepNext w:val="0"/>
              <w:keepLines w:val="0"/>
              <w:pageBreakBefore w:val="0"/>
              <w:widowControl w:val="0"/>
              <w:kinsoku/>
              <w:wordWrap/>
              <w:overflowPunct/>
              <w:topLinePunct w:val="0"/>
              <w:autoSpaceDE/>
              <w:autoSpaceDN/>
              <w:bidi w:val="0"/>
              <w:adjustRightInd/>
              <w:snapToGrid/>
              <w:spacing w:line="341" w:lineRule="auto"/>
              <w:ind w:firstLine="480" w:firstLineChars="200"/>
              <w:textAlignment w:val="auto"/>
              <w:rPr>
                <w:rFonts w:hint="eastAsia" w:ascii="宋体" w:hAnsi="宋体" w:cs="宋体"/>
                <w:b/>
                <w:bCs/>
                <w:color w:val="auto"/>
                <w:sz w:val="24"/>
              </w:rPr>
            </w:pPr>
            <w:r>
              <w:rPr>
                <w:rFonts w:hint="eastAsia"/>
                <w:color w:val="auto"/>
                <w:sz w:val="24"/>
              </w:rPr>
              <w:t>根据《建设项目环境影响报告表编制技术指南（污染影响类）试行》中对声环境的要求“厂界外50m范围内存在声环境保护目标的建设项目，应监测保护目标声环境质量现状并评价达标情况。”根据现场调查，</w:t>
            </w:r>
            <w:r>
              <w:rPr>
                <w:rFonts w:hint="eastAsia"/>
                <w:color w:val="auto"/>
                <w:sz w:val="24"/>
                <w:lang w:val="en-US" w:eastAsia="zh-CN"/>
              </w:rPr>
              <w:t>本</w:t>
            </w:r>
            <w:r>
              <w:rPr>
                <w:rFonts w:hint="eastAsia"/>
                <w:color w:val="auto"/>
                <w:sz w:val="24"/>
              </w:rPr>
              <w:t>项目厂界外50m范围内无声环境保护目标，因此不对项目声环境质量现状进行评价。</w:t>
            </w:r>
          </w:p>
          <w:p w14:paraId="2E46393F">
            <w:pPr>
              <w:keepNext w:val="0"/>
              <w:keepLines w:val="0"/>
              <w:pageBreakBefore w:val="0"/>
              <w:widowControl w:val="0"/>
              <w:kinsoku/>
              <w:wordWrap/>
              <w:overflowPunct/>
              <w:topLinePunct w:val="0"/>
              <w:autoSpaceDE/>
              <w:autoSpaceDN/>
              <w:bidi w:val="0"/>
              <w:adjustRightInd w:val="0"/>
              <w:snapToGrid w:val="0"/>
              <w:spacing w:line="341" w:lineRule="auto"/>
              <w:jc w:val="left"/>
              <w:textAlignment w:val="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4.地下水、土壤环境质量现状调查与评价</w:t>
            </w:r>
          </w:p>
          <w:p w14:paraId="438A4706">
            <w:pPr>
              <w:keepNext w:val="0"/>
              <w:keepLines w:val="0"/>
              <w:pageBreakBefore w:val="0"/>
              <w:widowControl w:val="0"/>
              <w:kinsoku/>
              <w:wordWrap/>
              <w:overflowPunct/>
              <w:topLinePunct w:val="0"/>
              <w:autoSpaceDE/>
              <w:autoSpaceDN/>
              <w:bidi w:val="0"/>
              <w:adjustRightInd/>
              <w:snapToGrid/>
              <w:spacing w:line="341"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根据《建设项目环境影响报告表编制技术指南（污染影响类）（试行）》中“原则上不开展环境质量现状调查。建设项目存在土壤、地下水环境污染途径的，应结合污染源、保护目标分布情况开展现状调查以留作背景值。”本项目采取分区防渗措施，不存在土壤、地下水环境污染途径，且无地下水、土壤环境保护目标，因此不开展地下水、土壤环境质量现状调查。</w:t>
            </w:r>
          </w:p>
          <w:p w14:paraId="7BDFF03A">
            <w:pPr>
              <w:keepNext w:val="0"/>
              <w:keepLines w:val="0"/>
              <w:pageBreakBefore w:val="0"/>
              <w:widowControl w:val="0"/>
              <w:kinsoku/>
              <w:wordWrap/>
              <w:overflowPunct/>
              <w:topLinePunct w:val="0"/>
              <w:autoSpaceDE/>
              <w:autoSpaceDN/>
              <w:bidi w:val="0"/>
              <w:adjustRightInd w:val="0"/>
              <w:snapToGrid w:val="0"/>
              <w:spacing w:line="341" w:lineRule="auto"/>
              <w:jc w:val="left"/>
              <w:textAlignment w:val="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5.生态环境质量现状调查与评价</w:t>
            </w:r>
          </w:p>
          <w:p w14:paraId="218D99B7">
            <w:pPr>
              <w:keepNext w:val="0"/>
              <w:keepLines w:val="0"/>
              <w:pageBreakBefore w:val="0"/>
              <w:widowControl w:val="0"/>
              <w:kinsoku/>
              <w:wordWrap/>
              <w:overflowPunct/>
              <w:topLinePunct w:val="0"/>
              <w:autoSpaceDE/>
              <w:autoSpaceDN/>
              <w:bidi w:val="0"/>
              <w:adjustRightInd/>
              <w:snapToGrid/>
              <w:spacing w:line="341" w:lineRule="auto"/>
              <w:ind w:firstLine="456" w:firstLineChars="200"/>
              <w:textAlignment w:val="auto"/>
              <w:rPr>
                <w:color w:val="auto"/>
                <w:kern w:val="0"/>
                <w:szCs w:val="21"/>
                <w:highlight w:val="yellow"/>
              </w:rPr>
            </w:pPr>
            <w:r>
              <w:rPr>
                <w:rFonts w:hint="eastAsia" w:ascii="Times New Roman" w:hAnsi="Times New Roman" w:eastAsia="宋体" w:cs="Times New Roman"/>
                <w:color w:val="auto"/>
                <w:spacing w:val="-6"/>
                <w:sz w:val="24"/>
              </w:rPr>
              <w:t>根据《建设项目环境影响报告表编制技术指南（污染影响类）试行》中对生态环境的要求“产业园区外建设项目新增用地且用地范围内含有生态环境保护目标时，应进行生态现状调查”，本项目位于昌吉高新技术产业开发区</w:t>
            </w:r>
            <w:r>
              <w:rPr>
                <w:rFonts w:hint="eastAsia" w:ascii="Times New Roman" w:hAnsi="Times New Roman" w:eastAsia="宋体" w:cs="Times New Roman"/>
                <w:color w:val="auto"/>
                <w:spacing w:val="-6"/>
                <w:sz w:val="24"/>
                <w:lang w:eastAsia="zh-CN"/>
              </w:rPr>
              <w:t>规划工业用地，用地范围及周边无生态保护目标，</w:t>
            </w:r>
            <w:r>
              <w:rPr>
                <w:rFonts w:hint="eastAsia" w:ascii="Times New Roman" w:hAnsi="Times New Roman" w:eastAsia="宋体" w:cs="Times New Roman"/>
                <w:color w:val="auto"/>
                <w:spacing w:val="-6"/>
                <w:sz w:val="24"/>
              </w:rPr>
              <w:t>故本项目可不开展生态环境现状调查。</w:t>
            </w:r>
          </w:p>
        </w:tc>
      </w:tr>
      <w:tr w14:paraId="7950A0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86" w:hRule="atLeast"/>
          <w:jc w:val="center"/>
        </w:trPr>
        <w:tc>
          <w:tcPr>
            <w:tcW w:w="771" w:type="dxa"/>
            <w:noWrap w:val="0"/>
            <w:vAlign w:val="center"/>
          </w:tcPr>
          <w:p w14:paraId="1A94815B">
            <w:pPr>
              <w:autoSpaceDE w:val="0"/>
              <w:autoSpaceDN w:val="0"/>
              <w:adjustRightInd w:val="0"/>
              <w:snapToGrid w:val="0"/>
              <w:jc w:val="center"/>
              <w:rPr>
                <w:rFonts w:ascii="Times New Roman" w:hAnsi="Times New Roman" w:eastAsia="宋体" w:cs="Times New Roman"/>
                <w:color w:val="auto"/>
                <w:kern w:val="0"/>
                <w:sz w:val="24"/>
              </w:rPr>
            </w:pPr>
            <w:r>
              <w:rPr>
                <w:rFonts w:ascii="Times New Roman" w:hAnsi="Times New Roman" w:eastAsia="宋体" w:cs="Times New Roman"/>
                <w:color w:val="auto"/>
                <w:kern w:val="0"/>
                <w:sz w:val="24"/>
              </w:rPr>
              <w:t>环境</w:t>
            </w:r>
          </w:p>
          <w:p w14:paraId="34D733A8">
            <w:pPr>
              <w:autoSpaceDE w:val="0"/>
              <w:autoSpaceDN w:val="0"/>
              <w:adjustRightInd w:val="0"/>
              <w:snapToGrid w:val="0"/>
              <w:jc w:val="center"/>
              <w:rPr>
                <w:rFonts w:ascii="Times New Roman" w:hAnsi="Times New Roman" w:eastAsia="宋体" w:cs="Times New Roman"/>
                <w:color w:val="auto"/>
                <w:kern w:val="0"/>
                <w:sz w:val="24"/>
              </w:rPr>
            </w:pPr>
            <w:r>
              <w:rPr>
                <w:rFonts w:ascii="Times New Roman" w:hAnsi="Times New Roman" w:eastAsia="宋体" w:cs="Times New Roman"/>
                <w:color w:val="auto"/>
                <w:kern w:val="0"/>
                <w:sz w:val="24"/>
              </w:rPr>
              <w:t>保护</w:t>
            </w:r>
          </w:p>
          <w:p w14:paraId="656E65FE">
            <w:pPr>
              <w:autoSpaceDE w:val="0"/>
              <w:autoSpaceDN w:val="0"/>
              <w:adjustRightInd w:val="0"/>
              <w:snapToGrid w:val="0"/>
              <w:jc w:val="center"/>
              <w:rPr>
                <w:rFonts w:ascii="Times New Roman" w:hAnsi="Times New Roman" w:eastAsia="宋体" w:cs="Times New Roman"/>
                <w:color w:val="auto"/>
                <w:kern w:val="0"/>
                <w:sz w:val="24"/>
                <w:lang w:val="en-US" w:eastAsia="zh-CN"/>
              </w:rPr>
            </w:pPr>
            <w:r>
              <w:rPr>
                <w:rFonts w:ascii="Times New Roman" w:hAnsi="Times New Roman" w:eastAsia="宋体" w:cs="Times New Roman"/>
                <w:color w:val="auto"/>
                <w:kern w:val="0"/>
                <w:sz w:val="24"/>
              </w:rPr>
              <w:t>目标</w:t>
            </w:r>
          </w:p>
        </w:tc>
        <w:tc>
          <w:tcPr>
            <w:tcW w:w="8254" w:type="dxa"/>
            <w:noWrap w:val="0"/>
            <w:vAlign w:val="top"/>
          </w:tcPr>
          <w:p w14:paraId="77BD1FAF">
            <w:pPr>
              <w:keepNext w:val="0"/>
              <w:keepLines w:val="0"/>
              <w:pageBreakBefore w:val="0"/>
              <w:widowControl w:val="0"/>
              <w:kinsoku/>
              <w:wordWrap/>
              <w:overflowPunct/>
              <w:topLinePunct w:val="0"/>
              <w:autoSpaceDE/>
              <w:autoSpaceDN/>
              <w:bidi w:val="0"/>
              <w:adjustRightInd w:val="0"/>
              <w:snapToGrid w:val="0"/>
              <w:spacing w:before="157" w:beforeLines="50" w:line="341" w:lineRule="auto"/>
              <w:jc w:val="left"/>
              <w:textAlignment w:val="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1.大气环境保护目标</w:t>
            </w:r>
          </w:p>
          <w:p w14:paraId="0D866D57">
            <w:pPr>
              <w:keepNext w:val="0"/>
              <w:keepLines w:val="0"/>
              <w:pageBreakBefore w:val="0"/>
              <w:widowControl w:val="0"/>
              <w:kinsoku/>
              <w:wordWrap/>
              <w:overflowPunct/>
              <w:topLinePunct w:val="0"/>
              <w:autoSpaceDE/>
              <w:autoSpaceDN/>
              <w:bidi w:val="0"/>
              <w:spacing w:line="341" w:lineRule="auto"/>
              <w:ind w:firstLine="480" w:firstLineChars="200"/>
              <w:jc w:val="both"/>
              <w:textAlignment w:val="auto"/>
              <w:rPr>
                <w:rFonts w:hint="eastAsia"/>
                <w:color w:val="auto"/>
                <w:sz w:val="24"/>
              </w:rPr>
            </w:pPr>
            <w:r>
              <w:rPr>
                <w:rFonts w:hint="eastAsia"/>
                <w:color w:val="auto"/>
                <w:sz w:val="24"/>
              </w:rPr>
              <w:t>项目厂界外500m范围内不存在自然保护区、风景名胜区、居住区、文化区和农村地区中人群较集中的区域，无大气环境保护目标。</w:t>
            </w:r>
          </w:p>
          <w:p w14:paraId="5739923C">
            <w:pPr>
              <w:keepNext w:val="0"/>
              <w:keepLines w:val="0"/>
              <w:pageBreakBefore w:val="0"/>
              <w:widowControl w:val="0"/>
              <w:kinsoku/>
              <w:wordWrap/>
              <w:overflowPunct/>
              <w:topLinePunct w:val="0"/>
              <w:autoSpaceDE/>
              <w:autoSpaceDN/>
              <w:bidi w:val="0"/>
              <w:adjustRightInd w:val="0"/>
              <w:snapToGrid w:val="0"/>
              <w:spacing w:line="341" w:lineRule="auto"/>
              <w:jc w:val="left"/>
              <w:textAlignment w:val="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2.水环境保护目标</w:t>
            </w:r>
          </w:p>
          <w:p w14:paraId="78492CCF">
            <w:pPr>
              <w:keepNext w:val="0"/>
              <w:keepLines w:val="0"/>
              <w:pageBreakBefore w:val="0"/>
              <w:widowControl w:val="0"/>
              <w:kinsoku/>
              <w:wordWrap/>
              <w:overflowPunct/>
              <w:topLinePunct w:val="0"/>
              <w:autoSpaceDE/>
              <w:autoSpaceDN/>
              <w:bidi w:val="0"/>
              <w:spacing w:line="341" w:lineRule="auto"/>
              <w:ind w:firstLine="480" w:firstLineChars="200"/>
              <w:jc w:val="both"/>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项目厂界外500m范围内不存在地下水集中式饮用水水源和热水、矿泉水、温泉等特殊地下水资源，</w:t>
            </w:r>
            <w:r>
              <w:rPr>
                <w:rFonts w:hint="eastAsia" w:ascii="Times New Roman" w:hAnsi="Times New Roman" w:eastAsia="宋体" w:cs="Times New Roman"/>
                <w:color w:val="auto"/>
                <w:sz w:val="24"/>
                <w:lang w:val="en-US" w:eastAsia="zh-CN"/>
              </w:rPr>
              <w:t>项目</w:t>
            </w:r>
            <w:r>
              <w:rPr>
                <w:rFonts w:hint="eastAsia" w:ascii="Times New Roman" w:hAnsi="Times New Roman" w:eastAsia="宋体" w:cs="Times New Roman"/>
                <w:color w:val="auto"/>
                <w:sz w:val="24"/>
              </w:rPr>
              <w:t>无水环境保护目标。</w:t>
            </w:r>
          </w:p>
          <w:p w14:paraId="60F22851">
            <w:pPr>
              <w:keepNext w:val="0"/>
              <w:keepLines w:val="0"/>
              <w:pageBreakBefore w:val="0"/>
              <w:widowControl w:val="0"/>
              <w:kinsoku/>
              <w:wordWrap/>
              <w:overflowPunct/>
              <w:topLinePunct w:val="0"/>
              <w:autoSpaceDE/>
              <w:autoSpaceDN/>
              <w:bidi w:val="0"/>
              <w:adjustRightInd w:val="0"/>
              <w:snapToGrid w:val="0"/>
              <w:spacing w:line="341" w:lineRule="auto"/>
              <w:jc w:val="left"/>
              <w:textAlignment w:val="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3.声环境保护目标</w:t>
            </w:r>
          </w:p>
          <w:p w14:paraId="58004470">
            <w:pPr>
              <w:keepNext w:val="0"/>
              <w:keepLines w:val="0"/>
              <w:pageBreakBefore w:val="0"/>
              <w:widowControl w:val="0"/>
              <w:kinsoku/>
              <w:wordWrap/>
              <w:overflowPunct/>
              <w:topLinePunct w:val="0"/>
              <w:autoSpaceDE/>
              <w:autoSpaceDN/>
              <w:bidi w:val="0"/>
              <w:spacing w:line="341" w:lineRule="auto"/>
              <w:ind w:firstLine="480" w:firstLineChars="200"/>
              <w:jc w:val="both"/>
              <w:textAlignment w:val="auto"/>
              <w:rPr>
                <w:rFonts w:hint="eastAsia"/>
                <w:color w:val="auto"/>
                <w:sz w:val="24"/>
              </w:rPr>
            </w:pPr>
            <w:r>
              <w:rPr>
                <w:rFonts w:hint="eastAsia"/>
                <w:color w:val="auto"/>
                <w:sz w:val="24"/>
              </w:rPr>
              <w:t>项目厂界外50m范围内无医院、学校、居民区等声环境保护目标。</w:t>
            </w:r>
          </w:p>
          <w:p w14:paraId="52A0734C">
            <w:pPr>
              <w:keepNext w:val="0"/>
              <w:keepLines w:val="0"/>
              <w:pageBreakBefore w:val="0"/>
              <w:widowControl w:val="0"/>
              <w:kinsoku/>
              <w:wordWrap/>
              <w:overflowPunct/>
              <w:topLinePunct w:val="0"/>
              <w:autoSpaceDE/>
              <w:autoSpaceDN/>
              <w:bidi w:val="0"/>
              <w:adjustRightInd w:val="0"/>
              <w:snapToGrid w:val="0"/>
              <w:spacing w:line="341" w:lineRule="auto"/>
              <w:jc w:val="left"/>
              <w:textAlignment w:val="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4.生态环境保护目标</w:t>
            </w:r>
          </w:p>
          <w:p w14:paraId="71C1D0A0">
            <w:pPr>
              <w:keepNext w:val="0"/>
              <w:keepLines w:val="0"/>
              <w:pageBreakBefore w:val="0"/>
              <w:widowControl w:val="0"/>
              <w:kinsoku/>
              <w:wordWrap/>
              <w:overflowPunct/>
              <w:topLinePunct w:val="0"/>
              <w:autoSpaceDE/>
              <w:autoSpaceDN/>
              <w:bidi w:val="0"/>
              <w:spacing w:line="341" w:lineRule="auto"/>
              <w:ind w:firstLine="480" w:firstLineChars="200"/>
              <w:jc w:val="both"/>
              <w:textAlignment w:val="auto"/>
              <w:rPr>
                <w:rFonts w:hint="eastAsia"/>
                <w:color w:val="auto"/>
                <w:kern w:val="2"/>
                <w:sz w:val="24"/>
                <w:szCs w:val="24"/>
                <w:lang w:val="en-US" w:eastAsia="zh-CN" w:bidi="ar-SA"/>
              </w:rPr>
            </w:pPr>
            <w:r>
              <w:rPr>
                <w:rFonts w:hint="eastAsia" w:ascii="Times New Roman" w:hAnsi="Times New Roman" w:eastAsia="宋体" w:cs="Times New Roman"/>
                <w:color w:val="auto"/>
                <w:sz w:val="24"/>
                <w:lang w:val="en-US" w:eastAsia="zh-CN"/>
              </w:rPr>
              <w:t>项目位于昌吉高新技术产业开发区内</w:t>
            </w:r>
            <w:r>
              <w:rPr>
                <w:rFonts w:hint="eastAsia" w:ascii="Times New Roman" w:hAnsi="Times New Roman" w:eastAsia="宋体" w:cs="Times New Roman"/>
                <w:color w:val="auto"/>
                <w:spacing w:val="-6"/>
                <w:sz w:val="24"/>
                <w:lang w:val="en-US" w:eastAsia="zh-CN"/>
              </w:rPr>
              <w:t>，用地范围内及周边无生态保护目标。</w:t>
            </w:r>
          </w:p>
        </w:tc>
      </w:tr>
      <w:tr w14:paraId="068435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01" w:hRule="atLeast"/>
          <w:jc w:val="center"/>
        </w:trPr>
        <w:tc>
          <w:tcPr>
            <w:tcW w:w="771" w:type="dxa"/>
            <w:noWrap w:val="0"/>
            <w:vAlign w:val="center"/>
          </w:tcPr>
          <w:p w14:paraId="1BFDFD53">
            <w:pPr>
              <w:autoSpaceDE w:val="0"/>
              <w:autoSpaceDN w:val="0"/>
              <w:adjustRightInd w:val="0"/>
              <w:snapToGrid w:val="0"/>
              <w:jc w:val="center"/>
              <w:rPr>
                <w:rFonts w:ascii="Times New Roman" w:hAnsi="Times New Roman" w:eastAsia="宋体" w:cs="Times New Roman"/>
                <w:color w:val="auto"/>
                <w:kern w:val="0"/>
                <w:sz w:val="24"/>
              </w:rPr>
            </w:pPr>
            <w:r>
              <w:rPr>
                <w:rFonts w:ascii="Times New Roman" w:hAnsi="Times New Roman" w:eastAsia="宋体" w:cs="Times New Roman"/>
                <w:color w:val="auto"/>
                <w:kern w:val="0"/>
                <w:sz w:val="24"/>
              </w:rPr>
              <w:t>污染</w:t>
            </w:r>
          </w:p>
          <w:p w14:paraId="15120196">
            <w:pPr>
              <w:autoSpaceDE w:val="0"/>
              <w:autoSpaceDN w:val="0"/>
              <w:adjustRightInd w:val="0"/>
              <w:snapToGrid w:val="0"/>
              <w:jc w:val="center"/>
              <w:rPr>
                <w:rFonts w:ascii="Times New Roman" w:hAnsi="Times New Roman" w:eastAsia="宋体" w:cs="Times New Roman"/>
                <w:color w:val="auto"/>
                <w:kern w:val="0"/>
                <w:sz w:val="24"/>
              </w:rPr>
            </w:pPr>
            <w:r>
              <w:rPr>
                <w:rFonts w:ascii="Times New Roman" w:hAnsi="Times New Roman" w:eastAsia="宋体" w:cs="Times New Roman"/>
                <w:color w:val="auto"/>
                <w:kern w:val="0"/>
                <w:sz w:val="24"/>
              </w:rPr>
              <w:t>物排</w:t>
            </w:r>
          </w:p>
          <w:p w14:paraId="51081EDA">
            <w:pPr>
              <w:autoSpaceDE w:val="0"/>
              <w:autoSpaceDN w:val="0"/>
              <w:adjustRightInd w:val="0"/>
              <w:snapToGrid w:val="0"/>
              <w:jc w:val="center"/>
              <w:rPr>
                <w:rFonts w:ascii="Times New Roman" w:hAnsi="Times New Roman" w:eastAsia="宋体" w:cs="Times New Roman"/>
                <w:color w:val="auto"/>
                <w:kern w:val="0"/>
                <w:sz w:val="24"/>
              </w:rPr>
            </w:pPr>
            <w:r>
              <w:rPr>
                <w:rFonts w:ascii="Times New Roman" w:hAnsi="Times New Roman" w:eastAsia="宋体" w:cs="Times New Roman"/>
                <w:color w:val="auto"/>
                <w:kern w:val="0"/>
                <w:sz w:val="24"/>
              </w:rPr>
              <w:t>放控</w:t>
            </w:r>
          </w:p>
          <w:p w14:paraId="51E9F572">
            <w:pPr>
              <w:autoSpaceDE w:val="0"/>
              <w:autoSpaceDN w:val="0"/>
              <w:adjustRightInd w:val="0"/>
              <w:snapToGrid w:val="0"/>
              <w:jc w:val="center"/>
              <w:rPr>
                <w:rFonts w:ascii="Times New Roman" w:hAnsi="Times New Roman" w:eastAsia="宋体" w:cs="Times New Roman"/>
                <w:color w:val="auto"/>
                <w:kern w:val="0"/>
                <w:sz w:val="24"/>
              </w:rPr>
            </w:pPr>
            <w:r>
              <w:rPr>
                <w:rFonts w:ascii="Times New Roman" w:hAnsi="Times New Roman" w:eastAsia="宋体" w:cs="Times New Roman"/>
                <w:color w:val="auto"/>
                <w:kern w:val="0"/>
                <w:sz w:val="24"/>
              </w:rPr>
              <w:t>制标</w:t>
            </w:r>
          </w:p>
          <w:p w14:paraId="2335A78C">
            <w:pPr>
              <w:autoSpaceDE w:val="0"/>
              <w:autoSpaceDN w:val="0"/>
              <w:adjustRightInd w:val="0"/>
              <w:snapToGrid w:val="0"/>
              <w:jc w:val="center"/>
              <w:rPr>
                <w:rFonts w:ascii="Times New Roman" w:hAnsi="Times New Roman" w:eastAsia="宋体" w:cs="Times New Roman"/>
                <w:color w:val="auto"/>
                <w:kern w:val="0"/>
                <w:sz w:val="24"/>
              </w:rPr>
            </w:pPr>
            <w:r>
              <w:rPr>
                <w:rFonts w:ascii="Times New Roman" w:hAnsi="Times New Roman" w:eastAsia="宋体" w:cs="Times New Roman"/>
                <w:color w:val="auto"/>
                <w:kern w:val="0"/>
                <w:sz w:val="24"/>
              </w:rPr>
              <w:t>准</w:t>
            </w:r>
          </w:p>
        </w:tc>
        <w:tc>
          <w:tcPr>
            <w:tcW w:w="8254" w:type="dxa"/>
            <w:noWrap w:val="0"/>
            <w:vAlign w:val="top"/>
          </w:tcPr>
          <w:p w14:paraId="21E4D167">
            <w:pPr>
              <w:keepNext w:val="0"/>
              <w:keepLines w:val="0"/>
              <w:pageBreakBefore w:val="0"/>
              <w:widowControl w:val="0"/>
              <w:kinsoku/>
              <w:wordWrap/>
              <w:overflowPunct/>
              <w:topLinePunct w:val="0"/>
              <w:autoSpaceDE/>
              <w:autoSpaceDN/>
              <w:bidi w:val="0"/>
              <w:adjustRightInd w:val="0"/>
              <w:snapToGrid w:val="0"/>
              <w:spacing w:before="120" w:beforeLines="50" w:line="341" w:lineRule="auto"/>
              <w:textAlignment w:val="auto"/>
              <w:rPr>
                <w:rFonts w:hint="eastAsia" w:ascii="宋体" w:hAnsi="宋体" w:cs="宋体"/>
                <w:b/>
                <w:bCs/>
                <w:color w:val="auto"/>
                <w:sz w:val="24"/>
              </w:rPr>
            </w:pPr>
            <w:r>
              <w:rPr>
                <w:rFonts w:hint="eastAsia" w:ascii="宋体" w:hAnsi="宋体" w:cs="宋体"/>
                <w:b/>
                <w:bCs/>
                <w:color w:val="auto"/>
                <w:sz w:val="24"/>
              </w:rPr>
              <w:t>1.污染物排放标准</w:t>
            </w:r>
          </w:p>
          <w:p w14:paraId="0650B788">
            <w:pPr>
              <w:keepNext w:val="0"/>
              <w:keepLines w:val="0"/>
              <w:pageBreakBefore w:val="0"/>
              <w:widowControl w:val="0"/>
              <w:kinsoku/>
              <w:wordWrap/>
              <w:overflowPunct/>
              <w:topLinePunct w:val="0"/>
              <w:autoSpaceDE/>
              <w:autoSpaceDN/>
              <w:bidi w:val="0"/>
              <w:spacing w:line="341" w:lineRule="auto"/>
              <w:ind w:firstLine="480" w:firstLineChars="200"/>
              <w:jc w:val="both"/>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（1）废气排放标准</w:t>
            </w:r>
          </w:p>
          <w:p w14:paraId="41A81813">
            <w:pPr>
              <w:keepNext w:val="0"/>
              <w:keepLines w:val="0"/>
              <w:pageBreakBefore w:val="0"/>
              <w:widowControl w:val="0"/>
              <w:kinsoku/>
              <w:wordWrap/>
              <w:overflowPunct/>
              <w:topLinePunct w:val="0"/>
              <w:autoSpaceDE/>
              <w:autoSpaceDN/>
              <w:bidi w:val="0"/>
              <w:spacing w:line="341" w:lineRule="auto"/>
              <w:ind w:firstLine="480" w:firstLineChars="200"/>
              <w:jc w:val="both"/>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项目运营期有组织废气污染物颗粒物、非甲烷总烃、甲苯及二甲苯排放执行《大气污染物综合排放标准》（GB16297-1996）表2新污染源大气污染物二级排放限值要求；厂界无组织废气污染物颗粒物、非甲烷总烃、甲苯及二甲苯排放执行《大气污染物综合排放标准》（GB16297-1996）表2无组织排放监控浓度限值要求，详见表3-</w:t>
            </w:r>
            <w:r>
              <w:rPr>
                <w:rFonts w:hint="eastAsia" w:cs="Times New Roman"/>
                <w:color w:val="auto"/>
                <w:sz w:val="24"/>
                <w:lang w:val="en-US" w:eastAsia="zh-CN"/>
              </w:rPr>
              <w:t>4</w:t>
            </w:r>
            <w:r>
              <w:rPr>
                <w:rFonts w:hint="eastAsia" w:ascii="Times New Roman" w:hAnsi="Times New Roman" w:eastAsia="宋体" w:cs="Times New Roman"/>
                <w:color w:val="auto"/>
                <w:sz w:val="24"/>
                <w:lang w:val="en-US" w:eastAsia="zh-CN"/>
              </w:rPr>
              <w:t>。</w:t>
            </w:r>
          </w:p>
          <w:p w14:paraId="689D0DB1">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3-</w:t>
            </w:r>
            <w:r>
              <w:rPr>
                <w:rFonts w:hint="eastAsia" w:cs="Times New Roman"/>
                <w:b/>
                <w:bCs/>
                <w:color w:val="auto"/>
                <w:lang w:val="en-US" w:eastAsia="zh-CN"/>
              </w:rPr>
              <w:t>4</w:t>
            </w:r>
            <w:r>
              <w:rPr>
                <w:rFonts w:hint="eastAsia" w:ascii="Times New Roman" w:hAnsi="Times New Roman" w:eastAsia="宋体" w:cs="Times New Roman"/>
                <w:b/>
                <w:bCs/>
                <w:color w:val="auto"/>
                <w:lang w:val="en-US" w:eastAsia="zh-CN"/>
              </w:rPr>
              <w:t xml:space="preserve"> 废气</w:t>
            </w:r>
            <w:r>
              <w:rPr>
                <w:rFonts w:hint="default" w:ascii="Times New Roman" w:hAnsi="Times New Roman" w:eastAsia="宋体" w:cs="Times New Roman"/>
                <w:b/>
                <w:bCs/>
                <w:color w:val="auto"/>
              </w:rPr>
              <w:t>污染物排放标准限值</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14"/>
              <w:gridCol w:w="603"/>
              <w:gridCol w:w="1612"/>
              <w:gridCol w:w="1334"/>
              <w:gridCol w:w="1233"/>
              <w:gridCol w:w="1114"/>
              <w:gridCol w:w="1325"/>
            </w:tblGrid>
            <w:tr w14:paraId="3D3B7E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6" w:type="pct"/>
                  <w:tcBorders>
                    <w:bottom w:val="single" w:color="auto" w:sz="12" w:space="0"/>
                  </w:tcBorders>
                  <w:noWrap w:val="0"/>
                  <w:vAlign w:val="center"/>
                </w:tcPr>
                <w:p w14:paraId="6E48DF7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序号</w:t>
                  </w:r>
                </w:p>
              </w:tc>
              <w:tc>
                <w:tcPr>
                  <w:tcW w:w="1378" w:type="pct"/>
                  <w:gridSpan w:val="2"/>
                  <w:tcBorders>
                    <w:bottom w:val="single" w:color="auto" w:sz="12" w:space="0"/>
                  </w:tcBorders>
                  <w:noWrap w:val="0"/>
                  <w:vAlign w:val="center"/>
                </w:tcPr>
                <w:p w14:paraId="2FD7B69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污染源</w:t>
                  </w:r>
                </w:p>
              </w:tc>
              <w:tc>
                <w:tcPr>
                  <w:tcW w:w="830" w:type="pct"/>
                  <w:tcBorders>
                    <w:bottom w:val="single" w:color="auto" w:sz="12" w:space="0"/>
                  </w:tcBorders>
                  <w:noWrap w:val="0"/>
                  <w:vAlign w:val="center"/>
                </w:tcPr>
                <w:p w14:paraId="27D98DD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污染物</w:t>
                  </w:r>
                </w:p>
              </w:tc>
              <w:tc>
                <w:tcPr>
                  <w:tcW w:w="767" w:type="pct"/>
                  <w:tcBorders>
                    <w:bottom w:val="single" w:color="auto" w:sz="12" w:space="0"/>
                  </w:tcBorders>
                  <w:noWrap w:val="0"/>
                  <w:vAlign w:val="center"/>
                </w:tcPr>
                <w:p w14:paraId="469A8E0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最高允许排放浓度</w:t>
                  </w:r>
                </w:p>
              </w:tc>
              <w:tc>
                <w:tcPr>
                  <w:tcW w:w="693" w:type="pct"/>
                  <w:tcBorders>
                    <w:bottom w:val="single" w:color="auto" w:sz="12" w:space="0"/>
                  </w:tcBorders>
                  <w:noWrap w:val="0"/>
                  <w:vAlign w:val="center"/>
                </w:tcPr>
                <w:p w14:paraId="4B14E71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最高允许排放速率</w:t>
                  </w:r>
                </w:p>
              </w:tc>
              <w:tc>
                <w:tcPr>
                  <w:tcW w:w="824" w:type="pct"/>
                  <w:tcBorders>
                    <w:bottom w:val="single" w:color="auto" w:sz="12" w:space="0"/>
                  </w:tcBorders>
                  <w:noWrap w:val="0"/>
                  <w:vAlign w:val="center"/>
                </w:tcPr>
                <w:p w14:paraId="1C98134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污染物排放监控位置</w:t>
                  </w:r>
                </w:p>
              </w:tc>
            </w:tr>
            <w:tr w14:paraId="0413CF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6" w:type="pct"/>
                  <w:tcBorders>
                    <w:top w:val="single" w:color="auto" w:sz="12" w:space="0"/>
                  </w:tcBorders>
                  <w:noWrap w:val="0"/>
                  <w:vAlign w:val="center"/>
                </w:tcPr>
                <w:p w14:paraId="1445B26A">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p>
              </w:tc>
              <w:tc>
                <w:tcPr>
                  <w:tcW w:w="375" w:type="pct"/>
                  <w:vMerge w:val="restart"/>
                  <w:tcBorders>
                    <w:top w:val="single" w:color="auto" w:sz="12" w:space="0"/>
                  </w:tcBorders>
                  <w:noWrap w:val="0"/>
                  <w:vAlign w:val="center"/>
                </w:tcPr>
                <w:p w14:paraId="14AE877F">
                  <w:pPr>
                    <w:adjustRightInd w:val="0"/>
                    <w:snapToGrid w:val="0"/>
                    <w:jc w:val="center"/>
                    <w:rPr>
                      <w:rFonts w:hint="default" w:ascii="Times New Roman" w:hAnsi="Times New Roman" w:eastAsia="宋体" w:cs="Times New Roman"/>
                      <w:color w:val="auto"/>
                      <w:lang w:val="en-US"/>
                    </w:rPr>
                  </w:pPr>
                  <w:r>
                    <w:rPr>
                      <w:rFonts w:hint="eastAsia" w:ascii="Times New Roman" w:hAnsi="Times New Roman" w:eastAsia="宋体" w:cs="Times New Roman"/>
                      <w:color w:val="auto"/>
                      <w:lang w:val="en-US" w:eastAsia="zh-CN"/>
                    </w:rPr>
                    <w:t>有组织</w:t>
                  </w:r>
                </w:p>
              </w:tc>
              <w:tc>
                <w:tcPr>
                  <w:tcW w:w="1003" w:type="pct"/>
                  <w:tcBorders>
                    <w:top w:val="single" w:color="auto" w:sz="12" w:space="0"/>
                  </w:tcBorders>
                  <w:noWrap w:val="0"/>
                  <w:vAlign w:val="center"/>
                </w:tcPr>
                <w:p w14:paraId="2C86449F">
                  <w:pPr>
                    <w:adjustRightInd w:val="0"/>
                    <w:snapToGrid w:val="0"/>
                    <w:jc w:val="center"/>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DA001</w:t>
                  </w:r>
                  <w:r>
                    <w:rPr>
                      <w:rFonts w:hint="eastAsia" w:cs="Times New Roman"/>
                      <w:color w:val="auto"/>
                      <w:lang w:val="en-US" w:eastAsia="zh-CN"/>
                    </w:rPr>
                    <w:t>（15m）</w:t>
                  </w:r>
                </w:p>
              </w:tc>
              <w:tc>
                <w:tcPr>
                  <w:tcW w:w="830" w:type="pct"/>
                  <w:tcBorders>
                    <w:top w:val="single" w:color="auto" w:sz="12" w:space="0"/>
                  </w:tcBorders>
                  <w:noWrap w:val="0"/>
                  <w:vAlign w:val="center"/>
                </w:tcPr>
                <w:p w14:paraId="78653F71">
                  <w:pPr>
                    <w:adjustRightInd w:val="0"/>
                    <w:snapToGrid w:val="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颗粒物</w:t>
                  </w:r>
                </w:p>
              </w:tc>
              <w:tc>
                <w:tcPr>
                  <w:tcW w:w="767" w:type="pct"/>
                  <w:tcBorders>
                    <w:top w:val="single" w:color="auto" w:sz="12" w:space="0"/>
                  </w:tcBorders>
                  <w:noWrap w:val="0"/>
                  <w:vAlign w:val="center"/>
                </w:tcPr>
                <w:p w14:paraId="33760227">
                  <w:pPr>
                    <w:adjustRightInd w:val="0"/>
                    <w:snapToGrid w:val="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120mg/m³</w:t>
                  </w:r>
                </w:p>
              </w:tc>
              <w:tc>
                <w:tcPr>
                  <w:tcW w:w="693" w:type="pct"/>
                  <w:tcBorders>
                    <w:top w:val="single" w:color="auto" w:sz="12" w:space="0"/>
                  </w:tcBorders>
                  <w:noWrap w:val="0"/>
                  <w:vAlign w:val="center"/>
                </w:tcPr>
                <w:p w14:paraId="1EA882E3">
                  <w:pPr>
                    <w:adjustRightInd w:val="0"/>
                    <w:snapToGrid w:val="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3.5kg/h</w:t>
                  </w:r>
                </w:p>
              </w:tc>
              <w:tc>
                <w:tcPr>
                  <w:tcW w:w="824" w:type="pct"/>
                  <w:vMerge w:val="restart"/>
                  <w:tcBorders>
                    <w:top w:val="single" w:color="auto" w:sz="12" w:space="0"/>
                  </w:tcBorders>
                  <w:noWrap w:val="0"/>
                  <w:vAlign w:val="center"/>
                </w:tcPr>
                <w:p w14:paraId="4A3F268B">
                  <w:pPr>
                    <w:adjustRightInd w:val="0"/>
                    <w:snapToGrid w:val="0"/>
                    <w:jc w:val="center"/>
                    <w:rPr>
                      <w:rFonts w:hint="eastAsia" w:ascii="Times New Roman" w:hAnsi="Times New Roman" w:eastAsia="宋体" w:cs="Times New Roman"/>
                      <w:color w:val="auto"/>
                    </w:rPr>
                  </w:pPr>
                  <w:r>
                    <w:rPr>
                      <w:rFonts w:hint="default" w:ascii="Times New Roman" w:hAnsi="Times New Roman" w:eastAsia="宋体" w:cs="Times New Roman"/>
                      <w:color w:val="auto"/>
                    </w:rPr>
                    <w:t>车间或生产设施排气筒</w:t>
                  </w:r>
                </w:p>
              </w:tc>
            </w:tr>
            <w:tr w14:paraId="7D16A5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6" w:type="pct"/>
                  <w:tcBorders>
                    <w:bottom w:val="single" w:color="auto" w:sz="4" w:space="0"/>
                  </w:tcBorders>
                  <w:noWrap w:val="0"/>
                  <w:vAlign w:val="center"/>
                </w:tcPr>
                <w:p w14:paraId="7B1C0E47">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w:t>
                  </w:r>
                </w:p>
              </w:tc>
              <w:tc>
                <w:tcPr>
                  <w:tcW w:w="375" w:type="pct"/>
                  <w:vMerge w:val="continue"/>
                  <w:tcBorders>
                    <w:bottom w:val="single" w:color="auto" w:sz="4" w:space="0"/>
                  </w:tcBorders>
                  <w:noWrap w:val="0"/>
                  <w:vAlign w:val="center"/>
                </w:tcPr>
                <w:p w14:paraId="4D8F45BA">
                  <w:pPr>
                    <w:adjustRightInd w:val="0"/>
                    <w:snapToGrid w:val="0"/>
                    <w:jc w:val="center"/>
                    <w:rPr>
                      <w:rFonts w:hint="default" w:ascii="Times New Roman" w:hAnsi="Times New Roman" w:eastAsia="宋体" w:cs="Times New Roman"/>
                      <w:color w:val="auto"/>
                      <w:lang w:val="en-US"/>
                    </w:rPr>
                  </w:pPr>
                </w:p>
              </w:tc>
              <w:tc>
                <w:tcPr>
                  <w:tcW w:w="1003" w:type="pct"/>
                  <w:tcBorders>
                    <w:bottom w:val="single" w:color="auto" w:sz="4" w:space="0"/>
                  </w:tcBorders>
                  <w:noWrap w:val="0"/>
                  <w:vAlign w:val="center"/>
                </w:tcPr>
                <w:p w14:paraId="05AD361F">
                  <w:pPr>
                    <w:adjustRightInd w:val="0"/>
                    <w:snapToGrid w:val="0"/>
                    <w:jc w:val="center"/>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DA002</w:t>
                  </w:r>
                  <w:r>
                    <w:rPr>
                      <w:rFonts w:hint="eastAsia" w:cs="Times New Roman"/>
                      <w:color w:val="auto"/>
                      <w:lang w:val="en-US" w:eastAsia="zh-CN"/>
                    </w:rPr>
                    <w:t>（15m）</w:t>
                  </w:r>
                </w:p>
              </w:tc>
              <w:tc>
                <w:tcPr>
                  <w:tcW w:w="830" w:type="pct"/>
                  <w:tcBorders>
                    <w:bottom w:val="single" w:color="auto" w:sz="4" w:space="0"/>
                  </w:tcBorders>
                  <w:noWrap w:val="0"/>
                  <w:vAlign w:val="center"/>
                </w:tcPr>
                <w:p w14:paraId="7D7849E4">
                  <w:pPr>
                    <w:adjustRightInd w:val="0"/>
                    <w:snapToGrid w:val="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颗粒物</w:t>
                  </w:r>
                </w:p>
              </w:tc>
              <w:tc>
                <w:tcPr>
                  <w:tcW w:w="767" w:type="pct"/>
                  <w:tcBorders>
                    <w:bottom w:val="single" w:color="auto" w:sz="4" w:space="0"/>
                  </w:tcBorders>
                  <w:noWrap w:val="0"/>
                  <w:vAlign w:val="center"/>
                </w:tcPr>
                <w:p w14:paraId="2140ACAF">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rPr>
                    <w:t>120mg/m³</w:t>
                  </w:r>
                </w:p>
              </w:tc>
              <w:tc>
                <w:tcPr>
                  <w:tcW w:w="693" w:type="pct"/>
                  <w:tcBorders>
                    <w:bottom w:val="single" w:color="auto" w:sz="4" w:space="0"/>
                  </w:tcBorders>
                  <w:noWrap w:val="0"/>
                  <w:vAlign w:val="center"/>
                </w:tcPr>
                <w:p w14:paraId="60DF4F5B">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rPr>
                    <w:t>3.5kg/h</w:t>
                  </w:r>
                </w:p>
              </w:tc>
              <w:tc>
                <w:tcPr>
                  <w:tcW w:w="824" w:type="pct"/>
                  <w:vMerge w:val="continue"/>
                  <w:tcBorders>
                    <w:bottom w:val="single" w:color="auto" w:sz="4" w:space="0"/>
                  </w:tcBorders>
                  <w:noWrap w:val="0"/>
                  <w:vAlign w:val="center"/>
                </w:tcPr>
                <w:p w14:paraId="5CD65377">
                  <w:pPr>
                    <w:adjustRightInd w:val="0"/>
                    <w:snapToGrid w:val="0"/>
                    <w:jc w:val="center"/>
                    <w:rPr>
                      <w:rFonts w:hint="eastAsia" w:ascii="Times New Roman" w:hAnsi="Times New Roman" w:eastAsia="宋体" w:cs="Times New Roman"/>
                      <w:color w:val="auto"/>
                    </w:rPr>
                  </w:pPr>
                </w:p>
              </w:tc>
            </w:tr>
            <w:tr w14:paraId="296E22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6" w:type="pct"/>
                  <w:tcBorders>
                    <w:top w:val="single" w:color="auto" w:sz="4" w:space="0"/>
                  </w:tcBorders>
                  <w:noWrap w:val="0"/>
                  <w:vAlign w:val="center"/>
                </w:tcPr>
                <w:p w14:paraId="0FABA285">
                  <w:pPr>
                    <w:adjustRightInd w:val="0"/>
                    <w:snapToGrid w:val="0"/>
                    <w:jc w:val="center"/>
                    <w:rPr>
                      <w:rFonts w:hint="default" w:ascii="Times New Roman" w:hAnsi="Times New Roman" w:eastAsia="宋体" w:cs="Times New Roman"/>
                      <w:color w:val="auto"/>
                      <w:lang w:val="en-US" w:eastAsia="zh-CN"/>
                    </w:rPr>
                  </w:pPr>
                  <w:r>
                    <w:rPr>
                      <w:rFonts w:hint="eastAsia" w:cs="Times New Roman"/>
                      <w:color w:val="auto"/>
                      <w:lang w:val="en-US" w:eastAsia="zh-CN"/>
                    </w:rPr>
                    <w:t>3</w:t>
                  </w:r>
                </w:p>
              </w:tc>
              <w:tc>
                <w:tcPr>
                  <w:tcW w:w="375" w:type="pct"/>
                  <w:vMerge w:val="restart"/>
                  <w:tcBorders>
                    <w:top w:val="single" w:color="auto" w:sz="4" w:space="0"/>
                  </w:tcBorders>
                  <w:noWrap w:val="0"/>
                  <w:vAlign w:val="center"/>
                </w:tcPr>
                <w:p w14:paraId="6787E9F5">
                  <w:pPr>
                    <w:adjustRightInd w:val="0"/>
                    <w:snapToGrid w:val="0"/>
                    <w:jc w:val="center"/>
                    <w:rPr>
                      <w:rFonts w:hint="default" w:ascii="Times New Roman" w:hAnsi="Times New Roman" w:eastAsia="宋体" w:cs="Times New Roman"/>
                      <w:color w:val="auto"/>
                      <w:lang w:val="en-US"/>
                    </w:rPr>
                  </w:pPr>
                  <w:r>
                    <w:rPr>
                      <w:rFonts w:hint="eastAsia" w:ascii="Times New Roman" w:hAnsi="Times New Roman" w:eastAsia="宋体" w:cs="Times New Roman"/>
                      <w:color w:val="auto"/>
                      <w:lang w:val="en-US" w:eastAsia="zh-CN"/>
                    </w:rPr>
                    <w:t>有组织</w:t>
                  </w:r>
                </w:p>
              </w:tc>
              <w:tc>
                <w:tcPr>
                  <w:tcW w:w="1003" w:type="pct"/>
                  <w:vMerge w:val="restart"/>
                  <w:tcBorders>
                    <w:top w:val="single" w:color="auto" w:sz="4" w:space="0"/>
                  </w:tcBorders>
                  <w:noWrap w:val="0"/>
                  <w:vAlign w:val="center"/>
                </w:tcPr>
                <w:p w14:paraId="190B411A">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DA003</w:t>
                  </w:r>
                  <w:r>
                    <w:rPr>
                      <w:rFonts w:hint="eastAsia" w:cs="Times New Roman"/>
                      <w:color w:val="auto"/>
                      <w:lang w:val="en-US" w:eastAsia="zh-CN"/>
                    </w:rPr>
                    <w:t>（20m）</w:t>
                  </w:r>
                </w:p>
              </w:tc>
              <w:tc>
                <w:tcPr>
                  <w:tcW w:w="830" w:type="pct"/>
                  <w:tcBorders>
                    <w:top w:val="single" w:color="auto" w:sz="4" w:space="0"/>
                  </w:tcBorders>
                  <w:shd w:val="clear" w:color="auto" w:fill="auto"/>
                  <w:noWrap w:val="0"/>
                  <w:vAlign w:val="center"/>
                </w:tcPr>
                <w:p w14:paraId="235FD105">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rPr>
                    <w:t>颗粒物</w:t>
                  </w:r>
                </w:p>
              </w:tc>
              <w:tc>
                <w:tcPr>
                  <w:tcW w:w="767" w:type="pct"/>
                  <w:tcBorders>
                    <w:top w:val="single" w:color="auto" w:sz="4" w:space="0"/>
                  </w:tcBorders>
                  <w:shd w:val="clear" w:color="auto" w:fill="auto"/>
                  <w:noWrap w:val="0"/>
                  <w:vAlign w:val="center"/>
                </w:tcPr>
                <w:p w14:paraId="5EF59796">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rPr>
                    <w:t>120mg/m³</w:t>
                  </w:r>
                </w:p>
              </w:tc>
              <w:tc>
                <w:tcPr>
                  <w:tcW w:w="693" w:type="pct"/>
                  <w:tcBorders>
                    <w:top w:val="single" w:color="auto" w:sz="4" w:space="0"/>
                  </w:tcBorders>
                  <w:shd w:val="clear" w:color="auto" w:fill="auto"/>
                  <w:noWrap w:val="0"/>
                  <w:vAlign w:val="center"/>
                </w:tcPr>
                <w:p w14:paraId="7B1BB4DD">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5.9</w:t>
                  </w:r>
                  <w:r>
                    <w:rPr>
                      <w:rFonts w:hint="eastAsia" w:ascii="Times New Roman" w:hAnsi="Times New Roman" w:eastAsia="宋体" w:cs="Times New Roman"/>
                      <w:color w:val="auto"/>
                    </w:rPr>
                    <w:t>kg/h</w:t>
                  </w:r>
                </w:p>
              </w:tc>
              <w:tc>
                <w:tcPr>
                  <w:tcW w:w="824" w:type="pct"/>
                  <w:vMerge w:val="restart"/>
                  <w:tcBorders>
                    <w:top w:val="single" w:color="auto" w:sz="4" w:space="0"/>
                  </w:tcBorders>
                  <w:noWrap w:val="0"/>
                  <w:vAlign w:val="center"/>
                </w:tcPr>
                <w:p w14:paraId="6E332E61">
                  <w:pPr>
                    <w:adjustRightInd w:val="0"/>
                    <w:snapToGrid w:val="0"/>
                    <w:jc w:val="center"/>
                    <w:rPr>
                      <w:rFonts w:hint="eastAsia" w:ascii="Times New Roman" w:hAnsi="Times New Roman" w:eastAsia="宋体" w:cs="Times New Roman"/>
                      <w:color w:val="auto"/>
                    </w:rPr>
                  </w:pPr>
                  <w:r>
                    <w:rPr>
                      <w:rFonts w:hint="default" w:ascii="Times New Roman" w:hAnsi="Times New Roman" w:eastAsia="宋体" w:cs="Times New Roman"/>
                      <w:color w:val="auto"/>
                    </w:rPr>
                    <w:t>车间或生产设施排气筒</w:t>
                  </w:r>
                </w:p>
              </w:tc>
            </w:tr>
            <w:tr w14:paraId="153C4E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6" w:type="pct"/>
                  <w:noWrap w:val="0"/>
                  <w:vAlign w:val="center"/>
                </w:tcPr>
                <w:p w14:paraId="5577B869">
                  <w:pPr>
                    <w:adjustRightInd w:val="0"/>
                    <w:snapToGrid w:val="0"/>
                    <w:jc w:val="center"/>
                    <w:rPr>
                      <w:rFonts w:hint="default" w:ascii="Times New Roman" w:hAnsi="Times New Roman" w:eastAsia="宋体" w:cs="Times New Roman"/>
                      <w:color w:val="auto"/>
                      <w:lang w:val="en-US" w:eastAsia="zh-CN"/>
                    </w:rPr>
                  </w:pPr>
                  <w:r>
                    <w:rPr>
                      <w:rFonts w:hint="eastAsia" w:cs="Times New Roman"/>
                      <w:color w:val="auto"/>
                      <w:lang w:val="en-US" w:eastAsia="zh-CN"/>
                    </w:rPr>
                    <w:t>4</w:t>
                  </w:r>
                </w:p>
              </w:tc>
              <w:tc>
                <w:tcPr>
                  <w:tcW w:w="375" w:type="pct"/>
                  <w:vMerge w:val="continue"/>
                  <w:noWrap w:val="0"/>
                  <w:vAlign w:val="center"/>
                </w:tcPr>
                <w:p w14:paraId="2821E212">
                  <w:pPr>
                    <w:adjustRightInd w:val="0"/>
                    <w:snapToGrid w:val="0"/>
                    <w:jc w:val="center"/>
                    <w:rPr>
                      <w:rFonts w:hint="eastAsia" w:ascii="Times New Roman" w:hAnsi="Times New Roman" w:eastAsia="宋体" w:cs="Times New Roman"/>
                      <w:color w:val="auto"/>
                      <w:lang w:val="en-US" w:eastAsia="zh-CN"/>
                    </w:rPr>
                  </w:pPr>
                </w:p>
              </w:tc>
              <w:tc>
                <w:tcPr>
                  <w:tcW w:w="1003" w:type="pct"/>
                  <w:vMerge w:val="continue"/>
                  <w:noWrap w:val="0"/>
                  <w:vAlign w:val="center"/>
                </w:tcPr>
                <w:p w14:paraId="5A4F1999">
                  <w:pPr>
                    <w:adjustRightInd w:val="0"/>
                    <w:snapToGrid w:val="0"/>
                    <w:jc w:val="center"/>
                    <w:rPr>
                      <w:rFonts w:hint="default" w:ascii="Times New Roman" w:hAnsi="Times New Roman" w:eastAsia="宋体" w:cs="Times New Roman"/>
                      <w:color w:val="auto"/>
                      <w:lang w:val="en-US" w:eastAsia="zh-CN"/>
                    </w:rPr>
                  </w:pPr>
                </w:p>
              </w:tc>
              <w:tc>
                <w:tcPr>
                  <w:tcW w:w="830" w:type="pct"/>
                  <w:noWrap w:val="0"/>
                  <w:vAlign w:val="center"/>
                </w:tcPr>
                <w:p w14:paraId="1941AC27">
                  <w:pPr>
                    <w:adjustRightInd w:val="0"/>
                    <w:snapToGrid w:val="0"/>
                    <w:jc w:val="center"/>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非甲烷总烃</w:t>
                  </w:r>
                </w:p>
              </w:tc>
              <w:tc>
                <w:tcPr>
                  <w:tcW w:w="767" w:type="pct"/>
                  <w:noWrap w:val="0"/>
                  <w:vAlign w:val="center"/>
                </w:tcPr>
                <w:p w14:paraId="55EE43DE">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rPr>
                    <w:t>120mg/m³</w:t>
                  </w:r>
                </w:p>
              </w:tc>
              <w:tc>
                <w:tcPr>
                  <w:tcW w:w="693" w:type="pct"/>
                  <w:noWrap w:val="0"/>
                  <w:vAlign w:val="center"/>
                </w:tcPr>
                <w:p w14:paraId="04837895">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17</w:t>
                  </w:r>
                  <w:r>
                    <w:rPr>
                      <w:rFonts w:hint="eastAsia" w:ascii="Times New Roman" w:hAnsi="Times New Roman" w:eastAsia="宋体" w:cs="Times New Roman"/>
                      <w:color w:val="auto"/>
                    </w:rPr>
                    <w:t>kg/h</w:t>
                  </w:r>
                </w:p>
              </w:tc>
              <w:tc>
                <w:tcPr>
                  <w:tcW w:w="824" w:type="pct"/>
                  <w:vMerge w:val="continue"/>
                  <w:noWrap w:val="0"/>
                  <w:vAlign w:val="center"/>
                </w:tcPr>
                <w:p w14:paraId="2F30DC31">
                  <w:pPr>
                    <w:adjustRightInd w:val="0"/>
                    <w:snapToGrid w:val="0"/>
                    <w:jc w:val="center"/>
                    <w:rPr>
                      <w:rFonts w:hint="eastAsia" w:ascii="Times New Roman" w:hAnsi="Times New Roman" w:eastAsia="宋体" w:cs="Times New Roman"/>
                      <w:color w:val="auto"/>
                    </w:rPr>
                  </w:pPr>
                </w:p>
              </w:tc>
            </w:tr>
            <w:tr w14:paraId="285055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6" w:type="pct"/>
                  <w:noWrap w:val="0"/>
                  <w:vAlign w:val="center"/>
                </w:tcPr>
                <w:p w14:paraId="02BA734C">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w:t>
                  </w:r>
                </w:p>
              </w:tc>
              <w:tc>
                <w:tcPr>
                  <w:tcW w:w="375" w:type="pct"/>
                  <w:vMerge w:val="continue"/>
                  <w:noWrap w:val="0"/>
                  <w:vAlign w:val="center"/>
                </w:tcPr>
                <w:p w14:paraId="2553C5A7">
                  <w:pPr>
                    <w:adjustRightInd w:val="0"/>
                    <w:snapToGrid w:val="0"/>
                    <w:jc w:val="center"/>
                    <w:rPr>
                      <w:rFonts w:hint="eastAsia" w:ascii="Times New Roman" w:hAnsi="Times New Roman" w:eastAsia="宋体" w:cs="Times New Roman"/>
                      <w:color w:val="auto"/>
                      <w:lang w:val="en-US" w:eastAsia="zh-CN"/>
                    </w:rPr>
                  </w:pPr>
                </w:p>
              </w:tc>
              <w:tc>
                <w:tcPr>
                  <w:tcW w:w="1003" w:type="pct"/>
                  <w:vMerge w:val="continue"/>
                  <w:noWrap w:val="0"/>
                  <w:vAlign w:val="center"/>
                </w:tcPr>
                <w:p w14:paraId="1838F38B">
                  <w:pPr>
                    <w:adjustRightInd w:val="0"/>
                    <w:snapToGrid w:val="0"/>
                    <w:jc w:val="center"/>
                    <w:rPr>
                      <w:rFonts w:hint="eastAsia" w:ascii="Times New Roman" w:hAnsi="Times New Roman" w:eastAsia="宋体" w:cs="Times New Roman"/>
                      <w:color w:val="auto"/>
                      <w:lang w:val="en-US" w:eastAsia="zh-CN"/>
                    </w:rPr>
                  </w:pPr>
                </w:p>
              </w:tc>
              <w:tc>
                <w:tcPr>
                  <w:tcW w:w="830" w:type="pct"/>
                  <w:noWrap w:val="0"/>
                  <w:vAlign w:val="center"/>
                </w:tcPr>
                <w:p w14:paraId="796F33F0">
                  <w:pPr>
                    <w:adjustRightInd w:val="0"/>
                    <w:snapToGrid w:val="0"/>
                    <w:jc w:val="center"/>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甲苯</w:t>
                  </w:r>
                </w:p>
              </w:tc>
              <w:tc>
                <w:tcPr>
                  <w:tcW w:w="767" w:type="pct"/>
                  <w:noWrap w:val="0"/>
                  <w:vAlign w:val="center"/>
                </w:tcPr>
                <w:p w14:paraId="3D94A9B6">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40</w:t>
                  </w:r>
                  <w:r>
                    <w:rPr>
                      <w:rFonts w:hint="eastAsia" w:ascii="Times New Roman" w:hAnsi="Times New Roman" w:eastAsia="宋体" w:cs="Times New Roman"/>
                      <w:color w:val="auto"/>
                    </w:rPr>
                    <w:t>mg/m³</w:t>
                  </w:r>
                </w:p>
              </w:tc>
              <w:tc>
                <w:tcPr>
                  <w:tcW w:w="693" w:type="pct"/>
                  <w:noWrap w:val="0"/>
                  <w:vAlign w:val="center"/>
                </w:tcPr>
                <w:p w14:paraId="62D115E5">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5.2</w:t>
                  </w:r>
                  <w:r>
                    <w:rPr>
                      <w:rFonts w:hint="eastAsia" w:ascii="Times New Roman" w:hAnsi="Times New Roman" w:eastAsia="宋体" w:cs="Times New Roman"/>
                      <w:color w:val="auto"/>
                    </w:rPr>
                    <w:t>kg/h</w:t>
                  </w:r>
                </w:p>
              </w:tc>
              <w:tc>
                <w:tcPr>
                  <w:tcW w:w="824" w:type="pct"/>
                  <w:vMerge w:val="continue"/>
                  <w:noWrap w:val="0"/>
                  <w:vAlign w:val="center"/>
                </w:tcPr>
                <w:p w14:paraId="737F9FDC">
                  <w:pPr>
                    <w:adjustRightInd w:val="0"/>
                    <w:snapToGrid w:val="0"/>
                    <w:jc w:val="center"/>
                    <w:rPr>
                      <w:rFonts w:hint="eastAsia" w:ascii="Times New Roman" w:hAnsi="Times New Roman" w:eastAsia="宋体" w:cs="Times New Roman"/>
                      <w:color w:val="auto"/>
                    </w:rPr>
                  </w:pPr>
                </w:p>
              </w:tc>
            </w:tr>
            <w:tr w14:paraId="3E667B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6" w:type="pct"/>
                  <w:noWrap w:val="0"/>
                  <w:vAlign w:val="center"/>
                </w:tcPr>
                <w:p w14:paraId="5B24AC10">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6</w:t>
                  </w:r>
                </w:p>
              </w:tc>
              <w:tc>
                <w:tcPr>
                  <w:tcW w:w="375" w:type="pct"/>
                  <w:vMerge w:val="continue"/>
                  <w:noWrap w:val="0"/>
                  <w:vAlign w:val="center"/>
                </w:tcPr>
                <w:p w14:paraId="48BF9683">
                  <w:pPr>
                    <w:adjustRightInd w:val="0"/>
                    <w:snapToGrid w:val="0"/>
                    <w:jc w:val="center"/>
                    <w:rPr>
                      <w:rFonts w:hint="default" w:ascii="Times New Roman" w:hAnsi="Times New Roman" w:eastAsia="宋体" w:cs="Times New Roman"/>
                      <w:color w:val="auto"/>
                      <w:lang w:val="en-US"/>
                    </w:rPr>
                  </w:pPr>
                </w:p>
              </w:tc>
              <w:tc>
                <w:tcPr>
                  <w:tcW w:w="1003" w:type="pct"/>
                  <w:vMerge w:val="continue"/>
                  <w:noWrap w:val="0"/>
                  <w:vAlign w:val="center"/>
                </w:tcPr>
                <w:p w14:paraId="1951ADBF">
                  <w:pPr>
                    <w:adjustRightInd w:val="0"/>
                    <w:snapToGrid w:val="0"/>
                    <w:jc w:val="center"/>
                    <w:rPr>
                      <w:rFonts w:hint="eastAsia" w:ascii="Times New Roman" w:hAnsi="Times New Roman" w:eastAsia="宋体" w:cs="Times New Roman"/>
                      <w:color w:val="auto"/>
                      <w:lang w:val="en-US" w:eastAsia="zh-CN"/>
                    </w:rPr>
                  </w:pPr>
                </w:p>
              </w:tc>
              <w:tc>
                <w:tcPr>
                  <w:tcW w:w="830" w:type="pct"/>
                  <w:noWrap w:val="0"/>
                  <w:vAlign w:val="center"/>
                </w:tcPr>
                <w:p w14:paraId="12606977">
                  <w:pPr>
                    <w:adjustRightInd w:val="0"/>
                    <w:snapToGrid w:val="0"/>
                    <w:jc w:val="center"/>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二甲苯</w:t>
                  </w:r>
                </w:p>
              </w:tc>
              <w:tc>
                <w:tcPr>
                  <w:tcW w:w="767" w:type="pct"/>
                  <w:noWrap w:val="0"/>
                  <w:vAlign w:val="center"/>
                </w:tcPr>
                <w:p w14:paraId="3F929324">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70</w:t>
                  </w:r>
                  <w:r>
                    <w:rPr>
                      <w:rFonts w:hint="eastAsia" w:ascii="Times New Roman" w:hAnsi="Times New Roman" w:eastAsia="宋体" w:cs="Times New Roman"/>
                      <w:color w:val="auto"/>
                    </w:rPr>
                    <w:t>mg/m³</w:t>
                  </w:r>
                </w:p>
              </w:tc>
              <w:tc>
                <w:tcPr>
                  <w:tcW w:w="693" w:type="pct"/>
                  <w:noWrap w:val="0"/>
                  <w:vAlign w:val="center"/>
                </w:tcPr>
                <w:p w14:paraId="37B4A7D7">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1.7</w:t>
                  </w:r>
                  <w:r>
                    <w:rPr>
                      <w:rFonts w:hint="eastAsia" w:ascii="Times New Roman" w:hAnsi="Times New Roman" w:eastAsia="宋体" w:cs="Times New Roman"/>
                      <w:color w:val="auto"/>
                    </w:rPr>
                    <w:t>kg/h</w:t>
                  </w:r>
                </w:p>
              </w:tc>
              <w:tc>
                <w:tcPr>
                  <w:tcW w:w="824" w:type="pct"/>
                  <w:vMerge w:val="continue"/>
                  <w:noWrap w:val="0"/>
                  <w:vAlign w:val="center"/>
                </w:tcPr>
                <w:p w14:paraId="445E7D37">
                  <w:pPr>
                    <w:adjustRightInd w:val="0"/>
                    <w:snapToGrid w:val="0"/>
                    <w:jc w:val="center"/>
                    <w:rPr>
                      <w:rFonts w:hint="eastAsia" w:ascii="Times New Roman" w:hAnsi="Times New Roman" w:eastAsia="宋体" w:cs="Times New Roman"/>
                      <w:color w:val="auto"/>
                    </w:rPr>
                  </w:pPr>
                </w:p>
              </w:tc>
            </w:tr>
            <w:tr w14:paraId="05163D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6" w:type="pct"/>
                  <w:noWrap w:val="0"/>
                  <w:vAlign w:val="center"/>
                </w:tcPr>
                <w:p w14:paraId="201EFEDE">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375" w:type="pct"/>
                  <w:vMerge w:val="restart"/>
                  <w:noWrap w:val="0"/>
                  <w:vAlign w:val="center"/>
                </w:tcPr>
                <w:p w14:paraId="47CF52CC">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无组织</w:t>
                  </w:r>
                </w:p>
              </w:tc>
              <w:tc>
                <w:tcPr>
                  <w:tcW w:w="1003" w:type="pct"/>
                  <w:vMerge w:val="restart"/>
                  <w:noWrap w:val="0"/>
                  <w:vAlign w:val="center"/>
                </w:tcPr>
                <w:p w14:paraId="4DDC84E2">
                  <w:pPr>
                    <w:adjustRightInd w:val="0"/>
                    <w:snapToGrid w:val="0"/>
                    <w:jc w:val="center"/>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厂界</w:t>
                  </w:r>
                </w:p>
              </w:tc>
              <w:tc>
                <w:tcPr>
                  <w:tcW w:w="830" w:type="pct"/>
                  <w:noWrap w:val="0"/>
                  <w:vAlign w:val="center"/>
                </w:tcPr>
                <w:p w14:paraId="2EE8D7EE">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rPr>
                    <w:t>颗粒物</w:t>
                  </w:r>
                </w:p>
              </w:tc>
              <w:tc>
                <w:tcPr>
                  <w:tcW w:w="767" w:type="pct"/>
                  <w:noWrap w:val="0"/>
                  <w:vAlign w:val="center"/>
                </w:tcPr>
                <w:p w14:paraId="7796F59A">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1.0</w:t>
                  </w:r>
                  <w:r>
                    <w:rPr>
                      <w:rFonts w:hint="eastAsia" w:ascii="Times New Roman" w:hAnsi="Times New Roman" w:eastAsia="宋体" w:cs="Times New Roman"/>
                      <w:color w:val="auto"/>
                    </w:rPr>
                    <w:t>mg/m³</w:t>
                  </w:r>
                </w:p>
              </w:tc>
              <w:tc>
                <w:tcPr>
                  <w:tcW w:w="693" w:type="pct"/>
                  <w:noWrap w:val="0"/>
                  <w:vAlign w:val="center"/>
                </w:tcPr>
                <w:p w14:paraId="78AF7904">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824" w:type="pct"/>
                  <w:vMerge w:val="restart"/>
                  <w:noWrap w:val="0"/>
                  <w:vAlign w:val="center"/>
                </w:tcPr>
                <w:p w14:paraId="2F6323B9">
                  <w:pPr>
                    <w:adjustRightInd w:val="0"/>
                    <w:snapToGrid w:val="0"/>
                    <w:jc w:val="center"/>
                    <w:rPr>
                      <w:rFonts w:hint="eastAsia" w:ascii="Times New Roman" w:hAnsi="Times New Roman" w:eastAsia="宋体" w:cs="Times New Roman"/>
                      <w:color w:val="auto"/>
                    </w:rPr>
                  </w:pPr>
                  <w:r>
                    <w:rPr>
                      <w:rFonts w:hint="default" w:ascii="Times New Roman" w:hAnsi="Times New Roman" w:eastAsia="宋体" w:cs="Times New Roman"/>
                      <w:color w:val="auto"/>
                    </w:rPr>
                    <w:t>周界外浓度最高点</w:t>
                  </w:r>
                </w:p>
              </w:tc>
            </w:tr>
            <w:tr w14:paraId="31C708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6" w:type="pct"/>
                  <w:noWrap w:val="0"/>
                  <w:vAlign w:val="center"/>
                </w:tcPr>
                <w:p w14:paraId="41C8827D">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375" w:type="pct"/>
                  <w:vMerge w:val="continue"/>
                  <w:noWrap w:val="0"/>
                  <w:vAlign w:val="center"/>
                </w:tcPr>
                <w:p w14:paraId="404F37E0">
                  <w:pPr>
                    <w:adjustRightInd w:val="0"/>
                    <w:snapToGrid w:val="0"/>
                    <w:jc w:val="center"/>
                    <w:rPr>
                      <w:rFonts w:hint="eastAsia" w:ascii="Times New Roman" w:hAnsi="Times New Roman" w:eastAsia="宋体" w:cs="Times New Roman"/>
                      <w:color w:val="auto"/>
                    </w:rPr>
                  </w:pPr>
                </w:p>
              </w:tc>
              <w:tc>
                <w:tcPr>
                  <w:tcW w:w="1003" w:type="pct"/>
                  <w:vMerge w:val="continue"/>
                  <w:noWrap w:val="0"/>
                  <w:vAlign w:val="center"/>
                </w:tcPr>
                <w:p w14:paraId="7983EB55">
                  <w:pPr>
                    <w:adjustRightInd w:val="0"/>
                    <w:snapToGrid w:val="0"/>
                    <w:jc w:val="center"/>
                    <w:rPr>
                      <w:rFonts w:hint="eastAsia" w:ascii="Times New Roman" w:hAnsi="Times New Roman" w:eastAsia="宋体" w:cs="Times New Roman"/>
                      <w:color w:val="auto"/>
                    </w:rPr>
                  </w:pPr>
                </w:p>
              </w:tc>
              <w:tc>
                <w:tcPr>
                  <w:tcW w:w="830" w:type="pct"/>
                  <w:noWrap w:val="0"/>
                  <w:vAlign w:val="center"/>
                </w:tcPr>
                <w:p w14:paraId="687B4EF3">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非甲烷总烃</w:t>
                  </w:r>
                </w:p>
              </w:tc>
              <w:tc>
                <w:tcPr>
                  <w:tcW w:w="767" w:type="pct"/>
                  <w:noWrap w:val="0"/>
                  <w:vAlign w:val="center"/>
                </w:tcPr>
                <w:p w14:paraId="06FA0417">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4.0</w:t>
                  </w:r>
                  <w:r>
                    <w:rPr>
                      <w:rFonts w:hint="eastAsia" w:ascii="Times New Roman" w:hAnsi="Times New Roman" w:eastAsia="宋体" w:cs="Times New Roman"/>
                      <w:color w:val="auto"/>
                    </w:rPr>
                    <w:t>mg/m³</w:t>
                  </w:r>
                </w:p>
              </w:tc>
              <w:tc>
                <w:tcPr>
                  <w:tcW w:w="693" w:type="pct"/>
                  <w:noWrap w:val="0"/>
                  <w:vAlign w:val="center"/>
                </w:tcPr>
                <w:p w14:paraId="181EF3F7">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824" w:type="pct"/>
                  <w:vMerge w:val="continue"/>
                  <w:noWrap w:val="0"/>
                  <w:vAlign w:val="center"/>
                </w:tcPr>
                <w:p w14:paraId="05C1F180">
                  <w:pPr>
                    <w:adjustRightInd w:val="0"/>
                    <w:snapToGrid w:val="0"/>
                    <w:jc w:val="center"/>
                    <w:rPr>
                      <w:rFonts w:hint="eastAsia" w:ascii="Times New Roman" w:hAnsi="Times New Roman" w:eastAsia="宋体" w:cs="Times New Roman"/>
                      <w:color w:val="auto"/>
                    </w:rPr>
                  </w:pPr>
                </w:p>
              </w:tc>
            </w:tr>
            <w:tr w14:paraId="4356DE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6" w:type="pct"/>
                  <w:noWrap w:val="0"/>
                  <w:vAlign w:val="center"/>
                </w:tcPr>
                <w:p w14:paraId="7DFDB3AE">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9</w:t>
                  </w:r>
                </w:p>
              </w:tc>
              <w:tc>
                <w:tcPr>
                  <w:tcW w:w="375" w:type="pct"/>
                  <w:vMerge w:val="continue"/>
                  <w:noWrap w:val="0"/>
                  <w:vAlign w:val="center"/>
                </w:tcPr>
                <w:p w14:paraId="73C064E2">
                  <w:pPr>
                    <w:adjustRightInd w:val="0"/>
                    <w:snapToGrid w:val="0"/>
                    <w:jc w:val="center"/>
                    <w:rPr>
                      <w:rFonts w:hint="eastAsia" w:ascii="Times New Roman" w:hAnsi="Times New Roman" w:eastAsia="宋体" w:cs="Times New Roman"/>
                      <w:color w:val="auto"/>
                    </w:rPr>
                  </w:pPr>
                </w:p>
              </w:tc>
              <w:tc>
                <w:tcPr>
                  <w:tcW w:w="1003" w:type="pct"/>
                  <w:vMerge w:val="continue"/>
                  <w:noWrap w:val="0"/>
                  <w:vAlign w:val="center"/>
                </w:tcPr>
                <w:p w14:paraId="2120DDC2">
                  <w:pPr>
                    <w:adjustRightInd w:val="0"/>
                    <w:snapToGrid w:val="0"/>
                    <w:jc w:val="center"/>
                    <w:rPr>
                      <w:rFonts w:hint="eastAsia" w:ascii="Times New Roman" w:hAnsi="Times New Roman" w:eastAsia="宋体" w:cs="Times New Roman"/>
                      <w:color w:val="auto"/>
                    </w:rPr>
                  </w:pPr>
                </w:p>
              </w:tc>
              <w:tc>
                <w:tcPr>
                  <w:tcW w:w="830" w:type="pct"/>
                  <w:noWrap w:val="0"/>
                  <w:vAlign w:val="center"/>
                </w:tcPr>
                <w:p w14:paraId="7B93817C">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甲苯</w:t>
                  </w:r>
                </w:p>
              </w:tc>
              <w:tc>
                <w:tcPr>
                  <w:tcW w:w="767" w:type="pct"/>
                  <w:noWrap w:val="0"/>
                  <w:vAlign w:val="center"/>
                </w:tcPr>
                <w:p w14:paraId="7F79D504">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2.4</w:t>
                  </w:r>
                  <w:r>
                    <w:rPr>
                      <w:rFonts w:hint="eastAsia" w:ascii="Times New Roman" w:hAnsi="Times New Roman" w:eastAsia="宋体" w:cs="Times New Roman"/>
                      <w:color w:val="auto"/>
                    </w:rPr>
                    <w:t>mg/m³</w:t>
                  </w:r>
                </w:p>
              </w:tc>
              <w:tc>
                <w:tcPr>
                  <w:tcW w:w="693" w:type="pct"/>
                  <w:noWrap w:val="0"/>
                  <w:vAlign w:val="center"/>
                </w:tcPr>
                <w:p w14:paraId="39DB7E0D">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824" w:type="pct"/>
                  <w:vMerge w:val="continue"/>
                  <w:noWrap w:val="0"/>
                  <w:vAlign w:val="center"/>
                </w:tcPr>
                <w:p w14:paraId="32BED93E">
                  <w:pPr>
                    <w:adjustRightInd w:val="0"/>
                    <w:snapToGrid w:val="0"/>
                    <w:jc w:val="center"/>
                    <w:rPr>
                      <w:rFonts w:hint="eastAsia" w:ascii="Times New Roman" w:hAnsi="Times New Roman" w:eastAsia="宋体" w:cs="Times New Roman"/>
                      <w:color w:val="auto"/>
                    </w:rPr>
                  </w:pPr>
                </w:p>
              </w:tc>
            </w:tr>
            <w:tr w14:paraId="101D6A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6" w:type="pct"/>
                  <w:noWrap w:val="0"/>
                  <w:vAlign w:val="center"/>
                </w:tcPr>
                <w:p w14:paraId="50A22DB0">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10</w:t>
                  </w:r>
                </w:p>
              </w:tc>
              <w:tc>
                <w:tcPr>
                  <w:tcW w:w="375" w:type="pct"/>
                  <w:vMerge w:val="continue"/>
                  <w:noWrap w:val="0"/>
                  <w:vAlign w:val="center"/>
                </w:tcPr>
                <w:p w14:paraId="22595146">
                  <w:pPr>
                    <w:adjustRightInd w:val="0"/>
                    <w:snapToGrid w:val="0"/>
                    <w:jc w:val="center"/>
                    <w:rPr>
                      <w:rFonts w:hint="eastAsia" w:ascii="Times New Roman" w:hAnsi="Times New Roman" w:eastAsia="宋体" w:cs="Times New Roman"/>
                      <w:color w:val="auto"/>
                    </w:rPr>
                  </w:pPr>
                </w:p>
              </w:tc>
              <w:tc>
                <w:tcPr>
                  <w:tcW w:w="1003" w:type="pct"/>
                  <w:vMerge w:val="continue"/>
                  <w:noWrap w:val="0"/>
                  <w:vAlign w:val="center"/>
                </w:tcPr>
                <w:p w14:paraId="4993BC46">
                  <w:pPr>
                    <w:adjustRightInd w:val="0"/>
                    <w:snapToGrid w:val="0"/>
                    <w:jc w:val="center"/>
                    <w:rPr>
                      <w:rFonts w:hint="eastAsia" w:ascii="Times New Roman" w:hAnsi="Times New Roman" w:eastAsia="宋体" w:cs="Times New Roman"/>
                      <w:color w:val="auto"/>
                    </w:rPr>
                  </w:pPr>
                </w:p>
              </w:tc>
              <w:tc>
                <w:tcPr>
                  <w:tcW w:w="830" w:type="pct"/>
                  <w:noWrap w:val="0"/>
                  <w:vAlign w:val="center"/>
                </w:tcPr>
                <w:p w14:paraId="23113163">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二甲苯</w:t>
                  </w:r>
                </w:p>
              </w:tc>
              <w:tc>
                <w:tcPr>
                  <w:tcW w:w="767" w:type="pct"/>
                  <w:noWrap w:val="0"/>
                  <w:vAlign w:val="center"/>
                </w:tcPr>
                <w:p w14:paraId="7C7540CE">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1.2</w:t>
                  </w:r>
                  <w:r>
                    <w:rPr>
                      <w:rFonts w:hint="eastAsia" w:ascii="Times New Roman" w:hAnsi="Times New Roman" w:eastAsia="宋体" w:cs="Times New Roman"/>
                      <w:color w:val="auto"/>
                    </w:rPr>
                    <w:t>mg/m³</w:t>
                  </w:r>
                </w:p>
              </w:tc>
              <w:tc>
                <w:tcPr>
                  <w:tcW w:w="693" w:type="pct"/>
                  <w:noWrap w:val="0"/>
                  <w:vAlign w:val="center"/>
                </w:tcPr>
                <w:p w14:paraId="6A69841C">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824" w:type="pct"/>
                  <w:vMerge w:val="continue"/>
                  <w:noWrap w:val="0"/>
                  <w:vAlign w:val="center"/>
                </w:tcPr>
                <w:p w14:paraId="0C8DF9FD">
                  <w:pPr>
                    <w:adjustRightInd w:val="0"/>
                    <w:snapToGrid w:val="0"/>
                    <w:jc w:val="center"/>
                    <w:rPr>
                      <w:rFonts w:hint="eastAsia" w:ascii="Times New Roman" w:hAnsi="Times New Roman" w:eastAsia="宋体" w:cs="Times New Roman"/>
                      <w:color w:val="auto"/>
                    </w:rPr>
                  </w:pPr>
                </w:p>
              </w:tc>
            </w:tr>
          </w:tbl>
          <w:p w14:paraId="43991D88">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厂区内VOC</w:t>
            </w:r>
            <w:r>
              <w:rPr>
                <w:rFonts w:hint="eastAsia" w:ascii="Times New Roman" w:hAnsi="Times New Roman" w:eastAsia="宋体" w:cs="Times New Roman"/>
                <w:color w:val="auto"/>
                <w:sz w:val="24"/>
                <w:vertAlign w:val="subscript"/>
                <w:lang w:val="en-US" w:eastAsia="zh-CN"/>
              </w:rPr>
              <w:t>S</w:t>
            </w:r>
            <w:r>
              <w:rPr>
                <w:rFonts w:hint="eastAsia" w:ascii="Times New Roman" w:hAnsi="Times New Roman" w:eastAsia="宋体" w:cs="Times New Roman"/>
                <w:color w:val="auto"/>
                <w:sz w:val="24"/>
                <w:lang w:val="en-US" w:eastAsia="zh-CN"/>
              </w:rPr>
              <w:t>无组织排放执行《挥发性有机物无组织排放控制标准》（GB37822-2019）附录A表A.1中特别排放限值要求，详见表3-</w:t>
            </w:r>
            <w:r>
              <w:rPr>
                <w:rFonts w:hint="eastAsia" w:cs="Times New Roman"/>
                <w:color w:val="auto"/>
                <w:sz w:val="24"/>
                <w:lang w:val="en-US" w:eastAsia="zh-CN"/>
              </w:rPr>
              <w:t>5</w:t>
            </w:r>
            <w:r>
              <w:rPr>
                <w:rFonts w:hint="eastAsia" w:ascii="Times New Roman" w:hAnsi="Times New Roman" w:eastAsia="宋体" w:cs="Times New Roman"/>
                <w:color w:val="auto"/>
                <w:sz w:val="24"/>
                <w:lang w:val="en-US" w:eastAsia="zh-CN"/>
              </w:rPr>
              <w:t>。</w:t>
            </w:r>
          </w:p>
          <w:p w14:paraId="2926C7DC">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lang w:val="en-US"/>
              </w:rPr>
            </w:pPr>
            <w:r>
              <w:rPr>
                <w:rFonts w:hint="default"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3-</w:t>
            </w:r>
            <w:r>
              <w:rPr>
                <w:rFonts w:hint="eastAsia" w:cs="Times New Roman"/>
                <w:b/>
                <w:bCs/>
                <w:color w:val="auto"/>
                <w:lang w:val="en-US" w:eastAsia="zh-CN"/>
              </w:rPr>
              <w:t>5</w:t>
            </w:r>
            <w:r>
              <w:rPr>
                <w:rFonts w:hint="default" w:ascii="Times New Roman" w:hAnsi="Times New Roman" w:eastAsia="宋体" w:cs="Times New Roman"/>
                <w:b/>
                <w:bCs/>
                <w:color w:val="auto"/>
              </w:rPr>
              <w:t xml:space="preserve"> </w:t>
            </w:r>
            <w:r>
              <w:rPr>
                <w:rFonts w:hint="eastAsia" w:ascii="Times New Roman" w:hAnsi="Times New Roman" w:eastAsia="宋体" w:cs="Times New Roman"/>
                <w:b/>
                <w:bCs/>
                <w:color w:val="auto"/>
                <w:lang w:val="en-US" w:eastAsia="zh-CN"/>
              </w:rPr>
              <w:t>厂区内VOC</w:t>
            </w:r>
            <w:r>
              <w:rPr>
                <w:rFonts w:hint="eastAsia" w:ascii="Times New Roman" w:hAnsi="Times New Roman" w:eastAsia="宋体" w:cs="Times New Roman"/>
                <w:b/>
                <w:bCs/>
                <w:color w:val="auto"/>
                <w:vertAlign w:val="subscript"/>
                <w:lang w:val="en-US" w:eastAsia="zh-CN"/>
              </w:rPr>
              <w:t>S</w:t>
            </w:r>
            <w:r>
              <w:rPr>
                <w:rFonts w:hint="eastAsia" w:ascii="Times New Roman" w:hAnsi="Times New Roman" w:eastAsia="宋体" w:cs="Times New Roman"/>
                <w:b/>
                <w:bCs/>
                <w:color w:val="auto"/>
                <w:lang w:val="en-US" w:eastAsia="zh-CN"/>
              </w:rPr>
              <w:t>无组织排放限值</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76"/>
              <w:gridCol w:w="1624"/>
              <w:gridCol w:w="2607"/>
              <w:gridCol w:w="2428"/>
            </w:tblGrid>
            <w:tr w14:paraId="63F3F1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56" w:type="pct"/>
                  <w:noWrap w:val="0"/>
                  <w:vAlign w:val="center"/>
                </w:tcPr>
                <w:p w14:paraId="72F1FB1E">
                  <w:pPr>
                    <w:adjustRightInd w:val="0"/>
                    <w:snapToGrid w:val="0"/>
                    <w:jc w:val="center"/>
                    <w:rPr>
                      <w:rFonts w:hint="eastAsia" w:eastAsia="宋体"/>
                      <w:b/>
                      <w:bCs/>
                      <w:color w:val="auto"/>
                      <w:lang w:eastAsia="zh-CN"/>
                    </w:rPr>
                  </w:pPr>
                  <w:r>
                    <w:rPr>
                      <w:rFonts w:hint="eastAsia"/>
                      <w:b/>
                      <w:bCs/>
                      <w:color w:val="auto"/>
                    </w:rPr>
                    <w:t>污染</w:t>
                  </w:r>
                  <w:r>
                    <w:rPr>
                      <w:rFonts w:hint="eastAsia"/>
                      <w:b/>
                      <w:bCs/>
                      <w:color w:val="auto"/>
                      <w:lang w:val="en-US" w:eastAsia="zh-CN"/>
                    </w:rPr>
                    <w:t>物</w:t>
                  </w:r>
                </w:p>
              </w:tc>
              <w:tc>
                <w:tcPr>
                  <w:tcW w:w="1010" w:type="pct"/>
                  <w:noWrap w:val="0"/>
                  <w:vAlign w:val="center"/>
                </w:tcPr>
                <w:p w14:paraId="1E38868E">
                  <w:pPr>
                    <w:adjustRightInd w:val="0"/>
                    <w:snapToGrid w:val="0"/>
                    <w:jc w:val="center"/>
                    <w:rPr>
                      <w:rFonts w:hint="default"/>
                      <w:b/>
                      <w:bCs/>
                      <w:color w:val="auto"/>
                      <w:lang w:val="en-US"/>
                    </w:rPr>
                  </w:pPr>
                  <w:r>
                    <w:rPr>
                      <w:rFonts w:hint="eastAsia"/>
                      <w:b/>
                      <w:bCs/>
                      <w:color w:val="auto"/>
                      <w:lang w:val="en-US" w:eastAsia="zh-CN"/>
                    </w:rPr>
                    <w:t>特别排放限值</w:t>
                  </w:r>
                </w:p>
              </w:tc>
              <w:tc>
                <w:tcPr>
                  <w:tcW w:w="1622" w:type="pct"/>
                  <w:noWrap w:val="0"/>
                  <w:vAlign w:val="center"/>
                </w:tcPr>
                <w:p w14:paraId="346ECF86">
                  <w:pPr>
                    <w:adjustRightInd w:val="0"/>
                    <w:snapToGrid w:val="0"/>
                    <w:jc w:val="center"/>
                    <w:rPr>
                      <w:rFonts w:hint="default" w:eastAsia="宋体"/>
                      <w:b/>
                      <w:bCs/>
                      <w:color w:val="auto"/>
                      <w:lang w:val="en-US" w:eastAsia="zh-CN"/>
                    </w:rPr>
                  </w:pPr>
                  <w:r>
                    <w:rPr>
                      <w:rFonts w:hint="eastAsia"/>
                      <w:b/>
                      <w:bCs/>
                      <w:color w:val="auto"/>
                      <w:lang w:val="en-US" w:eastAsia="zh-CN"/>
                    </w:rPr>
                    <w:t>限值含义</w:t>
                  </w:r>
                </w:p>
              </w:tc>
              <w:tc>
                <w:tcPr>
                  <w:tcW w:w="1510" w:type="pct"/>
                  <w:tcBorders>
                    <w:bottom w:val="single" w:color="auto" w:sz="12" w:space="0"/>
                  </w:tcBorders>
                  <w:noWrap w:val="0"/>
                  <w:vAlign w:val="center"/>
                </w:tcPr>
                <w:p w14:paraId="21647659">
                  <w:pPr>
                    <w:adjustRightInd w:val="0"/>
                    <w:snapToGrid w:val="0"/>
                    <w:jc w:val="center"/>
                    <w:rPr>
                      <w:rFonts w:hint="default" w:eastAsia="宋体"/>
                      <w:b/>
                      <w:bCs/>
                      <w:color w:val="auto"/>
                      <w:lang w:val="en-US" w:eastAsia="zh-CN"/>
                    </w:rPr>
                  </w:pPr>
                  <w:r>
                    <w:rPr>
                      <w:rFonts w:hint="eastAsia"/>
                      <w:b/>
                      <w:bCs/>
                      <w:color w:val="auto"/>
                    </w:rPr>
                    <w:t>无组织排放</w:t>
                  </w:r>
                  <w:r>
                    <w:rPr>
                      <w:rFonts w:hint="eastAsia"/>
                      <w:b/>
                      <w:bCs/>
                      <w:color w:val="auto"/>
                      <w:lang w:val="en-US" w:eastAsia="zh-CN"/>
                    </w:rPr>
                    <w:t>监控位置</w:t>
                  </w:r>
                </w:p>
              </w:tc>
            </w:tr>
            <w:tr w14:paraId="27124B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6" w:type="pct"/>
                  <w:vMerge w:val="restart"/>
                  <w:tcBorders>
                    <w:top w:val="single" w:color="auto" w:sz="12" w:space="0"/>
                  </w:tcBorders>
                  <w:noWrap w:val="0"/>
                  <w:vAlign w:val="center"/>
                </w:tcPr>
                <w:p w14:paraId="2A2DEC78">
                  <w:pPr>
                    <w:adjustRightInd w:val="0"/>
                    <w:snapToGrid w:val="0"/>
                    <w:jc w:val="center"/>
                    <w:rPr>
                      <w:rFonts w:hint="eastAsia" w:eastAsia="宋体"/>
                      <w:color w:val="auto"/>
                      <w:lang w:val="en-US" w:eastAsia="zh-CN"/>
                    </w:rPr>
                  </w:pPr>
                  <w:r>
                    <w:rPr>
                      <w:rFonts w:hint="eastAsia"/>
                      <w:color w:val="auto"/>
                    </w:rPr>
                    <w:t>非甲烷总烃</w:t>
                  </w:r>
                </w:p>
              </w:tc>
              <w:tc>
                <w:tcPr>
                  <w:tcW w:w="1010" w:type="pct"/>
                  <w:tcBorders>
                    <w:top w:val="single" w:color="auto" w:sz="12" w:space="0"/>
                  </w:tcBorders>
                  <w:noWrap w:val="0"/>
                  <w:vAlign w:val="center"/>
                </w:tcPr>
                <w:p w14:paraId="27D4F315">
                  <w:pPr>
                    <w:adjustRightInd w:val="0"/>
                    <w:snapToGrid w:val="0"/>
                    <w:jc w:val="center"/>
                    <w:rPr>
                      <w:color w:val="auto"/>
                    </w:rPr>
                  </w:pPr>
                  <w:r>
                    <w:rPr>
                      <w:rFonts w:hint="eastAsia"/>
                      <w:color w:val="auto"/>
                      <w:lang w:val="en-US" w:eastAsia="zh-CN"/>
                    </w:rPr>
                    <w:t>6</w:t>
                  </w:r>
                  <w:r>
                    <w:rPr>
                      <w:rFonts w:hint="eastAsia"/>
                      <w:color w:val="auto"/>
                    </w:rPr>
                    <w:t>mg/m³</w:t>
                  </w:r>
                </w:p>
              </w:tc>
              <w:tc>
                <w:tcPr>
                  <w:tcW w:w="1622" w:type="pct"/>
                  <w:tcBorders>
                    <w:top w:val="single" w:color="auto" w:sz="12" w:space="0"/>
                  </w:tcBorders>
                  <w:noWrap w:val="0"/>
                  <w:vAlign w:val="center"/>
                </w:tcPr>
                <w:p w14:paraId="6C6FD883">
                  <w:pPr>
                    <w:adjustRightInd w:val="0"/>
                    <w:snapToGrid w:val="0"/>
                    <w:jc w:val="center"/>
                    <w:rPr>
                      <w:rFonts w:hint="eastAsia"/>
                      <w:color w:val="auto"/>
                      <w:kern w:val="2"/>
                      <w:sz w:val="21"/>
                      <w:szCs w:val="24"/>
                      <w:lang w:val="en-US" w:eastAsia="zh-CN" w:bidi="ar-SA"/>
                    </w:rPr>
                  </w:pPr>
                  <w:r>
                    <w:rPr>
                      <w:rFonts w:hint="eastAsia"/>
                      <w:color w:val="auto"/>
                    </w:rPr>
                    <w:t>监控点处1h平均浓度值</w:t>
                  </w:r>
                </w:p>
              </w:tc>
              <w:tc>
                <w:tcPr>
                  <w:tcW w:w="1510" w:type="pct"/>
                  <w:vMerge w:val="restart"/>
                  <w:tcBorders>
                    <w:top w:val="single" w:color="auto" w:sz="12" w:space="0"/>
                  </w:tcBorders>
                  <w:noWrap w:val="0"/>
                  <w:vAlign w:val="center"/>
                </w:tcPr>
                <w:p w14:paraId="180251BB">
                  <w:pPr>
                    <w:adjustRightInd w:val="0"/>
                    <w:snapToGrid w:val="0"/>
                    <w:jc w:val="center"/>
                    <w:rPr>
                      <w:color w:val="auto"/>
                    </w:rPr>
                  </w:pPr>
                  <w:r>
                    <w:rPr>
                      <w:rFonts w:hint="eastAsia"/>
                      <w:color w:val="auto"/>
                      <w:lang w:val="en-US" w:eastAsia="zh-CN"/>
                    </w:rPr>
                    <w:t>在厂房外设置监控</w:t>
                  </w:r>
                  <w:r>
                    <w:rPr>
                      <w:rFonts w:hint="eastAsia"/>
                      <w:color w:val="auto"/>
                    </w:rPr>
                    <w:t>点</w:t>
                  </w:r>
                </w:p>
              </w:tc>
            </w:tr>
            <w:tr w14:paraId="1A64C3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6" w:type="pct"/>
                  <w:vMerge w:val="continue"/>
                  <w:noWrap w:val="0"/>
                  <w:vAlign w:val="center"/>
                </w:tcPr>
                <w:p w14:paraId="4F84ED85">
                  <w:pPr>
                    <w:adjustRightInd w:val="0"/>
                    <w:snapToGrid w:val="0"/>
                    <w:jc w:val="center"/>
                    <w:rPr>
                      <w:rFonts w:hint="eastAsia" w:eastAsia="宋体"/>
                      <w:color w:val="auto"/>
                      <w:lang w:val="en-US" w:eastAsia="zh-CN"/>
                    </w:rPr>
                  </w:pPr>
                </w:p>
              </w:tc>
              <w:tc>
                <w:tcPr>
                  <w:tcW w:w="1010" w:type="pct"/>
                  <w:noWrap w:val="0"/>
                  <w:vAlign w:val="center"/>
                </w:tcPr>
                <w:p w14:paraId="58CA9CBB">
                  <w:pPr>
                    <w:adjustRightInd w:val="0"/>
                    <w:snapToGrid w:val="0"/>
                    <w:jc w:val="center"/>
                    <w:rPr>
                      <w:rFonts w:hint="eastAsia"/>
                      <w:color w:val="auto"/>
                    </w:rPr>
                  </w:pPr>
                  <w:r>
                    <w:rPr>
                      <w:rFonts w:hint="eastAsia"/>
                      <w:color w:val="auto"/>
                      <w:lang w:val="en-US" w:eastAsia="zh-CN"/>
                    </w:rPr>
                    <w:t>20</w:t>
                  </w:r>
                  <w:r>
                    <w:rPr>
                      <w:rFonts w:hint="eastAsia"/>
                      <w:color w:val="auto"/>
                    </w:rPr>
                    <w:t>mg/m³</w:t>
                  </w:r>
                </w:p>
              </w:tc>
              <w:tc>
                <w:tcPr>
                  <w:tcW w:w="1622" w:type="pct"/>
                  <w:noWrap w:val="0"/>
                  <w:vAlign w:val="center"/>
                </w:tcPr>
                <w:p w14:paraId="2D48CE45">
                  <w:pPr>
                    <w:adjustRightInd w:val="0"/>
                    <w:snapToGrid w:val="0"/>
                    <w:jc w:val="center"/>
                    <w:rPr>
                      <w:rFonts w:hint="default"/>
                      <w:color w:val="auto"/>
                      <w:kern w:val="2"/>
                      <w:sz w:val="21"/>
                      <w:szCs w:val="24"/>
                      <w:lang w:val="en-US" w:eastAsia="zh-CN" w:bidi="ar-SA"/>
                    </w:rPr>
                  </w:pPr>
                  <w:r>
                    <w:rPr>
                      <w:rFonts w:hint="eastAsia"/>
                      <w:color w:val="auto"/>
                    </w:rPr>
                    <w:t>监控点处任意一次浓度值</w:t>
                  </w:r>
                </w:p>
              </w:tc>
              <w:tc>
                <w:tcPr>
                  <w:tcW w:w="1510" w:type="pct"/>
                  <w:vMerge w:val="continue"/>
                  <w:noWrap w:val="0"/>
                  <w:vAlign w:val="center"/>
                </w:tcPr>
                <w:p w14:paraId="1F60AF47">
                  <w:pPr>
                    <w:adjustRightInd w:val="0"/>
                    <w:snapToGrid w:val="0"/>
                    <w:jc w:val="center"/>
                    <w:rPr>
                      <w:color w:val="auto"/>
                    </w:rPr>
                  </w:pPr>
                </w:p>
              </w:tc>
            </w:tr>
          </w:tbl>
          <w:p w14:paraId="5BA05667">
            <w:pPr>
              <w:wordWrap w:val="0"/>
              <w:spacing w:before="120" w:beforeLines="50" w:line="360" w:lineRule="auto"/>
              <w:ind w:firstLine="480" w:firstLineChars="200"/>
              <w:rPr>
                <w:rFonts w:hint="eastAsia"/>
                <w:color w:val="auto"/>
                <w:sz w:val="24"/>
              </w:rPr>
            </w:pPr>
            <w:r>
              <w:rPr>
                <w:rFonts w:hint="eastAsia"/>
                <w:color w:val="auto"/>
                <w:sz w:val="24"/>
              </w:rPr>
              <w:t>（2）废水</w:t>
            </w:r>
            <w:r>
              <w:rPr>
                <w:rFonts w:hint="eastAsia" w:ascii="Times New Roman" w:hAnsi="Times New Roman" w:eastAsia="宋体" w:cs="Times New Roman"/>
                <w:color w:val="auto"/>
                <w:sz w:val="24"/>
                <w:lang w:val="en-US" w:eastAsia="zh-CN"/>
              </w:rPr>
              <w:t>排放标准</w:t>
            </w:r>
          </w:p>
          <w:p w14:paraId="3B9FDBA1">
            <w:pPr>
              <w:wordWrap w:val="0"/>
              <w:spacing w:line="360" w:lineRule="auto"/>
              <w:ind w:firstLine="480" w:firstLineChars="200"/>
              <w:rPr>
                <w:rFonts w:hint="eastAsia"/>
                <w:color w:val="auto"/>
                <w:sz w:val="24"/>
              </w:rPr>
            </w:pPr>
            <w:r>
              <w:rPr>
                <w:rFonts w:hint="eastAsia"/>
                <w:color w:val="auto"/>
                <w:sz w:val="24"/>
                <w:lang w:val="en-US" w:eastAsia="zh-CN"/>
              </w:rPr>
              <w:t>项目</w:t>
            </w:r>
            <w:r>
              <w:rPr>
                <w:rFonts w:hint="eastAsia"/>
                <w:color w:val="auto"/>
                <w:sz w:val="24"/>
              </w:rPr>
              <w:t>运营期生活污水排入园区污水管网，最终进入园区污水处理厂处理。</w:t>
            </w:r>
            <w:r>
              <w:rPr>
                <w:rFonts w:hint="eastAsia"/>
                <w:color w:val="auto"/>
                <w:spacing w:val="6"/>
                <w:sz w:val="24"/>
                <w:lang w:val="en-US" w:eastAsia="zh-CN"/>
              </w:rPr>
              <w:t>本项目废水pH、COD、BOD</w:t>
            </w:r>
            <w:r>
              <w:rPr>
                <w:rFonts w:hint="eastAsia"/>
                <w:color w:val="auto"/>
                <w:spacing w:val="6"/>
                <w:sz w:val="24"/>
                <w:vertAlign w:val="subscript"/>
                <w:lang w:val="en-US" w:eastAsia="zh-CN"/>
              </w:rPr>
              <w:t>5</w:t>
            </w:r>
            <w:r>
              <w:rPr>
                <w:rFonts w:hint="eastAsia"/>
                <w:color w:val="auto"/>
                <w:spacing w:val="6"/>
                <w:sz w:val="24"/>
                <w:lang w:val="en-US" w:eastAsia="zh-CN"/>
              </w:rPr>
              <w:t>和SS排放浓度执行</w:t>
            </w:r>
            <w:r>
              <w:rPr>
                <w:rFonts w:hint="eastAsia"/>
                <w:color w:val="auto"/>
                <w:spacing w:val="6"/>
                <w:sz w:val="24"/>
              </w:rPr>
              <w:t>《污水综合排放标准》</w:t>
            </w:r>
            <w:r>
              <w:rPr>
                <w:rFonts w:hint="eastAsia"/>
                <w:color w:val="auto"/>
                <w:sz w:val="24"/>
              </w:rPr>
              <w:t>（GB8978-1996）表4第二类污染物最高允许排放浓度中三级标准，</w:t>
            </w:r>
            <w:r>
              <w:rPr>
                <w:rFonts w:hint="eastAsia"/>
                <w:color w:val="auto"/>
                <w:sz w:val="24"/>
                <w:lang w:val="en-US" w:eastAsia="zh-CN"/>
              </w:rPr>
              <w:t>氨氮排放浓度执行《污水排入城镇下水道水质标准》（GB/T31962-2015）表1污水排入城镇下水道水质控制项目限值中B级标准，</w:t>
            </w:r>
            <w:r>
              <w:rPr>
                <w:rFonts w:hint="eastAsia"/>
                <w:color w:val="auto"/>
                <w:sz w:val="24"/>
              </w:rPr>
              <w:t>详见表</w:t>
            </w:r>
            <w:r>
              <w:rPr>
                <w:rFonts w:hint="eastAsia"/>
                <w:color w:val="auto"/>
                <w:sz w:val="24"/>
                <w:lang w:val="en-US" w:eastAsia="zh-CN"/>
              </w:rPr>
              <w:t>3-6</w:t>
            </w:r>
            <w:r>
              <w:rPr>
                <w:rFonts w:hint="eastAsia"/>
                <w:color w:val="auto"/>
                <w:sz w:val="24"/>
              </w:rPr>
              <w:t>。</w:t>
            </w:r>
          </w:p>
          <w:p w14:paraId="463F0FC8">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表3-</w:t>
            </w:r>
            <w:r>
              <w:rPr>
                <w:rFonts w:hint="eastAsia" w:cs="Times New Roman"/>
                <w:b/>
                <w:bCs/>
                <w:color w:val="auto"/>
                <w:lang w:val="en-US" w:eastAsia="zh-CN"/>
              </w:rPr>
              <w:t>6</w:t>
            </w:r>
            <w:r>
              <w:rPr>
                <w:rFonts w:hint="eastAsia" w:ascii="Times New Roman" w:hAnsi="Times New Roman" w:eastAsia="宋体" w:cs="Times New Roman"/>
                <w:b/>
                <w:bCs/>
                <w:color w:val="auto"/>
                <w:lang w:val="en-US" w:eastAsia="zh-CN"/>
              </w:rPr>
              <w:t xml:space="preserve"> 废水污染物排放标准限值</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93"/>
              <w:gridCol w:w="1239"/>
              <w:gridCol w:w="1096"/>
              <w:gridCol w:w="1215"/>
              <w:gridCol w:w="3593"/>
            </w:tblGrid>
            <w:tr w14:paraId="74D5D2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5" w:type="pct"/>
                  <w:tcBorders>
                    <w:bottom w:val="single" w:color="auto" w:sz="12" w:space="0"/>
                  </w:tcBorders>
                  <w:noWrap w:val="0"/>
                  <w:vAlign w:val="center"/>
                </w:tcPr>
                <w:p w14:paraId="549E7D31">
                  <w:pPr>
                    <w:adjustRightInd w:val="0"/>
                    <w:snapToGrid w:val="0"/>
                    <w:jc w:val="center"/>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序号</w:t>
                  </w:r>
                </w:p>
              </w:tc>
              <w:tc>
                <w:tcPr>
                  <w:tcW w:w="770" w:type="pct"/>
                  <w:tcBorders>
                    <w:bottom w:val="single" w:color="auto" w:sz="12" w:space="0"/>
                  </w:tcBorders>
                  <w:noWrap w:val="0"/>
                  <w:vAlign w:val="center"/>
                </w:tcPr>
                <w:p w14:paraId="78B89ADF">
                  <w:pPr>
                    <w:adjustRightInd w:val="0"/>
                    <w:snapToGrid w:val="0"/>
                    <w:jc w:val="center"/>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监测项目</w:t>
                  </w:r>
                </w:p>
              </w:tc>
              <w:tc>
                <w:tcPr>
                  <w:tcW w:w="681" w:type="pct"/>
                  <w:tcBorders>
                    <w:bottom w:val="single" w:color="auto" w:sz="12" w:space="0"/>
                  </w:tcBorders>
                  <w:noWrap w:val="0"/>
                  <w:vAlign w:val="center"/>
                </w:tcPr>
                <w:p w14:paraId="42566AC9">
                  <w:pPr>
                    <w:adjustRightInd w:val="0"/>
                    <w:snapToGrid w:val="0"/>
                    <w:jc w:val="center"/>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单位</w:t>
                  </w:r>
                </w:p>
              </w:tc>
              <w:tc>
                <w:tcPr>
                  <w:tcW w:w="755" w:type="pct"/>
                  <w:tcBorders>
                    <w:bottom w:val="single" w:color="auto" w:sz="12" w:space="0"/>
                  </w:tcBorders>
                  <w:noWrap w:val="0"/>
                  <w:vAlign w:val="center"/>
                </w:tcPr>
                <w:p w14:paraId="5A6AB772">
                  <w:pPr>
                    <w:adjustRightInd w:val="0"/>
                    <w:snapToGrid w:val="0"/>
                    <w:jc w:val="center"/>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标准限值</w:t>
                  </w:r>
                </w:p>
              </w:tc>
              <w:tc>
                <w:tcPr>
                  <w:tcW w:w="2235" w:type="pct"/>
                  <w:tcBorders>
                    <w:bottom w:val="single" w:color="auto" w:sz="12" w:space="0"/>
                  </w:tcBorders>
                  <w:noWrap w:val="0"/>
                  <w:vAlign w:val="center"/>
                </w:tcPr>
                <w:p w14:paraId="12DB81C5">
                  <w:pPr>
                    <w:adjustRightInd w:val="0"/>
                    <w:snapToGrid w:val="0"/>
                    <w:jc w:val="center"/>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标准来源</w:t>
                  </w:r>
                </w:p>
              </w:tc>
            </w:tr>
            <w:tr w14:paraId="0AFEBA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5" w:type="pct"/>
                  <w:tcBorders>
                    <w:top w:val="single" w:color="auto" w:sz="12" w:space="0"/>
                  </w:tcBorders>
                  <w:noWrap w:val="0"/>
                  <w:vAlign w:val="center"/>
                </w:tcPr>
                <w:p w14:paraId="33BD4279">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p>
              </w:tc>
              <w:tc>
                <w:tcPr>
                  <w:tcW w:w="770" w:type="pct"/>
                  <w:tcBorders>
                    <w:top w:val="single" w:color="auto" w:sz="12" w:space="0"/>
                  </w:tcBorders>
                  <w:noWrap w:val="0"/>
                  <w:vAlign w:val="center"/>
                </w:tcPr>
                <w:p w14:paraId="6E778CD6">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pH</w:t>
                  </w:r>
                </w:p>
              </w:tc>
              <w:tc>
                <w:tcPr>
                  <w:tcW w:w="681" w:type="pct"/>
                  <w:tcBorders>
                    <w:top w:val="single" w:color="auto" w:sz="12" w:space="0"/>
                  </w:tcBorders>
                  <w:noWrap w:val="0"/>
                  <w:vAlign w:val="center"/>
                </w:tcPr>
                <w:p w14:paraId="39B0F76C">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无量纲</w:t>
                  </w:r>
                </w:p>
              </w:tc>
              <w:tc>
                <w:tcPr>
                  <w:tcW w:w="755" w:type="pct"/>
                  <w:tcBorders>
                    <w:top w:val="single" w:color="auto" w:sz="12" w:space="0"/>
                  </w:tcBorders>
                  <w:noWrap w:val="0"/>
                  <w:vAlign w:val="center"/>
                </w:tcPr>
                <w:p w14:paraId="5B9248B4">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6～9</w:t>
                  </w:r>
                </w:p>
              </w:tc>
              <w:tc>
                <w:tcPr>
                  <w:tcW w:w="2235" w:type="pct"/>
                  <w:vMerge w:val="restart"/>
                  <w:tcBorders>
                    <w:top w:val="single" w:color="auto" w:sz="12" w:space="0"/>
                  </w:tcBorders>
                  <w:noWrap w:val="0"/>
                  <w:vAlign w:val="center"/>
                </w:tcPr>
                <w:p w14:paraId="464E2254">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《污水综合排放标准》（GB8978-1996）表4</w:t>
                  </w:r>
                  <w:r>
                    <w:rPr>
                      <w:rFonts w:hint="eastAsia" w:cs="Times New Roman"/>
                      <w:color w:val="auto"/>
                      <w:lang w:val="en-US" w:eastAsia="zh-CN"/>
                    </w:rPr>
                    <w:t>中</w:t>
                  </w:r>
                </w:p>
                <w:p w14:paraId="380E1A1E">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三级标准</w:t>
                  </w:r>
                </w:p>
              </w:tc>
            </w:tr>
            <w:tr w14:paraId="693A4F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5" w:type="pct"/>
                  <w:noWrap w:val="0"/>
                  <w:vAlign w:val="center"/>
                </w:tcPr>
                <w:p w14:paraId="6C4AFF94">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w:t>
                  </w:r>
                </w:p>
              </w:tc>
              <w:tc>
                <w:tcPr>
                  <w:tcW w:w="770" w:type="pct"/>
                  <w:noWrap w:val="0"/>
                  <w:vAlign w:val="center"/>
                </w:tcPr>
                <w:p w14:paraId="7382AFDB">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COD</w:t>
                  </w:r>
                </w:p>
              </w:tc>
              <w:tc>
                <w:tcPr>
                  <w:tcW w:w="681" w:type="pct"/>
                  <w:noWrap w:val="0"/>
                  <w:vAlign w:val="center"/>
                </w:tcPr>
                <w:p w14:paraId="2205EC44">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mg/L</w:t>
                  </w:r>
                </w:p>
              </w:tc>
              <w:tc>
                <w:tcPr>
                  <w:tcW w:w="755" w:type="pct"/>
                  <w:noWrap w:val="0"/>
                  <w:vAlign w:val="center"/>
                </w:tcPr>
                <w:p w14:paraId="226DB609">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500</w:t>
                  </w:r>
                </w:p>
              </w:tc>
              <w:tc>
                <w:tcPr>
                  <w:tcW w:w="2235" w:type="pct"/>
                  <w:vMerge w:val="continue"/>
                  <w:noWrap w:val="0"/>
                  <w:vAlign w:val="center"/>
                </w:tcPr>
                <w:p w14:paraId="05E92313">
                  <w:pPr>
                    <w:adjustRightInd w:val="0"/>
                    <w:snapToGrid w:val="0"/>
                    <w:jc w:val="center"/>
                    <w:rPr>
                      <w:rFonts w:hint="default" w:ascii="Times New Roman" w:hAnsi="Times New Roman" w:eastAsia="宋体" w:cs="Times New Roman"/>
                      <w:color w:val="auto"/>
                      <w:lang w:val="en-US" w:eastAsia="zh-CN"/>
                    </w:rPr>
                  </w:pPr>
                </w:p>
              </w:tc>
            </w:tr>
            <w:tr w14:paraId="037EA1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5" w:type="pct"/>
                  <w:noWrap w:val="0"/>
                  <w:vAlign w:val="center"/>
                </w:tcPr>
                <w:p w14:paraId="37E9AA5D">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w:t>
                  </w:r>
                </w:p>
              </w:tc>
              <w:tc>
                <w:tcPr>
                  <w:tcW w:w="770" w:type="pct"/>
                  <w:noWrap w:val="0"/>
                  <w:vAlign w:val="center"/>
                </w:tcPr>
                <w:p w14:paraId="2798F02E">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BOD</w:t>
                  </w:r>
                  <w:r>
                    <w:rPr>
                      <w:rFonts w:hint="default" w:ascii="Times New Roman" w:hAnsi="Times New Roman" w:eastAsia="宋体" w:cs="Times New Roman"/>
                      <w:color w:val="auto"/>
                      <w:vertAlign w:val="subscript"/>
                      <w:lang w:val="en-US" w:eastAsia="zh-CN"/>
                    </w:rPr>
                    <w:t>5</w:t>
                  </w:r>
                </w:p>
              </w:tc>
              <w:tc>
                <w:tcPr>
                  <w:tcW w:w="681" w:type="pct"/>
                  <w:noWrap w:val="0"/>
                  <w:vAlign w:val="center"/>
                </w:tcPr>
                <w:p w14:paraId="706AF76F">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mg/L</w:t>
                  </w:r>
                </w:p>
              </w:tc>
              <w:tc>
                <w:tcPr>
                  <w:tcW w:w="755" w:type="pct"/>
                  <w:noWrap w:val="0"/>
                  <w:vAlign w:val="center"/>
                </w:tcPr>
                <w:p w14:paraId="12A945DB">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300</w:t>
                  </w:r>
                </w:p>
              </w:tc>
              <w:tc>
                <w:tcPr>
                  <w:tcW w:w="2235" w:type="pct"/>
                  <w:vMerge w:val="continue"/>
                  <w:noWrap w:val="0"/>
                  <w:vAlign w:val="center"/>
                </w:tcPr>
                <w:p w14:paraId="1615DB17">
                  <w:pPr>
                    <w:adjustRightInd w:val="0"/>
                    <w:snapToGrid w:val="0"/>
                    <w:jc w:val="center"/>
                    <w:rPr>
                      <w:rFonts w:hint="default" w:ascii="Times New Roman" w:hAnsi="Times New Roman" w:eastAsia="宋体" w:cs="Times New Roman"/>
                      <w:color w:val="auto"/>
                      <w:lang w:val="en-US" w:eastAsia="zh-CN"/>
                    </w:rPr>
                  </w:pPr>
                </w:p>
              </w:tc>
            </w:tr>
            <w:tr w14:paraId="677EC4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5" w:type="pct"/>
                  <w:noWrap w:val="0"/>
                  <w:vAlign w:val="center"/>
                </w:tcPr>
                <w:p w14:paraId="3F8E0B6A">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w:t>
                  </w:r>
                </w:p>
              </w:tc>
              <w:tc>
                <w:tcPr>
                  <w:tcW w:w="770" w:type="pct"/>
                  <w:noWrap w:val="0"/>
                  <w:vAlign w:val="center"/>
                </w:tcPr>
                <w:p w14:paraId="635557B5">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SS</w:t>
                  </w:r>
                </w:p>
              </w:tc>
              <w:tc>
                <w:tcPr>
                  <w:tcW w:w="681" w:type="pct"/>
                  <w:noWrap w:val="0"/>
                  <w:vAlign w:val="center"/>
                </w:tcPr>
                <w:p w14:paraId="552C8D79">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mg/L</w:t>
                  </w:r>
                </w:p>
              </w:tc>
              <w:tc>
                <w:tcPr>
                  <w:tcW w:w="755" w:type="pct"/>
                  <w:noWrap w:val="0"/>
                  <w:vAlign w:val="center"/>
                </w:tcPr>
                <w:p w14:paraId="2AD9D565">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400</w:t>
                  </w:r>
                </w:p>
              </w:tc>
              <w:tc>
                <w:tcPr>
                  <w:tcW w:w="2235" w:type="pct"/>
                  <w:vMerge w:val="continue"/>
                  <w:noWrap w:val="0"/>
                  <w:vAlign w:val="center"/>
                </w:tcPr>
                <w:p w14:paraId="5D5B19ED">
                  <w:pPr>
                    <w:adjustRightInd w:val="0"/>
                    <w:snapToGrid w:val="0"/>
                    <w:jc w:val="center"/>
                    <w:rPr>
                      <w:rFonts w:hint="eastAsia" w:ascii="Times New Roman" w:hAnsi="Times New Roman" w:eastAsia="宋体" w:cs="Times New Roman"/>
                      <w:color w:val="auto"/>
                      <w:lang w:val="en-US" w:eastAsia="zh-CN"/>
                    </w:rPr>
                  </w:pPr>
                </w:p>
              </w:tc>
            </w:tr>
            <w:tr w14:paraId="0938BF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555" w:type="pct"/>
                  <w:noWrap w:val="0"/>
                  <w:vAlign w:val="center"/>
                </w:tcPr>
                <w:p w14:paraId="0398846B">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5</w:t>
                  </w:r>
                </w:p>
              </w:tc>
              <w:tc>
                <w:tcPr>
                  <w:tcW w:w="770" w:type="pct"/>
                  <w:noWrap w:val="0"/>
                  <w:vAlign w:val="center"/>
                </w:tcPr>
                <w:p w14:paraId="07285CE3">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氨氮</w:t>
                  </w:r>
                </w:p>
              </w:tc>
              <w:tc>
                <w:tcPr>
                  <w:tcW w:w="681" w:type="pct"/>
                  <w:noWrap w:val="0"/>
                  <w:vAlign w:val="center"/>
                </w:tcPr>
                <w:p w14:paraId="256FF134">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mg/L</w:t>
                  </w:r>
                </w:p>
              </w:tc>
              <w:tc>
                <w:tcPr>
                  <w:tcW w:w="755" w:type="pct"/>
                  <w:noWrap w:val="0"/>
                  <w:vAlign w:val="center"/>
                </w:tcPr>
                <w:p w14:paraId="30BB0F8A">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45</w:t>
                  </w:r>
                </w:p>
              </w:tc>
              <w:tc>
                <w:tcPr>
                  <w:tcW w:w="2235" w:type="pct"/>
                  <w:noWrap w:val="0"/>
                  <w:vAlign w:val="center"/>
                </w:tcPr>
                <w:p w14:paraId="4BF42803">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《污水排入城镇下水道水质标准》（GB/T31962-2015）表1中B级</w:t>
                  </w:r>
                  <w:r>
                    <w:rPr>
                      <w:rFonts w:hint="eastAsia" w:cs="Times New Roman"/>
                      <w:color w:val="auto"/>
                      <w:lang w:val="en-US" w:eastAsia="zh-CN"/>
                    </w:rPr>
                    <w:t>标准</w:t>
                  </w:r>
                </w:p>
              </w:tc>
            </w:tr>
          </w:tbl>
          <w:p w14:paraId="6AC5A97D">
            <w:pPr>
              <w:wordWrap w:val="0"/>
              <w:spacing w:before="120" w:beforeLines="50" w:line="360" w:lineRule="auto"/>
              <w:ind w:firstLine="480" w:firstLineChars="20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（3）噪声</w:t>
            </w:r>
            <w:r>
              <w:rPr>
                <w:rFonts w:hint="eastAsia" w:ascii="Times New Roman" w:hAnsi="Times New Roman" w:eastAsia="宋体" w:cs="Times New Roman"/>
                <w:color w:val="auto"/>
                <w:sz w:val="24"/>
                <w:lang w:val="en-US" w:eastAsia="zh-CN"/>
              </w:rPr>
              <w:t>排放标准</w:t>
            </w:r>
          </w:p>
          <w:p w14:paraId="5F95730D">
            <w:pPr>
              <w:spacing w:line="360" w:lineRule="auto"/>
              <w:ind w:firstLine="480" w:firstLineChars="200"/>
              <w:rPr>
                <w:rFonts w:hint="eastAsia" w:ascii="Times New Roman" w:hAnsi="Times New Roman" w:eastAsia="宋体" w:cs="Times New Roman"/>
                <w:color w:val="auto"/>
                <w:sz w:val="24"/>
                <w:szCs w:val="24"/>
                <w:lang w:val="en-US" w:eastAsia="zh-CN"/>
              </w:rPr>
            </w:pPr>
            <w:bookmarkStart w:id="8" w:name="_Toc22000"/>
            <w:r>
              <w:rPr>
                <w:rFonts w:hint="eastAsia" w:ascii="Times New Roman" w:hAnsi="Times New Roman" w:eastAsia="宋体" w:cs="Times New Roman"/>
                <w:color w:val="auto"/>
                <w:sz w:val="24"/>
                <w:szCs w:val="24"/>
                <w:lang w:val="en-US" w:eastAsia="zh-CN"/>
              </w:rPr>
              <w:t>建筑施工场界噪声执行《建筑施工噪声排放标准》（GB12523-2025）排放限值要求；运营期厂界噪声排放执行《工业企业厂界环境噪声排放标准》（GB12348-2008）3类声环境功能区噪声排放限值，详见表3-</w:t>
            </w:r>
            <w:r>
              <w:rPr>
                <w:rFonts w:hint="eastAsia" w:cs="Times New Roman"/>
                <w:color w:val="auto"/>
                <w:sz w:val="24"/>
                <w:szCs w:val="24"/>
                <w:lang w:val="en-US" w:eastAsia="zh-CN"/>
              </w:rPr>
              <w:t>7</w:t>
            </w:r>
            <w:r>
              <w:rPr>
                <w:rFonts w:hint="eastAsia" w:ascii="Times New Roman" w:hAnsi="Times New Roman" w:eastAsia="宋体" w:cs="Times New Roman"/>
                <w:color w:val="auto"/>
                <w:sz w:val="24"/>
                <w:szCs w:val="24"/>
                <w:lang w:val="en-US" w:eastAsia="zh-CN"/>
              </w:rPr>
              <w:t>、表3-</w:t>
            </w:r>
            <w:r>
              <w:rPr>
                <w:rFonts w:hint="eastAsia" w:cs="Times New Roman"/>
                <w:color w:val="auto"/>
                <w:sz w:val="24"/>
                <w:szCs w:val="24"/>
                <w:lang w:val="en-US" w:eastAsia="zh-CN"/>
              </w:rPr>
              <w:t>8</w:t>
            </w:r>
            <w:r>
              <w:rPr>
                <w:rFonts w:hint="eastAsia" w:ascii="Times New Roman" w:hAnsi="Times New Roman" w:eastAsia="宋体" w:cs="Times New Roman"/>
                <w:color w:val="auto"/>
                <w:sz w:val="24"/>
                <w:szCs w:val="24"/>
                <w:lang w:val="en-US" w:eastAsia="zh-CN"/>
              </w:rPr>
              <w:t>。</w:t>
            </w:r>
            <w:bookmarkEnd w:id="8"/>
          </w:p>
          <w:p w14:paraId="6D2F390E">
            <w:pPr>
              <w:keepNext w:val="0"/>
              <w:keepLines w:val="0"/>
              <w:pageBreakBefore w:val="0"/>
              <w:widowControl w:val="0"/>
              <w:kinsoku/>
              <w:wordWrap/>
              <w:overflowPunct/>
              <w:topLinePunct w:val="0"/>
              <w:autoSpaceDE/>
              <w:autoSpaceDN/>
              <w:bidi w:val="0"/>
              <w:adjustRightInd/>
              <w:snapToGrid/>
              <w:spacing w:line="300" w:lineRule="auto"/>
              <w:jc w:val="right"/>
              <w:textAlignment w:val="auto"/>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表3-</w:t>
            </w:r>
            <w:r>
              <w:rPr>
                <w:rFonts w:hint="eastAsia" w:cs="Times New Roman"/>
                <w:b/>
                <w:bCs/>
                <w:color w:val="auto"/>
                <w:lang w:val="en-US" w:eastAsia="zh-CN"/>
              </w:rPr>
              <w:t>7</w:t>
            </w:r>
            <w:r>
              <w:rPr>
                <w:rFonts w:hint="eastAsia" w:ascii="Times New Roman" w:hAnsi="Times New Roman" w:eastAsia="宋体" w:cs="Times New Roman"/>
                <w:b/>
                <w:bCs/>
                <w:color w:val="auto"/>
                <w:lang w:val="en-US" w:eastAsia="zh-CN"/>
              </w:rPr>
              <w:t xml:space="preserve"> 建筑施工场界噪声排放限值           单位：dB（A）</w:t>
            </w:r>
          </w:p>
          <w:tbl>
            <w:tblPr>
              <w:tblStyle w:val="26"/>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099"/>
              <w:gridCol w:w="3933"/>
            </w:tblGrid>
            <w:tr w14:paraId="7CD6B4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69" w:hRule="atLeast"/>
                <w:jc w:val="center"/>
              </w:trPr>
              <w:tc>
                <w:tcPr>
                  <w:tcW w:w="2551" w:type="pct"/>
                  <w:noWrap w:val="0"/>
                  <w:vAlign w:val="center"/>
                </w:tcPr>
                <w:p w14:paraId="658B5630">
                  <w:pPr>
                    <w:adjustRightInd w:val="0"/>
                    <w:snapToGrid w:val="0"/>
                    <w:jc w:val="center"/>
                    <w:rPr>
                      <w:rFonts w:hint="eastAsia"/>
                      <w:b/>
                      <w:bCs/>
                      <w:color w:val="auto"/>
                    </w:rPr>
                  </w:pPr>
                  <w:r>
                    <w:rPr>
                      <w:rFonts w:hint="eastAsia"/>
                      <w:b/>
                      <w:bCs/>
                      <w:color w:val="auto"/>
                    </w:rPr>
                    <w:t>昼间</w:t>
                  </w:r>
                </w:p>
              </w:tc>
              <w:tc>
                <w:tcPr>
                  <w:tcW w:w="2448" w:type="pct"/>
                  <w:tcBorders>
                    <w:bottom w:val="single" w:color="auto" w:sz="12" w:space="0"/>
                  </w:tcBorders>
                  <w:noWrap w:val="0"/>
                  <w:vAlign w:val="center"/>
                </w:tcPr>
                <w:p w14:paraId="4D6D6AD9">
                  <w:pPr>
                    <w:adjustRightInd w:val="0"/>
                    <w:snapToGrid w:val="0"/>
                    <w:jc w:val="center"/>
                    <w:rPr>
                      <w:rFonts w:hint="eastAsia"/>
                      <w:color w:val="auto"/>
                    </w:rPr>
                  </w:pPr>
                  <w:r>
                    <w:rPr>
                      <w:rFonts w:hint="eastAsia"/>
                      <w:b/>
                      <w:bCs/>
                      <w:color w:val="auto"/>
                    </w:rPr>
                    <w:t>夜间</w:t>
                  </w:r>
                </w:p>
              </w:tc>
            </w:tr>
            <w:tr w14:paraId="0702C3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2551" w:type="pct"/>
                  <w:tcBorders>
                    <w:top w:val="single" w:color="auto" w:sz="12" w:space="0"/>
                  </w:tcBorders>
                  <w:noWrap w:val="0"/>
                  <w:vAlign w:val="center"/>
                </w:tcPr>
                <w:p w14:paraId="5380F6D1">
                  <w:pPr>
                    <w:adjustRightInd w:val="0"/>
                    <w:snapToGrid w:val="0"/>
                    <w:jc w:val="center"/>
                    <w:rPr>
                      <w:rFonts w:hint="default" w:eastAsia="宋体"/>
                      <w:color w:val="auto"/>
                      <w:lang w:val="en-US" w:eastAsia="zh-CN"/>
                    </w:rPr>
                  </w:pPr>
                  <w:r>
                    <w:rPr>
                      <w:rFonts w:hint="eastAsia"/>
                      <w:color w:val="auto"/>
                      <w:lang w:val="en-US" w:eastAsia="zh-CN"/>
                    </w:rPr>
                    <w:t>70</w:t>
                  </w:r>
                </w:p>
              </w:tc>
              <w:tc>
                <w:tcPr>
                  <w:tcW w:w="2448" w:type="pct"/>
                  <w:tcBorders>
                    <w:top w:val="single" w:color="auto" w:sz="12" w:space="0"/>
                  </w:tcBorders>
                  <w:noWrap w:val="0"/>
                  <w:vAlign w:val="center"/>
                </w:tcPr>
                <w:p w14:paraId="70CC0C2A">
                  <w:pPr>
                    <w:adjustRightInd w:val="0"/>
                    <w:snapToGrid w:val="0"/>
                    <w:jc w:val="center"/>
                    <w:rPr>
                      <w:rFonts w:hint="eastAsia"/>
                      <w:color w:val="auto"/>
                    </w:rPr>
                  </w:pPr>
                  <w:r>
                    <w:rPr>
                      <w:rFonts w:hint="eastAsia"/>
                      <w:color w:val="auto"/>
                    </w:rPr>
                    <w:t>55</w:t>
                  </w:r>
                </w:p>
              </w:tc>
            </w:tr>
          </w:tbl>
          <w:p w14:paraId="2D21F90B">
            <w:pPr>
              <w:keepNext w:val="0"/>
              <w:keepLines w:val="0"/>
              <w:pageBreakBefore w:val="0"/>
              <w:widowControl w:val="0"/>
              <w:kinsoku/>
              <w:wordWrap/>
              <w:overflowPunct/>
              <w:topLinePunct w:val="0"/>
              <w:autoSpaceDE/>
              <w:autoSpaceDN/>
              <w:bidi w:val="0"/>
              <w:adjustRightInd/>
              <w:snapToGrid/>
              <w:spacing w:before="157" w:beforeLines="50" w:line="300" w:lineRule="auto"/>
              <w:jc w:val="center"/>
              <w:textAlignment w:val="auto"/>
              <w:rPr>
                <w:rFonts w:hint="eastAsia" w:ascii="Times New Roman" w:hAnsi="Times New Roman" w:eastAsia="宋体" w:cs="Times New Roman"/>
                <w:b/>
                <w:bCs/>
                <w:color w:val="auto"/>
                <w:lang w:val="en-US" w:eastAsia="zh-CN"/>
              </w:rPr>
            </w:pPr>
          </w:p>
          <w:p w14:paraId="6D2E4994">
            <w:pPr>
              <w:keepNext w:val="0"/>
              <w:keepLines w:val="0"/>
              <w:pageBreakBefore w:val="0"/>
              <w:widowControl w:val="0"/>
              <w:kinsoku/>
              <w:wordWrap/>
              <w:overflowPunct/>
              <w:topLinePunct w:val="0"/>
              <w:autoSpaceDE/>
              <w:autoSpaceDN/>
              <w:bidi w:val="0"/>
              <w:adjustRightInd/>
              <w:snapToGrid/>
              <w:spacing w:before="157" w:beforeLines="50" w:line="300" w:lineRule="auto"/>
              <w:jc w:val="center"/>
              <w:textAlignment w:val="auto"/>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表3-</w:t>
            </w:r>
            <w:r>
              <w:rPr>
                <w:rFonts w:hint="eastAsia" w:cs="Times New Roman"/>
                <w:b/>
                <w:bCs/>
                <w:color w:val="auto"/>
                <w:lang w:val="en-US" w:eastAsia="zh-CN"/>
              </w:rPr>
              <w:t>8</w:t>
            </w:r>
            <w:r>
              <w:rPr>
                <w:rFonts w:hint="eastAsia" w:ascii="Times New Roman" w:hAnsi="Times New Roman" w:eastAsia="宋体" w:cs="Times New Roman"/>
                <w:b/>
                <w:bCs/>
                <w:color w:val="auto"/>
                <w:lang w:val="en-US" w:eastAsia="zh-CN"/>
              </w:rPr>
              <w:t xml:space="preserve"> 工业企业厂界环境噪声排放限值</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08"/>
              <w:gridCol w:w="2007"/>
              <w:gridCol w:w="2007"/>
              <w:gridCol w:w="2012"/>
            </w:tblGrid>
            <w:tr w14:paraId="662EA1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49" w:type="pct"/>
                  <w:vMerge w:val="restart"/>
                  <w:noWrap w:val="0"/>
                  <w:vAlign w:val="center"/>
                </w:tcPr>
                <w:p w14:paraId="787B6246">
                  <w:pPr>
                    <w:adjustRightInd w:val="0"/>
                    <w:snapToGrid w:val="0"/>
                    <w:jc w:val="center"/>
                    <w:rPr>
                      <w:rFonts w:hint="eastAsia"/>
                      <w:b/>
                      <w:bCs/>
                      <w:color w:val="auto"/>
                    </w:rPr>
                  </w:pPr>
                  <w:r>
                    <w:rPr>
                      <w:rFonts w:hint="eastAsia"/>
                      <w:b/>
                      <w:bCs/>
                      <w:color w:val="auto"/>
                    </w:rPr>
                    <w:t>类别</w:t>
                  </w:r>
                </w:p>
              </w:tc>
              <w:tc>
                <w:tcPr>
                  <w:tcW w:w="2498" w:type="pct"/>
                  <w:gridSpan w:val="2"/>
                  <w:noWrap w:val="0"/>
                  <w:vAlign w:val="center"/>
                </w:tcPr>
                <w:p w14:paraId="43A1D89E">
                  <w:pPr>
                    <w:adjustRightInd w:val="0"/>
                    <w:snapToGrid w:val="0"/>
                    <w:jc w:val="center"/>
                    <w:rPr>
                      <w:rFonts w:hint="eastAsia"/>
                      <w:b/>
                      <w:bCs/>
                      <w:color w:val="auto"/>
                    </w:rPr>
                  </w:pPr>
                  <w:r>
                    <w:rPr>
                      <w:rFonts w:hint="eastAsia"/>
                      <w:b/>
                      <w:bCs/>
                      <w:color w:val="auto"/>
                    </w:rPr>
                    <w:t>标准值</w:t>
                  </w:r>
                </w:p>
              </w:tc>
              <w:tc>
                <w:tcPr>
                  <w:tcW w:w="1252" w:type="pct"/>
                  <w:vMerge w:val="restart"/>
                  <w:noWrap w:val="0"/>
                  <w:vAlign w:val="center"/>
                </w:tcPr>
                <w:p w14:paraId="59C14239">
                  <w:pPr>
                    <w:adjustRightInd w:val="0"/>
                    <w:snapToGrid w:val="0"/>
                    <w:jc w:val="center"/>
                    <w:rPr>
                      <w:rFonts w:hint="eastAsia"/>
                      <w:color w:val="auto"/>
                    </w:rPr>
                  </w:pPr>
                  <w:r>
                    <w:rPr>
                      <w:rFonts w:hint="eastAsia"/>
                      <w:b/>
                      <w:bCs/>
                      <w:color w:val="auto"/>
                    </w:rPr>
                    <w:t>单位</w:t>
                  </w:r>
                </w:p>
              </w:tc>
            </w:tr>
            <w:tr w14:paraId="0E54CD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49" w:type="pct"/>
                  <w:vMerge w:val="continue"/>
                  <w:tcBorders>
                    <w:bottom w:val="single" w:color="auto" w:sz="12" w:space="0"/>
                  </w:tcBorders>
                  <w:noWrap w:val="0"/>
                  <w:vAlign w:val="center"/>
                </w:tcPr>
                <w:p w14:paraId="48088691">
                  <w:pPr>
                    <w:adjustRightInd w:val="0"/>
                    <w:snapToGrid w:val="0"/>
                    <w:jc w:val="center"/>
                    <w:rPr>
                      <w:b/>
                      <w:bCs/>
                      <w:color w:val="auto"/>
                    </w:rPr>
                  </w:pPr>
                </w:p>
              </w:tc>
              <w:tc>
                <w:tcPr>
                  <w:tcW w:w="1249" w:type="pct"/>
                  <w:tcBorders>
                    <w:bottom w:val="single" w:color="auto" w:sz="12" w:space="0"/>
                  </w:tcBorders>
                  <w:noWrap w:val="0"/>
                  <w:vAlign w:val="center"/>
                </w:tcPr>
                <w:p w14:paraId="1224FD7E">
                  <w:pPr>
                    <w:adjustRightInd w:val="0"/>
                    <w:snapToGrid w:val="0"/>
                    <w:jc w:val="center"/>
                    <w:rPr>
                      <w:rFonts w:hint="eastAsia"/>
                      <w:b/>
                      <w:bCs/>
                      <w:color w:val="auto"/>
                    </w:rPr>
                  </w:pPr>
                  <w:r>
                    <w:rPr>
                      <w:rFonts w:hint="eastAsia"/>
                      <w:b/>
                      <w:bCs/>
                      <w:color w:val="auto"/>
                    </w:rPr>
                    <w:t>昼间</w:t>
                  </w:r>
                </w:p>
              </w:tc>
              <w:tc>
                <w:tcPr>
                  <w:tcW w:w="1249" w:type="pct"/>
                  <w:tcBorders>
                    <w:bottom w:val="single" w:color="auto" w:sz="12" w:space="0"/>
                  </w:tcBorders>
                  <w:noWrap w:val="0"/>
                  <w:vAlign w:val="center"/>
                </w:tcPr>
                <w:p w14:paraId="79A5D12A">
                  <w:pPr>
                    <w:adjustRightInd w:val="0"/>
                    <w:snapToGrid w:val="0"/>
                    <w:jc w:val="center"/>
                    <w:rPr>
                      <w:rFonts w:hint="eastAsia"/>
                      <w:b/>
                      <w:bCs/>
                      <w:color w:val="auto"/>
                    </w:rPr>
                  </w:pPr>
                  <w:r>
                    <w:rPr>
                      <w:rFonts w:hint="eastAsia"/>
                      <w:b/>
                      <w:bCs/>
                      <w:color w:val="auto"/>
                    </w:rPr>
                    <w:t>夜间</w:t>
                  </w:r>
                </w:p>
              </w:tc>
              <w:tc>
                <w:tcPr>
                  <w:tcW w:w="1252" w:type="pct"/>
                  <w:vMerge w:val="continue"/>
                  <w:tcBorders>
                    <w:bottom w:val="single" w:color="auto" w:sz="12" w:space="0"/>
                  </w:tcBorders>
                  <w:noWrap w:val="0"/>
                  <w:vAlign w:val="center"/>
                </w:tcPr>
                <w:p w14:paraId="27996607">
                  <w:pPr>
                    <w:adjustRightInd w:val="0"/>
                    <w:snapToGrid w:val="0"/>
                    <w:jc w:val="center"/>
                    <w:rPr>
                      <w:color w:val="auto"/>
                    </w:rPr>
                  </w:pPr>
                </w:p>
              </w:tc>
            </w:tr>
            <w:tr w14:paraId="02D0DF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9" w:type="pct"/>
                  <w:tcBorders>
                    <w:top w:val="single" w:color="auto" w:sz="12" w:space="0"/>
                  </w:tcBorders>
                  <w:noWrap w:val="0"/>
                  <w:vAlign w:val="center"/>
                </w:tcPr>
                <w:p w14:paraId="4B37BD75">
                  <w:pPr>
                    <w:adjustRightInd w:val="0"/>
                    <w:snapToGrid w:val="0"/>
                    <w:jc w:val="center"/>
                    <w:rPr>
                      <w:rFonts w:hint="eastAsia"/>
                      <w:color w:val="auto"/>
                    </w:rPr>
                  </w:pPr>
                  <w:r>
                    <w:rPr>
                      <w:rFonts w:hint="eastAsia"/>
                      <w:color w:val="auto"/>
                    </w:rPr>
                    <w:t>3</w:t>
                  </w:r>
                </w:p>
              </w:tc>
              <w:tc>
                <w:tcPr>
                  <w:tcW w:w="1249" w:type="pct"/>
                  <w:tcBorders>
                    <w:top w:val="single" w:color="auto" w:sz="12" w:space="0"/>
                  </w:tcBorders>
                  <w:noWrap w:val="0"/>
                  <w:vAlign w:val="center"/>
                </w:tcPr>
                <w:p w14:paraId="00F857A7">
                  <w:pPr>
                    <w:adjustRightInd w:val="0"/>
                    <w:snapToGrid w:val="0"/>
                    <w:jc w:val="center"/>
                    <w:rPr>
                      <w:color w:val="auto"/>
                    </w:rPr>
                  </w:pPr>
                  <w:r>
                    <w:rPr>
                      <w:rFonts w:hint="eastAsia"/>
                      <w:color w:val="auto"/>
                    </w:rPr>
                    <w:t>65</w:t>
                  </w:r>
                </w:p>
              </w:tc>
              <w:tc>
                <w:tcPr>
                  <w:tcW w:w="1249" w:type="pct"/>
                  <w:tcBorders>
                    <w:top w:val="single" w:color="auto" w:sz="12" w:space="0"/>
                  </w:tcBorders>
                  <w:noWrap w:val="0"/>
                  <w:vAlign w:val="center"/>
                </w:tcPr>
                <w:p w14:paraId="2A2566A3">
                  <w:pPr>
                    <w:adjustRightInd w:val="0"/>
                    <w:snapToGrid w:val="0"/>
                    <w:jc w:val="center"/>
                    <w:rPr>
                      <w:color w:val="auto"/>
                    </w:rPr>
                  </w:pPr>
                  <w:r>
                    <w:rPr>
                      <w:rFonts w:hint="eastAsia"/>
                      <w:color w:val="auto"/>
                    </w:rPr>
                    <w:t>55</w:t>
                  </w:r>
                </w:p>
              </w:tc>
              <w:tc>
                <w:tcPr>
                  <w:tcW w:w="1252" w:type="pct"/>
                  <w:tcBorders>
                    <w:top w:val="single" w:color="auto" w:sz="12" w:space="0"/>
                  </w:tcBorders>
                  <w:noWrap w:val="0"/>
                  <w:vAlign w:val="center"/>
                </w:tcPr>
                <w:p w14:paraId="7D72C451">
                  <w:pPr>
                    <w:adjustRightInd w:val="0"/>
                    <w:snapToGrid w:val="0"/>
                    <w:jc w:val="center"/>
                    <w:rPr>
                      <w:rFonts w:hint="eastAsia"/>
                      <w:color w:val="auto"/>
                    </w:rPr>
                  </w:pPr>
                  <w:r>
                    <w:rPr>
                      <w:rFonts w:hint="eastAsia"/>
                      <w:color w:val="auto"/>
                    </w:rPr>
                    <w:t>dB（A）</w:t>
                  </w:r>
                </w:p>
              </w:tc>
            </w:tr>
          </w:tbl>
          <w:p w14:paraId="0EFDC721">
            <w:pPr>
              <w:adjustRightInd w:val="0"/>
              <w:snapToGrid w:val="0"/>
              <w:spacing w:before="120" w:beforeLines="50" w:line="360" w:lineRule="auto"/>
              <w:rPr>
                <w:rFonts w:hint="eastAsia" w:ascii="宋体" w:hAnsi="宋体" w:cs="宋体"/>
                <w:b/>
                <w:bCs/>
                <w:color w:val="auto"/>
                <w:sz w:val="24"/>
              </w:rPr>
            </w:pPr>
            <w:r>
              <w:rPr>
                <w:rFonts w:hint="eastAsia" w:ascii="宋体" w:hAnsi="宋体" w:cs="宋体"/>
                <w:b/>
                <w:bCs/>
                <w:color w:val="auto"/>
                <w:sz w:val="24"/>
              </w:rPr>
              <w:t>2.控制标准</w:t>
            </w:r>
          </w:p>
          <w:p w14:paraId="4DDC5853">
            <w:pPr>
              <w:wordWrap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《一般工业固体废物贮存和填埋污染控制标准》（GB18599-2020）；</w:t>
            </w:r>
          </w:p>
          <w:p w14:paraId="4EFAD5CB">
            <w:pPr>
              <w:wordWrap w:val="0"/>
              <w:spacing w:line="360" w:lineRule="auto"/>
              <w:ind w:firstLine="480" w:firstLineChars="200"/>
              <w:rPr>
                <w:rFonts w:hint="eastAsia" w:ascii="Times New Roman" w:hAnsi="Times New Roman" w:eastAsia="宋体" w:cs="Times New Roman"/>
                <w:color w:val="auto"/>
                <w:sz w:val="24"/>
                <w:lang w:eastAsia="zh-CN"/>
              </w:rPr>
            </w:pPr>
            <w:r>
              <w:rPr>
                <w:rFonts w:hint="eastAsia" w:ascii="Times New Roman" w:hAnsi="Times New Roman" w:eastAsia="宋体" w:cs="Times New Roman"/>
                <w:color w:val="auto"/>
                <w:sz w:val="24"/>
              </w:rPr>
              <w:t>《危险废物贮存污染控制标准》（GB 18597-2023）</w:t>
            </w:r>
            <w:r>
              <w:rPr>
                <w:rFonts w:hint="eastAsia" w:cs="Times New Roman"/>
                <w:color w:val="auto"/>
                <w:sz w:val="24"/>
                <w:lang w:eastAsia="zh-CN"/>
              </w:rPr>
              <w:t>。</w:t>
            </w:r>
          </w:p>
          <w:p w14:paraId="1706142C">
            <w:pPr>
              <w:keepNext w:val="0"/>
              <w:keepLines w:val="0"/>
              <w:pageBreakBefore w:val="0"/>
              <w:widowControl w:val="0"/>
              <w:kinsoku/>
              <w:wordWrap/>
              <w:overflowPunct/>
              <w:topLinePunct w:val="0"/>
              <w:autoSpaceDE/>
              <w:autoSpaceDN/>
              <w:bidi w:val="0"/>
              <w:adjustRightInd w:val="0"/>
              <w:snapToGrid w:val="0"/>
              <w:spacing w:line="334" w:lineRule="auto"/>
              <w:jc w:val="both"/>
              <w:textAlignment w:val="auto"/>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3.其他要求</w:t>
            </w:r>
          </w:p>
          <w:p w14:paraId="6B411CD0">
            <w:pPr>
              <w:wordWrap w:val="0"/>
              <w:spacing w:line="360" w:lineRule="auto"/>
              <w:ind w:firstLine="480" w:firstLineChars="200"/>
              <w:rPr>
                <w:rFonts w:hint="eastAsia"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szCs w:val="24"/>
                <w:highlight w:val="none"/>
                <w:lang w:val="en-US" w:eastAsia="zh-CN"/>
              </w:rPr>
              <w:t>《环境保护图形</w:t>
            </w:r>
            <w:r>
              <w:rPr>
                <w:rFonts w:hint="eastAsia" w:cs="Times New Roman"/>
                <w:color w:val="auto"/>
                <w:sz w:val="24"/>
                <w:szCs w:val="24"/>
                <w:highlight w:val="none"/>
                <w:lang w:val="en-US" w:eastAsia="zh-CN"/>
              </w:rPr>
              <w:t>标志</w:t>
            </w:r>
            <w:r>
              <w:rPr>
                <w:rFonts w:hint="default" w:ascii="Times New Roman" w:hAnsi="Times New Roman" w:eastAsia="宋体" w:cs="Times New Roman"/>
                <w:color w:val="auto"/>
                <w:sz w:val="24"/>
                <w:szCs w:val="24"/>
                <w:highlight w:val="none"/>
                <w:lang w:val="en-US" w:eastAsia="zh-CN"/>
              </w:rPr>
              <w:t>——排放口（源）》（GB15562.1-1995）</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《环境保护图形标志 固体废物贮存（处置）场》（GB15562.2-1995）及其修改单、《危险废物识别标志设置技术规范》（HJ1276-2022）。</w:t>
            </w:r>
          </w:p>
        </w:tc>
      </w:tr>
      <w:tr w14:paraId="6A14E4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18" w:hRule="atLeast"/>
          <w:jc w:val="center"/>
        </w:trPr>
        <w:tc>
          <w:tcPr>
            <w:tcW w:w="771" w:type="dxa"/>
            <w:noWrap w:val="0"/>
            <w:vAlign w:val="center"/>
          </w:tcPr>
          <w:p w14:paraId="2C3EB0F0">
            <w:pPr>
              <w:autoSpaceDE w:val="0"/>
              <w:autoSpaceDN w:val="0"/>
              <w:adjustRightInd w:val="0"/>
              <w:snapToGrid w:val="0"/>
              <w:jc w:val="center"/>
              <w:rPr>
                <w:color w:val="auto"/>
                <w:kern w:val="0"/>
                <w:sz w:val="24"/>
              </w:rPr>
            </w:pPr>
            <w:r>
              <w:rPr>
                <w:color w:val="auto"/>
                <w:kern w:val="0"/>
                <w:sz w:val="24"/>
              </w:rPr>
              <w:t>总量</w:t>
            </w:r>
          </w:p>
          <w:p w14:paraId="6B38A1AC">
            <w:pPr>
              <w:autoSpaceDE w:val="0"/>
              <w:autoSpaceDN w:val="0"/>
              <w:adjustRightInd w:val="0"/>
              <w:snapToGrid w:val="0"/>
              <w:jc w:val="center"/>
              <w:rPr>
                <w:color w:val="auto"/>
                <w:kern w:val="0"/>
                <w:sz w:val="24"/>
              </w:rPr>
            </w:pPr>
            <w:r>
              <w:rPr>
                <w:color w:val="auto"/>
                <w:kern w:val="0"/>
                <w:sz w:val="24"/>
              </w:rPr>
              <w:t>控制</w:t>
            </w:r>
          </w:p>
          <w:p w14:paraId="59F169A5">
            <w:pPr>
              <w:autoSpaceDE w:val="0"/>
              <w:autoSpaceDN w:val="0"/>
              <w:adjustRightInd w:val="0"/>
              <w:snapToGrid w:val="0"/>
              <w:jc w:val="center"/>
              <w:rPr>
                <w:color w:val="auto"/>
                <w:kern w:val="0"/>
                <w:sz w:val="24"/>
                <w:szCs w:val="24"/>
                <w:lang w:val="en-US" w:eastAsia="zh-CN" w:bidi="ar-SA"/>
              </w:rPr>
            </w:pPr>
            <w:r>
              <w:rPr>
                <w:color w:val="auto"/>
                <w:kern w:val="0"/>
                <w:sz w:val="24"/>
              </w:rPr>
              <w:t>指标</w:t>
            </w:r>
          </w:p>
        </w:tc>
        <w:tc>
          <w:tcPr>
            <w:tcW w:w="8254" w:type="dxa"/>
            <w:noWrap w:val="0"/>
            <w:vAlign w:val="center"/>
          </w:tcPr>
          <w:p w14:paraId="1F5279F3">
            <w:pPr>
              <w:wordWrap w:val="0"/>
              <w:spacing w:before="120" w:beforeLines="50" w:line="360" w:lineRule="auto"/>
              <w:ind w:firstLine="480" w:firstLineChars="200"/>
              <w:rPr>
                <w:rFonts w:hint="eastAsia"/>
                <w:color w:val="auto"/>
                <w:sz w:val="24"/>
              </w:rPr>
            </w:pPr>
            <w:r>
              <w:rPr>
                <w:rFonts w:hint="eastAsia"/>
                <w:color w:val="auto"/>
                <w:sz w:val="24"/>
              </w:rPr>
              <w:t>本项目生活污水排入园区</w:t>
            </w:r>
            <w:r>
              <w:rPr>
                <w:rFonts w:hint="eastAsia"/>
                <w:color w:val="auto"/>
                <w:sz w:val="24"/>
                <w:lang w:val="en-US" w:eastAsia="zh-CN"/>
              </w:rPr>
              <w:t>污水</w:t>
            </w:r>
            <w:r>
              <w:rPr>
                <w:rFonts w:hint="eastAsia"/>
                <w:color w:val="auto"/>
                <w:sz w:val="24"/>
              </w:rPr>
              <w:t>管网，最终排入园区污水处理厂处理，总量</w:t>
            </w:r>
            <w:r>
              <w:rPr>
                <w:rFonts w:hint="eastAsia"/>
                <w:color w:val="auto"/>
                <w:sz w:val="24"/>
                <w:lang w:val="en-US" w:eastAsia="zh-CN"/>
              </w:rPr>
              <w:t>纳入园区</w:t>
            </w:r>
            <w:r>
              <w:rPr>
                <w:rFonts w:hint="eastAsia"/>
                <w:color w:val="auto"/>
                <w:sz w:val="24"/>
              </w:rPr>
              <w:t>污水处理厂</w:t>
            </w:r>
            <w:r>
              <w:rPr>
                <w:rFonts w:hint="eastAsia"/>
                <w:color w:val="auto"/>
                <w:sz w:val="24"/>
                <w:lang w:eastAsia="zh-CN"/>
              </w:rPr>
              <w:t>，</w:t>
            </w:r>
            <w:r>
              <w:rPr>
                <w:rFonts w:hint="eastAsia"/>
                <w:color w:val="auto"/>
                <w:sz w:val="24"/>
              </w:rPr>
              <w:t>故不设</w:t>
            </w:r>
            <w:r>
              <w:rPr>
                <w:rFonts w:hint="eastAsia"/>
                <w:color w:val="0000FF"/>
                <w:sz w:val="24"/>
                <w:lang w:val="en-US" w:eastAsia="zh-CN"/>
              </w:rPr>
              <w:t>化学需氧量</w:t>
            </w:r>
            <w:r>
              <w:rPr>
                <w:rFonts w:hint="eastAsia"/>
                <w:color w:val="0000FF"/>
                <w:sz w:val="24"/>
              </w:rPr>
              <w:t>、</w:t>
            </w:r>
            <w:r>
              <w:rPr>
                <w:rFonts w:hint="eastAsia"/>
                <w:color w:val="0000FF"/>
                <w:sz w:val="24"/>
                <w:lang w:val="en-US" w:eastAsia="zh-CN"/>
              </w:rPr>
              <w:t>总磷</w:t>
            </w:r>
            <w:r>
              <w:rPr>
                <w:rFonts w:hint="eastAsia"/>
                <w:color w:val="auto"/>
                <w:sz w:val="24"/>
                <w:lang w:val="en-US" w:eastAsia="zh-CN"/>
              </w:rPr>
              <w:t>排放</w:t>
            </w:r>
            <w:r>
              <w:rPr>
                <w:rFonts w:hint="eastAsia"/>
                <w:color w:val="auto"/>
                <w:sz w:val="24"/>
              </w:rPr>
              <w:t>总量</w:t>
            </w:r>
            <w:r>
              <w:rPr>
                <w:rFonts w:hint="eastAsia"/>
                <w:color w:val="auto"/>
                <w:sz w:val="24"/>
                <w:lang w:val="en-US" w:eastAsia="zh-CN"/>
              </w:rPr>
              <w:t>控制指标</w:t>
            </w:r>
            <w:r>
              <w:rPr>
                <w:rFonts w:hint="eastAsia"/>
                <w:color w:val="auto"/>
                <w:sz w:val="24"/>
              </w:rPr>
              <w:t>。</w:t>
            </w:r>
          </w:p>
          <w:p w14:paraId="063AA139">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bCs/>
                <w:color w:val="auto"/>
                <w:kern w:val="2"/>
                <w:sz w:val="21"/>
                <w:szCs w:val="21"/>
                <w:lang w:val="en-US" w:eastAsia="zh-CN" w:bidi="ar-SA"/>
              </w:rPr>
            </w:pPr>
            <w:r>
              <w:rPr>
                <w:rFonts w:hint="eastAsia" w:ascii="Times New Roman" w:hAnsi="Times New Roman" w:eastAsia="宋体" w:cs="Times New Roman"/>
                <w:color w:val="auto"/>
                <w:sz w:val="24"/>
              </w:rPr>
              <w:t>本项目大气污染物</w:t>
            </w:r>
            <w:r>
              <w:rPr>
                <w:rFonts w:hint="eastAsia" w:ascii="Times New Roman" w:hAnsi="Times New Roman" w:eastAsia="宋体" w:cs="Times New Roman"/>
                <w:color w:val="0000FF"/>
                <w:sz w:val="24"/>
              </w:rPr>
              <w:t>颗粒物</w:t>
            </w:r>
            <w:r>
              <w:rPr>
                <w:rFonts w:hint="eastAsia" w:ascii="Times New Roman" w:hAnsi="Times New Roman" w:eastAsia="宋体" w:cs="Times New Roman"/>
                <w:color w:val="0000FF"/>
                <w:sz w:val="24"/>
                <w:lang w:val="en-US" w:eastAsia="zh-CN"/>
              </w:rPr>
              <w:t>有组织</w:t>
            </w:r>
            <w:r>
              <w:rPr>
                <w:rFonts w:hint="eastAsia" w:ascii="Times New Roman" w:hAnsi="Times New Roman" w:eastAsia="宋体" w:cs="Times New Roman"/>
                <w:color w:val="0000FF"/>
                <w:sz w:val="24"/>
              </w:rPr>
              <w:t>排放量为</w:t>
            </w:r>
            <w:r>
              <w:rPr>
                <w:rFonts w:hint="eastAsia" w:cs="Times New Roman"/>
                <w:color w:val="0000FF"/>
                <w:sz w:val="24"/>
                <w:lang w:val="en-US" w:eastAsia="zh-CN"/>
              </w:rPr>
              <w:t>0.37</w:t>
            </w:r>
            <w:r>
              <w:rPr>
                <w:rFonts w:hint="eastAsia" w:ascii="Times New Roman" w:hAnsi="Times New Roman" w:eastAsia="宋体" w:cs="Times New Roman"/>
                <w:color w:val="0000FF"/>
                <w:sz w:val="24"/>
              </w:rPr>
              <w:t>t/a</w:t>
            </w:r>
            <w:r>
              <w:rPr>
                <w:rFonts w:hint="eastAsia" w:ascii="Times New Roman" w:hAnsi="Times New Roman" w:eastAsia="宋体" w:cs="Times New Roman"/>
                <w:color w:val="0000FF"/>
                <w:sz w:val="24"/>
                <w:lang w:eastAsia="zh-CN"/>
              </w:rPr>
              <w:t>，</w:t>
            </w:r>
            <w:r>
              <w:rPr>
                <w:rFonts w:hint="eastAsia" w:ascii="Times New Roman" w:hAnsi="Times New Roman" w:eastAsia="宋体" w:cs="Times New Roman"/>
                <w:color w:val="0000FF"/>
                <w:sz w:val="24"/>
                <w:lang w:val="en-US" w:eastAsia="zh-CN"/>
              </w:rPr>
              <w:t>VOC</w:t>
            </w:r>
            <w:r>
              <w:rPr>
                <w:rFonts w:hint="eastAsia" w:ascii="Times New Roman" w:hAnsi="Times New Roman" w:eastAsia="宋体" w:cs="Times New Roman"/>
                <w:color w:val="0000FF"/>
                <w:sz w:val="24"/>
                <w:vertAlign w:val="subscript"/>
                <w:lang w:val="en-US" w:eastAsia="zh-CN"/>
              </w:rPr>
              <w:t>S</w:t>
            </w:r>
            <w:r>
              <w:rPr>
                <w:rFonts w:hint="eastAsia" w:ascii="Times New Roman" w:hAnsi="Times New Roman" w:eastAsia="宋体" w:cs="Times New Roman"/>
                <w:color w:val="0000FF"/>
                <w:sz w:val="24"/>
                <w:lang w:val="en-US" w:eastAsia="zh-CN"/>
              </w:rPr>
              <w:t>（</w:t>
            </w:r>
            <w:r>
              <w:rPr>
                <w:rFonts w:hint="eastAsia" w:ascii="Times New Roman" w:hAnsi="Times New Roman" w:eastAsia="宋体" w:cs="Times New Roman"/>
                <w:color w:val="0000FF"/>
                <w:sz w:val="24"/>
              </w:rPr>
              <w:t>非甲烷总烃</w:t>
            </w:r>
            <w:r>
              <w:rPr>
                <w:rFonts w:hint="eastAsia" w:ascii="Times New Roman" w:hAnsi="Times New Roman" w:eastAsia="宋体" w:cs="Times New Roman"/>
                <w:color w:val="0000FF"/>
                <w:sz w:val="24"/>
                <w:lang w:val="en-US" w:eastAsia="zh-CN"/>
              </w:rPr>
              <w:t>计）有组织</w:t>
            </w:r>
            <w:r>
              <w:rPr>
                <w:rFonts w:hint="eastAsia" w:ascii="Times New Roman" w:hAnsi="Times New Roman" w:eastAsia="宋体" w:cs="Times New Roman"/>
                <w:color w:val="0000FF"/>
                <w:sz w:val="24"/>
              </w:rPr>
              <w:t>排放量为</w:t>
            </w:r>
            <w:r>
              <w:rPr>
                <w:rFonts w:hint="eastAsia" w:cs="Times New Roman"/>
                <w:color w:val="0000FF"/>
                <w:sz w:val="24"/>
                <w:lang w:val="en-US" w:eastAsia="zh-CN"/>
              </w:rPr>
              <w:t>0.79</w:t>
            </w:r>
            <w:r>
              <w:rPr>
                <w:rFonts w:hint="eastAsia" w:ascii="Times New Roman" w:hAnsi="Times New Roman" w:eastAsia="宋体" w:cs="Times New Roman"/>
                <w:color w:val="0000FF"/>
                <w:sz w:val="24"/>
              </w:rPr>
              <w:t>t/a</w:t>
            </w:r>
            <w:r>
              <w:rPr>
                <w:rFonts w:hint="eastAsia" w:ascii="Times New Roman" w:hAnsi="Times New Roman" w:eastAsia="宋体" w:cs="Times New Roman"/>
                <w:color w:val="0000FF"/>
                <w:sz w:val="24"/>
                <w:lang w:eastAsia="zh-CN"/>
              </w:rPr>
              <w:t>。</w:t>
            </w:r>
            <w:r>
              <w:rPr>
                <w:rFonts w:hint="eastAsia" w:ascii="Times New Roman" w:hAnsi="Times New Roman" w:eastAsia="宋体" w:cs="Times New Roman"/>
                <w:color w:val="auto"/>
                <w:sz w:val="24"/>
                <w:lang w:eastAsia="zh-CN"/>
              </w:rPr>
              <w:t>项目位于“乌-昌-石”大气联防联控区</w:t>
            </w:r>
            <w:r>
              <w:rPr>
                <w:rFonts w:hint="eastAsia" w:cs="Times New Roman"/>
                <w:color w:val="auto"/>
                <w:sz w:val="24"/>
                <w:lang w:eastAsia="zh-CN"/>
              </w:rPr>
              <w:t>，</w:t>
            </w:r>
            <w:r>
              <w:rPr>
                <w:rFonts w:hint="eastAsia" w:ascii="Times New Roman" w:hAnsi="Times New Roman" w:eastAsia="宋体" w:cs="Times New Roman"/>
                <w:color w:val="auto"/>
                <w:sz w:val="24"/>
                <w:lang w:eastAsia="zh-CN"/>
              </w:rPr>
              <w:t>且区域属于环境空气质量不达标区</w:t>
            </w:r>
            <w:r>
              <w:rPr>
                <w:rFonts w:hint="eastAsia" w:ascii="Times New Roman" w:hAnsi="Times New Roman" w:eastAsia="宋体" w:cs="Times New Roman"/>
                <w:color w:val="auto"/>
                <w:spacing w:val="-6"/>
                <w:sz w:val="24"/>
                <w:lang w:eastAsia="zh-CN"/>
              </w:rPr>
              <w:t>，因此</w:t>
            </w:r>
            <w:r>
              <w:rPr>
                <w:rFonts w:hint="eastAsia" w:ascii="Times New Roman" w:hAnsi="Times New Roman" w:eastAsia="宋体" w:cs="Times New Roman"/>
                <w:color w:val="auto"/>
                <w:spacing w:val="-6"/>
                <w:sz w:val="24"/>
                <w:lang w:val="en-US" w:eastAsia="zh-CN"/>
              </w:rPr>
              <w:t>本项目</w:t>
            </w:r>
            <w:r>
              <w:rPr>
                <w:rFonts w:hint="eastAsia" w:ascii="Times New Roman" w:hAnsi="Times New Roman" w:eastAsia="宋体" w:cs="Times New Roman"/>
                <w:color w:val="auto"/>
                <w:spacing w:val="-6"/>
                <w:sz w:val="24"/>
                <w:lang w:eastAsia="zh-CN"/>
              </w:rPr>
              <w:t>颗粒物及</w:t>
            </w:r>
            <w:r>
              <w:rPr>
                <w:rFonts w:hint="eastAsia" w:ascii="Times New Roman" w:hAnsi="Times New Roman" w:eastAsia="宋体" w:cs="Times New Roman"/>
                <w:color w:val="auto"/>
                <w:spacing w:val="-6"/>
                <w:sz w:val="24"/>
                <w:lang w:val="en-US" w:eastAsia="zh-CN"/>
              </w:rPr>
              <w:t>VOC</w:t>
            </w:r>
            <w:r>
              <w:rPr>
                <w:rFonts w:hint="eastAsia" w:ascii="Times New Roman" w:hAnsi="Times New Roman" w:eastAsia="宋体" w:cs="Times New Roman"/>
                <w:color w:val="auto"/>
                <w:spacing w:val="-6"/>
                <w:sz w:val="24"/>
                <w:vertAlign w:val="subscript"/>
                <w:lang w:val="en-US" w:eastAsia="zh-CN"/>
              </w:rPr>
              <w:t>S</w:t>
            </w:r>
            <w:r>
              <w:rPr>
                <w:rFonts w:hint="eastAsia" w:ascii="Times New Roman" w:hAnsi="Times New Roman" w:eastAsia="宋体" w:cs="Times New Roman"/>
                <w:color w:val="auto"/>
                <w:spacing w:val="-6"/>
                <w:sz w:val="24"/>
                <w:lang w:val="en-US" w:eastAsia="zh-CN"/>
              </w:rPr>
              <w:t>（</w:t>
            </w:r>
            <w:r>
              <w:rPr>
                <w:rFonts w:hint="eastAsia" w:ascii="Times New Roman" w:hAnsi="Times New Roman" w:eastAsia="宋体" w:cs="Times New Roman"/>
                <w:color w:val="auto"/>
                <w:spacing w:val="-6"/>
                <w:sz w:val="24"/>
              </w:rPr>
              <w:t>非甲烷总烃</w:t>
            </w:r>
            <w:r>
              <w:rPr>
                <w:rFonts w:hint="eastAsia" w:ascii="Times New Roman" w:hAnsi="Times New Roman" w:eastAsia="宋体" w:cs="Times New Roman"/>
                <w:color w:val="auto"/>
                <w:spacing w:val="-6"/>
                <w:sz w:val="24"/>
                <w:lang w:val="en-US" w:eastAsia="zh-CN"/>
              </w:rPr>
              <w:t>计）</w:t>
            </w:r>
            <w:r>
              <w:rPr>
                <w:rFonts w:hint="eastAsia" w:ascii="Times New Roman" w:hAnsi="Times New Roman" w:eastAsia="宋体" w:cs="Times New Roman"/>
                <w:color w:val="auto"/>
                <w:spacing w:val="-6"/>
                <w:sz w:val="24"/>
                <w:lang w:eastAsia="zh-CN"/>
              </w:rPr>
              <w:t>需要倍量替代。</w:t>
            </w:r>
            <w:r>
              <w:rPr>
                <w:rFonts w:hint="eastAsia" w:ascii="Times New Roman" w:hAnsi="Times New Roman" w:eastAsia="宋体" w:cs="Times New Roman"/>
                <w:color w:val="0000FF"/>
                <w:spacing w:val="-6"/>
                <w:sz w:val="24"/>
                <w:lang w:eastAsia="zh-CN"/>
              </w:rPr>
              <w:t>本评价建议项目总量控制指标为颗粒物</w:t>
            </w:r>
            <w:r>
              <w:rPr>
                <w:rFonts w:hint="eastAsia" w:cs="Times New Roman"/>
                <w:color w:val="0000FF"/>
                <w:spacing w:val="-6"/>
                <w:sz w:val="24"/>
                <w:lang w:val="en-US" w:eastAsia="zh-CN"/>
              </w:rPr>
              <w:t>0.37</w:t>
            </w:r>
            <w:r>
              <w:rPr>
                <w:rFonts w:hint="eastAsia" w:ascii="Times New Roman" w:hAnsi="Times New Roman" w:eastAsia="宋体" w:cs="Times New Roman"/>
                <w:color w:val="0000FF"/>
                <w:spacing w:val="-6"/>
                <w:sz w:val="24"/>
                <w:lang w:eastAsia="zh-CN"/>
              </w:rPr>
              <w:t>t/a，</w:t>
            </w:r>
            <w:r>
              <w:rPr>
                <w:rFonts w:hint="eastAsia" w:ascii="Times New Roman" w:hAnsi="Times New Roman" w:eastAsia="宋体" w:cs="Times New Roman"/>
                <w:color w:val="0000FF"/>
                <w:spacing w:val="0"/>
                <w:sz w:val="24"/>
                <w:lang w:val="en-US" w:eastAsia="zh-CN"/>
              </w:rPr>
              <w:t>VOC</w:t>
            </w:r>
            <w:r>
              <w:rPr>
                <w:rFonts w:hint="eastAsia" w:ascii="Times New Roman" w:hAnsi="Times New Roman" w:eastAsia="宋体" w:cs="Times New Roman"/>
                <w:color w:val="0000FF"/>
                <w:spacing w:val="0"/>
                <w:sz w:val="24"/>
                <w:vertAlign w:val="subscript"/>
                <w:lang w:val="en-US" w:eastAsia="zh-CN"/>
              </w:rPr>
              <w:t>S</w:t>
            </w:r>
            <w:r>
              <w:rPr>
                <w:rFonts w:hint="eastAsia" w:ascii="Times New Roman" w:hAnsi="Times New Roman" w:eastAsia="宋体" w:cs="Times New Roman"/>
                <w:color w:val="0000FF"/>
                <w:spacing w:val="0"/>
                <w:sz w:val="24"/>
                <w:lang w:val="en-US" w:eastAsia="zh-CN"/>
              </w:rPr>
              <w:t>（</w:t>
            </w:r>
            <w:r>
              <w:rPr>
                <w:rFonts w:hint="eastAsia" w:ascii="Times New Roman" w:hAnsi="Times New Roman" w:eastAsia="宋体" w:cs="Times New Roman"/>
                <w:color w:val="0000FF"/>
                <w:spacing w:val="0"/>
                <w:sz w:val="24"/>
              </w:rPr>
              <w:t>非甲烷总烃</w:t>
            </w:r>
            <w:r>
              <w:rPr>
                <w:rFonts w:hint="eastAsia" w:ascii="Times New Roman" w:hAnsi="Times New Roman" w:eastAsia="宋体" w:cs="Times New Roman"/>
                <w:color w:val="0000FF"/>
                <w:spacing w:val="0"/>
                <w:sz w:val="24"/>
                <w:lang w:val="en-US" w:eastAsia="zh-CN"/>
              </w:rPr>
              <w:t>计）</w:t>
            </w:r>
            <w:r>
              <w:rPr>
                <w:rFonts w:hint="eastAsia" w:cs="Times New Roman"/>
                <w:color w:val="0000FF"/>
                <w:spacing w:val="-6"/>
                <w:sz w:val="24"/>
                <w:lang w:val="en-US" w:eastAsia="zh-CN"/>
              </w:rPr>
              <w:t>0.79</w:t>
            </w:r>
            <w:r>
              <w:rPr>
                <w:rFonts w:hint="eastAsia" w:ascii="Times New Roman" w:hAnsi="Times New Roman" w:eastAsia="宋体" w:cs="Times New Roman"/>
                <w:color w:val="0000FF"/>
                <w:spacing w:val="-6"/>
                <w:sz w:val="24"/>
                <w:lang w:eastAsia="zh-CN"/>
              </w:rPr>
              <w:t>t/a</w:t>
            </w:r>
            <w:r>
              <w:rPr>
                <w:rFonts w:hint="eastAsia" w:ascii="Times New Roman" w:hAnsi="Times New Roman" w:eastAsia="宋体" w:cs="Times New Roman"/>
                <w:color w:val="0000FF"/>
                <w:sz w:val="24"/>
                <w:lang w:eastAsia="zh-CN"/>
              </w:rPr>
              <w:t>，区域倍量削减量为</w:t>
            </w:r>
            <w:r>
              <w:rPr>
                <w:rFonts w:hint="eastAsia" w:ascii="Times New Roman" w:hAnsi="Times New Roman" w:eastAsia="宋体" w:cs="Times New Roman"/>
                <w:color w:val="0000FF"/>
                <w:sz w:val="24"/>
                <w:lang w:val="en-US" w:eastAsia="zh-CN"/>
              </w:rPr>
              <w:t>颗粒物</w:t>
            </w:r>
            <w:r>
              <w:rPr>
                <w:rFonts w:hint="eastAsia" w:cs="Times New Roman"/>
                <w:color w:val="0000FF"/>
                <w:sz w:val="24"/>
                <w:lang w:val="en-US" w:eastAsia="zh-CN"/>
              </w:rPr>
              <w:t>0.74</w:t>
            </w:r>
            <w:r>
              <w:rPr>
                <w:rFonts w:hint="eastAsia" w:ascii="Times New Roman" w:hAnsi="Times New Roman" w:eastAsia="宋体" w:cs="Times New Roman"/>
                <w:color w:val="0000FF"/>
                <w:sz w:val="24"/>
                <w:lang w:eastAsia="zh-CN"/>
              </w:rPr>
              <w:t>t/a；</w:t>
            </w:r>
            <w:r>
              <w:rPr>
                <w:rFonts w:hint="eastAsia" w:ascii="Times New Roman" w:hAnsi="Times New Roman" w:eastAsia="宋体" w:cs="Times New Roman"/>
                <w:color w:val="0000FF"/>
                <w:sz w:val="24"/>
                <w:lang w:val="en-US" w:eastAsia="zh-CN"/>
              </w:rPr>
              <w:t>VOC</w:t>
            </w:r>
            <w:r>
              <w:rPr>
                <w:rFonts w:hint="eastAsia" w:ascii="Times New Roman" w:hAnsi="Times New Roman" w:eastAsia="宋体" w:cs="Times New Roman"/>
                <w:color w:val="0000FF"/>
                <w:sz w:val="24"/>
                <w:vertAlign w:val="subscript"/>
                <w:lang w:val="en-US" w:eastAsia="zh-CN"/>
              </w:rPr>
              <w:t>S</w:t>
            </w:r>
            <w:r>
              <w:rPr>
                <w:rFonts w:hint="eastAsia" w:ascii="Times New Roman" w:hAnsi="Times New Roman" w:eastAsia="宋体" w:cs="Times New Roman"/>
                <w:color w:val="0000FF"/>
                <w:sz w:val="24"/>
                <w:lang w:val="en-US" w:eastAsia="zh-CN"/>
              </w:rPr>
              <w:t>（</w:t>
            </w:r>
            <w:r>
              <w:rPr>
                <w:rFonts w:hint="eastAsia" w:ascii="Times New Roman" w:hAnsi="Times New Roman" w:eastAsia="宋体" w:cs="Times New Roman"/>
                <w:color w:val="0000FF"/>
                <w:sz w:val="24"/>
              </w:rPr>
              <w:t>非甲烷总烃</w:t>
            </w:r>
            <w:r>
              <w:rPr>
                <w:rFonts w:hint="eastAsia" w:ascii="Times New Roman" w:hAnsi="Times New Roman" w:eastAsia="宋体" w:cs="Times New Roman"/>
                <w:color w:val="0000FF"/>
                <w:sz w:val="24"/>
                <w:lang w:val="en-US" w:eastAsia="zh-CN"/>
              </w:rPr>
              <w:t>计）</w:t>
            </w:r>
            <w:r>
              <w:rPr>
                <w:rFonts w:hint="eastAsia" w:cs="Times New Roman"/>
                <w:color w:val="0000FF"/>
                <w:sz w:val="24"/>
                <w:lang w:val="en-US" w:eastAsia="zh-CN"/>
              </w:rPr>
              <w:t>1.58</w:t>
            </w:r>
            <w:r>
              <w:rPr>
                <w:rFonts w:hint="eastAsia" w:ascii="Times New Roman" w:hAnsi="Times New Roman" w:eastAsia="宋体" w:cs="Times New Roman"/>
                <w:color w:val="0000FF"/>
                <w:sz w:val="24"/>
                <w:lang w:eastAsia="zh-CN"/>
              </w:rPr>
              <w:t>t/a。</w:t>
            </w:r>
          </w:p>
        </w:tc>
      </w:tr>
    </w:tbl>
    <w:p w14:paraId="49846C96">
      <w:pPr>
        <w:pStyle w:val="23"/>
        <w:jc w:val="center"/>
        <w:outlineLvl w:val="0"/>
        <w:rPr>
          <w:rFonts w:ascii="Times New Roman" w:hAnsi="Times New Roman" w:eastAsia="黑体"/>
          <w:snapToGrid w:val="0"/>
          <w:color w:val="auto"/>
          <w:sz w:val="30"/>
          <w:szCs w:val="30"/>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012081A0">
      <w:pPr>
        <w:pStyle w:val="23"/>
        <w:jc w:val="center"/>
        <w:outlineLvl w:val="0"/>
        <w:rPr>
          <w:rFonts w:ascii="Times New Roman" w:hAnsi="Times New Roman" w:eastAsia="黑体"/>
          <w:snapToGrid w:val="0"/>
          <w:color w:val="auto"/>
          <w:sz w:val="30"/>
          <w:szCs w:val="30"/>
        </w:rPr>
      </w:pPr>
      <w:bookmarkStart w:id="9" w:name="_Toc7898"/>
      <w:r>
        <w:rPr>
          <w:rFonts w:ascii="Times New Roman" w:hAnsi="Times New Roman" w:eastAsia="黑体"/>
          <w:snapToGrid w:val="0"/>
          <w:color w:val="auto"/>
          <w:sz w:val="30"/>
          <w:szCs w:val="30"/>
        </w:rPr>
        <w:t>四、主要环境影响和保护措施</w:t>
      </w:r>
      <w:bookmarkEnd w:id="9"/>
    </w:p>
    <w:tbl>
      <w:tblPr>
        <w:tblStyle w:val="26"/>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8"/>
        <w:gridCol w:w="8153"/>
      </w:tblGrid>
      <w:tr w14:paraId="0640E5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1900" w:hRule="atLeast"/>
          <w:jc w:val="center"/>
        </w:trPr>
        <w:tc>
          <w:tcPr>
            <w:tcW w:w="828" w:type="dxa"/>
            <w:noWrap w:val="0"/>
            <w:tcMar>
              <w:left w:w="28" w:type="dxa"/>
              <w:right w:w="28" w:type="dxa"/>
            </w:tcMar>
            <w:vAlign w:val="center"/>
          </w:tcPr>
          <w:p w14:paraId="164BD684">
            <w:pPr>
              <w:autoSpaceDE w:val="0"/>
              <w:autoSpaceDN w:val="0"/>
              <w:adjustRightInd w:val="0"/>
              <w:snapToGrid w:val="0"/>
              <w:jc w:val="center"/>
              <w:rPr>
                <w:color w:val="auto"/>
                <w:kern w:val="0"/>
                <w:sz w:val="24"/>
              </w:rPr>
            </w:pPr>
            <w:r>
              <w:rPr>
                <w:color w:val="auto"/>
                <w:kern w:val="0"/>
                <w:sz w:val="24"/>
              </w:rPr>
              <w:t>施工</w:t>
            </w:r>
          </w:p>
          <w:p w14:paraId="1BEE8FFA">
            <w:pPr>
              <w:autoSpaceDE w:val="0"/>
              <w:autoSpaceDN w:val="0"/>
              <w:adjustRightInd w:val="0"/>
              <w:snapToGrid w:val="0"/>
              <w:jc w:val="center"/>
              <w:rPr>
                <w:color w:val="auto"/>
                <w:kern w:val="0"/>
                <w:sz w:val="24"/>
              </w:rPr>
            </w:pPr>
            <w:r>
              <w:rPr>
                <w:color w:val="auto"/>
                <w:kern w:val="0"/>
                <w:sz w:val="24"/>
              </w:rPr>
              <w:t>期环</w:t>
            </w:r>
          </w:p>
          <w:p w14:paraId="56A628BA">
            <w:pPr>
              <w:autoSpaceDE w:val="0"/>
              <w:autoSpaceDN w:val="0"/>
              <w:adjustRightInd w:val="0"/>
              <w:snapToGrid w:val="0"/>
              <w:jc w:val="center"/>
              <w:rPr>
                <w:color w:val="auto"/>
                <w:kern w:val="0"/>
                <w:sz w:val="24"/>
              </w:rPr>
            </w:pPr>
            <w:r>
              <w:rPr>
                <w:color w:val="auto"/>
                <w:kern w:val="0"/>
                <w:sz w:val="24"/>
              </w:rPr>
              <w:t>境保</w:t>
            </w:r>
          </w:p>
          <w:p w14:paraId="6176710D">
            <w:pPr>
              <w:autoSpaceDE w:val="0"/>
              <w:autoSpaceDN w:val="0"/>
              <w:adjustRightInd w:val="0"/>
              <w:snapToGrid w:val="0"/>
              <w:jc w:val="center"/>
              <w:rPr>
                <w:color w:val="auto"/>
                <w:kern w:val="0"/>
                <w:sz w:val="24"/>
              </w:rPr>
            </w:pPr>
            <w:r>
              <w:rPr>
                <w:color w:val="auto"/>
                <w:kern w:val="0"/>
                <w:sz w:val="24"/>
              </w:rPr>
              <w:t>护措</w:t>
            </w:r>
          </w:p>
          <w:p w14:paraId="70B80184">
            <w:pPr>
              <w:autoSpaceDE w:val="0"/>
              <w:autoSpaceDN w:val="0"/>
              <w:adjustRightInd w:val="0"/>
              <w:snapToGrid w:val="0"/>
              <w:jc w:val="center"/>
              <w:rPr>
                <w:bCs/>
                <w:color w:val="auto"/>
                <w:szCs w:val="21"/>
              </w:rPr>
            </w:pPr>
            <w:r>
              <w:rPr>
                <w:color w:val="auto"/>
                <w:kern w:val="0"/>
                <w:sz w:val="24"/>
              </w:rPr>
              <w:t>施</w:t>
            </w:r>
          </w:p>
        </w:tc>
        <w:tc>
          <w:tcPr>
            <w:tcW w:w="8153" w:type="dxa"/>
            <w:noWrap w:val="0"/>
            <w:vAlign w:val="top"/>
          </w:tcPr>
          <w:p w14:paraId="772688E9">
            <w:pPr>
              <w:wordWrap w:val="0"/>
              <w:spacing w:before="120" w:beforeLines="50"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本项目施工期主要包括场地平整、主体工程建设、设备安装、工程验收等，施工周期约为12个月。施工期将产生扬尘，施工废水、生活污水，施工机械噪声，建筑垃圾、生活垃圾等污染物。</w:t>
            </w:r>
          </w:p>
          <w:p w14:paraId="1B2095A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auto"/>
                <w:sz w:val="24"/>
              </w:rPr>
            </w:pPr>
            <w:r>
              <w:rPr>
                <w:rFonts w:hint="eastAsia" w:ascii="宋体" w:hAnsi="宋体" w:eastAsia="宋体" w:cs="宋体"/>
                <w:b/>
                <w:bCs/>
                <w:color w:val="auto"/>
                <w:sz w:val="24"/>
                <w:lang w:val="en-US" w:eastAsia="zh-CN"/>
              </w:rPr>
              <w:t>1</w:t>
            </w:r>
            <w:r>
              <w:rPr>
                <w:rFonts w:hint="eastAsia" w:ascii="宋体" w:hAnsi="宋体" w:eastAsia="宋体" w:cs="宋体"/>
                <w:b/>
                <w:bCs/>
                <w:color w:val="auto"/>
                <w:sz w:val="24"/>
              </w:rPr>
              <w:t>.施工</w:t>
            </w:r>
            <w:r>
              <w:rPr>
                <w:rFonts w:hint="eastAsia" w:ascii="宋体" w:hAnsi="宋体" w:eastAsia="宋体" w:cs="宋体"/>
                <w:b/>
                <w:bCs/>
                <w:color w:val="auto"/>
                <w:sz w:val="24"/>
                <w:lang w:val="en-US" w:eastAsia="zh-CN"/>
              </w:rPr>
              <w:t>期废气</w:t>
            </w:r>
            <w:r>
              <w:rPr>
                <w:rFonts w:hint="eastAsia" w:ascii="宋体" w:hAnsi="宋体" w:eastAsia="宋体" w:cs="宋体"/>
                <w:b/>
                <w:bCs/>
                <w:color w:val="auto"/>
                <w:sz w:val="24"/>
              </w:rPr>
              <w:t>防治措施</w:t>
            </w:r>
          </w:p>
          <w:p w14:paraId="3952C83E">
            <w:pPr>
              <w:wordWrap w:val="0"/>
              <w:spacing w:line="360" w:lineRule="auto"/>
              <w:ind w:firstLine="480" w:firstLineChars="200"/>
              <w:rPr>
                <w:rFonts w:hint="eastAsia" w:ascii="Times New Roman" w:hAnsi="Times New Roman" w:eastAsia="宋体" w:cs="Times New Roman"/>
                <w:color w:val="auto"/>
                <w:sz w:val="24"/>
                <w:lang w:eastAsia="zh-CN"/>
              </w:rPr>
            </w:pPr>
            <w:r>
              <w:rPr>
                <w:rFonts w:hint="eastAsia" w:ascii="Times New Roman" w:hAnsi="Times New Roman" w:eastAsia="宋体" w:cs="Times New Roman"/>
                <w:color w:val="auto"/>
                <w:sz w:val="24"/>
              </w:rPr>
              <w:t>根据《建筑工程绿色施工规范》（GB/T 50905-2014）和《建筑工程绿色环保施工管理规范》（DB65/T 4060-2017）</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对项目施工期提出以下要求</w:t>
            </w:r>
            <w:r>
              <w:rPr>
                <w:rFonts w:hint="eastAsia" w:ascii="Times New Roman" w:hAnsi="Times New Roman" w:eastAsia="宋体" w:cs="Times New Roman"/>
                <w:color w:val="auto"/>
                <w:sz w:val="24"/>
                <w:lang w:eastAsia="zh-CN"/>
              </w:rPr>
              <w:t>：</w:t>
            </w:r>
          </w:p>
          <w:p w14:paraId="2CDF9015">
            <w:pPr>
              <w:wordWrap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（1）施工现场边界应设置围挡，高度不得小于2m，阻挡</w:t>
            </w:r>
            <w:r>
              <w:rPr>
                <w:rFonts w:hint="eastAsia" w:ascii="Times New Roman" w:hAnsi="Times New Roman" w:eastAsia="宋体" w:cs="Times New Roman"/>
                <w:color w:val="auto"/>
                <w:sz w:val="24"/>
                <w:lang w:val="en-US" w:eastAsia="zh-CN"/>
              </w:rPr>
              <w:t>施工</w:t>
            </w:r>
            <w:r>
              <w:rPr>
                <w:rFonts w:hint="eastAsia" w:ascii="Times New Roman" w:hAnsi="Times New Roman" w:eastAsia="宋体" w:cs="Times New Roman"/>
                <w:color w:val="auto"/>
                <w:sz w:val="24"/>
              </w:rPr>
              <w:t>扬尘外溢。宜采用连续封闭的可重复利用围挡，</w:t>
            </w:r>
            <w:r>
              <w:rPr>
                <w:rFonts w:hint="eastAsia" w:ascii="Times New Roman" w:hAnsi="Times New Roman" w:eastAsia="宋体" w:cs="Times New Roman"/>
                <w:color w:val="auto"/>
                <w:sz w:val="24"/>
                <w:lang w:val="en-US" w:eastAsia="zh-CN"/>
              </w:rPr>
              <w:t>且</w:t>
            </w:r>
            <w:r>
              <w:rPr>
                <w:rFonts w:hint="eastAsia" w:ascii="Times New Roman" w:hAnsi="Times New Roman" w:eastAsia="宋体" w:cs="Times New Roman"/>
                <w:color w:val="auto"/>
                <w:sz w:val="24"/>
              </w:rPr>
              <w:t>安全、整洁、美观与环境保持协调。</w:t>
            </w:r>
          </w:p>
          <w:p w14:paraId="38421E8B">
            <w:pPr>
              <w:wordWrap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（2）施工现场主要道路、材料</w:t>
            </w:r>
            <w:r>
              <w:rPr>
                <w:rFonts w:hint="eastAsia" w:cs="Times New Roman"/>
                <w:color w:val="auto"/>
                <w:sz w:val="24"/>
                <w:lang w:eastAsia="zh-CN"/>
              </w:rPr>
              <w:t>堆放</w:t>
            </w:r>
            <w:r>
              <w:rPr>
                <w:rFonts w:hint="eastAsia" w:ascii="Times New Roman" w:hAnsi="Times New Roman" w:eastAsia="宋体" w:cs="Times New Roman"/>
                <w:color w:val="auto"/>
                <w:sz w:val="24"/>
              </w:rPr>
              <w:t>场地、露天加工场地应根据用途进行硬化，裸露的场地和集中堆放的土方应</w:t>
            </w:r>
            <w:r>
              <w:rPr>
                <w:rFonts w:hint="eastAsia" w:ascii="Times New Roman" w:hAnsi="Times New Roman" w:eastAsia="宋体" w:cs="Times New Roman"/>
                <w:color w:val="auto"/>
                <w:sz w:val="24"/>
                <w:lang w:val="en-US" w:eastAsia="zh-CN"/>
              </w:rPr>
              <w:t>用</w:t>
            </w:r>
            <w:r>
              <w:rPr>
                <w:rFonts w:hint="eastAsia" w:ascii="Times New Roman" w:hAnsi="Times New Roman" w:eastAsia="宋体" w:cs="Times New Roman"/>
                <w:color w:val="auto"/>
                <w:sz w:val="24"/>
              </w:rPr>
              <w:t>密目网覆盖，设洒水、固化等措施。</w:t>
            </w:r>
          </w:p>
          <w:p w14:paraId="08DE1862">
            <w:pPr>
              <w:wordWrap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（3）运送土方、垃圾、设备及建筑材料等不得污损场外道路，施工</w:t>
            </w:r>
            <w:r>
              <w:rPr>
                <w:rFonts w:hint="eastAsia" w:ascii="Times New Roman" w:hAnsi="Times New Roman" w:eastAsia="宋体" w:cs="Times New Roman"/>
                <w:color w:val="auto"/>
                <w:sz w:val="24"/>
                <w:lang w:val="en-US" w:eastAsia="zh-CN"/>
              </w:rPr>
              <w:t>期</w:t>
            </w:r>
            <w:r>
              <w:rPr>
                <w:rFonts w:hint="eastAsia" w:ascii="Times New Roman" w:hAnsi="Times New Roman" w:eastAsia="宋体" w:cs="Times New Roman"/>
                <w:color w:val="auto"/>
                <w:sz w:val="24"/>
              </w:rPr>
              <w:t>须设置车辆冲洗设施。运输车辆采取防护措施，保证物料不散落、飞扬和遗漏。</w:t>
            </w:r>
          </w:p>
          <w:p w14:paraId="5B9BD48C">
            <w:pPr>
              <w:wordWrap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（4）施工现场</w:t>
            </w:r>
            <w:r>
              <w:rPr>
                <w:rFonts w:hint="eastAsia" w:ascii="Times New Roman" w:hAnsi="Times New Roman" w:eastAsia="宋体" w:cs="Times New Roman"/>
                <w:color w:val="auto"/>
                <w:sz w:val="24"/>
                <w:lang w:val="en-US" w:eastAsia="zh-CN"/>
              </w:rPr>
              <w:t>应</w:t>
            </w:r>
            <w:r>
              <w:rPr>
                <w:rFonts w:hint="eastAsia" w:ascii="Times New Roman" w:hAnsi="Times New Roman" w:eastAsia="宋体" w:cs="Times New Roman"/>
                <w:color w:val="auto"/>
                <w:sz w:val="24"/>
              </w:rPr>
              <w:t>对粉状材料封闭存放，对易产生扬尘的材料应采取封闭、半封闭和覆盖措施；可能引起扬尘的材料及建筑垃圾搬运时必须有防尘措施。</w:t>
            </w:r>
          </w:p>
          <w:p w14:paraId="58C6C690">
            <w:pPr>
              <w:wordWrap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（5）土方作业阶段应采取</w:t>
            </w:r>
            <w:r>
              <w:rPr>
                <w:rFonts w:hint="eastAsia" w:ascii="Times New Roman" w:hAnsi="Times New Roman" w:eastAsia="宋体" w:cs="Times New Roman"/>
                <w:color w:val="auto"/>
                <w:sz w:val="24"/>
                <w:lang w:val="en-US" w:eastAsia="zh-CN"/>
              </w:rPr>
              <w:t>洒</w:t>
            </w:r>
            <w:r>
              <w:rPr>
                <w:rFonts w:hint="eastAsia" w:ascii="Times New Roman" w:hAnsi="Times New Roman" w:eastAsia="宋体" w:cs="Times New Roman"/>
                <w:color w:val="auto"/>
                <w:sz w:val="24"/>
              </w:rPr>
              <w:t>水、覆盖等措施，达到作业区内目测扬尘高度小于1.5m，不得扩散到场区外。</w:t>
            </w:r>
          </w:p>
          <w:p w14:paraId="4DDB95FB">
            <w:pPr>
              <w:wordWrap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（6）遇到四级以上大风天气，不应进行土方回填、转运以及</w:t>
            </w:r>
            <w:r>
              <w:rPr>
                <w:rFonts w:hint="eastAsia" w:cs="Times New Roman"/>
                <w:color w:val="auto"/>
                <w:sz w:val="24"/>
                <w:lang w:eastAsia="zh-CN"/>
              </w:rPr>
              <w:t>其他可能</w:t>
            </w:r>
            <w:r>
              <w:rPr>
                <w:rFonts w:hint="eastAsia" w:ascii="Times New Roman" w:hAnsi="Times New Roman" w:eastAsia="宋体" w:cs="Times New Roman"/>
                <w:color w:val="auto"/>
                <w:sz w:val="24"/>
              </w:rPr>
              <w:t>产生扬尘污染的施工；五级及以上大风天气，施工现场应停止工地室外作业及室内喷涂粉刷作业，并对作业面进行覆盖。</w:t>
            </w:r>
          </w:p>
          <w:p w14:paraId="6D9564D5">
            <w:pPr>
              <w:wordWrap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（7）施工现场办公生活区的裸露场地应进行绿化、美化、固化和硬化。</w:t>
            </w:r>
          </w:p>
          <w:p w14:paraId="55888E9F">
            <w:pPr>
              <w:wordWrap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（8）</w:t>
            </w:r>
            <w:r>
              <w:rPr>
                <w:rFonts w:hint="eastAsia" w:ascii="Times New Roman" w:hAnsi="Times New Roman" w:eastAsia="宋体" w:cs="Times New Roman"/>
                <w:color w:val="auto"/>
                <w:spacing w:val="-6"/>
                <w:sz w:val="24"/>
              </w:rPr>
              <w:t>使用预拌混凝土</w:t>
            </w:r>
            <w:r>
              <w:rPr>
                <w:rFonts w:hint="eastAsia" w:ascii="Times New Roman" w:hAnsi="Times New Roman" w:eastAsia="宋体" w:cs="Times New Roman"/>
                <w:color w:val="auto"/>
                <w:spacing w:val="-6"/>
                <w:sz w:val="24"/>
                <w:lang w:eastAsia="zh-CN"/>
              </w:rPr>
              <w:t>、</w:t>
            </w:r>
            <w:r>
              <w:rPr>
                <w:rFonts w:hint="eastAsia" w:ascii="Times New Roman" w:hAnsi="Times New Roman" w:eastAsia="宋体" w:cs="Times New Roman"/>
                <w:color w:val="auto"/>
                <w:spacing w:val="-6"/>
                <w:sz w:val="24"/>
              </w:rPr>
              <w:t>砂浆</w:t>
            </w:r>
            <w:r>
              <w:rPr>
                <w:rFonts w:hint="eastAsia" w:ascii="Times New Roman" w:hAnsi="Times New Roman" w:eastAsia="宋体" w:cs="Times New Roman"/>
                <w:color w:val="auto"/>
                <w:spacing w:val="-6"/>
                <w:sz w:val="24"/>
                <w:lang w:eastAsia="zh-CN"/>
              </w:rPr>
              <w:t>、</w:t>
            </w:r>
            <w:r>
              <w:rPr>
                <w:rFonts w:hint="eastAsia" w:ascii="Times New Roman" w:hAnsi="Times New Roman" w:eastAsia="宋体" w:cs="Times New Roman"/>
                <w:color w:val="auto"/>
                <w:spacing w:val="-6"/>
                <w:sz w:val="24"/>
              </w:rPr>
              <w:t>预拌级配碎石和水稳混合剂，严禁现场搅拌。</w:t>
            </w:r>
          </w:p>
          <w:p w14:paraId="4D56C167">
            <w:pPr>
              <w:wordWrap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（9）施工现场应建立封闭式垃圾站。建筑物内施工垃圾的清运，必须采用相应容器或管道运输，严禁凌空抛掷。</w:t>
            </w:r>
          </w:p>
          <w:p w14:paraId="25142EF7">
            <w:pPr>
              <w:wordWrap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（10）结构施工、安装装饰装修阶段，作业区目测扬尘高度小于0.5m，施工现场非作业区达到目测无扬尘的要求。</w:t>
            </w:r>
          </w:p>
          <w:p w14:paraId="1D6090E0">
            <w:pPr>
              <w:wordWrap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（11）施工现场严禁焚烧各类废弃物。</w:t>
            </w:r>
          </w:p>
          <w:p w14:paraId="5B2BA5DF">
            <w:pPr>
              <w:keepNext w:val="0"/>
              <w:keepLines w:val="0"/>
              <w:pageBreakBefore w:val="0"/>
              <w:widowControl w:val="0"/>
              <w:kinsoku/>
              <w:wordWrap w:val="0"/>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（12）加强管理人员、技术人员和一线建筑工人绿色环保施工的培训，</w:t>
            </w:r>
            <w:r>
              <w:rPr>
                <w:rFonts w:hint="eastAsia" w:cs="Times New Roman"/>
                <w:color w:val="auto"/>
                <w:sz w:val="24"/>
                <w:lang w:eastAsia="zh-CN"/>
              </w:rPr>
              <w:t>增强</w:t>
            </w:r>
            <w:r>
              <w:rPr>
                <w:rFonts w:hint="eastAsia" w:ascii="Times New Roman" w:hAnsi="Times New Roman" w:eastAsia="宋体" w:cs="Times New Roman"/>
                <w:color w:val="auto"/>
                <w:sz w:val="24"/>
              </w:rPr>
              <w:t>生态环境保护意识，使施工人员尽早掌握绿色环保施工的要求。</w:t>
            </w:r>
          </w:p>
          <w:p w14:paraId="471C9431">
            <w:pPr>
              <w:wordWrap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通过采取以上措施后，在施工过程中可明显降低施工扬尘污染，不会对周围环境空气质量产生明显影响。</w:t>
            </w:r>
          </w:p>
          <w:p w14:paraId="6B3F510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2.施工期废水防治措施</w:t>
            </w:r>
          </w:p>
          <w:p w14:paraId="47058CBC">
            <w:pPr>
              <w:wordWrap w:val="0"/>
              <w:spacing w:line="360" w:lineRule="auto"/>
              <w:ind w:firstLine="480" w:firstLineChars="200"/>
              <w:rPr>
                <w:color w:val="auto"/>
                <w:sz w:val="24"/>
              </w:rPr>
            </w:pPr>
            <w:r>
              <w:rPr>
                <w:rFonts w:hint="eastAsia" w:ascii="Times New Roman" w:hAnsi="Times New Roman" w:eastAsia="宋体" w:cs="Times New Roman"/>
                <w:color w:val="auto"/>
                <w:sz w:val="24"/>
              </w:rPr>
              <w:t>本项目施工废水主要为设备清洗废水及建筑养护废水等，主要污染物为SS，水量较少，且不含其他有毒有害物质。施工废水经临时沉淀池沉淀处理后用于场地洒水降尘</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不外排</w:t>
            </w:r>
            <w:r>
              <w:rPr>
                <w:rFonts w:hint="eastAsia" w:ascii="Times New Roman" w:hAnsi="Times New Roman" w:eastAsia="宋体" w:cs="Times New Roman"/>
                <w:color w:val="auto"/>
                <w:sz w:val="24"/>
              </w:rPr>
              <w:t>。施工期废水排放主要</w:t>
            </w:r>
            <w:r>
              <w:rPr>
                <w:rFonts w:hint="eastAsia" w:ascii="Times New Roman" w:hAnsi="Times New Roman" w:eastAsia="宋体" w:cs="Times New Roman"/>
                <w:color w:val="auto"/>
                <w:sz w:val="24"/>
                <w:lang w:val="en-US" w:eastAsia="zh-CN"/>
              </w:rPr>
              <w:t>为</w:t>
            </w:r>
            <w:r>
              <w:rPr>
                <w:rFonts w:hint="eastAsia" w:ascii="Times New Roman" w:hAnsi="Times New Roman" w:eastAsia="宋体" w:cs="Times New Roman"/>
                <w:color w:val="auto"/>
                <w:sz w:val="24"/>
              </w:rPr>
              <w:t>建筑施工人员生活污水</w:t>
            </w:r>
            <w:r>
              <w:rPr>
                <w:rFonts w:hint="eastAsia" w:cs="Times New Roman"/>
                <w:color w:val="auto"/>
                <w:sz w:val="24"/>
                <w:lang w:eastAsia="zh-CN"/>
              </w:rPr>
              <w:t>，</w:t>
            </w:r>
            <w:r>
              <w:rPr>
                <w:rFonts w:hint="eastAsia" w:ascii="Times New Roman" w:hAnsi="Times New Roman" w:eastAsia="宋体" w:cs="Times New Roman"/>
                <w:color w:val="auto"/>
                <w:sz w:val="24"/>
              </w:rPr>
              <w:t>施工期生活污水排入园区污水管网，最终进入园区污水处理厂处理</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不会对周边环境造成污染影响。</w:t>
            </w:r>
          </w:p>
          <w:p w14:paraId="3FA196D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3.施工期噪声防治措施</w:t>
            </w:r>
          </w:p>
          <w:p w14:paraId="48E97403">
            <w:pPr>
              <w:wordWrap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本项目施工期噪声源主要为施工作业噪声和运输车辆噪声。施工作业噪声主要是一些零星敲打声、装卸车辆的撞击声、施工设备运行噪声等；施工运输车辆噪声属于交通噪声。根据同类项目类比，施工期对环境影响最大的为施工运输车辆噪声。施工期产生的噪声源强在80～92dB</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A</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，为临时性流动声源，</w:t>
            </w:r>
            <w:r>
              <w:rPr>
                <w:rFonts w:hint="eastAsia" w:cs="Times New Roman"/>
                <w:color w:val="auto"/>
                <w:sz w:val="24"/>
                <w:lang w:eastAsia="zh-CN"/>
              </w:rPr>
              <w:t>不宜</w:t>
            </w:r>
            <w:r>
              <w:rPr>
                <w:rFonts w:hint="eastAsia" w:ascii="Times New Roman" w:hAnsi="Times New Roman" w:eastAsia="宋体" w:cs="Times New Roman"/>
                <w:color w:val="auto"/>
                <w:sz w:val="24"/>
              </w:rPr>
              <w:t>采取治理措施，可通过施工期加强管理进行防治。施工噪声经距离衰减、周边建筑阻隔后，对周围影响甚小。且本项目</w:t>
            </w:r>
            <w:r>
              <w:rPr>
                <w:rFonts w:hint="eastAsia" w:ascii="Times New Roman" w:hAnsi="Times New Roman" w:eastAsia="宋体" w:cs="Times New Roman"/>
                <w:color w:val="auto"/>
                <w:sz w:val="24"/>
                <w:lang w:val="en-US" w:eastAsia="zh-CN"/>
              </w:rPr>
              <w:t>5</w:t>
            </w:r>
            <w:r>
              <w:rPr>
                <w:rFonts w:hint="eastAsia" w:ascii="Times New Roman" w:hAnsi="Times New Roman" w:eastAsia="宋体" w:cs="Times New Roman"/>
                <w:color w:val="auto"/>
                <w:sz w:val="24"/>
              </w:rPr>
              <w:t>00m范围内无环境保护目标，项目施工期短，施工期声环境影响属短期、可恢复和局部的环境影响，将随着工程的结束，声环境影响也随之消失。</w:t>
            </w:r>
          </w:p>
          <w:p w14:paraId="169F22F7">
            <w:pPr>
              <w:wordWrap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为进一步降低项目施工期噪声影响，应采取以下噪声污染防治措施：</w:t>
            </w:r>
          </w:p>
          <w:p w14:paraId="7FA2A3A1">
            <w:pPr>
              <w:wordWrap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（1）加强施工管理，制订施工计划时，应尽可能避免大量高噪声设备同时施工，合理安排施工作业时间，施工时间应控制在7:00~12:00，14:00~20:00之间，严格按照施工噪声管理的有关规定执行。</w:t>
            </w:r>
          </w:p>
          <w:p w14:paraId="28C6B15F">
            <w:pPr>
              <w:wordWrap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（2）设备选型上尽量采用低噪设备；可通过排气管</w:t>
            </w:r>
            <w:r>
              <w:rPr>
                <w:rFonts w:hint="eastAsia" w:cs="Times New Roman"/>
                <w:color w:val="auto"/>
                <w:sz w:val="24"/>
                <w:lang w:eastAsia="zh-CN"/>
              </w:rPr>
              <w:t>消声器</w:t>
            </w:r>
            <w:r>
              <w:rPr>
                <w:rFonts w:hint="eastAsia" w:ascii="Times New Roman" w:hAnsi="Times New Roman" w:eastAsia="宋体" w:cs="Times New Roman"/>
                <w:color w:val="auto"/>
                <w:sz w:val="24"/>
              </w:rPr>
              <w:t>和隔离发动机振动部件的方法降低噪声；对动力机械设备进行维修、养护，维护不良的设备常因松动部件的振动或消声器的损坏而增加其工作时声级；闲置不用的设备应立即关闭。</w:t>
            </w:r>
          </w:p>
          <w:p w14:paraId="4C0669FC">
            <w:pPr>
              <w:keepNext w:val="0"/>
              <w:keepLines w:val="0"/>
              <w:pageBreakBefore w:val="0"/>
              <w:widowControl w:val="0"/>
              <w:kinsoku/>
              <w:wordWrap w:val="0"/>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（3）合理布局施工场地，尽量将高噪声设备布置在厂房内。</w:t>
            </w:r>
          </w:p>
          <w:p w14:paraId="01AA6452">
            <w:pPr>
              <w:wordWrap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（4）在项目四周建立临时隔音屏障，对位置相对固定的机械设备，能于棚内操作的尽量进入操作间，不能入棚的，可适当建立临时声障。</w:t>
            </w:r>
          </w:p>
          <w:p w14:paraId="1AB4A9E9">
            <w:pPr>
              <w:wordWrap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（5）混凝土需要连续浇灌作业前，应做好各项准备工作，将搅拌机运行时间压到最低限度。</w:t>
            </w:r>
          </w:p>
          <w:p w14:paraId="32F442C7">
            <w:pPr>
              <w:wordWrap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（6）对施工人员进行生态环境保护宣传教育，加强生态环境保护意识。</w:t>
            </w:r>
          </w:p>
          <w:p w14:paraId="052480D9">
            <w:pPr>
              <w:wordWrap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综上，本项目施工噪声对周围环境的影响较小。</w:t>
            </w:r>
          </w:p>
          <w:p w14:paraId="53DC922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4.施工期固体废物防治措施</w:t>
            </w:r>
          </w:p>
          <w:p w14:paraId="35ECE00E">
            <w:pPr>
              <w:wordWrap w:val="0"/>
              <w:spacing w:line="360" w:lineRule="auto"/>
              <w:ind w:firstLine="480" w:firstLineChars="200"/>
              <w:rPr>
                <w:rFonts w:hint="eastAsia"/>
                <w:color w:val="auto"/>
                <w:sz w:val="24"/>
              </w:rPr>
            </w:pPr>
            <w:r>
              <w:rPr>
                <w:color w:val="auto"/>
                <w:sz w:val="24"/>
              </w:rPr>
              <w:t>施工期固体废物主要为</w:t>
            </w:r>
            <w:r>
              <w:rPr>
                <w:rFonts w:hint="eastAsia"/>
                <w:color w:val="auto"/>
                <w:sz w:val="24"/>
              </w:rPr>
              <w:t>施工</w:t>
            </w:r>
            <w:r>
              <w:rPr>
                <w:color w:val="auto"/>
                <w:sz w:val="24"/>
              </w:rPr>
              <w:t>过</w:t>
            </w:r>
            <w:r>
              <w:rPr>
                <w:rFonts w:hint="eastAsia"/>
                <w:color w:val="auto"/>
                <w:sz w:val="24"/>
                <w:lang w:eastAsia="zh-CN"/>
              </w:rPr>
              <w:t>程中</w:t>
            </w:r>
            <w:r>
              <w:rPr>
                <w:color w:val="auto"/>
                <w:sz w:val="24"/>
              </w:rPr>
              <w:t>产生的废弃外包装物</w:t>
            </w:r>
            <w:r>
              <w:rPr>
                <w:rFonts w:hint="eastAsia"/>
                <w:color w:val="auto"/>
                <w:sz w:val="24"/>
              </w:rPr>
              <w:t>、</w:t>
            </w:r>
            <w:r>
              <w:rPr>
                <w:color w:val="auto"/>
                <w:sz w:val="24"/>
              </w:rPr>
              <w:t>建筑垃圾</w:t>
            </w:r>
            <w:r>
              <w:rPr>
                <w:rFonts w:hint="eastAsia"/>
                <w:color w:val="auto"/>
                <w:sz w:val="24"/>
              </w:rPr>
              <w:t>及施工人员生活垃圾</w:t>
            </w:r>
            <w:r>
              <w:rPr>
                <w:color w:val="auto"/>
                <w:sz w:val="24"/>
              </w:rPr>
              <w:t>，</w:t>
            </w:r>
            <w:r>
              <w:rPr>
                <w:rFonts w:hint="eastAsia"/>
                <w:color w:val="auto"/>
                <w:sz w:val="24"/>
              </w:rPr>
              <w:t>建筑垃圾</w:t>
            </w:r>
            <w:r>
              <w:rPr>
                <w:color w:val="auto"/>
                <w:sz w:val="24"/>
              </w:rPr>
              <w:t>一般无有毒</w:t>
            </w:r>
            <w:r>
              <w:rPr>
                <w:rFonts w:hint="eastAsia"/>
                <w:color w:val="auto"/>
                <w:sz w:val="24"/>
                <w:lang w:eastAsia="zh-CN"/>
              </w:rPr>
              <w:t>有害成分</w:t>
            </w:r>
            <w:r>
              <w:rPr>
                <w:color w:val="auto"/>
                <w:sz w:val="24"/>
              </w:rPr>
              <w:t>，但随意堆置于施工现场不仅占地还会造成扬尘，所以施工期的此类固体废物应遮盖</w:t>
            </w:r>
            <w:r>
              <w:rPr>
                <w:rFonts w:hint="eastAsia"/>
                <w:color w:val="auto"/>
                <w:sz w:val="24"/>
                <w:lang w:val="en-US" w:eastAsia="zh-CN"/>
              </w:rPr>
              <w:t>并</w:t>
            </w:r>
            <w:r>
              <w:rPr>
                <w:color w:val="auto"/>
                <w:sz w:val="24"/>
              </w:rPr>
              <w:t>及时清运至垃圾填埋场，合理处置，严禁乱堆乱扔，防止其因长期堆放而产生二次污染。施工人员生活垃圾集中收集</w:t>
            </w:r>
            <w:r>
              <w:rPr>
                <w:rFonts w:hint="eastAsia"/>
                <w:color w:val="auto"/>
                <w:sz w:val="24"/>
                <w:lang w:val="en-US" w:eastAsia="zh-CN"/>
              </w:rPr>
              <w:t>后</w:t>
            </w:r>
            <w:r>
              <w:rPr>
                <w:rFonts w:hint="eastAsia"/>
                <w:color w:val="auto"/>
                <w:sz w:val="24"/>
              </w:rPr>
              <w:t>由环卫部门统一拉运至生活垃圾填埋场处置。</w:t>
            </w:r>
          </w:p>
          <w:p w14:paraId="5D73C46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5.施工期生态保护措施</w:t>
            </w:r>
          </w:p>
          <w:p w14:paraId="211DCB73">
            <w:pPr>
              <w:wordWrap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（1）施工单位应合理设计施工方案，划定施工区域，加强施工管理，严格在施工区域内施工，要求运输车辆在施工便道范围内行驶，禁止对便道外的地表和植被造成碾压或破坏。</w:t>
            </w:r>
          </w:p>
          <w:p w14:paraId="783D92A2">
            <w:pPr>
              <w:wordWrap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（2）施工期间合理组织物料拉运，合理安排施工进度，物料、砂石料及时拉入现场，并尽快施工，避免在堆放过程中沙土飞扬，影响区域环境质量。</w:t>
            </w:r>
          </w:p>
          <w:p w14:paraId="47F7CE91">
            <w:pPr>
              <w:wordWrap w:val="0"/>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防风固沙措施</w:t>
            </w:r>
            <w:r>
              <w:rPr>
                <w:rFonts w:hint="eastAsia" w:ascii="Times New Roman" w:hAnsi="Times New Roman" w:eastAsia="宋体" w:cs="Times New Roman"/>
                <w:color w:val="auto"/>
                <w:sz w:val="24"/>
              </w:rPr>
              <w:t>：</w:t>
            </w:r>
            <w:r>
              <w:rPr>
                <w:rFonts w:ascii="Times New Roman" w:hAnsi="Times New Roman" w:eastAsia="宋体" w:cs="Times New Roman"/>
                <w:color w:val="auto"/>
                <w:sz w:val="24"/>
              </w:rPr>
              <w:t>合理选择施工期，大风天禁止施工。施工期结束后对施工区域进行绿化。绿化应以自然恢复为主，辅以种植以乡土草种为主，适应性强、防尘效果好、护坡功能强的植物种，尽量与原有地貌和景观协调，以弥补施工建设对原有植被造成的损失。</w:t>
            </w:r>
          </w:p>
          <w:p w14:paraId="2F89AC49">
            <w:pPr>
              <w:wordWrap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采取以上措施，可有效减轻施工期对项目区域生态</w:t>
            </w:r>
            <w:r>
              <w:rPr>
                <w:rFonts w:hint="eastAsia" w:ascii="Times New Roman" w:hAnsi="Times New Roman" w:eastAsia="宋体" w:cs="Times New Roman"/>
                <w:color w:val="auto"/>
                <w:sz w:val="24"/>
                <w:lang w:val="en-US" w:eastAsia="zh-CN"/>
              </w:rPr>
              <w:t>环境</w:t>
            </w:r>
            <w:r>
              <w:rPr>
                <w:rFonts w:hint="eastAsia" w:ascii="Times New Roman" w:hAnsi="Times New Roman" w:eastAsia="宋体" w:cs="Times New Roman"/>
                <w:color w:val="auto"/>
                <w:sz w:val="24"/>
              </w:rPr>
              <w:t>的影响</w:t>
            </w:r>
            <w:r>
              <w:rPr>
                <w:rFonts w:hint="eastAsia" w:ascii="Times New Roman" w:hAnsi="Times New Roman" w:eastAsia="宋体" w:cs="Times New Roman"/>
                <w:color w:val="auto"/>
                <w:sz w:val="24"/>
                <w:lang w:eastAsia="zh-CN"/>
              </w:rPr>
              <w:t>。</w:t>
            </w:r>
          </w:p>
          <w:p w14:paraId="6DF1A378">
            <w:pPr>
              <w:wordWrap w:val="0"/>
              <w:spacing w:line="360" w:lineRule="auto"/>
              <w:ind w:firstLine="480" w:firstLineChars="200"/>
              <w:rPr>
                <w:rFonts w:hint="eastAsia" w:ascii="Times New Roman" w:hAnsi="Times New Roman" w:eastAsia="宋体" w:cs="Times New Roman"/>
                <w:color w:val="auto"/>
                <w:sz w:val="24"/>
              </w:rPr>
            </w:pPr>
          </w:p>
          <w:p w14:paraId="58B54AC3">
            <w:pPr>
              <w:wordWrap w:val="0"/>
              <w:spacing w:line="360" w:lineRule="auto"/>
              <w:ind w:firstLine="480" w:firstLineChars="200"/>
              <w:rPr>
                <w:rFonts w:hint="eastAsia" w:ascii="Times New Roman" w:hAnsi="Times New Roman" w:eastAsia="宋体" w:cs="Times New Roman"/>
                <w:color w:val="auto"/>
                <w:sz w:val="24"/>
              </w:rPr>
            </w:pPr>
          </w:p>
          <w:p w14:paraId="508BEADF">
            <w:pPr>
              <w:wordWrap w:val="0"/>
              <w:spacing w:line="360" w:lineRule="auto"/>
              <w:ind w:firstLine="420" w:firstLineChars="200"/>
              <w:rPr>
                <w:rFonts w:hint="eastAsia"/>
                <w:color w:val="auto"/>
              </w:rPr>
            </w:pPr>
          </w:p>
        </w:tc>
      </w:tr>
      <w:tr w14:paraId="03910F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830" w:hRule="atLeast"/>
          <w:jc w:val="center"/>
        </w:trPr>
        <w:tc>
          <w:tcPr>
            <w:tcW w:w="828" w:type="dxa"/>
            <w:noWrap w:val="0"/>
            <w:tcMar>
              <w:left w:w="28" w:type="dxa"/>
              <w:right w:w="28" w:type="dxa"/>
            </w:tcMar>
            <w:vAlign w:val="center"/>
          </w:tcPr>
          <w:p w14:paraId="72CA04B2">
            <w:pPr>
              <w:autoSpaceDE w:val="0"/>
              <w:autoSpaceDN w:val="0"/>
              <w:adjustRightInd w:val="0"/>
              <w:snapToGrid w:val="0"/>
              <w:jc w:val="center"/>
              <w:rPr>
                <w:color w:val="auto"/>
                <w:kern w:val="0"/>
                <w:sz w:val="24"/>
              </w:rPr>
            </w:pPr>
            <w:r>
              <w:rPr>
                <w:color w:val="auto"/>
                <w:kern w:val="0"/>
                <w:sz w:val="24"/>
              </w:rPr>
              <w:t>运营</w:t>
            </w:r>
          </w:p>
          <w:p w14:paraId="09A07B96">
            <w:pPr>
              <w:autoSpaceDE w:val="0"/>
              <w:autoSpaceDN w:val="0"/>
              <w:adjustRightInd w:val="0"/>
              <w:snapToGrid w:val="0"/>
              <w:jc w:val="center"/>
              <w:rPr>
                <w:color w:val="auto"/>
                <w:kern w:val="0"/>
                <w:sz w:val="24"/>
              </w:rPr>
            </w:pPr>
            <w:r>
              <w:rPr>
                <w:color w:val="auto"/>
                <w:kern w:val="0"/>
                <w:sz w:val="24"/>
              </w:rPr>
              <w:t>期环</w:t>
            </w:r>
          </w:p>
          <w:p w14:paraId="4E42B717">
            <w:pPr>
              <w:autoSpaceDE w:val="0"/>
              <w:autoSpaceDN w:val="0"/>
              <w:adjustRightInd w:val="0"/>
              <w:snapToGrid w:val="0"/>
              <w:jc w:val="center"/>
              <w:rPr>
                <w:color w:val="auto"/>
                <w:kern w:val="0"/>
                <w:sz w:val="24"/>
              </w:rPr>
            </w:pPr>
            <w:r>
              <w:rPr>
                <w:color w:val="auto"/>
                <w:kern w:val="0"/>
                <w:sz w:val="24"/>
              </w:rPr>
              <w:t>境影</w:t>
            </w:r>
          </w:p>
          <w:p w14:paraId="68344A13">
            <w:pPr>
              <w:autoSpaceDE w:val="0"/>
              <w:autoSpaceDN w:val="0"/>
              <w:adjustRightInd w:val="0"/>
              <w:snapToGrid w:val="0"/>
              <w:jc w:val="center"/>
              <w:rPr>
                <w:color w:val="auto"/>
                <w:kern w:val="0"/>
                <w:sz w:val="24"/>
              </w:rPr>
            </w:pPr>
            <w:r>
              <w:rPr>
                <w:color w:val="auto"/>
                <w:kern w:val="0"/>
                <w:sz w:val="24"/>
              </w:rPr>
              <w:t>响和</w:t>
            </w:r>
          </w:p>
          <w:p w14:paraId="0182FB7D">
            <w:pPr>
              <w:autoSpaceDE w:val="0"/>
              <w:autoSpaceDN w:val="0"/>
              <w:adjustRightInd w:val="0"/>
              <w:snapToGrid w:val="0"/>
              <w:jc w:val="center"/>
              <w:rPr>
                <w:color w:val="auto"/>
                <w:kern w:val="0"/>
                <w:sz w:val="24"/>
              </w:rPr>
            </w:pPr>
            <w:r>
              <w:rPr>
                <w:color w:val="auto"/>
                <w:kern w:val="0"/>
                <w:sz w:val="24"/>
              </w:rPr>
              <w:t>保护</w:t>
            </w:r>
          </w:p>
          <w:p w14:paraId="0148F398">
            <w:pPr>
              <w:autoSpaceDE w:val="0"/>
              <w:autoSpaceDN w:val="0"/>
              <w:adjustRightInd w:val="0"/>
              <w:snapToGrid w:val="0"/>
              <w:jc w:val="center"/>
              <w:rPr>
                <w:bCs/>
                <w:color w:val="auto"/>
                <w:szCs w:val="21"/>
                <w:highlight w:val="yellow"/>
              </w:rPr>
            </w:pPr>
            <w:r>
              <w:rPr>
                <w:color w:val="auto"/>
                <w:kern w:val="0"/>
                <w:sz w:val="24"/>
              </w:rPr>
              <w:t>措施</w:t>
            </w:r>
          </w:p>
        </w:tc>
        <w:tc>
          <w:tcPr>
            <w:tcW w:w="8153" w:type="dxa"/>
            <w:noWrap w:val="0"/>
            <w:vAlign w:val="top"/>
          </w:tcPr>
          <w:p w14:paraId="2B8A5CC7">
            <w:pPr>
              <w:keepNext w:val="0"/>
              <w:keepLines w:val="0"/>
              <w:pageBreakBefore w:val="0"/>
              <w:widowControl w:val="0"/>
              <w:kinsoku/>
              <w:wordWrap/>
              <w:overflowPunct/>
              <w:topLinePunct w:val="0"/>
              <w:autoSpaceDE/>
              <w:autoSpaceDN/>
              <w:bidi w:val="0"/>
              <w:adjustRightInd w:val="0"/>
              <w:snapToGrid w:val="0"/>
              <w:spacing w:before="120" w:beforeLines="50" w:line="348" w:lineRule="auto"/>
              <w:textAlignment w:val="auto"/>
              <w:rPr>
                <w:rFonts w:hint="eastAsia" w:ascii="宋体" w:hAnsi="宋体" w:cs="宋体"/>
                <w:b/>
                <w:bCs/>
                <w:color w:val="auto"/>
                <w:sz w:val="24"/>
              </w:rPr>
            </w:pPr>
            <w:r>
              <w:rPr>
                <w:rFonts w:hint="eastAsia" w:ascii="宋体" w:hAnsi="宋体" w:cs="宋体"/>
                <w:b/>
                <w:bCs/>
                <w:color w:val="auto"/>
                <w:sz w:val="24"/>
              </w:rPr>
              <w:t>1.大气环境影响及保护措施</w:t>
            </w:r>
          </w:p>
          <w:p w14:paraId="689DEB03">
            <w:pPr>
              <w:keepNext w:val="0"/>
              <w:keepLines w:val="0"/>
              <w:pageBreakBefore w:val="0"/>
              <w:widowControl w:val="0"/>
              <w:kinsoku/>
              <w:wordWrap w:val="0"/>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（1）污染源分析及措施可行性</w:t>
            </w:r>
          </w:p>
          <w:p w14:paraId="4A54DF2E">
            <w:pPr>
              <w:keepNext w:val="0"/>
              <w:keepLines w:val="0"/>
              <w:pageBreakBefore w:val="0"/>
              <w:widowControl w:val="0"/>
              <w:kinsoku/>
              <w:wordWrap w:val="0"/>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根据工艺流程及产污</w:t>
            </w:r>
            <w:r>
              <w:rPr>
                <w:rFonts w:hint="eastAsia" w:ascii="Times New Roman" w:hAnsi="Times New Roman" w:eastAsia="宋体" w:cs="Times New Roman"/>
                <w:color w:val="auto"/>
                <w:sz w:val="24"/>
                <w:lang w:val="en-US" w:eastAsia="zh-CN"/>
              </w:rPr>
              <w:t>环节</w:t>
            </w:r>
            <w:r>
              <w:rPr>
                <w:rFonts w:hint="eastAsia" w:ascii="Times New Roman" w:hAnsi="Times New Roman" w:eastAsia="宋体" w:cs="Times New Roman"/>
                <w:color w:val="auto"/>
                <w:sz w:val="24"/>
              </w:rPr>
              <w:t>分析可知，</w:t>
            </w:r>
            <w:r>
              <w:rPr>
                <w:rFonts w:hint="eastAsia" w:ascii="Times New Roman" w:hAnsi="Times New Roman" w:eastAsia="宋体" w:cs="Times New Roman"/>
                <w:color w:val="auto"/>
                <w:sz w:val="24"/>
                <w:lang w:val="en-US" w:eastAsia="zh-CN"/>
              </w:rPr>
              <w:t>本</w:t>
            </w:r>
            <w:r>
              <w:rPr>
                <w:rFonts w:hint="eastAsia" w:ascii="Times New Roman" w:hAnsi="Times New Roman" w:eastAsia="宋体" w:cs="Times New Roman"/>
                <w:color w:val="auto"/>
                <w:sz w:val="24"/>
              </w:rPr>
              <w:t>项目运营期产生的废气主要为切割</w:t>
            </w:r>
            <w:r>
              <w:rPr>
                <w:rFonts w:hint="eastAsia" w:ascii="Times New Roman" w:hAnsi="Times New Roman" w:eastAsia="宋体" w:cs="Times New Roman"/>
                <w:color w:val="auto"/>
                <w:sz w:val="24"/>
                <w:lang w:val="en-US" w:eastAsia="zh-CN"/>
              </w:rPr>
              <w:t>粉尘</w:t>
            </w:r>
            <w:r>
              <w:rPr>
                <w:rFonts w:hint="eastAsia" w:ascii="Times New Roman" w:hAnsi="Times New Roman" w:eastAsia="宋体" w:cs="Times New Roman"/>
                <w:color w:val="auto"/>
                <w:sz w:val="24"/>
              </w:rPr>
              <w:t>、焊接、打磨</w:t>
            </w:r>
            <w:r>
              <w:rPr>
                <w:rFonts w:hint="eastAsia" w:ascii="Times New Roman" w:hAnsi="Times New Roman" w:eastAsia="宋体" w:cs="Times New Roman"/>
                <w:color w:val="auto"/>
                <w:sz w:val="24"/>
                <w:lang w:val="en-US" w:eastAsia="zh-CN"/>
              </w:rPr>
              <w:t>废气</w:t>
            </w:r>
            <w:r>
              <w:rPr>
                <w:rFonts w:hint="eastAsia" w:ascii="Times New Roman" w:hAnsi="Times New Roman" w:eastAsia="宋体" w:cs="Times New Roman"/>
                <w:color w:val="auto"/>
                <w:sz w:val="24"/>
              </w:rPr>
              <w:t>、抛丸</w:t>
            </w:r>
            <w:r>
              <w:rPr>
                <w:rFonts w:hint="eastAsia" w:ascii="Times New Roman" w:hAnsi="Times New Roman" w:eastAsia="宋体" w:cs="Times New Roman"/>
                <w:color w:val="auto"/>
                <w:sz w:val="24"/>
                <w:lang w:val="en-US" w:eastAsia="zh-CN"/>
              </w:rPr>
              <w:t>粉尘</w:t>
            </w:r>
            <w:r>
              <w:rPr>
                <w:rFonts w:hint="eastAsia" w:ascii="Times New Roman" w:hAnsi="Times New Roman" w:eastAsia="宋体" w:cs="Times New Roman"/>
                <w:color w:val="auto"/>
                <w:sz w:val="24"/>
              </w:rPr>
              <w:t>、</w:t>
            </w:r>
            <w:r>
              <w:rPr>
                <w:rFonts w:hint="eastAsia" w:ascii="Times New Roman" w:hAnsi="Times New Roman" w:eastAsia="宋体" w:cs="Times New Roman"/>
                <w:color w:val="auto"/>
                <w:sz w:val="24"/>
                <w:lang w:val="en-US" w:eastAsia="zh-CN"/>
              </w:rPr>
              <w:t>涂装</w:t>
            </w:r>
            <w:r>
              <w:rPr>
                <w:rFonts w:hint="eastAsia" w:ascii="Times New Roman" w:hAnsi="Times New Roman" w:eastAsia="宋体" w:cs="Times New Roman"/>
                <w:color w:val="auto"/>
                <w:sz w:val="24"/>
              </w:rPr>
              <w:t>废气（含调漆、喷漆、晾干）</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污染</w:t>
            </w:r>
            <w:r>
              <w:rPr>
                <w:rFonts w:hint="eastAsia" w:ascii="Times New Roman" w:hAnsi="Times New Roman" w:eastAsia="宋体" w:cs="Times New Roman"/>
                <w:color w:val="auto"/>
                <w:sz w:val="24"/>
              </w:rPr>
              <w:t>源强分析如下：</w:t>
            </w:r>
          </w:p>
          <w:p w14:paraId="3E5ACFC1">
            <w:pPr>
              <w:keepNext w:val="0"/>
              <w:keepLines w:val="0"/>
              <w:pageBreakBefore w:val="0"/>
              <w:widowControl w:val="0"/>
              <w:kinsoku/>
              <w:wordWrap w:val="0"/>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lang w:eastAsia="zh-CN"/>
              </w:rPr>
            </w:pPr>
            <w:r>
              <w:rPr>
                <w:rFonts w:hint="eastAsia" w:ascii="Times New Roman" w:hAnsi="Times New Roman" w:eastAsia="宋体" w:cs="Times New Roman"/>
                <w:color w:val="auto"/>
                <w:sz w:val="24"/>
              </w:rPr>
              <w:t>①切割粉尘</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G</w:t>
            </w:r>
            <w:r>
              <w:rPr>
                <w:rFonts w:hint="eastAsia" w:ascii="Times New Roman" w:hAnsi="Times New Roman" w:eastAsia="宋体" w:cs="Times New Roman"/>
                <w:color w:val="auto"/>
                <w:sz w:val="24"/>
                <w:vertAlign w:val="subscript"/>
                <w:lang w:val="en-US" w:eastAsia="zh-CN"/>
              </w:rPr>
              <w:t>1</w:t>
            </w:r>
            <w:r>
              <w:rPr>
                <w:rFonts w:hint="eastAsia" w:ascii="Times New Roman" w:hAnsi="Times New Roman" w:eastAsia="宋体" w:cs="Times New Roman"/>
                <w:color w:val="auto"/>
                <w:sz w:val="24"/>
                <w:lang w:eastAsia="zh-CN"/>
              </w:rPr>
              <w:t>）</w:t>
            </w:r>
          </w:p>
          <w:p w14:paraId="7D346C59">
            <w:pPr>
              <w:keepNext w:val="0"/>
              <w:keepLines w:val="0"/>
              <w:pageBreakBefore w:val="0"/>
              <w:widowControl w:val="0"/>
              <w:kinsoku/>
              <w:wordWrap w:val="0"/>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w:t>
            </w:r>
            <w:r>
              <w:rPr>
                <w:rFonts w:hint="eastAsia" w:ascii="Times New Roman" w:hAnsi="Times New Roman" w:eastAsia="宋体" w:cs="Times New Roman"/>
                <w:color w:val="auto"/>
                <w:sz w:val="24"/>
              </w:rPr>
              <w:t>下料</w:t>
            </w:r>
            <w:r>
              <w:rPr>
                <w:rFonts w:hint="eastAsia" w:ascii="Times New Roman" w:hAnsi="Times New Roman" w:eastAsia="宋体" w:cs="Times New Roman"/>
                <w:color w:val="auto"/>
                <w:sz w:val="24"/>
                <w:lang w:val="en-US" w:eastAsia="zh-CN"/>
              </w:rPr>
              <w:t>钢材使用激光切割机及数控火焰切割机进行切割，此过程产生的废气污染物为颗粒物。</w:t>
            </w:r>
            <w:r>
              <w:rPr>
                <w:rFonts w:hint="eastAsia" w:ascii="Times New Roman" w:hAnsi="Times New Roman" w:eastAsia="宋体" w:cs="Times New Roman"/>
                <w:color w:val="auto"/>
                <w:sz w:val="24"/>
              </w:rPr>
              <w:t>激光切割采用电能产生激光束熔化切割材料，</w:t>
            </w:r>
            <w:r>
              <w:rPr>
                <w:rFonts w:hint="eastAsia" w:ascii="Times New Roman" w:hAnsi="Times New Roman" w:eastAsia="宋体" w:cs="Times New Roman"/>
                <w:color w:val="auto"/>
                <w:sz w:val="24"/>
                <w:lang w:val="en-US" w:eastAsia="zh-CN"/>
              </w:rPr>
              <w:t>数控火焰切割使用氧/可燃气体切割材料。本项目切割工序在封闭厂房内进行，年生产时间为2400h。</w:t>
            </w:r>
          </w:p>
          <w:p w14:paraId="7400548B">
            <w:pPr>
              <w:keepNext w:val="0"/>
              <w:keepLines w:val="0"/>
              <w:pageBreakBefore w:val="0"/>
              <w:widowControl w:val="0"/>
              <w:kinsoku/>
              <w:wordWrap w:val="0"/>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pacing w:val="-6"/>
                <w:sz w:val="24"/>
              </w:rPr>
            </w:pPr>
            <w:r>
              <w:rPr>
                <w:rFonts w:hint="eastAsia" w:ascii="Times New Roman" w:hAnsi="Times New Roman" w:eastAsia="宋体" w:cs="Times New Roman"/>
                <w:color w:val="auto"/>
                <w:sz w:val="24"/>
              </w:rPr>
              <w:t>参照《排放源统计调查产排污核算方法和系数手册》“33金属制品业行业系数手册”</w:t>
            </w:r>
            <w:r>
              <w:rPr>
                <w:rFonts w:hint="eastAsia" w:ascii="Times New Roman" w:hAnsi="Times New Roman" w:eastAsia="宋体" w:cs="Times New Roman"/>
                <w:color w:val="auto"/>
                <w:spacing w:val="-6"/>
                <w:sz w:val="24"/>
              </w:rPr>
              <w:t>中0</w:t>
            </w:r>
            <w:r>
              <w:rPr>
                <w:rFonts w:hint="eastAsia" w:ascii="Times New Roman" w:hAnsi="Times New Roman" w:eastAsia="宋体" w:cs="Times New Roman"/>
                <w:color w:val="auto"/>
                <w:spacing w:val="-6"/>
                <w:sz w:val="24"/>
                <w:lang w:val="en-US" w:eastAsia="zh-CN"/>
              </w:rPr>
              <w:t>4下料</w:t>
            </w:r>
            <w:r>
              <w:rPr>
                <w:rFonts w:hint="eastAsia" w:ascii="Times New Roman" w:hAnsi="Times New Roman" w:eastAsia="宋体" w:cs="Times New Roman"/>
                <w:color w:val="auto"/>
                <w:spacing w:val="-6"/>
                <w:sz w:val="24"/>
                <w:lang w:eastAsia="zh-CN"/>
              </w:rPr>
              <w:t>，项目</w:t>
            </w:r>
            <w:r>
              <w:rPr>
                <w:rFonts w:hint="eastAsia" w:ascii="Times New Roman" w:hAnsi="Times New Roman" w:eastAsia="宋体" w:cs="Times New Roman"/>
                <w:color w:val="auto"/>
                <w:spacing w:val="-6"/>
                <w:sz w:val="24"/>
                <w:lang w:val="en-US" w:eastAsia="zh-CN"/>
              </w:rPr>
              <w:t>切割粉尘产污</w:t>
            </w:r>
            <w:r>
              <w:rPr>
                <w:rFonts w:hint="eastAsia" w:ascii="Times New Roman" w:hAnsi="Times New Roman" w:eastAsia="宋体" w:cs="Times New Roman"/>
                <w:color w:val="auto"/>
                <w:spacing w:val="-6"/>
                <w:sz w:val="24"/>
              </w:rPr>
              <w:t>系数</w:t>
            </w:r>
            <w:r>
              <w:rPr>
                <w:rFonts w:hint="eastAsia" w:ascii="Times New Roman" w:hAnsi="Times New Roman" w:eastAsia="宋体" w:cs="Times New Roman"/>
                <w:color w:val="auto"/>
                <w:spacing w:val="-6"/>
                <w:sz w:val="24"/>
                <w:lang w:val="en-US" w:eastAsia="zh-CN"/>
              </w:rPr>
              <w:t>及末端治理技术效率</w:t>
            </w:r>
            <w:r>
              <w:rPr>
                <w:rFonts w:hint="eastAsia" w:ascii="Times New Roman" w:hAnsi="Times New Roman" w:eastAsia="宋体" w:cs="Times New Roman"/>
                <w:color w:val="auto"/>
                <w:spacing w:val="-6"/>
                <w:sz w:val="24"/>
              </w:rPr>
              <w:t>见表</w:t>
            </w:r>
            <w:r>
              <w:rPr>
                <w:rFonts w:hint="eastAsia" w:ascii="Times New Roman" w:hAnsi="Times New Roman" w:eastAsia="宋体" w:cs="Times New Roman"/>
                <w:color w:val="auto"/>
                <w:spacing w:val="-6"/>
                <w:sz w:val="24"/>
                <w:lang w:val="en-US" w:eastAsia="zh-CN"/>
              </w:rPr>
              <w:t>4-1</w:t>
            </w:r>
            <w:r>
              <w:rPr>
                <w:rFonts w:hint="eastAsia" w:ascii="Times New Roman" w:hAnsi="Times New Roman" w:eastAsia="宋体" w:cs="Times New Roman"/>
                <w:color w:val="auto"/>
                <w:spacing w:val="-6"/>
                <w:sz w:val="24"/>
              </w:rPr>
              <w:t>。</w:t>
            </w:r>
          </w:p>
          <w:p w14:paraId="33AC42AA">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表4-1 下料产污系数及末端治理技术效率表</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3"/>
              <w:gridCol w:w="1218"/>
              <w:gridCol w:w="848"/>
              <w:gridCol w:w="639"/>
              <w:gridCol w:w="418"/>
              <w:gridCol w:w="890"/>
              <w:gridCol w:w="717"/>
              <w:gridCol w:w="771"/>
              <w:gridCol w:w="866"/>
              <w:gridCol w:w="884"/>
            </w:tblGrid>
            <w:tr w14:paraId="2C7F37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430" w:type="pct"/>
                  <w:tcBorders>
                    <w:bottom w:val="single" w:color="auto" w:sz="12" w:space="0"/>
                  </w:tcBorders>
                  <w:noWrap w:val="0"/>
                  <w:vAlign w:val="center"/>
                </w:tcPr>
                <w:p w14:paraId="2A72A20B">
                  <w:pPr>
                    <w:adjustRightInd w:val="0"/>
                    <w:snapToGrid w:val="0"/>
                    <w:jc w:val="center"/>
                    <w:rPr>
                      <w:rFonts w:hint="eastAsia" w:ascii="宋体" w:hAnsi="宋体" w:cs="宋体"/>
                      <w:b/>
                      <w:bCs/>
                      <w:color w:val="auto"/>
                    </w:rPr>
                  </w:pPr>
                  <w:r>
                    <w:rPr>
                      <w:rFonts w:hint="eastAsia" w:ascii="宋体" w:hAnsi="宋体" w:cs="宋体"/>
                      <w:b/>
                      <w:bCs/>
                      <w:color w:val="auto"/>
                    </w:rPr>
                    <w:t>产品</w:t>
                  </w:r>
                </w:p>
                <w:p w14:paraId="42F50D4D">
                  <w:pPr>
                    <w:adjustRightInd w:val="0"/>
                    <w:snapToGrid w:val="0"/>
                    <w:jc w:val="center"/>
                    <w:rPr>
                      <w:rFonts w:hint="eastAsia" w:ascii="宋体" w:hAnsi="宋体" w:cs="宋体"/>
                      <w:b/>
                      <w:bCs/>
                      <w:color w:val="auto"/>
                    </w:rPr>
                  </w:pPr>
                  <w:r>
                    <w:rPr>
                      <w:rFonts w:hint="eastAsia" w:ascii="宋体" w:hAnsi="宋体" w:cs="宋体"/>
                      <w:b/>
                      <w:bCs/>
                      <w:color w:val="auto"/>
                    </w:rPr>
                    <w:t>名称</w:t>
                  </w:r>
                </w:p>
              </w:tc>
              <w:tc>
                <w:tcPr>
                  <w:tcW w:w="767" w:type="pct"/>
                  <w:tcBorders>
                    <w:bottom w:val="single" w:color="auto" w:sz="12" w:space="0"/>
                  </w:tcBorders>
                  <w:noWrap w:val="0"/>
                  <w:vAlign w:val="center"/>
                </w:tcPr>
                <w:p w14:paraId="21622F8E">
                  <w:pPr>
                    <w:adjustRightInd w:val="0"/>
                    <w:snapToGrid w:val="0"/>
                    <w:jc w:val="center"/>
                    <w:rPr>
                      <w:rFonts w:hint="eastAsia" w:ascii="宋体" w:hAnsi="宋体" w:cs="宋体"/>
                      <w:b/>
                      <w:bCs/>
                      <w:color w:val="auto"/>
                    </w:rPr>
                  </w:pPr>
                  <w:r>
                    <w:rPr>
                      <w:rFonts w:hint="eastAsia" w:ascii="宋体" w:hAnsi="宋体" w:cs="宋体"/>
                      <w:b/>
                      <w:bCs/>
                      <w:color w:val="auto"/>
                    </w:rPr>
                    <w:t>原料名称</w:t>
                  </w:r>
                </w:p>
              </w:tc>
              <w:tc>
                <w:tcPr>
                  <w:tcW w:w="534" w:type="pct"/>
                  <w:tcBorders>
                    <w:bottom w:val="single" w:color="auto" w:sz="12" w:space="0"/>
                  </w:tcBorders>
                  <w:noWrap w:val="0"/>
                  <w:vAlign w:val="center"/>
                </w:tcPr>
                <w:p w14:paraId="75AF1C7E">
                  <w:pPr>
                    <w:adjustRightInd w:val="0"/>
                    <w:snapToGrid w:val="0"/>
                    <w:jc w:val="center"/>
                    <w:rPr>
                      <w:rFonts w:hint="eastAsia" w:ascii="宋体" w:hAnsi="宋体" w:cs="宋体"/>
                      <w:b/>
                      <w:bCs/>
                      <w:color w:val="auto"/>
                    </w:rPr>
                  </w:pPr>
                  <w:r>
                    <w:rPr>
                      <w:rFonts w:hint="eastAsia" w:ascii="宋体" w:hAnsi="宋体" w:cs="宋体"/>
                      <w:b/>
                      <w:bCs/>
                      <w:color w:val="auto"/>
                    </w:rPr>
                    <w:t>工艺名称</w:t>
                  </w:r>
                </w:p>
              </w:tc>
              <w:tc>
                <w:tcPr>
                  <w:tcW w:w="402" w:type="pct"/>
                  <w:tcBorders>
                    <w:bottom w:val="single" w:color="auto" w:sz="12" w:space="0"/>
                  </w:tcBorders>
                  <w:noWrap w:val="0"/>
                  <w:vAlign w:val="center"/>
                </w:tcPr>
                <w:p w14:paraId="53657576">
                  <w:pPr>
                    <w:adjustRightInd w:val="0"/>
                    <w:snapToGrid w:val="0"/>
                    <w:jc w:val="center"/>
                    <w:rPr>
                      <w:rFonts w:hint="eastAsia" w:ascii="宋体" w:hAnsi="宋体" w:cs="宋体"/>
                      <w:b/>
                      <w:bCs/>
                      <w:color w:val="auto"/>
                    </w:rPr>
                  </w:pPr>
                  <w:r>
                    <w:rPr>
                      <w:rFonts w:hint="eastAsia" w:ascii="宋体" w:hAnsi="宋体" w:cs="宋体"/>
                      <w:b/>
                      <w:bCs/>
                      <w:color w:val="auto"/>
                    </w:rPr>
                    <w:t>规模等级</w:t>
                  </w:r>
                </w:p>
              </w:tc>
              <w:tc>
                <w:tcPr>
                  <w:tcW w:w="824" w:type="pct"/>
                  <w:gridSpan w:val="2"/>
                  <w:tcBorders>
                    <w:bottom w:val="single" w:color="auto" w:sz="12" w:space="0"/>
                  </w:tcBorders>
                  <w:noWrap w:val="0"/>
                  <w:vAlign w:val="center"/>
                </w:tcPr>
                <w:p w14:paraId="0808FEC5">
                  <w:pPr>
                    <w:adjustRightInd w:val="0"/>
                    <w:snapToGrid w:val="0"/>
                    <w:jc w:val="center"/>
                    <w:rPr>
                      <w:rFonts w:hint="eastAsia" w:ascii="宋体" w:hAnsi="宋体" w:cs="宋体"/>
                      <w:b/>
                      <w:bCs/>
                      <w:color w:val="auto"/>
                    </w:rPr>
                  </w:pPr>
                  <w:r>
                    <w:rPr>
                      <w:rFonts w:hint="eastAsia" w:ascii="宋体" w:hAnsi="宋体" w:cs="宋体"/>
                      <w:b/>
                      <w:bCs/>
                      <w:color w:val="auto"/>
                    </w:rPr>
                    <w:t>污染物指标</w:t>
                  </w:r>
                </w:p>
              </w:tc>
              <w:tc>
                <w:tcPr>
                  <w:tcW w:w="451" w:type="pct"/>
                  <w:tcBorders>
                    <w:bottom w:val="single" w:color="auto" w:sz="12" w:space="0"/>
                  </w:tcBorders>
                  <w:noWrap w:val="0"/>
                  <w:vAlign w:val="center"/>
                </w:tcPr>
                <w:p w14:paraId="0EA0F608">
                  <w:pPr>
                    <w:adjustRightInd w:val="0"/>
                    <w:snapToGrid w:val="0"/>
                    <w:jc w:val="center"/>
                    <w:rPr>
                      <w:rFonts w:hint="eastAsia" w:ascii="宋体" w:hAnsi="宋体" w:cs="宋体"/>
                      <w:b/>
                      <w:bCs/>
                      <w:color w:val="auto"/>
                    </w:rPr>
                  </w:pPr>
                  <w:r>
                    <w:rPr>
                      <w:rFonts w:hint="eastAsia" w:ascii="宋体" w:hAnsi="宋体" w:cs="宋体"/>
                      <w:b/>
                      <w:bCs/>
                      <w:color w:val="auto"/>
                    </w:rPr>
                    <w:t>单位</w:t>
                  </w:r>
                </w:p>
              </w:tc>
              <w:tc>
                <w:tcPr>
                  <w:tcW w:w="485" w:type="pct"/>
                  <w:tcBorders>
                    <w:bottom w:val="single" w:color="auto" w:sz="12" w:space="0"/>
                  </w:tcBorders>
                  <w:noWrap w:val="0"/>
                  <w:vAlign w:val="center"/>
                </w:tcPr>
                <w:p w14:paraId="06883906">
                  <w:pPr>
                    <w:adjustRightInd w:val="0"/>
                    <w:snapToGrid w:val="0"/>
                    <w:jc w:val="center"/>
                    <w:rPr>
                      <w:rFonts w:hint="eastAsia" w:ascii="宋体" w:hAnsi="宋体" w:cs="宋体"/>
                      <w:b/>
                      <w:bCs/>
                      <w:color w:val="auto"/>
                    </w:rPr>
                  </w:pPr>
                  <w:r>
                    <w:rPr>
                      <w:rFonts w:hint="eastAsia" w:ascii="宋体" w:hAnsi="宋体" w:cs="宋体"/>
                      <w:b/>
                      <w:bCs/>
                      <w:color w:val="auto"/>
                    </w:rPr>
                    <w:t>产污系数</w:t>
                  </w:r>
                </w:p>
              </w:tc>
              <w:tc>
                <w:tcPr>
                  <w:tcW w:w="545" w:type="pct"/>
                  <w:tcBorders>
                    <w:bottom w:val="single" w:color="auto" w:sz="12" w:space="0"/>
                  </w:tcBorders>
                  <w:noWrap w:val="0"/>
                  <w:vAlign w:val="center"/>
                </w:tcPr>
                <w:p w14:paraId="6B016571">
                  <w:pPr>
                    <w:adjustRightInd w:val="0"/>
                    <w:snapToGrid w:val="0"/>
                    <w:jc w:val="center"/>
                    <w:rPr>
                      <w:rFonts w:hint="eastAsia" w:ascii="宋体" w:hAnsi="宋体" w:cs="宋体"/>
                      <w:b/>
                      <w:bCs/>
                      <w:color w:val="auto"/>
                    </w:rPr>
                  </w:pPr>
                  <w:r>
                    <w:rPr>
                      <w:rFonts w:hint="eastAsia" w:ascii="宋体" w:hAnsi="宋体" w:cs="宋体"/>
                      <w:b/>
                      <w:bCs/>
                      <w:color w:val="auto"/>
                    </w:rPr>
                    <w:t>末端治理技术名称</w:t>
                  </w:r>
                </w:p>
              </w:tc>
              <w:tc>
                <w:tcPr>
                  <w:tcW w:w="557" w:type="pct"/>
                  <w:tcBorders>
                    <w:bottom w:val="single" w:color="auto" w:sz="12" w:space="0"/>
                  </w:tcBorders>
                  <w:noWrap w:val="0"/>
                  <w:vAlign w:val="center"/>
                </w:tcPr>
                <w:p w14:paraId="18E2ACFF">
                  <w:pPr>
                    <w:adjustRightInd w:val="0"/>
                    <w:snapToGrid w:val="0"/>
                    <w:jc w:val="center"/>
                    <w:rPr>
                      <w:rFonts w:hint="eastAsia" w:ascii="宋体" w:hAnsi="宋体" w:cs="宋体"/>
                      <w:b/>
                      <w:bCs/>
                      <w:color w:val="auto"/>
                    </w:rPr>
                  </w:pPr>
                  <w:r>
                    <w:rPr>
                      <w:rFonts w:hint="eastAsia" w:ascii="宋体" w:hAnsi="宋体" w:cs="宋体"/>
                      <w:b/>
                      <w:bCs/>
                      <w:color w:val="auto"/>
                    </w:rPr>
                    <w:t>末端治理技术效率</w:t>
                  </w:r>
                </w:p>
              </w:tc>
            </w:tr>
            <w:tr w14:paraId="2E6551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430" w:type="pct"/>
                  <w:vMerge w:val="restart"/>
                  <w:tcBorders>
                    <w:top w:val="single" w:color="auto" w:sz="12" w:space="0"/>
                  </w:tcBorders>
                  <w:noWrap w:val="0"/>
                  <w:vAlign w:val="center"/>
                </w:tcPr>
                <w:p w14:paraId="38E99712">
                  <w:pPr>
                    <w:adjustRightInd w:val="0"/>
                    <w:snapToGrid w:val="0"/>
                    <w:jc w:val="center"/>
                    <w:rPr>
                      <w:rFonts w:hint="default" w:eastAsia="宋体"/>
                      <w:color w:val="auto"/>
                      <w:szCs w:val="21"/>
                      <w:lang w:val="en-US" w:eastAsia="zh-CN"/>
                    </w:rPr>
                  </w:pPr>
                  <w:r>
                    <w:rPr>
                      <w:rFonts w:hint="eastAsia"/>
                      <w:color w:val="auto"/>
                      <w:szCs w:val="21"/>
                      <w:lang w:val="en-US" w:eastAsia="zh-CN"/>
                    </w:rPr>
                    <w:t>下料件</w:t>
                  </w:r>
                </w:p>
              </w:tc>
              <w:tc>
                <w:tcPr>
                  <w:tcW w:w="767" w:type="pct"/>
                  <w:vMerge w:val="restart"/>
                  <w:tcBorders>
                    <w:top w:val="single" w:color="auto" w:sz="12" w:space="0"/>
                  </w:tcBorders>
                  <w:noWrap w:val="0"/>
                  <w:vAlign w:val="center"/>
                </w:tcPr>
                <w:p w14:paraId="2CC611E0">
                  <w:pPr>
                    <w:adjustRightInd w:val="0"/>
                    <w:snapToGrid w:val="0"/>
                    <w:jc w:val="center"/>
                    <w:rPr>
                      <w:rFonts w:hint="default"/>
                      <w:color w:val="auto"/>
                      <w:szCs w:val="21"/>
                      <w:lang w:val="en-US"/>
                    </w:rPr>
                  </w:pPr>
                  <w:r>
                    <w:rPr>
                      <w:rFonts w:hint="eastAsia"/>
                      <w:color w:val="auto"/>
                      <w:szCs w:val="21"/>
                    </w:rPr>
                    <w:t>钢</w:t>
                  </w:r>
                  <w:r>
                    <w:rPr>
                      <w:rFonts w:hint="eastAsia"/>
                      <w:color w:val="auto"/>
                      <w:szCs w:val="21"/>
                      <w:lang w:val="en-US" w:eastAsia="zh-CN"/>
                    </w:rPr>
                    <w:t>板、铝板、铝合金板、其他金属材料</w:t>
                  </w:r>
                </w:p>
              </w:tc>
              <w:tc>
                <w:tcPr>
                  <w:tcW w:w="534" w:type="pct"/>
                  <w:tcBorders>
                    <w:top w:val="single" w:color="auto" w:sz="12" w:space="0"/>
                  </w:tcBorders>
                  <w:noWrap w:val="0"/>
                  <w:vAlign w:val="center"/>
                </w:tcPr>
                <w:p w14:paraId="53B738BD">
                  <w:pPr>
                    <w:adjustRightInd w:val="0"/>
                    <w:snapToGrid w:val="0"/>
                    <w:jc w:val="center"/>
                    <w:rPr>
                      <w:rFonts w:hint="default" w:eastAsia="宋体"/>
                      <w:color w:val="auto"/>
                      <w:szCs w:val="21"/>
                      <w:lang w:val="en-US" w:eastAsia="zh-CN"/>
                    </w:rPr>
                  </w:pPr>
                  <w:r>
                    <w:rPr>
                      <w:rFonts w:hint="eastAsia"/>
                      <w:color w:val="auto"/>
                      <w:szCs w:val="21"/>
                      <w:lang w:val="en-US" w:eastAsia="zh-CN"/>
                    </w:rPr>
                    <w:t>氧/可燃气体切割</w:t>
                  </w:r>
                </w:p>
              </w:tc>
              <w:tc>
                <w:tcPr>
                  <w:tcW w:w="402" w:type="pct"/>
                  <w:vMerge w:val="restart"/>
                  <w:tcBorders>
                    <w:top w:val="single" w:color="auto" w:sz="12" w:space="0"/>
                  </w:tcBorders>
                  <w:noWrap w:val="0"/>
                  <w:vAlign w:val="center"/>
                </w:tcPr>
                <w:p w14:paraId="7CB8720F">
                  <w:pPr>
                    <w:adjustRightInd w:val="0"/>
                    <w:snapToGrid w:val="0"/>
                    <w:jc w:val="center"/>
                    <w:rPr>
                      <w:color w:val="auto"/>
                      <w:szCs w:val="21"/>
                    </w:rPr>
                  </w:pPr>
                  <w:r>
                    <w:rPr>
                      <w:rFonts w:hint="eastAsia"/>
                      <w:color w:val="auto"/>
                      <w:szCs w:val="21"/>
                    </w:rPr>
                    <w:t>所有规模</w:t>
                  </w:r>
                </w:p>
              </w:tc>
              <w:tc>
                <w:tcPr>
                  <w:tcW w:w="263" w:type="pct"/>
                  <w:vMerge w:val="restart"/>
                  <w:tcBorders>
                    <w:top w:val="single" w:color="auto" w:sz="12" w:space="0"/>
                  </w:tcBorders>
                  <w:noWrap w:val="0"/>
                  <w:vAlign w:val="center"/>
                </w:tcPr>
                <w:p w14:paraId="014C3A89">
                  <w:pPr>
                    <w:adjustRightInd w:val="0"/>
                    <w:snapToGrid w:val="0"/>
                    <w:jc w:val="center"/>
                    <w:rPr>
                      <w:rFonts w:hint="eastAsia"/>
                      <w:color w:val="auto"/>
                      <w:szCs w:val="21"/>
                    </w:rPr>
                  </w:pPr>
                  <w:r>
                    <w:rPr>
                      <w:rFonts w:hint="eastAsia"/>
                      <w:color w:val="auto"/>
                      <w:szCs w:val="21"/>
                    </w:rPr>
                    <w:t>废气</w:t>
                  </w:r>
                </w:p>
              </w:tc>
              <w:tc>
                <w:tcPr>
                  <w:tcW w:w="560" w:type="pct"/>
                  <w:tcBorders>
                    <w:top w:val="single" w:color="auto" w:sz="12" w:space="0"/>
                  </w:tcBorders>
                  <w:noWrap w:val="0"/>
                  <w:vAlign w:val="center"/>
                </w:tcPr>
                <w:p w14:paraId="21838DD0">
                  <w:pPr>
                    <w:adjustRightInd w:val="0"/>
                    <w:snapToGrid w:val="0"/>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颗粒物</w:t>
                  </w:r>
                </w:p>
              </w:tc>
              <w:tc>
                <w:tcPr>
                  <w:tcW w:w="451" w:type="pct"/>
                  <w:tcBorders>
                    <w:top w:val="single" w:color="auto" w:sz="12" w:space="0"/>
                  </w:tcBorders>
                  <w:noWrap w:val="0"/>
                  <w:vAlign w:val="center"/>
                </w:tcPr>
                <w:p w14:paraId="05A9E66E">
                  <w:pPr>
                    <w:adjustRightInd w:val="0"/>
                    <w:snapToGrid w:val="0"/>
                    <w:jc w:val="center"/>
                    <w:rPr>
                      <w:color w:val="auto"/>
                      <w:szCs w:val="21"/>
                    </w:rPr>
                  </w:pPr>
                  <w:r>
                    <w:rPr>
                      <w:rFonts w:hint="eastAsia"/>
                      <w:color w:val="auto"/>
                      <w:szCs w:val="21"/>
                    </w:rPr>
                    <w:t>kg/t-原料</w:t>
                  </w:r>
                </w:p>
              </w:tc>
              <w:tc>
                <w:tcPr>
                  <w:tcW w:w="485" w:type="pct"/>
                  <w:tcBorders>
                    <w:top w:val="single" w:color="auto" w:sz="12" w:space="0"/>
                  </w:tcBorders>
                  <w:noWrap w:val="0"/>
                  <w:vAlign w:val="center"/>
                </w:tcPr>
                <w:p w14:paraId="3DE3861B">
                  <w:pPr>
                    <w:adjustRightInd w:val="0"/>
                    <w:snapToGrid w:val="0"/>
                    <w:jc w:val="center"/>
                    <w:rPr>
                      <w:rFonts w:hint="default" w:eastAsia="宋体"/>
                      <w:color w:val="auto"/>
                      <w:szCs w:val="21"/>
                      <w:lang w:val="en-US" w:eastAsia="zh-CN"/>
                    </w:rPr>
                  </w:pPr>
                  <w:r>
                    <w:rPr>
                      <w:rFonts w:hint="eastAsia"/>
                      <w:color w:val="auto"/>
                      <w:szCs w:val="21"/>
                      <w:lang w:val="en-US" w:eastAsia="zh-CN"/>
                    </w:rPr>
                    <w:t>1.50</w:t>
                  </w:r>
                </w:p>
              </w:tc>
              <w:tc>
                <w:tcPr>
                  <w:tcW w:w="545" w:type="pct"/>
                  <w:tcBorders>
                    <w:top w:val="single" w:color="auto" w:sz="12" w:space="0"/>
                  </w:tcBorders>
                  <w:noWrap w:val="0"/>
                  <w:vAlign w:val="center"/>
                </w:tcPr>
                <w:p w14:paraId="22F390DB">
                  <w:pPr>
                    <w:adjustRightInd w:val="0"/>
                    <w:snapToGrid w:val="0"/>
                    <w:jc w:val="center"/>
                    <w:rPr>
                      <w:rFonts w:hint="eastAsia"/>
                      <w:color w:val="auto"/>
                      <w:szCs w:val="21"/>
                    </w:rPr>
                  </w:pPr>
                  <w:r>
                    <w:rPr>
                      <w:rFonts w:hint="eastAsia"/>
                      <w:color w:val="auto"/>
                      <w:szCs w:val="21"/>
                    </w:rPr>
                    <w:t>袋式</w:t>
                  </w:r>
                </w:p>
                <w:p w14:paraId="4569C08F">
                  <w:pPr>
                    <w:adjustRightInd w:val="0"/>
                    <w:snapToGrid w:val="0"/>
                    <w:jc w:val="center"/>
                    <w:rPr>
                      <w:rFonts w:hint="eastAsia"/>
                      <w:color w:val="auto"/>
                      <w:szCs w:val="21"/>
                    </w:rPr>
                  </w:pPr>
                  <w:r>
                    <w:rPr>
                      <w:rFonts w:hint="eastAsia"/>
                      <w:color w:val="auto"/>
                      <w:szCs w:val="21"/>
                    </w:rPr>
                    <w:t>除尘</w:t>
                  </w:r>
                </w:p>
              </w:tc>
              <w:tc>
                <w:tcPr>
                  <w:tcW w:w="557" w:type="pct"/>
                  <w:tcBorders>
                    <w:top w:val="single" w:color="auto" w:sz="12" w:space="0"/>
                  </w:tcBorders>
                  <w:noWrap w:val="0"/>
                  <w:vAlign w:val="center"/>
                </w:tcPr>
                <w:p w14:paraId="7D108C35">
                  <w:pPr>
                    <w:adjustRightInd w:val="0"/>
                    <w:snapToGrid w:val="0"/>
                    <w:jc w:val="center"/>
                    <w:rPr>
                      <w:color w:val="auto"/>
                      <w:szCs w:val="21"/>
                    </w:rPr>
                  </w:pPr>
                  <w:r>
                    <w:rPr>
                      <w:rFonts w:hint="eastAsia"/>
                      <w:color w:val="auto"/>
                      <w:szCs w:val="21"/>
                    </w:rPr>
                    <w:t>95%</w:t>
                  </w:r>
                </w:p>
              </w:tc>
            </w:tr>
            <w:tr w14:paraId="77D472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430" w:type="pct"/>
                  <w:vMerge w:val="continue"/>
                  <w:noWrap w:val="0"/>
                  <w:vAlign w:val="center"/>
                </w:tcPr>
                <w:p w14:paraId="09763F92">
                  <w:pPr>
                    <w:adjustRightInd w:val="0"/>
                    <w:snapToGrid w:val="0"/>
                    <w:jc w:val="center"/>
                    <w:rPr>
                      <w:rFonts w:hint="eastAsia"/>
                      <w:color w:val="auto"/>
                      <w:szCs w:val="21"/>
                    </w:rPr>
                  </w:pPr>
                </w:p>
              </w:tc>
              <w:tc>
                <w:tcPr>
                  <w:tcW w:w="767" w:type="pct"/>
                  <w:vMerge w:val="continue"/>
                  <w:noWrap w:val="0"/>
                  <w:vAlign w:val="center"/>
                </w:tcPr>
                <w:p w14:paraId="2C197B9D">
                  <w:pPr>
                    <w:adjustRightInd w:val="0"/>
                    <w:snapToGrid w:val="0"/>
                    <w:jc w:val="center"/>
                    <w:rPr>
                      <w:rFonts w:hint="eastAsia"/>
                      <w:color w:val="auto"/>
                      <w:szCs w:val="21"/>
                    </w:rPr>
                  </w:pPr>
                </w:p>
              </w:tc>
              <w:tc>
                <w:tcPr>
                  <w:tcW w:w="534" w:type="pct"/>
                  <w:noWrap w:val="0"/>
                  <w:vAlign w:val="center"/>
                </w:tcPr>
                <w:p w14:paraId="6027884F">
                  <w:pPr>
                    <w:adjustRightInd w:val="0"/>
                    <w:snapToGrid w:val="0"/>
                    <w:jc w:val="center"/>
                    <w:rPr>
                      <w:rFonts w:hint="default" w:eastAsia="宋体"/>
                      <w:color w:val="auto"/>
                      <w:szCs w:val="21"/>
                      <w:lang w:val="en-US" w:eastAsia="zh-CN"/>
                    </w:rPr>
                  </w:pPr>
                  <w:r>
                    <w:rPr>
                      <w:rFonts w:hint="eastAsia"/>
                      <w:color w:val="auto"/>
                      <w:szCs w:val="21"/>
                      <w:lang w:val="en-US" w:eastAsia="zh-CN"/>
                    </w:rPr>
                    <w:t>等离子切割</w:t>
                  </w:r>
                </w:p>
              </w:tc>
              <w:tc>
                <w:tcPr>
                  <w:tcW w:w="402" w:type="pct"/>
                  <w:vMerge w:val="continue"/>
                  <w:noWrap w:val="0"/>
                  <w:vAlign w:val="center"/>
                </w:tcPr>
                <w:p w14:paraId="761BB09D">
                  <w:pPr>
                    <w:adjustRightInd w:val="0"/>
                    <w:snapToGrid w:val="0"/>
                    <w:jc w:val="center"/>
                    <w:rPr>
                      <w:rFonts w:hint="eastAsia"/>
                      <w:color w:val="auto"/>
                      <w:szCs w:val="21"/>
                    </w:rPr>
                  </w:pPr>
                </w:p>
              </w:tc>
              <w:tc>
                <w:tcPr>
                  <w:tcW w:w="263" w:type="pct"/>
                  <w:vMerge w:val="continue"/>
                  <w:noWrap w:val="0"/>
                  <w:vAlign w:val="center"/>
                </w:tcPr>
                <w:p w14:paraId="054C1CCA">
                  <w:pPr>
                    <w:adjustRightInd w:val="0"/>
                    <w:snapToGrid w:val="0"/>
                    <w:jc w:val="center"/>
                    <w:rPr>
                      <w:rFonts w:hint="eastAsia"/>
                      <w:color w:val="auto"/>
                      <w:szCs w:val="21"/>
                    </w:rPr>
                  </w:pPr>
                </w:p>
              </w:tc>
              <w:tc>
                <w:tcPr>
                  <w:tcW w:w="560" w:type="pct"/>
                  <w:noWrap w:val="0"/>
                  <w:vAlign w:val="center"/>
                </w:tcPr>
                <w:p w14:paraId="0823773A">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颗粒物</w:t>
                  </w:r>
                </w:p>
              </w:tc>
              <w:tc>
                <w:tcPr>
                  <w:tcW w:w="451" w:type="pct"/>
                  <w:noWrap w:val="0"/>
                  <w:vAlign w:val="center"/>
                </w:tcPr>
                <w:p w14:paraId="110DCC95">
                  <w:pPr>
                    <w:adjustRightInd w:val="0"/>
                    <w:snapToGrid w:val="0"/>
                    <w:jc w:val="center"/>
                    <w:rPr>
                      <w:rFonts w:hint="eastAsia"/>
                      <w:color w:val="auto"/>
                      <w:kern w:val="2"/>
                      <w:sz w:val="21"/>
                      <w:szCs w:val="21"/>
                      <w:lang w:val="en-US" w:eastAsia="zh-CN" w:bidi="ar-SA"/>
                    </w:rPr>
                  </w:pPr>
                  <w:r>
                    <w:rPr>
                      <w:rFonts w:hint="eastAsia"/>
                      <w:color w:val="auto"/>
                      <w:szCs w:val="21"/>
                    </w:rPr>
                    <w:t>kg/t-原料</w:t>
                  </w:r>
                </w:p>
              </w:tc>
              <w:tc>
                <w:tcPr>
                  <w:tcW w:w="485" w:type="pct"/>
                  <w:noWrap w:val="0"/>
                  <w:vAlign w:val="center"/>
                </w:tcPr>
                <w:p w14:paraId="5912DDC5">
                  <w:pPr>
                    <w:adjustRightInd w:val="0"/>
                    <w:snapToGrid w:val="0"/>
                    <w:jc w:val="center"/>
                    <w:rPr>
                      <w:rFonts w:hint="default" w:eastAsia="宋体"/>
                      <w:color w:val="auto"/>
                      <w:kern w:val="2"/>
                      <w:sz w:val="21"/>
                      <w:szCs w:val="21"/>
                      <w:lang w:val="en-US" w:eastAsia="zh-CN" w:bidi="ar-SA"/>
                    </w:rPr>
                  </w:pPr>
                  <w:r>
                    <w:rPr>
                      <w:rFonts w:hint="eastAsia"/>
                      <w:color w:val="auto"/>
                      <w:szCs w:val="21"/>
                      <w:lang w:val="en-US" w:eastAsia="zh-CN"/>
                    </w:rPr>
                    <w:t>1.1</w:t>
                  </w:r>
                </w:p>
              </w:tc>
              <w:tc>
                <w:tcPr>
                  <w:tcW w:w="545" w:type="pct"/>
                  <w:noWrap w:val="0"/>
                  <w:vAlign w:val="center"/>
                </w:tcPr>
                <w:p w14:paraId="252A6ED0">
                  <w:pPr>
                    <w:adjustRightInd w:val="0"/>
                    <w:snapToGrid w:val="0"/>
                    <w:jc w:val="center"/>
                    <w:rPr>
                      <w:rFonts w:hint="eastAsia"/>
                      <w:color w:val="auto"/>
                      <w:szCs w:val="21"/>
                    </w:rPr>
                  </w:pPr>
                  <w:r>
                    <w:rPr>
                      <w:rFonts w:hint="eastAsia"/>
                      <w:color w:val="auto"/>
                      <w:szCs w:val="21"/>
                    </w:rPr>
                    <w:t>袋式</w:t>
                  </w:r>
                </w:p>
                <w:p w14:paraId="3225C708">
                  <w:pPr>
                    <w:adjustRightInd w:val="0"/>
                    <w:snapToGrid w:val="0"/>
                    <w:jc w:val="center"/>
                    <w:rPr>
                      <w:rFonts w:hint="eastAsia"/>
                      <w:color w:val="auto"/>
                      <w:kern w:val="2"/>
                      <w:sz w:val="21"/>
                      <w:szCs w:val="21"/>
                      <w:lang w:val="en-US" w:eastAsia="zh-CN" w:bidi="ar-SA"/>
                    </w:rPr>
                  </w:pPr>
                  <w:r>
                    <w:rPr>
                      <w:rFonts w:hint="eastAsia"/>
                      <w:color w:val="auto"/>
                      <w:szCs w:val="21"/>
                    </w:rPr>
                    <w:t>除尘</w:t>
                  </w:r>
                </w:p>
              </w:tc>
              <w:tc>
                <w:tcPr>
                  <w:tcW w:w="557" w:type="pct"/>
                  <w:noWrap w:val="0"/>
                  <w:vAlign w:val="center"/>
                </w:tcPr>
                <w:p w14:paraId="7AAAAEE6">
                  <w:pPr>
                    <w:adjustRightInd w:val="0"/>
                    <w:snapToGrid w:val="0"/>
                    <w:jc w:val="center"/>
                    <w:rPr>
                      <w:rFonts w:hint="eastAsia"/>
                      <w:color w:val="auto"/>
                      <w:kern w:val="2"/>
                      <w:sz w:val="21"/>
                      <w:szCs w:val="21"/>
                      <w:lang w:val="en-US" w:eastAsia="zh-CN" w:bidi="ar-SA"/>
                    </w:rPr>
                  </w:pPr>
                  <w:r>
                    <w:rPr>
                      <w:rFonts w:hint="eastAsia"/>
                      <w:color w:val="auto"/>
                      <w:szCs w:val="21"/>
                    </w:rPr>
                    <w:t>95%</w:t>
                  </w:r>
                </w:p>
              </w:tc>
            </w:tr>
          </w:tbl>
          <w:p w14:paraId="465D8266">
            <w:pPr>
              <w:keepNext w:val="0"/>
              <w:keepLines w:val="0"/>
              <w:pageBreakBefore w:val="0"/>
              <w:widowControl w:val="0"/>
              <w:kinsoku/>
              <w:wordWrap/>
              <w:overflowPunct/>
              <w:topLinePunct w:val="0"/>
              <w:autoSpaceDE/>
              <w:autoSpaceDN/>
              <w:bidi w:val="0"/>
              <w:adjustRightInd/>
              <w:snapToGrid/>
              <w:spacing w:before="157" w:beforeLines="50" w:line="348"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w:t>
            </w:r>
            <w:r>
              <w:rPr>
                <w:rFonts w:hint="eastAsia" w:ascii="Times New Roman" w:hAnsi="Times New Roman" w:eastAsia="宋体" w:cs="Times New Roman"/>
                <w:color w:val="auto"/>
                <w:sz w:val="24"/>
              </w:rPr>
              <w:t>项目激光切割</w:t>
            </w:r>
            <w:r>
              <w:rPr>
                <w:rFonts w:hint="eastAsia" w:ascii="Times New Roman" w:hAnsi="Times New Roman" w:eastAsia="宋体" w:cs="Times New Roman"/>
                <w:color w:val="auto"/>
                <w:sz w:val="24"/>
                <w:lang w:val="en-US" w:eastAsia="zh-CN"/>
              </w:rPr>
              <w:t>钢材</w:t>
            </w:r>
            <w:r>
              <w:rPr>
                <w:rFonts w:hint="eastAsia" w:ascii="Times New Roman" w:hAnsi="Times New Roman" w:eastAsia="宋体" w:cs="Times New Roman"/>
                <w:color w:val="auto"/>
                <w:sz w:val="24"/>
              </w:rPr>
              <w:t>10000t</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则</w:t>
            </w:r>
            <w:r>
              <w:rPr>
                <w:rFonts w:hint="eastAsia" w:ascii="Times New Roman" w:hAnsi="Times New Roman" w:eastAsia="宋体" w:cs="Times New Roman"/>
                <w:color w:val="auto"/>
                <w:sz w:val="24"/>
                <w:lang w:eastAsia="zh-CN"/>
              </w:rPr>
              <w:t>激光切割</w:t>
            </w:r>
            <w:r>
              <w:rPr>
                <w:rFonts w:hint="eastAsia" w:ascii="Times New Roman" w:hAnsi="Times New Roman" w:eastAsia="宋体" w:cs="Times New Roman"/>
                <w:color w:val="auto"/>
                <w:sz w:val="24"/>
                <w:lang w:val="en-US" w:eastAsia="zh-CN"/>
              </w:rPr>
              <w:t>颗粒物</w:t>
            </w:r>
            <w:r>
              <w:rPr>
                <w:rFonts w:hint="eastAsia" w:ascii="Times New Roman" w:hAnsi="Times New Roman" w:eastAsia="宋体" w:cs="Times New Roman"/>
                <w:color w:val="auto"/>
                <w:sz w:val="24"/>
                <w:lang w:eastAsia="zh-CN"/>
              </w:rPr>
              <w:t>产生量为11t/a，</w:t>
            </w:r>
            <w:r>
              <w:rPr>
                <w:rFonts w:hint="eastAsia" w:ascii="Times New Roman" w:hAnsi="Times New Roman" w:eastAsia="宋体" w:cs="Times New Roman"/>
                <w:color w:val="auto"/>
                <w:sz w:val="24"/>
                <w:lang w:val="en-US" w:eastAsia="zh-CN"/>
              </w:rPr>
              <w:t>火焰切割钢材</w:t>
            </w:r>
            <w:r>
              <w:rPr>
                <w:rFonts w:hint="eastAsia" w:ascii="Times New Roman" w:hAnsi="Times New Roman" w:eastAsia="宋体" w:cs="Times New Roman"/>
                <w:color w:val="auto"/>
                <w:sz w:val="24"/>
              </w:rPr>
              <w:t>10000t</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则火焰</w:t>
            </w:r>
            <w:r>
              <w:rPr>
                <w:rFonts w:hint="eastAsia" w:ascii="Times New Roman" w:hAnsi="Times New Roman" w:eastAsia="宋体" w:cs="Times New Roman"/>
                <w:color w:val="auto"/>
                <w:sz w:val="24"/>
                <w:lang w:eastAsia="zh-CN"/>
              </w:rPr>
              <w:t>切割</w:t>
            </w:r>
            <w:r>
              <w:rPr>
                <w:rFonts w:hint="eastAsia" w:ascii="Times New Roman" w:hAnsi="Times New Roman" w:eastAsia="宋体" w:cs="Times New Roman"/>
                <w:color w:val="auto"/>
                <w:sz w:val="24"/>
                <w:lang w:val="en-US" w:eastAsia="zh-CN"/>
              </w:rPr>
              <w:t>颗粒物</w:t>
            </w:r>
            <w:r>
              <w:rPr>
                <w:rFonts w:hint="eastAsia" w:ascii="Times New Roman" w:hAnsi="Times New Roman" w:eastAsia="宋体" w:cs="Times New Roman"/>
                <w:color w:val="auto"/>
                <w:sz w:val="24"/>
                <w:lang w:eastAsia="zh-CN"/>
              </w:rPr>
              <w:t>产生量为1</w:t>
            </w:r>
            <w:r>
              <w:rPr>
                <w:rFonts w:hint="eastAsia" w:ascii="Times New Roman" w:hAnsi="Times New Roman" w:eastAsia="宋体" w:cs="Times New Roman"/>
                <w:color w:val="auto"/>
                <w:sz w:val="24"/>
                <w:lang w:val="en-US" w:eastAsia="zh-CN"/>
              </w:rPr>
              <w:t>5</w:t>
            </w:r>
            <w:r>
              <w:rPr>
                <w:rFonts w:hint="eastAsia" w:ascii="Times New Roman" w:hAnsi="Times New Roman" w:eastAsia="宋体" w:cs="Times New Roman"/>
                <w:color w:val="auto"/>
                <w:sz w:val="24"/>
                <w:lang w:eastAsia="zh-CN"/>
              </w:rPr>
              <w:t>t/a。</w:t>
            </w:r>
            <w:r>
              <w:rPr>
                <w:rFonts w:hint="eastAsia" w:ascii="Times New Roman" w:hAnsi="Times New Roman" w:eastAsia="宋体" w:cs="Times New Roman"/>
                <w:color w:val="auto"/>
                <w:sz w:val="24"/>
              </w:rPr>
              <w:t xml:space="preserve"> </w:t>
            </w:r>
          </w:p>
          <w:p w14:paraId="72EFEC89">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本</w:t>
            </w:r>
            <w:r>
              <w:rPr>
                <w:rFonts w:hint="eastAsia" w:ascii="Times New Roman" w:hAnsi="Times New Roman" w:eastAsia="宋体" w:cs="Times New Roman"/>
                <w:color w:val="auto"/>
                <w:sz w:val="24"/>
              </w:rPr>
              <w:t>项目激光切割机自带袋式除尘</w:t>
            </w:r>
            <w:r>
              <w:rPr>
                <w:rFonts w:hint="eastAsia" w:ascii="Times New Roman" w:hAnsi="Times New Roman" w:eastAsia="宋体" w:cs="Times New Roman"/>
                <w:color w:val="auto"/>
                <w:sz w:val="24"/>
                <w:lang w:val="en-US" w:eastAsia="zh-CN"/>
              </w:rPr>
              <w:t>器，根</w:t>
            </w:r>
            <w:r>
              <w:rPr>
                <w:rFonts w:hint="eastAsia" w:cs="Times New Roman"/>
                <w:color w:val="auto"/>
                <w:sz w:val="24"/>
                <w:lang w:val="en-US" w:eastAsia="zh-CN"/>
              </w:rPr>
              <w:t>据建设单位提供的设备说明书，激光切割机自带袋式除尘器滤料采用纳米级滤料，</w:t>
            </w:r>
            <w:r>
              <w:rPr>
                <w:rFonts w:hint="eastAsia" w:ascii="Times New Roman" w:hAnsi="Times New Roman" w:eastAsia="宋体" w:cs="Times New Roman"/>
                <w:color w:val="auto"/>
                <w:sz w:val="24"/>
              </w:rPr>
              <w:t>能够高效拦截激光切割过程中产生的微小颗粒物，</w:t>
            </w:r>
            <w:r>
              <w:rPr>
                <w:rFonts w:hint="eastAsia" w:ascii="Times New Roman" w:hAnsi="Times New Roman" w:eastAsia="宋体" w:cs="Times New Roman"/>
                <w:color w:val="auto"/>
                <w:sz w:val="24"/>
                <w:lang w:val="en-US" w:eastAsia="zh-CN"/>
              </w:rPr>
              <w:t>除尘效率可进一步提升至99.9%以上，本项目</w:t>
            </w:r>
            <w:r>
              <w:rPr>
                <w:rFonts w:hint="eastAsia" w:ascii="Times New Roman" w:hAnsi="Times New Roman" w:eastAsia="宋体" w:cs="Times New Roman"/>
                <w:color w:val="auto"/>
                <w:sz w:val="24"/>
              </w:rPr>
              <w:t>除尘效率</w:t>
            </w:r>
            <w:r>
              <w:rPr>
                <w:rFonts w:hint="eastAsia" w:ascii="Times New Roman" w:hAnsi="Times New Roman" w:eastAsia="宋体" w:cs="Times New Roman"/>
                <w:color w:val="auto"/>
                <w:sz w:val="24"/>
                <w:lang w:val="en-US" w:eastAsia="zh-CN"/>
              </w:rPr>
              <w:t>取</w:t>
            </w:r>
            <w:r>
              <w:rPr>
                <w:rFonts w:hint="eastAsia" w:ascii="Times New Roman" w:hAnsi="Times New Roman" w:eastAsia="宋体" w:cs="Times New Roman"/>
                <w:color w:val="auto"/>
                <w:sz w:val="24"/>
              </w:rPr>
              <w:t>99%</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项目激光</w:t>
            </w:r>
            <w:r>
              <w:rPr>
                <w:rFonts w:hint="eastAsia" w:ascii="Times New Roman" w:hAnsi="Times New Roman" w:eastAsia="宋体" w:cs="Times New Roman"/>
                <w:color w:val="auto"/>
                <w:sz w:val="24"/>
              </w:rPr>
              <w:t>切割</w:t>
            </w:r>
            <w:r>
              <w:rPr>
                <w:rFonts w:hint="eastAsia" w:ascii="Times New Roman" w:hAnsi="Times New Roman" w:eastAsia="宋体" w:cs="Times New Roman"/>
                <w:color w:val="auto"/>
                <w:sz w:val="24"/>
                <w:lang w:val="en-US" w:eastAsia="zh-CN"/>
              </w:rPr>
              <w:t>颗粒物经自带袋式除尘器处理后</w:t>
            </w:r>
            <w:r>
              <w:rPr>
                <w:rFonts w:hint="eastAsia" w:ascii="Times New Roman" w:hAnsi="Times New Roman" w:eastAsia="宋体" w:cs="Times New Roman"/>
                <w:color w:val="auto"/>
                <w:sz w:val="24"/>
              </w:rPr>
              <w:t>在</w:t>
            </w:r>
            <w:r>
              <w:rPr>
                <w:rFonts w:hint="eastAsia" w:ascii="Times New Roman" w:hAnsi="Times New Roman" w:eastAsia="宋体" w:cs="Times New Roman"/>
                <w:color w:val="auto"/>
                <w:sz w:val="24"/>
                <w:lang w:val="en-US" w:eastAsia="zh-CN"/>
              </w:rPr>
              <w:t>厂房</w:t>
            </w:r>
            <w:r>
              <w:rPr>
                <w:rFonts w:hint="eastAsia" w:ascii="Times New Roman" w:hAnsi="Times New Roman" w:eastAsia="宋体" w:cs="Times New Roman"/>
                <w:color w:val="auto"/>
                <w:sz w:val="24"/>
              </w:rPr>
              <w:t>无组织排放，</w:t>
            </w:r>
            <w:r>
              <w:rPr>
                <w:rFonts w:hint="eastAsia" w:ascii="Times New Roman" w:hAnsi="Times New Roman" w:eastAsia="宋体" w:cs="Times New Roman"/>
                <w:color w:val="auto"/>
                <w:sz w:val="24"/>
                <w:lang w:val="en-US" w:eastAsia="zh-CN"/>
              </w:rPr>
              <w:t>激光切割颗粒物无组织</w:t>
            </w:r>
            <w:r>
              <w:rPr>
                <w:rFonts w:hint="eastAsia" w:ascii="Times New Roman" w:hAnsi="Times New Roman" w:eastAsia="宋体" w:cs="Times New Roman"/>
                <w:color w:val="auto"/>
                <w:sz w:val="24"/>
              </w:rPr>
              <w:t>排放量为0.11t/a。</w:t>
            </w:r>
          </w:p>
          <w:p w14:paraId="25DEDE48">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根据《大气污染物综合排放标准》（GB16297-1996）复核调研和原国家环保总局《大气污染物排放达标技术指南》课题调查资料表明，金属颗粒物</w:t>
            </w:r>
          </w:p>
          <w:p w14:paraId="6F47CBD1">
            <w:pPr>
              <w:keepNext w:val="0"/>
              <w:keepLines w:val="0"/>
              <w:pageBreakBefore w:val="0"/>
              <w:widowControl w:val="0"/>
              <w:kinsoku/>
              <w:wordWrap/>
              <w:overflowPunct/>
              <w:topLinePunct w:val="0"/>
              <w:autoSpaceDE/>
              <w:autoSpaceDN/>
              <w:bidi w:val="0"/>
              <w:adjustRightInd/>
              <w:snapToGrid/>
              <w:spacing w:before="157" w:beforeLines="50" w:line="348" w:lineRule="auto"/>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等质量较大的粉尘，且沉降较快，形成</w:t>
            </w:r>
            <w:r>
              <w:rPr>
                <w:rFonts w:hint="eastAsia" w:ascii="Times New Roman" w:hAnsi="Times New Roman" w:eastAsia="宋体" w:cs="Times New Roman"/>
                <w:color w:val="auto"/>
                <w:sz w:val="24"/>
                <w:lang w:val="en-US" w:eastAsia="zh-CN"/>
              </w:rPr>
              <w:t>金属屑</w:t>
            </w:r>
            <w:r>
              <w:rPr>
                <w:rFonts w:hint="default" w:ascii="Times New Roman" w:hAnsi="Times New Roman" w:eastAsia="宋体" w:cs="Times New Roman"/>
                <w:color w:val="auto"/>
                <w:sz w:val="24"/>
                <w:lang w:val="en-US" w:eastAsia="zh-CN"/>
              </w:rPr>
              <w:t>，该过程约有90%的</w:t>
            </w:r>
            <w:r>
              <w:rPr>
                <w:rFonts w:hint="eastAsia" w:ascii="Times New Roman" w:hAnsi="Times New Roman" w:eastAsia="宋体" w:cs="Times New Roman"/>
                <w:color w:val="auto"/>
                <w:sz w:val="24"/>
                <w:lang w:val="en-US" w:eastAsia="zh-CN"/>
              </w:rPr>
              <w:t>金属屑</w:t>
            </w:r>
            <w:r>
              <w:rPr>
                <w:rFonts w:hint="default" w:ascii="Times New Roman" w:hAnsi="Times New Roman" w:eastAsia="宋体" w:cs="Times New Roman"/>
                <w:color w:val="auto"/>
                <w:sz w:val="24"/>
                <w:lang w:val="en-US" w:eastAsia="zh-CN"/>
              </w:rPr>
              <w:t>沉降在操作点附近，即</w:t>
            </w:r>
            <w:r>
              <w:rPr>
                <w:rFonts w:hint="eastAsia" w:ascii="Times New Roman" w:hAnsi="Times New Roman" w:eastAsia="宋体" w:cs="Times New Roman"/>
                <w:color w:val="auto"/>
                <w:sz w:val="24"/>
                <w:lang w:val="en-US" w:eastAsia="zh-CN"/>
              </w:rPr>
              <w:t>火焰切割颗粒物</w:t>
            </w:r>
            <w:r>
              <w:rPr>
                <w:rFonts w:hint="default" w:ascii="Times New Roman" w:hAnsi="Times New Roman" w:eastAsia="宋体" w:cs="Times New Roman"/>
                <w:color w:val="auto"/>
                <w:sz w:val="24"/>
                <w:lang w:val="en-US" w:eastAsia="zh-CN"/>
              </w:rPr>
              <w:t>沉降量为</w:t>
            </w:r>
            <w:r>
              <w:rPr>
                <w:rFonts w:hint="eastAsia" w:ascii="Times New Roman" w:hAnsi="Times New Roman" w:eastAsia="宋体" w:cs="Times New Roman"/>
                <w:color w:val="auto"/>
                <w:sz w:val="24"/>
                <w:lang w:val="en-US" w:eastAsia="zh-CN"/>
              </w:rPr>
              <w:t>13.5</w:t>
            </w:r>
            <w:r>
              <w:rPr>
                <w:rFonts w:hint="default" w:ascii="Times New Roman" w:hAnsi="Times New Roman" w:eastAsia="宋体" w:cs="Times New Roman"/>
                <w:color w:val="auto"/>
                <w:sz w:val="24"/>
                <w:lang w:val="en-US" w:eastAsia="zh-CN"/>
              </w:rPr>
              <w:t>t/a</w:t>
            </w:r>
            <w:r>
              <w:rPr>
                <w:rFonts w:hint="eastAsia" w:ascii="Times New Roman" w:hAnsi="Times New Roman" w:eastAsia="宋体" w:cs="Times New Roman"/>
                <w:color w:val="auto"/>
                <w:sz w:val="24"/>
                <w:lang w:val="en-US" w:eastAsia="zh-CN"/>
              </w:rPr>
              <w:t>，由工作人员清理，与金属边角料一同集中收集后统一外售。</w:t>
            </w:r>
            <w:r>
              <w:rPr>
                <w:rFonts w:hint="default" w:ascii="Times New Roman" w:hAnsi="Times New Roman" w:eastAsia="宋体" w:cs="Times New Roman"/>
                <w:color w:val="auto"/>
                <w:sz w:val="24"/>
                <w:lang w:val="en-US" w:eastAsia="zh-CN"/>
              </w:rPr>
              <w:t>未沉降的细小颗粒物随机械运动而短暂停留在空气中</w:t>
            </w:r>
            <w:r>
              <w:rPr>
                <w:rFonts w:hint="eastAsia" w:ascii="Times New Roman" w:hAnsi="Times New Roman" w:eastAsia="宋体" w:cs="Times New Roman"/>
                <w:color w:val="auto"/>
                <w:sz w:val="24"/>
                <w:lang w:val="en-US" w:eastAsia="zh-CN"/>
              </w:rPr>
              <w:t>，即有1.5</w:t>
            </w:r>
            <w:r>
              <w:rPr>
                <w:rFonts w:hint="default" w:ascii="Times New Roman" w:hAnsi="Times New Roman" w:eastAsia="宋体" w:cs="Times New Roman"/>
                <w:color w:val="auto"/>
                <w:sz w:val="24"/>
                <w:lang w:val="en-US" w:eastAsia="zh-CN"/>
              </w:rPr>
              <w:t>t/a的颗粒物散发形成</w:t>
            </w:r>
            <w:r>
              <w:rPr>
                <w:rFonts w:hint="eastAsia" w:ascii="Times New Roman" w:hAnsi="Times New Roman" w:eastAsia="宋体" w:cs="Times New Roman"/>
                <w:color w:val="auto"/>
                <w:sz w:val="24"/>
                <w:lang w:val="en-US" w:eastAsia="zh-CN"/>
              </w:rPr>
              <w:t>火焰</w:t>
            </w:r>
            <w:r>
              <w:rPr>
                <w:rFonts w:hint="default" w:ascii="Times New Roman" w:hAnsi="Times New Roman" w:eastAsia="宋体" w:cs="Times New Roman"/>
                <w:color w:val="auto"/>
                <w:sz w:val="24"/>
                <w:lang w:val="en-US" w:eastAsia="zh-CN"/>
              </w:rPr>
              <w:t>切割</w:t>
            </w:r>
            <w:r>
              <w:rPr>
                <w:rFonts w:hint="eastAsia" w:ascii="Times New Roman" w:hAnsi="Times New Roman" w:eastAsia="宋体" w:cs="Times New Roman"/>
                <w:color w:val="auto"/>
                <w:sz w:val="24"/>
                <w:lang w:val="en-US" w:eastAsia="zh-CN"/>
              </w:rPr>
              <w:t>颗粒物</w:t>
            </w:r>
            <w:r>
              <w:rPr>
                <w:rFonts w:hint="default" w:ascii="Times New Roman" w:hAnsi="Times New Roman" w:eastAsia="宋体" w:cs="Times New Roman"/>
                <w:color w:val="auto"/>
                <w:sz w:val="24"/>
                <w:lang w:val="en-US" w:eastAsia="zh-CN"/>
              </w:rPr>
              <w:t>。</w:t>
            </w:r>
          </w:p>
          <w:p w14:paraId="1729DAE1">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本项目</w:t>
            </w:r>
            <w:r>
              <w:rPr>
                <w:rFonts w:hint="eastAsia" w:ascii="Times New Roman" w:hAnsi="Times New Roman" w:eastAsia="宋体" w:cs="Times New Roman"/>
                <w:color w:val="auto"/>
                <w:sz w:val="24"/>
                <w:lang w:val="en-US" w:eastAsia="zh-CN"/>
              </w:rPr>
              <w:t>在火焰</w:t>
            </w:r>
            <w:r>
              <w:rPr>
                <w:rFonts w:hint="default" w:ascii="Times New Roman" w:hAnsi="Times New Roman" w:eastAsia="宋体" w:cs="Times New Roman"/>
                <w:color w:val="auto"/>
                <w:sz w:val="24"/>
                <w:lang w:val="en-US" w:eastAsia="zh-CN"/>
              </w:rPr>
              <w:t>切割</w:t>
            </w:r>
            <w:r>
              <w:rPr>
                <w:rFonts w:hint="eastAsia" w:ascii="Times New Roman" w:hAnsi="Times New Roman" w:eastAsia="宋体" w:cs="Times New Roman"/>
                <w:color w:val="auto"/>
                <w:sz w:val="24"/>
                <w:lang w:val="en-US" w:eastAsia="zh-CN"/>
              </w:rPr>
              <w:t>机工位设置移动式烟尘净化器，火焰切割时同步开启。移动式烟尘净化器</w:t>
            </w:r>
            <w:r>
              <w:rPr>
                <w:rFonts w:hint="eastAsia" w:eastAsia="宋体" w:cs="Times New Roman"/>
                <w:color w:val="auto"/>
                <w:sz w:val="24"/>
                <w:lang w:val="en-US" w:eastAsia="zh-CN"/>
              </w:rPr>
              <w:t>通过高效吸气罩</w:t>
            </w:r>
            <w:r>
              <w:rPr>
                <w:rFonts w:hint="eastAsia" w:ascii="Times New Roman" w:hAnsi="Times New Roman" w:eastAsia="宋体" w:cs="Times New Roman"/>
                <w:color w:val="auto"/>
                <w:sz w:val="24"/>
                <w:lang w:val="en-US" w:eastAsia="zh-CN"/>
              </w:rPr>
              <w:t>将未沉降的火焰</w:t>
            </w:r>
            <w:r>
              <w:rPr>
                <w:rFonts w:hint="default" w:ascii="Times New Roman" w:hAnsi="Times New Roman" w:eastAsia="宋体" w:cs="Times New Roman"/>
                <w:color w:val="auto"/>
                <w:sz w:val="24"/>
                <w:lang w:val="en-US" w:eastAsia="zh-CN"/>
              </w:rPr>
              <w:t>切割</w:t>
            </w:r>
            <w:r>
              <w:rPr>
                <w:rFonts w:hint="eastAsia" w:ascii="Times New Roman" w:hAnsi="Times New Roman" w:eastAsia="宋体" w:cs="Times New Roman"/>
                <w:color w:val="auto"/>
                <w:sz w:val="24"/>
                <w:lang w:val="en-US" w:eastAsia="zh-CN"/>
              </w:rPr>
              <w:t>颗粒物抽至净化器，烟尘被吸入移动式烟尘净化器设备主体净化室，通过高效阻燃过滤滤芯净化尘粒、吸附有害气体。烟尘净化器负压集气效率为90%，颗粒物净化效率为95%，则移动式烟尘净化器颗粒物收集量为1.35t/a，逸出量为0.15t/a，净化后颗粒物排放量约0.07t/a，以无组织形式在厂房排放。</w:t>
            </w:r>
          </w:p>
          <w:p w14:paraId="1D44F969">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综上，本项目切割工序（含激光切割及火焰切割）颗粒物无组织总排放量约0.33t/a，排放速率为0.14kg/h。</w:t>
            </w:r>
          </w:p>
          <w:p w14:paraId="66D0D348">
            <w:pPr>
              <w:keepNext w:val="0"/>
              <w:keepLines w:val="0"/>
              <w:pageBreakBefore w:val="0"/>
              <w:widowControl w:val="0"/>
              <w:kinsoku/>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②焊接、打磨废气（G</w:t>
            </w:r>
            <w:r>
              <w:rPr>
                <w:rFonts w:hint="eastAsia" w:ascii="Times New Roman" w:hAnsi="Times New Roman" w:eastAsia="宋体" w:cs="Times New Roman"/>
                <w:color w:val="auto"/>
                <w:sz w:val="24"/>
                <w:vertAlign w:val="subscript"/>
                <w:lang w:val="en-US" w:eastAsia="zh-CN"/>
              </w:rPr>
              <w:t>2</w:t>
            </w:r>
            <w:r>
              <w:rPr>
                <w:rFonts w:hint="eastAsia" w:ascii="Times New Roman" w:hAnsi="Times New Roman" w:eastAsia="宋体" w:cs="Times New Roman"/>
                <w:color w:val="auto"/>
                <w:sz w:val="24"/>
                <w:lang w:val="en-US" w:eastAsia="zh-CN"/>
              </w:rPr>
              <w:t>、G</w:t>
            </w:r>
            <w:r>
              <w:rPr>
                <w:rFonts w:hint="eastAsia" w:ascii="Times New Roman" w:hAnsi="Times New Roman" w:eastAsia="宋体" w:cs="Times New Roman"/>
                <w:color w:val="auto"/>
                <w:sz w:val="24"/>
                <w:vertAlign w:val="subscript"/>
                <w:lang w:val="en-US" w:eastAsia="zh-CN"/>
              </w:rPr>
              <w:t>3</w:t>
            </w:r>
            <w:r>
              <w:rPr>
                <w:rFonts w:hint="eastAsia" w:ascii="Times New Roman" w:hAnsi="Times New Roman" w:eastAsia="宋体" w:cs="Times New Roman"/>
                <w:color w:val="auto"/>
                <w:sz w:val="24"/>
                <w:lang w:val="en-US" w:eastAsia="zh-CN"/>
              </w:rPr>
              <w:t>）</w:t>
            </w:r>
          </w:p>
          <w:p w14:paraId="304C69C2">
            <w:pPr>
              <w:keepNext w:val="0"/>
              <w:keepLines w:val="0"/>
              <w:pageBreakBefore w:val="0"/>
              <w:widowControl w:val="0"/>
              <w:kinsoku/>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本项目焊接、打磨产生的废气污染物主要为颗粒物，焊接、打磨工作均在固定操作台上进行，</w:t>
            </w:r>
            <w:r>
              <w:rPr>
                <w:rFonts w:hint="eastAsia" w:ascii="Times New Roman" w:hAnsi="Times New Roman" w:eastAsia="宋体" w:cs="Times New Roman"/>
                <w:color w:val="auto"/>
                <w:spacing w:val="-6"/>
                <w:sz w:val="24"/>
                <w:lang w:val="en-US" w:eastAsia="zh-CN"/>
              </w:rPr>
              <w:t>操作台上设高效集气设施，并配套风机，风量10000m³/h。</w:t>
            </w:r>
            <w:r>
              <w:rPr>
                <w:rFonts w:hint="eastAsia" w:ascii="Times New Roman" w:hAnsi="Times New Roman" w:eastAsia="宋体" w:cs="Times New Roman"/>
                <w:color w:val="auto"/>
                <w:sz w:val="24"/>
                <w:lang w:val="en-US" w:eastAsia="zh-CN"/>
              </w:rPr>
              <w:t>本项目焊接、打磨工序均在封闭厂房内进行，年生产时间为2400h。</w:t>
            </w:r>
          </w:p>
          <w:p w14:paraId="17F5F448">
            <w:pPr>
              <w:keepNext w:val="0"/>
              <w:keepLines w:val="0"/>
              <w:pageBreakBefore w:val="0"/>
              <w:widowControl w:val="0"/>
              <w:kinsoku/>
              <w:wordWrap w:val="0"/>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参照《排放源统计调查产排污核算方法和系数手册》“33金属制品业行业系数手册”中06预处理</w:t>
            </w:r>
            <w:r>
              <w:rPr>
                <w:rFonts w:hint="eastAsia" w:cs="Times New Roman"/>
                <w:color w:val="auto"/>
                <w:sz w:val="24"/>
                <w:lang w:val="en-US" w:eastAsia="zh-CN"/>
              </w:rPr>
              <w:t>、</w:t>
            </w:r>
            <w:r>
              <w:rPr>
                <w:rFonts w:hint="eastAsia" w:ascii="Times New Roman" w:hAnsi="Times New Roman" w:eastAsia="宋体" w:cs="Times New Roman"/>
                <w:color w:val="auto"/>
                <w:sz w:val="24"/>
                <w:lang w:val="en-US" w:eastAsia="zh-CN"/>
              </w:rPr>
              <w:t>09焊接，项目焊接、打磨废气产污系数及末端治理技术效率见表4-2。</w:t>
            </w:r>
          </w:p>
          <w:p w14:paraId="4AE42435">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表4-2 预处理、焊接产污系数及末端治理技术效率表</w:t>
            </w:r>
          </w:p>
          <w:tbl>
            <w:tblPr>
              <w:tblStyle w:val="26"/>
              <w:tblW w:w="807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74"/>
              <w:gridCol w:w="994"/>
              <w:gridCol w:w="1347"/>
              <w:gridCol w:w="643"/>
              <w:gridCol w:w="505"/>
              <w:gridCol w:w="704"/>
              <w:gridCol w:w="723"/>
              <w:gridCol w:w="668"/>
              <w:gridCol w:w="886"/>
              <w:gridCol w:w="928"/>
            </w:tblGrid>
            <w:tr w14:paraId="24B575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417" w:type="pct"/>
                  <w:tcBorders>
                    <w:bottom w:val="single" w:color="auto" w:sz="12" w:space="0"/>
                  </w:tcBorders>
                  <w:noWrap w:val="0"/>
                  <w:vAlign w:val="center"/>
                </w:tcPr>
                <w:p w14:paraId="6CE74115">
                  <w:pPr>
                    <w:adjustRightInd w:val="0"/>
                    <w:snapToGrid w:val="0"/>
                    <w:jc w:val="center"/>
                    <w:rPr>
                      <w:rFonts w:hint="eastAsia" w:ascii="宋体" w:hAnsi="宋体" w:cs="宋体"/>
                      <w:b/>
                      <w:bCs/>
                      <w:color w:val="auto"/>
                    </w:rPr>
                  </w:pPr>
                  <w:r>
                    <w:rPr>
                      <w:rFonts w:hint="eastAsia" w:ascii="宋体" w:hAnsi="宋体" w:cs="宋体"/>
                      <w:b/>
                      <w:bCs/>
                      <w:color w:val="auto"/>
                    </w:rPr>
                    <w:t>产品</w:t>
                  </w:r>
                </w:p>
                <w:p w14:paraId="63C6A0D1">
                  <w:pPr>
                    <w:adjustRightInd w:val="0"/>
                    <w:snapToGrid w:val="0"/>
                    <w:jc w:val="center"/>
                    <w:rPr>
                      <w:rFonts w:hint="eastAsia" w:ascii="宋体" w:hAnsi="宋体" w:cs="宋体"/>
                      <w:b/>
                      <w:bCs/>
                      <w:color w:val="auto"/>
                    </w:rPr>
                  </w:pPr>
                  <w:r>
                    <w:rPr>
                      <w:rFonts w:hint="eastAsia" w:ascii="宋体" w:hAnsi="宋体" w:cs="宋体"/>
                      <w:b/>
                      <w:bCs/>
                      <w:color w:val="auto"/>
                    </w:rPr>
                    <w:t>名称</w:t>
                  </w:r>
                </w:p>
              </w:tc>
              <w:tc>
                <w:tcPr>
                  <w:tcW w:w="615" w:type="pct"/>
                  <w:tcBorders>
                    <w:bottom w:val="single" w:color="auto" w:sz="12" w:space="0"/>
                  </w:tcBorders>
                  <w:noWrap w:val="0"/>
                  <w:vAlign w:val="center"/>
                </w:tcPr>
                <w:p w14:paraId="43F7C350">
                  <w:pPr>
                    <w:adjustRightInd w:val="0"/>
                    <w:snapToGrid w:val="0"/>
                    <w:jc w:val="center"/>
                    <w:rPr>
                      <w:rFonts w:hint="eastAsia" w:ascii="宋体" w:hAnsi="宋体" w:cs="宋体"/>
                      <w:b/>
                      <w:bCs/>
                      <w:color w:val="auto"/>
                    </w:rPr>
                  </w:pPr>
                  <w:r>
                    <w:rPr>
                      <w:rFonts w:hint="eastAsia" w:ascii="宋体" w:hAnsi="宋体" w:cs="宋体"/>
                      <w:b/>
                      <w:bCs/>
                      <w:color w:val="auto"/>
                    </w:rPr>
                    <w:t>原料</w:t>
                  </w:r>
                </w:p>
                <w:p w14:paraId="68222F0C">
                  <w:pPr>
                    <w:adjustRightInd w:val="0"/>
                    <w:snapToGrid w:val="0"/>
                    <w:jc w:val="center"/>
                    <w:rPr>
                      <w:rFonts w:hint="eastAsia" w:ascii="宋体" w:hAnsi="宋体" w:cs="宋体"/>
                      <w:b/>
                      <w:bCs/>
                      <w:color w:val="auto"/>
                    </w:rPr>
                  </w:pPr>
                  <w:r>
                    <w:rPr>
                      <w:rFonts w:hint="eastAsia" w:ascii="宋体" w:hAnsi="宋体" w:cs="宋体"/>
                      <w:b/>
                      <w:bCs/>
                      <w:color w:val="auto"/>
                    </w:rPr>
                    <w:t>名称</w:t>
                  </w:r>
                </w:p>
              </w:tc>
              <w:tc>
                <w:tcPr>
                  <w:tcW w:w="834" w:type="pct"/>
                  <w:tcBorders>
                    <w:bottom w:val="single" w:color="auto" w:sz="12" w:space="0"/>
                  </w:tcBorders>
                  <w:noWrap w:val="0"/>
                  <w:vAlign w:val="center"/>
                </w:tcPr>
                <w:p w14:paraId="2AA28F99">
                  <w:pPr>
                    <w:adjustRightInd w:val="0"/>
                    <w:snapToGrid w:val="0"/>
                    <w:jc w:val="center"/>
                    <w:rPr>
                      <w:rFonts w:hint="eastAsia" w:ascii="宋体" w:hAnsi="宋体" w:cs="宋体"/>
                      <w:b/>
                      <w:bCs/>
                      <w:color w:val="auto"/>
                    </w:rPr>
                  </w:pPr>
                  <w:r>
                    <w:rPr>
                      <w:rFonts w:hint="eastAsia" w:ascii="宋体" w:hAnsi="宋体" w:cs="宋体"/>
                      <w:b/>
                      <w:bCs/>
                      <w:color w:val="auto"/>
                    </w:rPr>
                    <w:t>工艺名称</w:t>
                  </w:r>
                </w:p>
              </w:tc>
              <w:tc>
                <w:tcPr>
                  <w:tcW w:w="398" w:type="pct"/>
                  <w:tcBorders>
                    <w:bottom w:val="single" w:color="auto" w:sz="12" w:space="0"/>
                  </w:tcBorders>
                  <w:noWrap w:val="0"/>
                  <w:vAlign w:val="center"/>
                </w:tcPr>
                <w:p w14:paraId="3E4736C7">
                  <w:pPr>
                    <w:adjustRightInd w:val="0"/>
                    <w:snapToGrid w:val="0"/>
                    <w:jc w:val="center"/>
                    <w:rPr>
                      <w:rFonts w:hint="eastAsia" w:ascii="宋体" w:hAnsi="宋体" w:cs="宋体"/>
                      <w:b/>
                      <w:bCs/>
                      <w:color w:val="auto"/>
                    </w:rPr>
                  </w:pPr>
                  <w:r>
                    <w:rPr>
                      <w:rFonts w:hint="eastAsia" w:ascii="宋体" w:hAnsi="宋体" w:cs="宋体"/>
                      <w:b/>
                      <w:bCs/>
                      <w:color w:val="auto"/>
                    </w:rPr>
                    <w:t>规模等级</w:t>
                  </w:r>
                </w:p>
              </w:tc>
              <w:tc>
                <w:tcPr>
                  <w:tcW w:w="748" w:type="pct"/>
                  <w:gridSpan w:val="2"/>
                  <w:tcBorders>
                    <w:bottom w:val="single" w:color="auto" w:sz="12" w:space="0"/>
                  </w:tcBorders>
                  <w:noWrap w:val="0"/>
                  <w:vAlign w:val="center"/>
                </w:tcPr>
                <w:p w14:paraId="7F4B3342">
                  <w:pPr>
                    <w:adjustRightInd w:val="0"/>
                    <w:snapToGrid w:val="0"/>
                    <w:jc w:val="center"/>
                    <w:rPr>
                      <w:rFonts w:hint="eastAsia" w:ascii="宋体" w:hAnsi="宋体" w:cs="宋体"/>
                      <w:b/>
                      <w:bCs/>
                      <w:color w:val="auto"/>
                    </w:rPr>
                  </w:pPr>
                  <w:r>
                    <w:rPr>
                      <w:rFonts w:hint="eastAsia" w:ascii="宋体" w:hAnsi="宋体" w:cs="宋体"/>
                      <w:b/>
                      <w:bCs/>
                      <w:color w:val="auto"/>
                    </w:rPr>
                    <w:t>污染物指标</w:t>
                  </w:r>
                </w:p>
              </w:tc>
              <w:tc>
                <w:tcPr>
                  <w:tcW w:w="447" w:type="pct"/>
                  <w:tcBorders>
                    <w:bottom w:val="single" w:color="auto" w:sz="12" w:space="0"/>
                  </w:tcBorders>
                  <w:noWrap w:val="0"/>
                  <w:vAlign w:val="center"/>
                </w:tcPr>
                <w:p w14:paraId="33F497B6">
                  <w:pPr>
                    <w:adjustRightInd w:val="0"/>
                    <w:snapToGrid w:val="0"/>
                    <w:jc w:val="center"/>
                    <w:rPr>
                      <w:rFonts w:hint="eastAsia" w:ascii="宋体" w:hAnsi="宋体" w:cs="宋体"/>
                      <w:b/>
                      <w:bCs/>
                      <w:color w:val="auto"/>
                    </w:rPr>
                  </w:pPr>
                  <w:r>
                    <w:rPr>
                      <w:rFonts w:hint="eastAsia" w:ascii="宋体" w:hAnsi="宋体" w:cs="宋体"/>
                      <w:b/>
                      <w:bCs/>
                      <w:color w:val="auto"/>
                    </w:rPr>
                    <w:t>单位</w:t>
                  </w:r>
                </w:p>
              </w:tc>
              <w:tc>
                <w:tcPr>
                  <w:tcW w:w="413" w:type="pct"/>
                  <w:tcBorders>
                    <w:bottom w:val="single" w:color="auto" w:sz="12" w:space="0"/>
                  </w:tcBorders>
                  <w:noWrap w:val="0"/>
                  <w:vAlign w:val="center"/>
                </w:tcPr>
                <w:p w14:paraId="365384C2">
                  <w:pPr>
                    <w:adjustRightInd w:val="0"/>
                    <w:snapToGrid w:val="0"/>
                    <w:jc w:val="center"/>
                    <w:rPr>
                      <w:rFonts w:hint="eastAsia" w:ascii="宋体" w:hAnsi="宋体" w:cs="宋体"/>
                      <w:b/>
                      <w:bCs/>
                      <w:color w:val="auto"/>
                    </w:rPr>
                  </w:pPr>
                  <w:r>
                    <w:rPr>
                      <w:rFonts w:hint="eastAsia" w:ascii="宋体" w:hAnsi="宋体" w:cs="宋体"/>
                      <w:b/>
                      <w:bCs/>
                      <w:color w:val="auto"/>
                    </w:rPr>
                    <w:t>产污系数</w:t>
                  </w:r>
                </w:p>
              </w:tc>
              <w:tc>
                <w:tcPr>
                  <w:tcW w:w="548" w:type="pct"/>
                  <w:tcBorders>
                    <w:bottom w:val="single" w:color="auto" w:sz="12" w:space="0"/>
                  </w:tcBorders>
                  <w:noWrap w:val="0"/>
                  <w:vAlign w:val="center"/>
                </w:tcPr>
                <w:p w14:paraId="795BC748">
                  <w:pPr>
                    <w:adjustRightInd w:val="0"/>
                    <w:snapToGrid w:val="0"/>
                    <w:jc w:val="center"/>
                    <w:rPr>
                      <w:rFonts w:hint="eastAsia" w:ascii="宋体" w:hAnsi="宋体" w:cs="宋体"/>
                      <w:b/>
                      <w:bCs/>
                      <w:color w:val="auto"/>
                    </w:rPr>
                  </w:pPr>
                  <w:r>
                    <w:rPr>
                      <w:rFonts w:hint="eastAsia" w:ascii="宋体" w:hAnsi="宋体" w:cs="宋体"/>
                      <w:b/>
                      <w:bCs/>
                      <w:color w:val="auto"/>
                    </w:rPr>
                    <w:t>末端治理技术名称</w:t>
                  </w:r>
                </w:p>
              </w:tc>
              <w:tc>
                <w:tcPr>
                  <w:tcW w:w="574" w:type="pct"/>
                  <w:tcBorders>
                    <w:bottom w:val="single" w:color="auto" w:sz="12" w:space="0"/>
                  </w:tcBorders>
                  <w:noWrap w:val="0"/>
                  <w:vAlign w:val="center"/>
                </w:tcPr>
                <w:p w14:paraId="58A2E3AA">
                  <w:pPr>
                    <w:adjustRightInd w:val="0"/>
                    <w:snapToGrid w:val="0"/>
                    <w:jc w:val="center"/>
                    <w:rPr>
                      <w:rFonts w:hint="eastAsia" w:ascii="宋体" w:hAnsi="宋体" w:cs="宋体"/>
                      <w:b/>
                      <w:bCs/>
                      <w:color w:val="auto"/>
                    </w:rPr>
                  </w:pPr>
                  <w:r>
                    <w:rPr>
                      <w:rFonts w:hint="eastAsia" w:ascii="宋体" w:hAnsi="宋体" w:cs="宋体"/>
                      <w:b/>
                      <w:bCs/>
                      <w:color w:val="auto"/>
                    </w:rPr>
                    <w:t>末端治理技术效率</w:t>
                  </w:r>
                </w:p>
              </w:tc>
            </w:tr>
            <w:tr w14:paraId="4095CB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417" w:type="pct"/>
                  <w:tcBorders>
                    <w:top w:val="single" w:color="auto" w:sz="12" w:space="0"/>
                    <w:bottom w:val="single" w:color="auto" w:sz="8" w:space="0"/>
                  </w:tcBorders>
                  <w:noWrap w:val="0"/>
                  <w:vAlign w:val="center"/>
                </w:tcPr>
                <w:p w14:paraId="35F3C39A">
                  <w:pPr>
                    <w:adjustRightInd w:val="0"/>
                    <w:snapToGrid w:val="0"/>
                    <w:jc w:val="center"/>
                    <w:rPr>
                      <w:rFonts w:hint="default"/>
                      <w:color w:val="auto"/>
                      <w:szCs w:val="21"/>
                      <w:lang w:val="en-US" w:eastAsia="zh-CN"/>
                    </w:rPr>
                  </w:pPr>
                  <w:r>
                    <w:rPr>
                      <w:rFonts w:hint="eastAsia"/>
                      <w:color w:val="auto"/>
                      <w:szCs w:val="21"/>
                      <w:lang w:val="en-US" w:eastAsia="zh-CN"/>
                    </w:rPr>
                    <w:t>焊接件</w:t>
                  </w:r>
                </w:p>
              </w:tc>
              <w:tc>
                <w:tcPr>
                  <w:tcW w:w="615" w:type="pct"/>
                  <w:tcBorders>
                    <w:top w:val="single" w:color="auto" w:sz="12" w:space="0"/>
                    <w:bottom w:val="single" w:color="auto" w:sz="8" w:space="0"/>
                  </w:tcBorders>
                  <w:noWrap w:val="0"/>
                  <w:vAlign w:val="center"/>
                </w:tcPr>
                <w:p w14:paraId="7E24A433">
                  <w:pPr>
                    <w:adjustRightInd w:val="0"/>
                    <w:snapToGrid w:val="0"/>
                    <w:jc w:val="center"/>
                    <w:rPr>
                      <w:rFonts w:hint="eastAsia"/>
                      <w:color w:val="auto"/>
                      <w:szCs w:val="21"/>
                      <w:lang w:val="en-US" w:eastAsia="zh-CN"/>
                    </w:rPr>
                  </w:pPr>
                  <w:r>
                    <w:rPr>
                      <w:rFonts w:hint="eastAsia"/>
                      <w:color w:val="auto"/>
                      <w:szCs w:val="21"/>
                      <w:lang w:val="en-US" w:eastAsia="zh-CN"/>
                    </w:rPr>
                    <w:t>实芯</w:t>
                  </w:r>
                </w:p>
                <w:p w14:paraId="671FC5B5">
                  <w:pPr>
                    <w:adjustRightInd w:val="0"/>
                    <w:snapToGrid w:val="0"/>
                    <w:jc w:val="center"/>
                    <w:rPr>
                      <w:rFonts w:hint="eastAsia" w:eastAsia="宋体"/>
                      <w:color w:val="auto"/>
                      <w:szCs w:val="21"/>
                      <w:lang w:val="en-US" w:eastAsia="zh-CN"/>
                    </w:rPr>
                  </w:pPr>
                  <w:r>
                    <w:rPr>
                      <w:rFonts w:hint="eastAsia"/>
                      <w:color w:val="auto"/>
                      <w:szCs w:val="21"/>
                      <w:lang w:val="en-US" w:eastAsia="zh-CN"/>
                    </w:rPr>
                    <w:t>焊丝</w:t>
                  </w:r>
                </w:p>
              </w:tc>
              <w:tc>
                <w:tcPr>
                  <w:tcW w:w="834" w:type="pct"/>
                  <w:tcBorders>
                    <w:top w:val="single" w:color="auto" w:sz="12" w:space="0"/>
                    <w:bottom w:val="single" w:color="auto" w:sz="8" w:space="0"/>
                  </w:tcBorders>
                  <w:noWrap w:val="0"/>
                  <w:vAlign w:val="center"/>
                </w:tcPr>
                <w:p w14:paraId="49BC9F56">
                  <w:pPr>
                    <w:adjustRightInd w:val="0"/>
                    <w:snapToGrid w:val="0"/>
                    <w:jc w:val="center"/>
                    <w:rPr>
                      <w:rFonts w:hint="default"/>
                      <w:color w:val="auto"/>
                      <w:szCs w:val="21"/>
                      <w:lang w:val="en-US" w:eastAsia="zh-CN"/>
                    </w:rPr>
                  </w:pPr>
                  <w:r>
                    <w:rPr>
                      <w:rFonts w:hint="eastAsia"/>
                      <w:color w:val="auto"/>
                      <w:spacing w:val="-6"/>
                      <w:sz w:val="21"/>
                      <w:szCs w:val="21"/>
                      <w:lang w:val="en-US" w:eastAsia="zh-CN"/>
                    </w:rPr>
                    <w:t>二氧化碳、保护焊、埋弧焊、氩弧焊</w:t>
                  </w:r>
                </w:p>
              </w:tc>
              <w:tc>
                <w:tcPr>
                  <w:tcW w:w="398" w:type="pct"/>
                  <w:tcBorders>
                    <w:top w:val="single" w:color="auto" w:sz="12" w:space="0"/>
                    <w:bottom w:val="single" w:color="auto" w:sz="8" w:space="0"/>
                  </w:tcBorders>
                  <w:noWrap w:val="0"/>
                  <w:vAlign w:val="center"/>
                </w:tcPr>
                <w:p w14:paraId="20128A1F">
                  <w:pPr>
                    <w:adjustRightInd w:val="0"/>
                    <w:snapToGrid w:val="0"/>
                    <w:jc w:val="center"/>
                    <w:rPr>
                      <w:rFonts w:hint="default" w:eastAsia="宋体"/>
                      <w:color w:val="auto"/>
                      <w:szCs w:val="21"/>
                      <w:lang w:val="en-US" w:eastAsia="zh-CN"/>
                    </w:rPr>
                  </w:pPr>
                  <w:r>
                    <w:rPr>
                      <w:rFonts w:hint="eastAsia"/>
                      <w:color w:val="auto"/>
                      <w:szCs w:val="21"/>
                      <w:lang w:val="en-US" w:eastAsia="zh-CN"/>
                    </w:rPr>
                    <w:t>所有规模</w:t>
                  </w:r>
                </w:p>
              </w:tc>
              <w:tc>
                <w:tcPr>
                  <w:tcW w:w="312" w:type="pct"/>
                  <w:tcBorders>
                    <w:top w:val="single" w:color="auto" w:sz="12" w:space="0"/>
                    <w:bottom w:val="single" w:color="auto" w:sz="8" w:space="0"/>
                  </w:tcBorders>
                  <w:noWrap w:val="0"/>
                  <w:vAlign w:val="center"/>
                </w:tcPr>
                <w:p w14:paraId="79087F75">
                  <w:pPr>
                    <w:adjustRightInd w:val="0"/>
                    <w:snapToGrid w:val="0"/>
                    <w:jc w:val="center"/>
                    <w:rPr>
                      <w:rFonts w:hint="eastAsia" w:eastAsia="宋体"/>
                      <w:color w:val="auto"/>
                      <w:szCs w:val="21"/>
                      <w:lang w:val="en-US" w:eastAsia="zh-CN"/>
                    </w:rPr>
                  </w:pPr>
                  <w:r>
                    <w:rPr>
                      <w:rFonts w:hint="eastAsia"/>
                      <w:color w:val="auto"/>
                      <w:szCs w:val="21"/>
                      <w:lang w:val="en-US" w:eastAsia="zh-CN"/>
                    </w:rPr>
                    <w:t>废气</w:t>
                  </w:r>
                </w:p>
              </w:tc>
              <w:tc>
                <w:tcPr>
                  <w:tcW w:w="436" w:type="pct"/>
                  <w:tcBorders>
                    <w:top w:val="single" w:color="auto" w:sz="12" w:space="0"/>
                    <w:bottom w:val="single" w:color="auto" w:sz="8" w:space="0"/>
                  </w:tcBorders>
                  <w:noWrap w:val="0"/>
                  <w:vAlign w:val="center"/>
                </w:tcPr>
                <w:p w14:paraId="1B12C204">
                  <w:pPr>
                    <w:adjustRightInd w:val="0"/>
                    <w:snapToGrid w:val="0"/>
                    <w:jc w:val="center"/>
                    <w:rPr>
                      <w:rFonts w:hint="eastAsia"/>
                      <w:color w:val="auto"/>
                      <w:kern w:val="2"/>
                      <w:sz w:val="21"/>
                      <w:szCs w:val="21"/>
                      <w:lang w:val="en-US" w:eastAsia="zh-CN" w:bidi="ar-SA"/>
                    </w:rPr>
                  </w:pPr>
                  <w:r>
                    <w:rPr>
                      <w:rFonts w:hint="eastAsia"/>
                      <w:color w:val="auto"/>
                      <w:szCs w:val="21"/>
                    </w:rPr>
                    <w:t>颗粒物</w:t>
                  </w:r>
                </w:p>
              </w:tc>
              <w:tc>
                <w:tcPr>
                  <w:tcW w:w="447" w:type="pct"/>
                  <w:tcBorders>
                    <w:top w:val="single" w:color="auto" w:sz="12" w:space="0"/>
                    <w:bottom w:val="single" w:color="auto" w:sz="8" w:space="0"/>
                  </w:tcBorders>
                  <w:noWrap w:val="0"/>
                  <w:vAlign w:val="center"/>
                </w:tcPr>
                <w:p w14:paraId="4C143C2E">
                  <w:pPr>
                    <w:adjustRightInd w:val="0"/>
                    <w:snapToGrid w:val="0"/>
                    <w:jc w:val="center"/>
                    <w:rPr>
                      <w:rFonts w:hint="eastAsia"/>
                      <w:color w:val="auto"/>
                      <w:kern w:val="2"/>
                      <w:sz w:val="21"/>
                      <w:szCs w:val="21"/>
                      <w:lang w:val="en-US" w:eastAsia="zh-CN" w:bidi="ar-SA"/>
                    </w:rPr>
                  </w:pPr>
                  <w:r>
                    <w:rPr>
                      <w:rFonts w:hint="eastAsia"/>
                      <w:color w:val="auto"/>
                      <w:szCs w:val="21"/>
                    </w:rPr>
                    <w:t>kg/t-原料</w:t>
                  </w:r>
                </w:p>
              </w:tc>
              <w:tc>
                <w:tcPr>
                  <w:tcW w:w="413" w:type="pct"/>
                  <w:tcBorders>
                    <w:top w:val="single" w:color="auto" w:sz="12" w:space="0"/>
                    <w:bottom w:val="single" w:color="auto" w:sz="8" w:space="0"/>
                  </w:tcBorders>
                  <w:noWrap w:val="0"/>
                  <w:vAlign w:val="center"/>
                </w:tcPr>
                <w:p w14:paraId="15AA0456">
                  <w:pPr>
                    <w:adjustRightInd w:val="0"/>
                    <w:snapToGrid w:val="0"/>
                    <w:jc w:val="center"/>
                    <w:rPr>
                      <w:rFonts w:hint="default" w:eastAsia="宋体"/>
                      <w:color w:val="auto"/>
                      <w:kern w:val="2"/>
                      <w:sz w:val="21"/>
                      <w:szCs w:val="21"/>
                      <w:lang w:val="en-US" w:eastAsia="zh-CN" w:bidi="ar-SA"/>
                    </w:rPr>
                  </w:pPr>
                  <w:r>
                    <w:rPr>
                      <w:rFonts w:hint="eastAsia"/>
                      <w:color w:val="auto"/>
                      <w:szCs w:val="21"/>
                      <w:lang w:val="en-US" w:eastAsia="zh-CN"/>
                    </w:rPr>
                    <w:t>9.19</w:t>
                  </w:r>
                </w:p>
              </w:tc>
              <w:tc>
                <w:tcPr>
                  <w:tcW w:w="548" w:type="pct"/>
                  <w:tcBorders>
                    <w:top w:val="single" w:color="auto" w:sz="12" w:space="0"/>
                    <w:bottom w:val="single" w:color="auto" w:sz="8" w:space="0"/>
                  </w:tcBorders>
                  <w:noWrap w:val="0"/>
                  <w:vAlign w:val="center"/>
                </w:tcPr>
                <w:p w14:paraId="5B528675">
                  <w:pPr>
                    <w:adjustRightInd w:val="0"/>
                    <w:snapToGrid w:val="0"/>
                    <w:jc w:val="center"/>
                    <w:rPr>
                      <w:rFonts w:hint="eastAsia"/>
                      <w:color w:val="auto"/>
                      <w:szCs w:val="21"/>
                    </w:rPr>
                  </w:pPr>
                  <w:r>
                    <w:rPr>
                      <w:rFonts w:hint="eastAsia"/>
                      <w:color w:val="auto"/>
                      <w:szCs w:val="21"/>
                    </w:rPr>
                    <w:t>袋式</w:t>
                  </w:r>
                </w:p>
                <w:p w14:paraId="42E6D59E">
                  <w:pPr>
                    <w:adjustRightInd w:val="0"/>
                    <w:snapToGrid w:val="0"/>
                    <w:jc w:val="center"/>
                    <w:rPr>
                      <w:rFonts w:hint="eastAsia"/>
                      <w:color w:val="auto"/>
                      <w:kern w:val="2"/>
                      <w:sz w:val="21"/>
                      <w:szCs w:val="21"/>
                      <w:lang w:val="en-US" w:eastAsia="zh-CN" w:bidi="ar-SA"/>
                    </w:rPr>
                  </w:pPr>
                  <w:r>
                    <w:rPr>
                      <w:rFonts w:hint="eastAsia"/>
                      <w:color w:val="auto"/>
                      <w:szCs w:val="21"/>
                    </w:rPr>
                    <w:t>除尘</w:t>
                  </w:r>
                </w:p>
              </w:tc>
              <w:tc>
                <w:tcPr>
                  <w:tcW w:w="574" w:type="pct"/>
                  <w:tcBorders>
                    <w:top w:val="single" w:color="auto" w:sz="12" w:space="0"/>
                    <w:bottom w:val="single" w:color="auto" w:sz="8" w:space="0"/>
                  </w:tcBorders>
                  <w:noWrap w:val="0"/>
                  <w:vAlign w:val="center"/>
                </w:tcPr>
                <w:p w14:paraId="4AA9B3E4">
                  <w:pPr>
                    <w:adjustRightInd w:val="0"/>
                    <w:snapToGrid w:val="0"/>
                    <w:jc w:val="center"/>
                    <w:rPr>
                      <w:rFonts w:hint="eastAsia"/>
                      <w:color w:val="auto"/>
                      <w:kern w:val="2"/>
                      <w:sz w:val="21"/>
                      <w:szCs w:val="21"/>
                      <w:lang w:val="en-US" w:eastAsia="zh-CN" w:bidi="ar-SA"/>
                    </w:rPr>
                  </w:pPr>
                  <w:r>
                    <w:rPr>
                      <w:rFonts w:hint="eastAsia"/>
                      <w:color w:val="auto"/>
                      <w:szCs w:val="21"/>
                    </w:rPr>
                    <w:t>95%</w:t>
                  </w:r>
                </w:p>
              </w:tc>
            </w:tr>
            <w:tr w14:paraId="58A545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417" w:type="pct"/>
                  <w:tcBorders>
                    <w:top w:val="single" w:color="auto" w:sz="8" w:space="0"/>
                  </w:tcBorders>
                  <w:noWrap w:val="0"/>
                  <w:vAlign w:val="center"/>
                </w:tcPr>
                <w:p w14:paraId="088B3662">
                  <w:pPr>
                    <w:adjustRightInd w:val="0"/>
                    <w:snapToGrid w:val="0"/>
                    <w:jc w:val="center"/>
                    <w:rPr>
                      <w:rFonts w:hint="default" w:eastAsia="宋体"/>
                      <w:color w:val="auto"/>
                      <w:szCs w:val="21"/>
                      <w:lang w:val="en-US" w:eastAsia="zh-CN"/>
                    </w:rPr>
                  </w:pPr>
                  <w:r>
                    <w:rPr>
                      <w:rFonts w:hint="eastAsia"/>
                      <w:color w:val="auto"/>
                      <w:szCs w:val="21"/>
                      <w:lang w:val="en-US" w:eastAsia="zh-CN"/>
                    </w:rPr>
                    <w:t>干式预处理件</w:t>
                  </w:r>
                </w:p>
              </w:tc>
              <w:tc>
                <w:tcPr>
                  <w:tcW w:w="615" w:type="pct"/>
                  <w:tcBorders>
                    <w:top w:val="single" w:color="auto" w:sz="8" w:space="0"/>
                  </w:tcBorders>
                  <w:noWrap w:val="0"/>
                  <w:vAlign w:val="center"/>
                </w:tcPr>
                <w:p w14:paraId="700CB488">
                  <w:pPr>
                    <w:adjustRightInd w:val="0"/>
                    <w:snapToGrid w:val="0"/>
                    <w:jc w:val="center"/>
                    <w:rPr>
                      <w:rFonts w:hint="default"/>
                      <w:color w:val="auto"/>
                      <w:szCs w:val="21"/>
                      <w:lang w:val="en-US"/>
                    </w:rPr>
                  </w:pPr>
                  <w:r>
                    <w:rPr>
                      <w:rFonts w:hint="eastAsia"/>
                      <w:color w:val="auto"/>
                      <w:szCs w:val="21"/>
                      <w:lang w:val="en-US" w:eastAsia="zh-CN"/>
                    </w:rPr>
                    <w:t>钢材（含板材、构件等）</w:t>
                  </w:r>
                </w:p>
              </w:tc>
              <w:tc>
                <w:tcPr>
                  <w:tcW w:w="834" w:type="pct"/>
                  <w:tcBorders>
                    <w:top w:val="single" w:color="auto" w:sz="8" w:space="0"/>
                  </w:tcBorders>
                  <w:noWrap w:val="0"/>
                  <w:vAlign w:val="center"/>
                </w:tcPr>
                <w:p w14:paraId="2073C93A">
                  <w:pPr>
                    <w:adjustRightInd w:val="0"/>
                    <w:snapToGrid w:val="0"/>
                    <w:jc w:val="center"/>
                    <w:rPr>
                      <w:rFonts w:hint="default" w:eastAsia="宋体"/>
                      <w:color w:val="auto"/>
                      <w:szCs w:val="21"/>
                      <w:lang w:val="en-US" w:eastAsia="zh-CN"/>
                    </w:rPr>
                  </w:pPr>
                  <w:r>
                    <w:rPr>
                      <w:rFonts w:hint="eastAsia"/>
                      <w:color w:val="auto"/>
                      <w:szCs w:val="21"/>
                      <w:lang w:val="en-US" w:eastAsia="zh-CN"/>
                    </w:rPr>
                    <w:t>抛丸、喷砂、打磨、滚筒</w:t>
                  </w:r>
                </w:p>
              </w:tc>
              <w:tc>
                <w:tcPr>
                  <w:tcW w:w="398" w:type="pct"/>
                  <w:tcBorders>
                    <w:top w:val="single" w:color="auto" w:sz="8" w:space="0"/>
                  </w:tcBorders>
                  <w:noWrap w:val="0"/>
                  <w:vAlign w:val="center"/>
                </w:tcPr>
                <w:p w14:paraId="1E911E73">
                  <w:pPr>
                    <w:adjustRightInd w:val="0"/>
                    <w:snapToGrid w:val="0"/>
                    <w:jc w:val="center"/>
                    <w:rPr>
                      <w:color w:val="auto"/>
                      <w:szCs w:val="21"/>
                    </w:rPr>
                  </w:pPr>
                  <w:r>
                    <w:rPr>
                      <w:rFonts w:hint="eastAsia"/>
                      <w:color w:val="auto"/>
                      <w:szCs w:val="21"/>
                    </w:rPr>
                    <w:t>所有规模</w:t>
                  </w:r>
                </w:p>
              </w:tc>
              <w:tc>
                <w:tcPr>
                  <w:tcW w:w="312" w:type="pct"/>
                  <w:tcBorders>
                    <w:top w:val="single" w:color="auto" w:sz="8" w:space="0"/>
                  </w:tcBorders>
                  <w:noWrap w:val="0"/>
                  <w:vAlign w:val="center"/>
                </w:tcPr>
                <w:p w14:paraId="3D3573E9">
                  <w:pPr>
                    <w:adjustRightInd w:val="0"/>
                    <w:snapToGrid w:val="0"/>
                    <w:jc w:val="center"/>
                    <w:rPr>
                      <w:rFonts w:hint="eastAsia"/>
                      <w:color w:val="auto"/>
                      <w:szCs w:val="21"/>
                    </w:rPr>
                  </w:pPr>
                  <w:r>
                    <w:rPr>
                      <w:rFonts w:hint="eastAsia"/>
                      <w:color w:val="auto"/>
                      <w:szCs w:val="21"/>
                    </w:rPr>
                    <w:t>废气</w:t>
                  </w:r>
                </w:p>
              </w:tc>
              <w:tc>
                <w:tcPr>
                  <w:tcW w:w="436" w:type="pct"/>
                  <w:tcBorders>
                    <w:top w:val="single" w:color="auto" w:sz="8" w:space="0"/>
                  </w:tcBorders>
                  <w:noWrap w:val="0"/>
                  <w:vAlign w:val="center"/>
                </w:tcPr>
                <w:p w14:paraId="1C286981">
                  <w:pPr>
                    <w:adjustRightInd w:val="0"/>
                    <w:snapToGrid w:val="0"/>
                    <w:jc w:val="center"/>
                    <w:rPr>
                      <w:rFonts w:hint="eastAsia"/>
                      <w:color w:val="auto"/>
                      <w:szCs w:val="21"/>
                    </w:rPr>
                  </w:pPr>
                  <w:r>
                    <w:rPr>
                      <w:rFonts w:hint="eastAsia"/>
                      <w:color w:val="auto"/>
                      <w:szCs w:val="21"/>
                    </w:rPr>
                    <w:t>颗粒物</w:t>
                  </w:r>
                </w:p>
              </w:tc>
              <w:tc>
                <w:tcPr>
                  <w:tcW w:w="447" w:type="pct"/>
                  <w:tcBorders>
                    <w:top w:val="single" w:color="auto" w:sz="8" w:space="0"/>
                  </w:tcBorders>
                  <w:noWrap w:val="0"/>
                  <w:vAlign w:val="center"/>
                </w:tcPr>
                <w:p w14:paraId="09A9AFAD">
                  <w:pPr>
                    <w:adjustRightInd w:val="0"/>
                    <w:snapToGrid w:val="0"/>
                    <w:jc w:val="center"/>
                    <w:rPr>
                      <w:color w:val="auto"/>
                      <w:szCs w:val="21"/>
                    </w:rPr>
                  </w:pPr>
                  <w:r>
                    <w:rPr>
                      <w:rFonts w:hint="eastAsia"/>
                      <w:color w:val="auto"/>
                      <w:szCs w:val="21"/>
                    </w:rPr>
                    <w:t>kg/t-原料</w:t>
                  </w:r>
                </w:p>
              </w:tc>
              <w:tc>
                <w:tcPr>
                  <w:tcW w:w="413" w:type="pct"/>
                  <w:tcBorders>
                    <w:top w:val="single" w:color="auto" w:sz="8" w:space="0"/>
                  </w:tcBorders>
                  <w:noWrap w:val="0"/>
                  <w:vAlign w:val="center"/>
                </w:tcPr>
                <w:p w14:paraId="5A2CEC28">
                  <w:pPr>
                    <w:adjustRightInd w:val="0"/>
                    <w:snapToGrid w:val="0"/>
                    <w:jc w:val="center"/>
                    <w:rPr>
                      <w:rFonts w:hint="default" w:eastAsia="宋体"/>
                      <w:color w:val="auto"/>
                      <w:szCs w:val="21"/>
                      <w:lang w:val="en-US" w:eastAsia="zh-CN"/>
                    </w:rPr>
                  </w:pPr>
                  <w:r>
                    <w:rPr>
                      <w:rFonts w:hint="eastAsia"/>
                      <w:color w:val="auto"/>
                      <w:szCs w:val="21"/>
                      <w:lang w:val="en-US" w:eastAsia="zh-CN"/>
                    </w:rPr>
                    <w:t>2.19</w:t>
                  </w:r>
                </w:p>
              </w:tc>
              <w:tc>
                <w:tcPr>
                  <w:tcW w:w="548" w:type="pct"/>
                  <w:tcBorders>
                    <w:top w:val="single" w:color="auto" w:sz="8" w:space="0"/>
                  </w:tcBorders>
                  <w:noWrap w:val="0"/>
                  <w:vAlign w:val="center"/>
                </w:tcPr>
                <w:p w14:paraId="363D8A29">
                  <w:pPr>
                    <w:adjustRightInd w:val="0"/>
                    <w:snapToGrid w:val="0"/>
                    <w:jc w:val="center"/>
                    <w:rPr>
                      <w:rFonts w:hint="eastAsia"/>
                      <w:color w:val="auto"/>
                      <w:szCs w:val="21"/>
                    </w:rPr>
                  </w:pPr>
                  <w:r>
                    <w:rPr>
                      <w:rFonts w:hint="eastAsia"/>
                      <w:color w:val="auto"/>
                      <w:szCs w:val="21"/>
                    </w:rPr>
                    <w:t>袋式</w:t>
                  </w:r>
                </w:p>
                <w:p w14:paraId="2E433896">
                  <w:pPr>
                    <w:adjustRightInd w:val="0"/>
                    <w:snapToGrid w:val="0"/>
                    <w:jc w:val="center"/>
                    <w:rPr>
                      <w:rFonts w:hint="eastAsia"/>
                      <w:color w:val="auto"/>
                      <w:szCs w:val="21"/>
                    </w:rPr>
                  </w:pPr>
                  <w:r>
                    <w:rPr>
                      <w:rFonts w:hint="eastAsia"/>
                      <w:color w:val="auto"/>
                      <w:szCs w:val="21"/>
                    </w:rPr>
                    <w:t>除尘</w:t>
                  </w:r>
                </w:p>
              </w:tc>
              <w:tc>
                <w:tcPr>
                  <w:tcW w:w="574" w:type="pct"/>
                  <w:tcBorders>
                    <w:top w:val="single" w:color="auto" w:sz="8" w:space="0"/>
                  </w:tcBorders>
                  <w:noWrap w:val="0"/>
                  <w:vAlign w:val="center"/>
                </w:tcPr>
                <w:p w14:paraId="3E0AFFB0">
                  <w:pPr>
                    <w:adjustRightInd w:val="0"/>
                    <w:snapToGrid w:val="0"/>
                    <w:jc w:val="center"/>
                    <w:rPr>
                      <w:color w:val="auto"/>
                      <w:szCs w:val="21"/>
                    </w:rPr>
                  </w:pPr>
                  <w:r>
                    <w:rPr>
                      <w:rFonts w:hint="eastAsia"/>
                      <w:color w:val="auto"/>
                      <w:szCs w:val="21"/>
                    </w:rPr>
                    <w:t>95%</w:t>
                  </w:r>
                </w:p>
              </w:tc>
            </w:tr>
          </w:tbl>
          <w:p w14:paraId="71DF860E">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A.焊接烟尘</w:t>
            </w:r>
          </w:p>
          <w:p w14:paraId="42A988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本项目焊接烟尘中90%的污染物来源于焊材的高温气化和氧化。根据建</w:t>
            </w:r>
          </w:p>
          <w:p w14:paraId="7BB7E4BC">
            <w:pPr>
              <w:keepNext w:val="0"/>
              <w:keepLines w:val="0"/>
              <w:pageBreakBefore w:val="0"/>
              <w:widowControl w:val="0"/>
              <w:kinsoku/>
              <w:wordWrap/>
              <w:overflowPunct/>
              <w:topLinePunct w:val="0"/>
              <w:autoSpaceDE/>
              <w:autoSpaceDN/>
              <w:bidi w:val="0"/>
              <w:adjustRightInd/>
              <w:snapToGrid/>
              <w:spacing w:before="157" w:beforeLines="50" w:line="348" w:lineRule="auto"/>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设单位提供资料，本项目使用的焊丝为实芯焊丝，焊接材料使用量为65t/a，则焊接工序颗粒物产生量约0.60t/a。</w:t>
            </w:r>
          </w:p>
          <w:p w14:paraId="20EB0E7E">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B.打磨粉尘</w:t>
            </w:r>
          </w:p>
          <w:p w14:paraId="51408000">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0000FF"/>
                <w:sz w:val="24"/>
                <w:lang w:val="en-US" w:eastAsia="zh-CN"/>
              </w:rPr>
            </w:pPr>
            <w:r>
              <w:rPr>
                <w:rFonts w:hint="eastAsia" w:ascii="Times New Roman" w:hAnsi="Times New Roman" w:eastAsia="宋体" w:cs="Times New Roman"/>
                <w:color w:val="auto"/>
                <w:sz w:val="24"/>
                <w:lang w:val="en-US" w:eastAsia="zh-CN"/>
              </w:rPr>
              <w:t>本项目对焊接后的工件表面进行打磨，增加工件表面的平整度与光洁度。根据建设单位提供资料，本项目焊接后</w:t>
            </w:r>
            <w:r>
              <w:rPr>
                <w:rFonts w:hint="eastAsia" w:ascii="Times New Roman" w:hAnsi="Times New Roman" w:eastAsia="宋体" w:cs="Times New Roman"/>
                <w:color w:val="0000FF"/>
                <w:sz w:val="24"/>
                <w:lang w:val="en-US" w:eastAsia="zh-CN"/>
              </w:rPr>
              <w:t>需进行打磨的工件约</w:t>
            </w:r>
            <w:r>
              <w:rPr>
                <w:rFonts w:hint="eastAsia" w:cs="Times New Roman"/>
                <w:color w:val="0000FF"/>
                <w:sz w:val="24"/>
                <w:lang w:val="en-US" w:eastAsia="zh-CN"/>
              </w:rPr>
              <w:t>2</w:t>
            </w:r>
            <w:r>
              <w:rPr>
                <w:rFonts w:hint="eastAsia" w:ascii="Times New Roman" w:hAnsi="Times New Roman" w:eastAsia="宋体" w:cs="Times New Roman"/>
                <w:color w:val="0000FF"/>
                <w:sz w:val="24"/>
                <w:lang w:val="en-US" w:eastAsia="zh-CN"/>
              </w:rPr>
              <w:t>000t，则打磨工序颗粒物产生量为</w:t>
            </w:r>
            <w:r>
              <w:rPr>
                <w:rFonts w:hint="eastAsia" w:cs="Times New Roman"/>
                <w:color w:val="0000FF"/>
                <w:sz w:val="24"/>
                <w:lang w:val="en-US" w:eastAsia="zh-CN"/>
              </w:rPr>
              <w:t>4</w:t>
            </w:r>
            <w:r>
              <w:rPr>
                <w:rFonts w:hint="eastAsia" w:ascii="Times New Roman" w:hAnsi="Times New Roman" w:eastAsia="宋体" w:cs="Times New Roman"/>
                <w:color w:val="0000FF"/>
                <w:sz w:val="24"/>
                <w:lang w:val="en-US" w:eastAsia="zh-CN"/>
              </w:rPr>
              <w:t>.</w:t>
            </w:r>
            <w:r>
              <w:rPr>
                <w:rFonts w:hint="eastAsia" w:cs="Times New Roman"/>
                <w:color w:val="0000FF"/>
                <w:sz w:val="24"/>
                <w:lang w:val="en-US" w:eastAsia="zh-CN"/>
              </w:rPr>
              <w:t>38</w:t>
            </w:r>
            <w:r>
              <w:rPr>
                <w:rFonts w:hint="eastAsia" w:ascii="Times New Roman" w:hAnsi="Times New Roman" w:eastAsia="宋体" w:cs="Times New Roman"/>
                <w:color w:val="0000FF"/>
                <w:sz w:val="24"/>
                <w:lang w:val="en-US" w:eastAsia="zh-CN"/>
              </w:rPr>
              <w:t>t/a。</w:t>
            </w:r>
          </w:p>
          <w:p w14:paraId="3866AFB8">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color w:val="0000FF"/>
                <w:sz w:val="24"/>
                <w:lang w:val="en-US" w:eastAsia="zh-CN"/>
              </w:rPr>
            </w:pPr>
            <w:r>
              <w:rPr>
                <w:rFonts w:hint="default" w:ascii="Times New Roman" w:hAnsi="Times New Roman" w:eastAsia="宋体" w:cs="Times New Roman"/>
                <w:color w:val="auto"/>
                <w:sz w:val="24"/>
                <w:lang w:val="en-US" w:eastAsia="zh-CN"/>
              </w:rPr>
              <w:t>本项目</w:t>
            </w:r>
            <w:r>
              <w:rPr>
                <w:rFonts w:hint="eastAsia" w:ascii="Times New Roman" w:hAnsi="Times New Roman" w:eastAsia="宋体" w:cs="Times New Roman"/>
                <w:color w:val="auto"/>
                <w:sz w:val="24"/>
                <w:lang w:val="en-US" w:eastAsia="zh-CN"/>
              </w:rPr>
              <w:t>焊接、打磨工序</w:t>
            </w:r>
            <w:r>
              <w:rPr>
                <w:rFonts w:hint="eastAsia" w:ascii="Times New Roman" w:hAnsi="Times New Roman" w:eastAsia="宋体" w:cs="Times New Roman"/>
                <w:color w:val="0000FF"/>
                <w:sz w:val="24"/>
                <w:lang w:val="en-US" w:eastAsia="zh-CN"/>
              </w:rPr>
              <w:t>颗粒物总产生量约</w:t>
            </w:r>
            <w:r>
              <w:rPr>
                <w:rFonts w:hint="eastAsia" w:cs="Times New Roman"/>
                <w:color w:val="0000FF"/>
                <w:sz w:val="24"/>
                <w:lang w:val="en-US" w:eastAsia="zh-CN"/>
              </w:rPr>
              <w:t>4.98</w:t>
            </w:r>
            <w:r>
              <w:rPr>
                <w:rFonts w:hint="eastAsia" w:ascii="Times New Roman" w:hAnsi="Times New Roman" w:eastAsia="宋体" w:cs="Times New Roman"/>
                <w:color w:val="0000FF"/>
                <w:sz w:val="24"/>
                <w:lang w:val="en-US" w:eastAsia="zh-CN"/>
              </w:rPr>
              <w:t>t/a</w:t>
            </w:r>
            <w:r>
              <w:rPr>
                <w:rFonts w:hint="eastAsia" w:ascii="Times New Roman" w:hAnsi="Times New Roman" w:eastAsia="宋体" w:cs="Times New Roman"/>
                <w:color w:val="auto"/>
                <w:sz w:val="24"/>
                <w:lang w:val="en-US" w:eastAsia="zh-CN"/>
              </w:rPr>
              <w:t>，废气分别由高效集气设施</w:t>
            </w:r>
            <w:r>
              <w:rPr>
                <w:rFonts w:hint="eastAsia" w:cs="Times New Roman"/>
                <w:color w:val="auto"/>
                <w:sz w:val="24"/>
                <w:lang w:val="en-US" w:eastAsia="zh-CN"/>
              </w:rPr>
              <w:t>负压</w:t>
            </w:r>
            <w:r>
              <w:rPr>
                <w:rFonts w:hint="eastAsia" w:ascii="Times New Roman" w:hAnsi="Times New Roman" w:eastAsia="宋体" w:cs="Times New Roman"/>
                <w:color w:val="auto"/>
                <w:sz w:val="24"/>
                <w:lang w:val="en-US" w:eastAsia="zh-CN"/>
              </w:rPr>
              <w:t>收集，收集效率为95%，则焊接、打磨工序</w:t>
            </w:r>
            <w:r>
              <w:rPr>
                <w:rFonts w:hint="eastAsia" w:ascii="Times New Roman" w:hAnsi="Times New Roman" w:eastAsia="宋体" w:cs="Times New Roman"/>
                <w:color w:val="0000FF"/>
                <w:sz w:val="24"/>
                <w:lang w:val="en-US" w:eastAsia="zh-CN"/>
              </w:rPr>
              <w:t>颗粒物有组织产生量约</w:t>
            </w:r>
            <w:r>
              <w:rPr>
                <w:rFonts w:hint="eastAsia" w:cs="Times New Roman"/>
                <w:color w:val="0000FF"/>
                <w:sz w:val="24"/>
                <w:lang w:val="en-US" w:eastAsia="zh-CN"/>
              </w:rPr>
              <w:t>4.73</w:t>
            </w:r>
            <w:r>
              <w:rPr>
                <w:rFonts w:hint="eastAsia" w:ascii="Times New Roman" w:hAnsi="Times New Roman" w:eastAsia="宋体" w:cs="Times New Roman"/>
                <w:color w:val="0000FF"/>
                <w:sz w:val="24"/>
                <w:lang w:val="en-US" w:eastAsia="zh-CN"/>
              </w:rPr>
              <w:t>t/a，</w:t>
            </w:r>
            <w:r>
              <w:rPr>
                <w:rFonts w:hint="eastAsia" w:ascii="Times New Roman" w:hAnsi="Times New Roman" w:eastAsia="宋体" w:cs="Times New Roman"/>
                <w:color w:val="auto"/>
                <w:sz w:val="24"/>
                <w:lang w:val="en-US" w:eastAsia="zh-CN"/>
              </w:rPr>
              <w:t>由专用风道送入</w:t>
            </w:r>
            <w:r>
              <w:rPr>
                <w:rFonts w:hint="eastAsia" w:ascii="Times New Roman" w:hAnsi="Times New Roman" w:eastAsia="宋体" w:cs="Times New Roman"/>
                <w:color w:val="0000FF"/>
                <w:sz w:val="24"/>
                <w:lang w:val="en-US" w:eastAsia="zh-CN"/>
              </w:rPr>
              <w:t>气箱式脉冲袋式除尘器</w:t>
            </w:r>
            <w:r>
              <w:rPr>
                <w:rFonts w:hint="eastAsia" w:ascii="Times New Roman" w:hAnsi="Times New Roman" w:eastAsia="宋体" w:cs="Times New Roman"/>
                <w:color w:val="auto"/>
                <w:sz w:val="24"/>
                <w:lang w:val="en-US" w:eastAsia="zh-CN"/>
              </w:rPr>
              <w:t>处理后通过15m排气筒（DA001）排放。由表4-2，袋式除尘器除尘效率为95%，</w:t>
            </w:r>
            <w:r>
              <w:rPr>
                <w:rFonts w:hint="eastAsia" w:cs="Times New Roman"/>
                <w:color w:val="0000FF"/>
                <w:kern w:val="2"/>
                <w:sz w:val="24"/>
                <w:szCs w:val="24"/>
                <w:highlight w:val="none"/>
                <w:lang w:val="en-US" w:eastAsia="zh-CN" w:bidi="ar-SA"/>
              </w:rPr>
              <w:t>按照《环境保护产品技术要求脉冲喷吹类袋式除尘器》（HJ/T 328-2006）表1脉冲喷吹类袋式除尘器的主要技术性能指标，除尘效率＞99.5%，本项目采用</w:t>
            </w:r>
            <w:r>
              <w:rPr>
                <w:rFonts w:hint="eastAsia" w:ascii="Times New Roman" w:hAnsi="Times New Roman" w:eastAsia="宋体" w:cs="Times New Roman"/>
                <w:color w:val="0000FF"/>
                <w:sz w:val="24"/>
                <w:lang w:val="en-US" w:eastAsia="zh-CN"/>
              </w:rPr>
              <w:t>气箱式脉冲袋式除尘器</w:t>
            </w:r>
            <w:r>
              <w:rPr>
                <w:rFonts w:hint="eastAsia" w:cs="Times New Roman"/>
                <w:color w:val="0000FF"/>
                <w:sz w:val="24"/>
                <w:lang w:val="en-US" w:eastAsia="zh-CN"/>
              </w:rPr>
              <w:t>，除尘效率取99%，</w:t>
            </w:r>
            <w:r>
              <w:rPr>
                <w:rFonts w:hint="eastAsia" w:ascii="Times New Roman" w:hAnsi="Times New Roman" w:eastAsia="宋体" w:cs="Times New Roman"/>
                <w:color w:val="auto"/>
                <w:sz w:val="24"/>
                <w:lang w:val="en-US" w:eastAsia="zh-CN"/>
              </w:rPr>
              <w:t>经计算，焊接、打磨工序</w:t>
            </w:r>
            <w:r>
              <w:rPr>
                <w:rFonts w:hint="eastAsia" w:ascii="Times New Roman" w:hAnsi="Times New Roman" w:eastAsia="宋体" w:cs="Times New Roman"/>
                <w:color w:val="0000FF"/>
                <w:sz w:val="24"/>
                <w:lang w:val="en-US" w:eastAsia="zh-CN"/>
              </w:rPr>
              <w:t>颗粒物有组织排放量约</w:t>
            </w:r>
            <w:r>
              <w:rPr>
                <w:rFonts w:hint="eastAsia" w:cs="Times New Roman"/>
                <w:color w:val="0000FF"/>
                <w:sz w:val="24"/>
                <w:lang w:val="en-US" w:eastAsia="zh-CN"/>
              </w:rPr>
              <w:t>0.05</w:t>
            </w:r>
            <w:r>
              <w:rPr>
                <w:rFonts w:hint="eastAsia" w:ascii="Times New Roman" w:hAnsi="Times New Roman" w:eastAsia="宋体" w:cs="Times New Roman"/>
                <w:color w:val="0000FF"/>
                <w:sz w:val="24"/>
                <w:lang w:val="en-US" w:eastAsia="zh-CN"/>
              </w:rPr>
              <w:t>t/a，</w:t>
            </w:r>
            <w:r>
              <w:rPr>
                <w:rFonts w:hint="eastAsia" w:ascii="Times New Roman" w:hAnsi="Times New Roman" w:eastAsia="宋体" w:cs="Times New Roman"/>
                <w:color w:val="auto"/>
                <w:sz w:val="24"/>
                <w:lang w:val="en-US" w:eastAsia="zh-CN"/>
              </w:rPr>
              <w:t>未被收集的颗粒物以无组织形式排放，焊接、打磨工序</w:t>
            </w:r>
            <w:r>
              <w:rPr>
                <w:rFonts w:hint="eastAsia" w:ascii="Times New Roman" w:hAnsi="Times New Roman" w:eastAsia="宋体" w:cs="Times New Roman"/>
                <w:color w:val="0000FF"/>
                <w:sz w:val="24"/>
                <w:lang w:val="en-US" w:eastAsia="zh-CN"/>
              </w:rPr>
              <w:t>颗粒物无组织排放量约0.</w:t>
            </w:r>
            <w:r>
              <w:rPr>
                <w:rFonts w:hint="eastAsia" w:cs="Times New Roman"/>
                <w:color w:val="0000FF"/>
                <w:sz w:val="24"/>
                <w:lang w:val="en-US" w:eastAsia="zh-CN"/>
              </w:rPr>
              <w:t>25</w:t>
            </w:r>
            <w:r>
              <w:rPr>
                <w:rFonts w:hint="eastAsia" w:ascii="Times New Roman" w:hAnsi="Times New Roman" w:eastAsia="宋体" w:cs="Times New Roman"/>
                <w:color w:val="0000FF"/>
                <w:sz w:val="24"/>
                <w:lang w:val="en-US" w:eastAsia="zh-CN"/>
              </w:rPr>
              <w:t>t/a，排放速率为0.</w:t>
            </w:r>
            <w:r>
              <w:rPr>
                <w:rFonts w:hint="eastAsia" w:cs="Times New Roman"/>
                <w:color w:val="0000FF"/>
                <w:sz w:val="24"/>
                <w:lang w:val="en-US" w:eastAsia="zh-CN"/>
              </w:rPr>
              <w:t>1</w:t>
            </w:r>
            <w:r>
              <w:rPr>
                <w:rFonts w:hint="eastAsia" w:ascii="Times New Roman" w:hAnsi="Times New Roman" w:eastAsia="宋体" w:cs="Times New Roman"/>
                <w:color w:val="0000FF"/>
                <w:sz w:val="24"/>
                <w:lang w:val="en-US" w:eastAsia="zh-CN"/>
              </w:rPr>
              <w:t>0kg/h。</w:t>
            </w:r>
          </w:p>
          <w:p w14:paraId="673E9D2B">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③抛丸粉尘（G</w:t>
            </w:r>
            <w:r>
              <w:rPr>
                <w:rFonts w:hint="eastAsia" w:ascii="Times New Roman" w:hAnsi="Times New Roman" w:eastAsia="宋体" w:cs="Times New Roman"/>
                <w:color w:val="auto"/>
                <w:sz w:val="24"/>
                <w:vertAlign w:val="subscript"/>
                <w:lang w:val="en-US" w:eastAsia="zh-CN"/>
              </w:rPr>
              <w:t>4</w:t>
            </w:r>
            <w:r>
              <w:rPr>
                <w:rFonts w:hint="eastAsia" w:ascii="Times New Roman" w:hAnsi="Times New Roman" w:eastAsia="宋体" w:cs="Times New Roman"/>
                <w:color w:val="auto"/>
                <w:sz w:val="24"/>
                <w:lang w:val="en-US" w:eastAsia="zh-CN"/>
              </w:rPr>
              <w:t>）</w:t>
            </w:r>
          </w:p>
          <w:p w14:paraId="5044A694">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生产用钢材表面较为粗糙，在进行喷漆前需用抛丸机进行抛丸处理，通过钢丸与金属表面进行碰撞达到清除金属表面氧化物、污垢的目的。此过程产生的废气污染物为颗粒物，本项目抛丸机密闭作业，进出口设橡胶门帘，抛丸粉尘收集配套风机，</w:t>
            </w:r>
            <w:r>
              <w:rPr>
                <w:rFonts w:hint="eastAsia" w:ascii="Times New Roman" w:hAnsi="Times New Roman" w:eastAsia="宋体" w:cs="Times New Roman"/>
                <w:color w:val="0000FF"/>
                <w:sz w:val="24"/>
                <w:lang w:val="en-US" w:eastAsia="zh-CN"/>
              </w:rPr>
              <w:t>风量</w:t>
            </w:r>
            <w:r>
              <w:rPr>
                <w:rFonts w:hint="eastAsia" w:cs="Times New Roman"/>
                <w:color w:val="0000FF"/>
                <w:sz w:val="24"/>
                <w:lang w:val="en-US" w:eastAsia="zh-CN"/>
              </w:rPr>
              <w:t>2</w:t>
            </w:r>
            <w:r>
              <w:rPr>
                <w:rFonts w:hint="eastAsia" w:ascii="Times New Roman" w:hAnsi="Times New Roman" w:eastAsia="宋体" w:cs="Times New Roman"/>
                <w:color w:val="0000FF"/>
                <w:sz w:val="24"/>
                <w:lang w:val="en-US" w:eastAsia="zh-CN"/>
              </w:rPr>
              <w:t>0000m³/h，</w:t>
            </w:r>
            <w:r>
              <w:rPr>
                <w:rFonts w:hint="eastAsia" w:ascii="Times New Roman" w:hAnsi="Times New Roman" w:eastAsia="宋体" w:cs="Times New Roman"/>
                <w:color w:val="auto"/>
                <w:sz w:val="24"/>
                <w:lang w:val="en-US" w:eastAsia="zh-CN"/>
              </w:rPr>
              <w:t>年生产时间为2400h。由表4-2，抛丸工艺颗粒物产污系数为2.19kg/t-原料，根据建设单位提供资料，本项目</w:t>
            </w:r>
            <w:r>
              <w:rPr>
                <w:rFonts w:hint="eastAsia" w:ascii="Times New Roman" w:hAnsi="Times New Roman" w:eastAsia="宋体" w:cs="Times New Roman"/>
                <w:color w:val="0000FF"/>
                <w:sz w:val="24"/>
                <w:lang w:val="en-US" w:eastAsia="zh-CN"/>
              </w:rPr>
              <w:t>需进行抛丸的工件约</w:t>
            </w:r>
            <w:r>
              <w:rPr>
                <w:rFonts w:hint="eastAsia" w:cs="Times New Roman"/>
                <w:color w:val="0000FF"/>
                <w:sz w:val="24"/>
                <w:lang w:val="en-US" w:eastAsia="zh-CN"/>
              </w:rPr>
              <w:t>4</w:t>
            </w:r>
            <w:r>
              <w:rPr>
                <w:rFonts w:hint="eastAsia" w:ascii="Times New Roman" w:hAnsi="Times New Roman" w:eastAsia="宋体" w:cs="Times New Roman"/>
                <w:color w:val="0000FF"/>
                <w:sz w:val="24"/>
                <w:lang w:val="en-US" w:eastAsia="zh-CN"/>
              </w:rPr>
              <w:t>000t，则抛丸工序颗粒物产生量为</w:t>
            </w:r>
            <w:r>
              <w:rPr>
                <w:rFonts w:hint="eastAsia" w:cs="Times New Roman"/>
                <w:color w:val="0000FF"/>
                <w:sz w:val="24"/>
                <w:lang w:val="en-US" w:eastAsia="zh-CN"/>
              </w:rPr>
              <w:t>8.76</w:t>
            </w:r>
            <w:r>
              <w:rPr>
                <w:rFonts w:hint="eastAsia" w:ascii="Times New Roman" w:hAnsi="Times New Roman" w:eastAsia="宋体" w:cs="Times New Roman"/>
                <w:color w:val="0000FF"/>
                <w:sz w:val="24"/>
                <w:lang w:val="en-US" w:eastAsia="zh-CN"/>
              </w:rPr>
              <w:t>t/a。</w:t>
            </w:r>
          </w:p>
          <w:p w14:paraId="6152E14B">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0000FF"/>
                <w:spacing w:val="-6"/>
                <w:sz w:val="24"/>
                <w:lang w:val="en-US" w:eastAsia="zh-CN"/>
              </w:rPr>
            </w:pPr>
            <w:r>
              <w:rPr>
                <w:rFonts w:hint="eastAsia" w:ascii="Times New Roman" w:hAnsi="Times New Roman" w:eastAsia="宋体" w:cs="Times New Roman"/>
                <w:color w:val="auto"/>
                <w:sz w:val="24"/>
                <w:lang w:val="en-US" w:eastAsia="zh-CN"/>
              </w:rPr>
              <w:t>本项目抛丸粉尘密闭负压收集，收集效率为99%，则抛丸工序</w:t>
            </w:r>
            <w:r>
              <w:rPr>
                <w:rFonts w:hint="eastAsia" w:ascii="Times New Roman" w:hAnsi="Times New Roman" w:eastAsia="宋体" w:cs="Times New Roman"/>
                <w:color w:val="0000FF"/>
                <w:sz w:val="24"/>
                <w:lang w:val="en-US" w:eastAsia="zh-CN"/>
              </w:rPr>
              <w:t>颗粒物有组织产生量约</w:t>
            </w:r>
            <w:r>
              <w:rPr>
                <w:rFonts w:hint="eastAsia" w:cs="Times New Roman"/>
                <w:color w:val="0000FF"/>
                <w:sz w:val="24"/>
                <w:lang w:val="en-US" w:eastAsia="zh-CN"/>
              </w:rPr>
              <w:t>8.67</w:t>
            </w:r>
            <w:r>
              <w:rPr>
                <w:rFonts w:hint="eastAsia" w:ascii="Times New Roman" w:hAnsi="Times New Roman" w:eastAsia="宋体" w:cs="Times New Roman"/>
                <w:color w:val="0000FF"/>
                <w:sz w:val="24"/>
                <w:lang w:val="en-US" w:eastAsia="zh-CN"/>
              </w:rPr>
              <w:t>t/a，</w:t>
            </w:r>
            <w:r>
              <w:rPr>
                <w:rFonts w:hint="eastAsia" w:ascii="Times New Roman" w:hAnsi="Times New Roman" w:eastAsia="宋体" w:cs="Times New Roman"/>
                <w:color w:val="auto"/>
                <w:sz w:val="24"/>
                <w:lang w:val="en-US" w:eastAsia="zh-CN"/>
              </w:rPr>
              <w:t>经配套</w:t>
            </w:r>
            <w:r>
              <w:rPr>
                <w:rFonts w:hint="eastAsia" w:ascii="Times New Roman" w:hAnsi="Times New Roman" w:eastAsia="宋体" w:cs="Times New Roman"/>
                <w:color w:val="0000FF"/>
                <w:sz w:val="24"/>
                <w:lang w:val="en-US" w:eastAsia="zh-CN"/>
              </w:rPr>
              <w:t>气箱式脉冲袋式除尘器</w:t>
            </w:r>
            <w:r>
              <w:rPr>
                <w:rFonts w:hint="eastAsia" w:ascii="Times New Roman" w:hAnsi="Times New Roman" w:eastAsia="宋体" w:cs="Times New Roman"/>
                <w:color w:val="auto"/>
                <w:sz w:val="24"/>
                <w:lang w:val="en-US" w:eastAsia="zh-CN"/>
              </w:rPr>
              <w:t>处理后通过15m排气筒（DA002）排放。由表4-2，袋式除尘器除尘效率为95%，</w:t>
            </w:r>
            <w:r>
              <w:rPr>
                <w:rFonts w:hint="eastAsia" w:cs="Times New Roman"/>
                <w:color w:val="0000FF"/>
                <w:kern w:val="2"/>
                <w:sz w:val="24"/>
                <w:szCs w:val="24"/>
                <w:highlight w:val="none"/>
                <w:lang w:val="en-US" w:eastAsia="zh-CN" w:bidi="ar-SA"/>
              </w:rPr>
              <w:t>按照《环境保护产品技术要求脉冲喷吹类袋式除尘器》（HJ/T 328-2006）表1脉冲喷吹类袋式除尘器的主要技术性能指标，除尘效率＞99.5%</w:t>
            </w:r>
            <w:r>
              <w:rPr>
                <w:rFonts w:hint="eastAsia" w:cs="Times New Roman"/>
                <w:color w:val="0000FF"/>
                <w:spacing w:val="-6"/>
                <w:kern w:val="2"/>
                <w:sz w:val="24"/>
                <w:szCs w:val="24"/>
                <w:highlight w:val="none"/>
                <w:lang w:val="en-US" w:eastAsia="zh-CN" w:bidi="ar-SA"/>
              </w:rPr>
              <w:t>，本项目采用</w:t>
            </w:r>
            <w:r>
              <w:rPr>
                <w:rFonts w:hint="eastAsia" w:ascii="Times New Roman" w:hAnsi="Times New Roman" w:eastAsia="宋体" w:cs="Times New Roman"/>
                <w:color w:val="0000FF"/>
                <w:spacing w:val="-6"/>
                <w:sz w:val="24"/>
                <w:lang w:val="en-US" w:eastAsia="zh-CN"/>
              </w:rPr>
              <w:t>气箱式脉冲袋式除尘器</w:t>
            </w:r>
            <w:r>
              <w:rPr>
                <w:rFonts w:hint="eastAsia" w:cs="Times New Roman"/>
                <w:color w:val="0000FF"/>
                <w:spacing w:val="-6"/>
                <w:sz w:val="24"/>
                <w:lang w:val="en-US" w:eastAsia="zh-CN"/>
              </w:rPr>
              <w:t>，除尘效率取99%，</w:t>
            </w:r>
            <w:r>
              <w:rPr>
                <w:rFonts w:hint="eastAsia" w:ascii="Times New Roman" w:hAnsi="Times New Roman" w:eastAsia="宋体" w:cs="Times New Roman"/>
                <w:color w:val="auto"/>
                <w:spacing w:val="-6"/>
                <w:sz w:val="24"/>
                <w:lang w:val="en-US" w:eastAsia="zh-CN"/>
              </w:rPr>
              <w:t>经计算，抛丸工序</w:t>
            </w:r>
            <w:r>
              <w:rPr>
                <w:rFonts w:hint="eastAsia" w:ascii="Times New Roman" w:hAnsi="Times New Roman" w:eastAsia="宋体" w:cs="Times New Roman"/>
                <w:color w:val="0000FF"/>
                <w:spacing w:val="-6"/>
                <w:sz w:val="24"/>
                <w:lang w:val="en-US" w:eastAsia="zh-CN"/>
              </w:rPr>
              <w:t>颗粒物有组织排放量约</w:t>
            </w:r>
            <w:r>
              <w:rPr>
                <w:rFonts w:hint="eastAsia" w:cs="Times New Roman"/>
                <w:color w:val="0000FF"/>
                <w:spacing w:val="-6"/>
                <w:sz w:val="24"/>
                <w:lang w:val="en-US" w:eastAsia="zh-CN"/>
              </w:rPr>
              <w:t>0.09</w:t>
            </w:r>
            <w:r>
              <w:rPr>
                <w:rFonts w:hint="eastAsia" w:ascii="Times New Roman" w:hAnsi="Times New Roman" w:eastAsia="宋体" w:cs="Times New Roman"/>
                <w:color w:val="0000FF"/>
                <w:spacing w:val="-6"/>
                <w:sz w:val="24"/>
                <w:lang w:val="en-US" w:eastAsia="zh-CN"/>
              </w:rPr>
              <w:t>t/a，</w:t>
            </w:r>
          </w:p>
          <w:p w14:paraId="647E3448">
            <w:pPr>
              <w:keepNext w:val="0"/>
              <w:keepLines w:val="0"/>
              <w:pageBreakBefore w:val="0"/>
              <w:widowControl w:val="0"/>
              <w:kinsoku/>
              <w:wordWrap/>
              <w:overflowPunct/>
              <w:topLinePunct w:val="0"/>
              <w:autoSpaceDE/>
              <w:autoSpaceDN/>
              <w:bidi w:val="0"/>
              <w:adjustRightInd/>
              <w:snapToGrid/>
              <w:spacing w:before="95" w:beforeLines="30" w:line="348" w:lineRule="auto"/>
              <w:textAlignment w:val="auto"/>
              <w:rPr>
                <w:rFonts w:hint="eastAsia" w:ascii="Times New Roman" w:hAnsi="Times New Roman" w:eastAsia="宋体" w:cs="Times New Roman"/>
                <w:color w:val="0000FF"/>
                <w:sz w:val="24"/>
                <w:lang w:val="en-US" w:eastAsia="zh-CN"/>
              </w:rPr>
            </w:pPr>
            <w:r>
              <w:rPr>
                <w:rFonts w:hint="eastAsia" w:ascii="Times New Roman" w:hAnsi="Times New Roman" w:eastAsia="宋体" w:cs="Times New Roman"/>
                <w:color w:val="auto"/>
                <w:sz w:val="24"/>
                <w:lang w:val="en-US" w:eastAsia="zh-CN"/>
              </w:rPr>
              <w:t>未被收集的颗粒物以无组织形式排放，抛丸工序</w:t>
            </w:r>
            <w:r>
              <w:rPr>
                <w:rFonts w:hint="eastAsia" w:ascii="Times New Roman" w:hAnsi="Times New Roman" w:eastAsia="宋体" w:cs="Times New Roman"/>
                <w:color w:val="0000FF"/>
                <w:sz w:val="24"/>
                <w:lang w:val="en-US" w:eastAsia="zh-CN"/>
              </w:rPr>
              <w:t>颗粒物无组织排放量约0.</w:t>
            </w:r>
            <w:r>
              <w:rPr>
                <w:rFonts w:hint="eastAsia" w:cs="Times New Roman"/>
                <w:color w:val="0000FF"/>
                <w:sz w:val="24"/>
                <w:lang w:val="en-US" w:eastAsia="zh-CN"/>
              </w:rPr>
              <w:t>09</w:t>
            </w:r>
            <w:r>
              <w:rPr>
                <w:rFonts w:hint="eastAsia" w:ascii="Times New Roman" w:hAnsi="Times New Roman" w:eastAsia="宋体" w:cs="Times New Roman"/>
                <w:color w:val="0000FF"/>
                <w:sz w:val="24"/>
                <w:lang w:val="en-US" w:eastAsia="zh-CN"/>
              </w:rPr>
              <w:t>t/a，排放速率为0.</w:t>
            </w:r>
            <w:r>
              <w:rPr>
                <w:rFonts w:hint="eastAsia" w:cs="Times New Roman"/>
                <w:color w:val="0000FF"/>
                <w:sz w:val="24"/>
                <w:lang w:val="en-US" w:eastAsia="zh-CN"/>
              </w:rPr>
              <w:t>04</w:t>
            </w:r>
            <w:r>
              <w:rPr>
                <w:rFonts w:hint="eastAsia" w:ascii="Times New Roman" w:hAnsi="Times New Roman" w:eastAsia="宋体" w:cs="Times New Roman"/>
                <w:color w:val="0000FF"/>
                <w:sz w:val="24"/>
                <w:lang w:val="en-US" w:eastAsia="zh-CN"/>
              </w:rPr>
              <w:t>kg/h。</w:t>
            </w:r>
          </w:p>
          <w:p w14:paraId="1F38214B">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fldChar w:fldCharType="begin"/>
            </w:r>
            <w:r>
              <w:rPr>
                <w:rFonts w:hint="eastAsia" w:ascii="Times New Roman" w:hAnsi="Times New Roman" w:eastAsia="宋体" w:cs="Times New Roman"/>
                <w:color w:val="auto"/>
                <w:sz w:val="24"/>
                <w:lang w:val="en-US" w:eastAsia="zh-CN"/>
              </w:rPr>
              <w:instrText xml:space="preserve"> = 4 \* GB3 \* MERGEFORMAT </w:instrText>
            </w:r>
            <w:r>
              <w:rPr>
                <w:rFonts w:hint="eastAsia" w:ascii="Times New Roman" w:hAnsi="Times New Roman" w:eastAsia="宋体" w:cs="Times New Roman"/>
                <w:color w:val="auto"/>
                <w:sz w:val="24"/>
                <w:lang w:val="en-US" w:eastAsia="zh-CN"/>
              </w:rPr>
              <w:fldChar w:fldCharType="separate"/>
            </w:r>
            <w:r>
              <w:rPr>
                <w:rFonts w:hint="eastAsia" w:ascii="Times New Roman" w:hAnsi="Times New Roman" w:eastAsia="宋体" w:cs="Times New Roman"/>
                <w:color w:val="auto"/>
                <w:sz w:val="24"/>
                <w:lang w:val="en-US" w:eastAsia="zh-CN"/>
              </w:rPr>
              <w:t>④</w:t>
            </w:r>
            <w:r>
              <w:rPr>
                <w:rFonts w:hint="eastAsia" w:ascii="Times New Roman" w:hAnsi="Times New Roman" w:eastAsia="宋体" w:cs="Times New Roman"/>
                <w:color w:val="auto"/>
                <w:sz w:val="24"/>
                <w:lang w:val="en-US" w:eastAsia="zh-CN"/>
              </w:rPr>
              <w:fldChar w:fldCharType="end"/>
            </w:r>
            <w:r>
              <w:rPr>
                <w:rFonts w:hint="eastAsia" w:ascii="Times New Roman" w:hAnsi="Times New Roman" w:eastAsia="宋体" w:cs="Times New Roman"/>
                <w:color w:val="auto"/>
                <w:sz w:val="24"/>
                <w:lang w:val="en-US" w:eastAsia="zh-CN"/>
              </w:rPr>
              <w:t>涂装废气（G</w:t>
            </w:r>
            <w:r>
              <w:rPr>
                <w:rFonts w:hint="eastAsia" w:ascii="Times New Roman" w:hAnsi="Times New Roman" w:eastAsia="宋体" w:cs="Times New Roman"/>
                <w:color w:val="auto"/>
                <w:sz w:val="24"/>
                <w:vertAlign w:val="subscript"/>
                <w:lang w:val="en-US" w:eastAsia="zh-CN"/>
              </w:rPr>
              <w:t>5</w:t>
            </w:r>
            <w:r>
              <w:rPr>
                <w:rFonts w:hint="eastAsia" w:ascii="Times New Roman" w:hAnsi="Times New Roman" w:eastAsia="宋体" w:cs="Times New Roman"/>
                <w:color w:val="auto"/>
                <w:sz w:val="24"/>
                <w:lang w:val="en-US" w:eastAsia="zh-CN"/>
              </w:rPr>
              <w:t>）（含调漆、喷漆、晾干）</w:t>
            </w:r>
          </w:p>
          <w:p w14:paraId="6F977C89">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本项目涂装工序包括调漆、喷漆、晾干，均在密闭喷漆房内进行，喷漆房工作时保持负压状态，确保室内调漆、喷漆、晾干废气不外逸。</w:t>
            </w:r>
          </w:p>
          <w:p w14:paraId="13A3365D">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项目喷漆时会产生漆雾（颗粒物）、非甲烷总烃、甲苯、二甲苯等废气，晾干时会产生甲苯、二甲苯、非甲烷总烃等有机废气。工件喷涂完成后在喷漆房内晾干</w:t>
            </w:r>
            <w:r>
              <w:rPr>
                <w:rFonts w:hint="eastAsia" w:ascii="Times New Roman" w:hAnsi="Times New Roman" w:eastAsia="宋体" w:cs="Times New Roman"/>
                <w:color w:val="auto"/>
                <w:spacing w:val="-6"/>
                <w:sz w:val="24"/>
                <w:lang w:val="en-US" w:eastAsia="zh-CN"/>
              </w:rPr>
              <w:t>（夏季气温高时采取自然晾干，</w:t>
            </w:r>
            <w:r>
              <w:rPr>
                <w:rFonts w:hint="eastAsia" w:ascii="Times New Roman" w:hAnsi="Times New Roman" w:eastAsia="宋体" w:cs="Times New Roman"/>
                <w:color w:val="0000FF"/>
                <w:spacing w:val="-6"/>
                <w:sz w:val="24"/>
                <w:lang w:val="en-US" w:eastAsia="zh-CN"/>
              </w:rPr>
              <w:t>冬季气温低时采用空气源热泵系统集中供热提升室内温度晾干</w:t>
            </w:r>
            <w:r>
              <w:rPr>
                <w:rFonts w:hint="eastAsia" w:ascii="Times New Roman" w:hAnsi="Times New Roman" w:eastAsia="宋体" w:cs="Times New Roman"/>
                <w:color w:val="auto"/>
                <w:spacing w:val="-6"/>
                <w:sz w:val="24"/>
                <w:lang w:val="en-US" w:eastAsia="zh-CN"/>
              </w:rPr>
              <w:t>），晾干时间根据漆品、</w:t>
            </w:r>
            <w:r>
              <w:rPr>
                <w:rFonts w:hint="eastAsia" w:ascii="Times New Roman" w:hAnsi="Times New Roman" w:eastAsia="宋体" w:cs="Times New Roman"/>
                <w:color w:val="auto"/>
                <w:sz w:val="24"/>
                <w:lang w:val="en-US" w:eastAsia="zh-CN"/>
              </w:rPr>
              <w:t>喷涂厚度在0.5～3h不等。</w:t>
            </w:r>
          </w:p>
          <w:p w14:paraId="6442A9FD">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A.漆雾（颗粒物）</w:t>
            </w:r>
          </w:p>
          <w:p w14:paraId="1B50CE28">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钢构件喷漆时，</w:t>
            </w:r>
            <w:r>
              <w:rPr>
                <w:rFonts w:hint="eastAsia" w:cs="Times New Roman"/>
                <w:color w:val="auto"/>
                <w:sz w:val="24"/>
                <w:lang w:val="en-US" w:eastAsia="zh-CN"/>
              </w:rPr>
              <w:t>涂料</w:t>
            </w:r>
            <w:r>
              <w:rPr>
                <w:rFonts w:hint="eastAsia" w:ascii="Times New Roman" w:hAnsi="Times New Roman" w:eastAsia="宋体" w:cs="Times New Roman"/>
                <w:color w:val="auto"/>
                <w:sz w:val="24"/>
                <w:lang w:val="en-US" w:eastAsia="zh-CN"/>
              </w:rPr>
              <w:t>在压缩空气的作用下分散成雾状颗粒，产生漆雾。</w:t>
            </w:r>
            <w:r>
              <w:rPr>
                <w:rFonts w:hint="eastAsia" w:cs="Times New Roman"/>
                <w:color w:val="auto"/>
                <w:sz w:val="24"/>
                <w:lang w:val="en-US" w:eastAsia="zh-CN"/>
              </w:rPr>
              <w:t>涂料</w:t>
            </w:r>
            <w:r>
              <w:rPr>
                <w:rFonts w:hint="eastAsia" w:ascii="Times New Roman" w:hAnsi="Times New Roman" w:eastAsia="宋体" w:cs="Times New Roman"/>
                <w:color w:val="auto"/>
                <w:sz w:val="24"/>
                <w:lang w:val="en-US" w:eastAsia="zh-CN"/>
              </w:rPr>
              <w:t>在喷涂机喷嘴高压作用下雾化成微粒，但喷涂时</w:t>
            </w:r>
            <w:r>
              <w:rPr>
                <w:rFonts w:hint="eastAsia" w:cs="Times New Roman"/>
                <w:color w:val="auto"/>
                <w:sz w:val="24"/>
                <w:lang w:val="en-US" w:eastAsia="zh-CN"/>
              </w:rPr>
              <w:t>涂料</w:t>
            </w:r>
            <w:r>
              <w:rPr>
                <w:rFonts w:hint="eastAsia" w:ascii="Times New Roman" w:hAnsi="Times New Roman" w:eastAsia="宋体" w:cs="Times New Roman"/>
                <w:color w:val="auto"/>
                <w:sz w:val="24"/>
                <w:lang w:val="en-US" w:eastAsia="zh-CN"/>
              </w:rPr>
              <w:t>不能全部到达钢构件表面，未附着于钢构件表面的</w:t>
            </w:r>
            <w:r>
              <w:rPr>
                <w:rFonts w:hint="eastAsia" w:cs="Times New Roman"/>
                <w:color w:val="auto"/>
                <w:sz w:val="24"/>
                <w:lang w:val="en-US" w:eastAsia="zh-CN"/>
              </w:rPr>
              <w:t>涂料</w:t>
            </w:r>
            <w:r>
              <w:rPr>
                <w:rFonts w:hint="eastAsia" w:ascii="Times New Roman" w:hAnsi="Times New Roman" w:eastAsia="宋体" w:cs="Times New Roman"/>
                <w:color w:val="auto"/>
                <w:sz w:val="24"/>
                <w:lang w:val="en-US" w:eastAsia="zh-CN"/>
              </w:rPr>
              <w:t>形成漆雾。漆雾主要是</w:t>
            </w:r>
            <w:r>
              <w:rPr>
                <w:rFonts w:hint="eastAsia" w:cs="Times New Roman"/>
                <w:color w:val="auto"/>
                <w:sz w:val="24"/>
                <w:lang w:val="en-US" w:eastAsia="zh-CN"/>
              </w:rPr>
              <w:t>涂料</w:t>
            </w:r>
            <w:r>
              <w:rPr>
                <w:rFonts w:hint="eastAsia" w:ascii="Times New Roman" w:hAnsi="Times New Roman" w:eastAsia="宋体" w:cs="Times New Roman"/>
                <w:color w:val="auto"/>
                <w:sz w:val="24"/>
                <w:lang w:val="en-US" w:eastAsia="zh-CN"/>
              </w:rPr>
              <w:t>中固体分挥发所致。根据《涂装工艺与设备》（化学工业出版社）中内容，喷涂距离在15cm</w:t>
            </w:r>
            <w:r>
              <w:rPr>
                <w:rFonts w:hint="eastAsia" w:ascii="宋体" w:hAnsi="宋体" w:eastAsia="宋体" w:cs="宋体"/>
                <w:color w:val="auto"/>
                <w:sz w:val="24"/>
                <w:lang w:val="en-US" w:eastAsia="zh-CN"/>
              </w:rPr>
              <w:t>～</w:t>
            </w:r>
            <w:r>
              <w:rPr>
                <w:rFonts w:hint="eastAsia" w:ascii="Times New Roman" w:hAnsi="Times New Roman" w:eastAsia="宋体" w:cs="Times New Roman"/>
                <w:color w:val="auto"/>
                <w:sz w:val="24"/>
                <w:lang w:val="en-US" w:eastAsia="zh-CN"/>
              </w:rPr>
              <w:t>20cm之间时，涂着效率约65%</w:t>
            </w:r>
            <w:r>
              <w:rPr>
                <w:rFonts w:hint="eastAsia" w:ascii="宋体" w:hAnsi="宋体" w:eastAsia="宋体" w:cs="宋体"/>
                <w:color w:val="auto"/>
                <w:sz w:val="24"/>
                <w:lang w:val="en-US" w:eastAsia="zh-CN"/>
              </w:rPr>
              <w:t>～</w:t>
            </w:r>
            <w:r>
              <w:rPr>
                <w:rFonts w:hint="eastAsia" w:ascii="Times New Roman" w:hAnsi="Times New Roman" w:eastAsia="宋体" w:cs="Times New Roman"/>
                <w:color w:val="auto"/>
                <w:sz w:val="24"/>
                <w:lang w:val="en-US" w:eastAsia="zh-CN"/>
              </w:rPr>
              <w:t>75%，本次评价取70%，即项目上漆率按照70%计算，其余30%形成漆雾，在喷漆房挥发、扩散。</w:t>
            </w:r>
          </w:p>
          <w:p w14:paraId="3F1B9481">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w:t>
            </w:r>
            <w:r>
              <w:rPr>
                <w:rFonts w:hint="eastAsia" w:cs="Times New Roman"/>
                <w:color w:val="auto"/>
                <w:sz w:val="24"/>
                <w:lang w:val="en-US" w:eastAsia="zh-CN"/>
              </w:rPr>
              <w:t>涂料</w:t>
            </w:r>
            <w:r>
              <w:rPr>
                <w:rFonts w:hint="eastAsia" w:ascii="Times New Roman" w:hAnsi="Times New Roman" w:eastAsia="宋体" w:cs="Times New Roman"/>
                <w:color w:val="auto"/>
                <w:sz w:val="24"/>
                <w:lang w:val="en-US" w:eastAsia="zh-CN"/>
              </w:rPr>
              <w:t>用量及参数见表4-3。</w:t>
            </w:r>
          </w:p>
          <w:p w14:paraId="3F7A1B00">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表</w:t>
            </w:r>
            <w:r>
              <w:rPr>
                <w:rFonts w:hint="eastAsia" w:ascii="Times New Roman" w:hAnsi="Times New Roman" w:eastAsia="宋体" w:cs="Times New Roman"/>
                <w:b/>
                <w:bCs/>
                <w:color w:val="auto"/>
                <w:lang w:val="en-US" w:eastAsia="zh-CN"/>
              </w:rPr>
              <w:t>4-3</w:t>
            </w:r>
            <w:r>
              <w:rPr>
                <w:rFonts w:hint="default" w:ascii="Times New Roman" w:hAnsi="Times New Roman" w:eastAsia="宋体" w:cs="Times New Roman"/>
                <w:b/>
                <w:bCs/>
                <w:color w:val="auto"/>
                <w:lang w:val="en-US" w:eastAsia="zh-CN"/>
              </w:rPr>
              <w:t xml:space="preserve"> </w:t>
            </w:r>
            <w:r>
              <w:rPr>
                <w:rFonts w:hint="eastAsia" w:cs="Times New Roman"/>
                <w:b/>
                <w:bCs/>
                <w:color w:val="auto"/>
                <w:lang w:val="en-US" w:eastAsia="zh-CN"/>
              </w:rPr>
              <w:t>涂料</w:t>
            </w:r>
            <w:r>
              <w:rPr>
                <w:rFonts w:hint="eastAsia" w:ascii="Times New Roman" w:hAnsi="Times New Roman" w:eastAsia="宋体" w:cs="Times New Roman"/>
                <w:b/>
                <w:bCs/>
                <w:color w:val="auto"/>
                <w:lang w:val="en-US" w:eastAsia="zh-CN"/>
              </w:rPr>
              <w:t>用量及参数一览表</w:t>
            </w:r>
          </w:p>
          <w:tbl>
            <w:tblPr>
              <w:tblStyle w:val="26"/>
              <w:tblW w:w="8169"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305"/>
              <w:gridCol w:w="1292"/>
              <w:gridCol w:w="1486"/>
              <w:gridCol w:w="1875"/>
              <w:gridCol w:w="1236"/>
            </w:tblGrid>
            <w:tr w14:paraId="2A6946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395" w:type="pct"/>
                  <w:gridSpan w:val="2"/>
                  <w:tcBorders>
                    <w:bottom w:val="single" w:color="auto" w:sz="12" w:space="0"/>
                  </w:tcBorders>
                  <w:noWrap w:val="0"/>
                  <w:vAlign w:val="center"/>
                </w:tcPr>
                <w:p w14:paraId="5BF0F456">
                  <w:pPr>
                    <w:adjustRightInd w:val="0"/>
                    <w:snapToGrid w:val="0"/>
                    <w:jc w:val="center"/>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喷涂类型</w:t>
                  </w:r>
                </w:p>
              </w:tc>
              <w:tc>
                <w:tcPr>
                  <w:tcW w:w="790" w:type="pct"/>
                  <w:tcBorders>
                    <w:bottom w:val="single" w:color="auto" w:sz="12" w:space="0"/>
                  </w:tcBorders>
                  <w:noWrap w:val="0"/>
                  <w:vAlign w:val="center"/>
                </w:tcPr>
                <w:p w14:paraId="3B055440">
                  <w:pPr>
                    <w:adjustRightInd w:val="0"/>
                    <w:snapToGrid w:val="0"/>
                    <w:jc w:val="center"/>
                    <w:rPr>
                      <w:rFonts w:hint="default" w:ascii="Times New Roman" w:hAnsi="Times New Roman" w:eastAsia="宋体" w:cs="Times New Roman"/>
                      <w:b/>
                      <w:bCs/>
                      <w:color w:val="auto"/>
                      <w:lang w:val="en-US" w:eastAsia="zh-CN"/>
                    </w:rPr>
                  </w:pPr>
                  <w:r>
                    <w:rPr>
                      <w:rFonts w:hint="eastAsia" w:cs="Times New Roman"/>
                      <w:b/>
                      <w:bCs/>
                      <w:color w:val="auto"/>
                      <w:lang w:val="en-US" w:eastAsia="zh-CN"/>
                    </w:rPr>
                    <w:t>涂料</w:t>
                  </w:r>
                  <w:r>
                    <w:rPr>
                      <w:rFonts w:hint="default" w:ascii="Times New Roman" w:hAnsi="Times New Roman" w:eastAsia="宋体" w:cs="Times New Roman"/>
                      <w:b/>
                      <w:bCs/>
                      <w:color w:val="auto"/>
                      <w:lang w:val="en-US" w:eastAsia="zh-CN"/>
                    </w:rPr>
                    <w:t>用量（t/a）</w:t>
                  </w:r>
                </w:p>
              </w:tc>
              <w:tc>
                <w:tcPr>
                  <w:tcW w:w="909" w:type="pct"/>
                  <w:tcBorders>
                    <w:bottom w:val="single" w:color="auto" w:sz="12" w:space="0"/>
                  </w:tcBorders>
                  <w:noWrap w:val="0"/>
                  <w:vAlign w:val="center"/>
                </w:tcPr>
                <w:p w14:paraId="78A1FDAB">
                  <w:pPr>
                    <w:adjustRightInd w:val="0"/>
                    <w:snapToGrid w:val="0"/>
                    <w:jc w:val="center"/>
                    <w:rPr>
                      <w:rFonts w:hint="default" w:ascii="Times New Roman" w:hAnsi="Times New Roman" w:eastAsia="宋体" w:cs="Times New Roman"/>
                      <w:b/>
                      <w:bCs/>
                      <w:color w:val="auto"/>
                      <w:lang w:val="en-US" w:eastAsia="zh-CN"/>
                    </w:rPr>
                  </w:pPr>
                  <w:r>
                    <w:rPr>
                      <w:rFonts w:hint="eastAsia" w:cs="Times New Roman"/>
                      <w:b/>
                      <w:bCs/>
                      <w:color w:val="auto"/>
                      <w:lang w:val="en-US" w:eastAsia="zh-CN"/>
                    </w:rPr>
                    <w:t>涂料</w:t>
                  </w:r>
                  <w:r>
                    <w:rPr>
                      <w:rFonts w:hint="default" w:ascii="Times New Roman" w:hAnsi="Times New Roman" w:eastAsia="宋体" w:cs="Times New Roman"/>
                      <w:b/>
                      <w:bCs/>
                      <w:color w:val="auto"/>
                      <w:lang w:val="en-US" w:eastAsia="zh-CN"/>
                    </w:rPr>
                    <w:t>密度ρ（g/c</w:t>
                  </w:r>
                  <w:r>
                    <w:rPr>
                      <w:rFonts w:hint="eastAsia" w:ascii="Times New Roman" w:hAnsi="Times New Roman" w:eastAsia="宋体" w:cs="Times New Roman"/>
                      <w:b/>
                      <w:bCs/>
                      <w:color w:val="auto"/>
                      <w:lang w:val="en-US" w:eastAsia="zh-CN"/>
                    </w:rPr>
                    <w:t>m³</w:t>
                  </w:r>
                  <w:r>
                    <w:rPr>
                      <w:rFonts w:hint="default" w:ascii="Times New Roman" w:hAnsi="Times New Roman" w:eastAsia="宋体" w:cs="Times New Roman"/>
                      <w:b/>
                      <w:bCs/>
                      <w:color w:val="auto"/>
                      <w:lang w:val="en-US" w:eastAsia="zh-CN"/>
                    </w:rPr>
                    <w:t>）</w:t>
                  </w:r>
                </w:p>
              </w:tc>
              <w:tc>
                <w:tcPr>
                  <w:tcW w:w="1147" w:type="pct"/>
                  <w:tcBorders>
                    <w:bottom w:val="single" w:color="auto" w:sz="12" w:space="0"/>
                  </w:tcBorders>
                  <w:noWrap w:val="0"/>
                  <w:vAlign w:val="center"/>
                </w:tcPr>
                <w:p w14:paraId="0805DFB2">
                  <w:pPr>
                    <w:adjustRightInd w:val="0"/>
                    <w:snapToGrid w:val="0"/>
                    <w:jc w:val="center"/>
                    <w:rPr>
                      <w:rFonts w:hint="default" w:ascii="Times New Roman" w:hAnsi="Times New Roman" w:eastAsia="宋体" w:cs="Times New Roman"/>
                      <w:b/>
                      <w:bCs/>
                      <w:color w:val="auto"/>
                      <w:lang w:val="en-US" w:eastAsia="zh-CN"/>
                    </w:rPr>
                  </w:pPr>
                  <w:r>
                    <w:rPr>
                      <w:rFonts w:hint="eastAsia" w:cs="Times New Roman"/>
                      <w:b/>
                      <w:bCs/>
                      <w:color w:val="auto"/>
                      <w:lang w:val="en-US" w:eastAsia="zh-CN"/>
                    </w:rPr>
                    <w:t>涂料</w:t>
                  </w:r>
                  <w:r>
                    <w:rPr>
                      <w:rFonts w:hint="default" w:ascii="Times New Roman" w:hAnsi="Times New Roman" w:eastAsia="宋体" w:cs="Times New Roman"/>
                      <w:b/>
                      <w:bCs/>
                      <w:color w:val="auto"/>
                      <w:lang w:val="en-US" w:eastAsia="zh-CN"/>
                    </w:rPr>
                    <w:t>中的体积固体份N</w:t>
                  </w:r>
                  <w:r>
                    <w:rPr>
                      <w:rFonts w:hint="default" w:ascii="Times New Roman" w:hAnsi="Times New Roman" w:eastAsia="宋体" w:cs="Times New Roman"/>
                      <w:b/>
                      <w:bCs/>
                      <w:color w:val="auto"/>
                      <w:vertAlign w:val="subscript"/>
                      <w:lang w:val="en-US" w:eastAsia="zh-CN"/>
                    </w:rPr>
                    <w:t>V</w:t>
                  </w:r>
                  <w:r>
                    <w:rPr>
                      <w:rFonts w:hint="default" w:ascii="Times New Roman" w:hAnsi="Times New Roman" w:eastAsia="宋体" w:cs="Times New Roman"/>
                      <w:b/>
                      <w:bCs/>
                      <w:color w:val="auto"/>
                      <w:lang w:val="en-US" w:eastAsia="zh-CN"/>
                    </w:rPr>
                    <w:t>（%）</w:t>
                  </w:r>
                </w:p>
              </w:tc>
              <w:tc>
                <w:tcPr>
                  <w:tcW w:w="756" w:type="pct"/>
                  <w:tcBorders>
                    <w:bottom w:val="single" w:color="auto" w:sz="12" w:space="0"/>
                  </w:tcBorders>
                  <w:noWrap w:val="0"/>
                  <w:vAlign w:val="center"/>
                </w:tcPr>
                <w:p w14:paraId="1066C1FB">
                  <w:pPr>
                    <w:adjustRightInd w:val="0"/>
                    <w:snapToGrid w:val="0"/>
                    <w:jc w:val="center"/>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上漆率ε（%）</w:t>
                  </w:r>
                </w:p>
              </w:tc>
            </w:tr>
            <w:tr w14:paraId="53C3E3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596" w:type="pct"/>
                  <w:vMerge w:val="restart"/>
                  <w:tcBorders>
                    <w:top w:val="single" w:color="auto" w:sz="12" w:space="0"/>
                  </w:tcBorders>
                  <w:noWrap w:val="0"/>
                  <w:vAlign w:val="center"/>
                </w:tcPr>
                <w:p w14:paraId="6C093633">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油性漆</w:t>
                  </w:r>
                </w:p>
              </w:tc>
              <w:tc>
                <w:tcPr>
                  <w:tcW w:w="798" w:type="pct"/>
                  <w:tcBorders>
                    <w:top w:val="single" w:color="auto" w:sz="12" w:space="0"/>
                    <w:bottom w:val="single" w:color="auto" w:sz="4" w:space="0"/>
                  </w:tcBorders>
                  <w:noWrap w:val="0"/>
                  <w:vAlign w:val="center"/>
                </w:tcPr>
                <w:p w14:paraId="06216415">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底漆</w:t>
                  </w:r>
                </w:p>
              </w:tc>
              <w:tc>
                <w:tcPr>
                  <w:tcW w:w="790" w:type="pct"/>
                  <w:tcBorders>
                    <w:top w:val="single" w:color="auto" w:sz="12" w:space="0"/>
                    <w:bottom w:val="single" w:color="auto" w:sz="4" w:space="0"/>
                  </w:tcBorders>
                  <w:noWrap w:val="0"/>
                  <w:vAlign w:val="center"/>
                </w:tcPr>
                <w:p w14:paraId="53F7DB93">
                  <w:pPr>
                    <w:adjustRightInd w:val="0"/>
                    <w:snapToGrid w:val="0"/>
                    <w:jc w:val="center"/>
                    <w:rPr>
                      <w:rFonts w:hint="default"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3.97</w:t>
                  </w:r>
                </w:p>
              </w:tc>
              <w:tc>
                <w:tcPr>
                  <w:tcW w:w="909" w:type="pct"/>
                  <w:tcBorders>
                    <w:top w:val="single" w:color="auto" w:sz="12" w:space="0"/>
                    <w:bottom w:val="single" w:color="auto" w:sz="4" w:space="0"/>
                  </w:tcBorders>
                  <w:noWrap w:val="0"/>
                  <w:vAlign w:val="center"/>
                </w:tcPr>
                <w:p w14:paraId="30B3C1BE">
                  <w:pPr>
                    <w:adjustRightInd w:val="0"/>
                    <w:snapToGrid w:val="0"/>
                    <w:jc w:val="center"/>
                    <w:rPr>
                      <w:rFonts w:hint="default" w:ascii="Times New Roman" w:hAnsi="Times New Roman" w:eastAsia="宋体" w:cs="Times New Roman"/>
                      <w:color w:val="auto"/>
                      <w:kern w:val="2"/>
                      <w:sz w:val="21"/>
                      <w:szCs w:val="24"/>
                      <w:lang w:val="en-US" w:eastAsia="en-US" w:bidi="ar-SA"/>
                    </w:rPr>
                  </w:pPr>
                  <w:r>
                    <w:rPr>
                      <w:rFonts w:hint="default" w:ascii="Times New Roman" w:hAnsi="Times New Roman" w:eastAsia="宋体" w:cs="Times New Roman"/>
                      <w:color w:val="auto"/>
                      <w:lang w:val="en-US" w:eastAsia="zh-CN"/>
                    </w:rPr>
                    <w:t>1.95</w:t>
                  </w:r>
                </w:p>
              </w:tc>
              <w:tc>
                <w:tcPr>
                  <w:tcW w:w="1147" w:type="pct"/>
                  <w:tcBorders>
                    <w:top w:val="single" w:color="auto" w:sz="12" w:space="0"/>
                    <w:bottom w:val="single" w:color="auto" w:sz="4" w:space="0"/>
                  </w:tcBorders>
                  <w:noWrap w:val="0"/>
                  <w:vAlign w:val="center"/>
                </w:tcPr>
                <w:p w14:paraId="673F1C45">
                  <w:pPr>
                    <w:adjustRightInd w:val="0"/>
                    <w:snapToGrid w:val="0"/>
                    <w:jc w:val="center"/>
                    <w:rPr>
                      <w:rFonts w:hint="default" w:ascii="Times New Roman" w:hAnsi="Times New Roman" w:eastAsia="宋体" w:cs="Times New Roman"/>
                      <w:color w:val="auto"/>
                      <w:kern w:val="2"/>
                      <w:sz w:val="21"/>
                      <w:szCs w:val="24"/>
                      <w:lang w:val="en-US" w:eastAsia="en-US" w:bidi="ar-SA"/>
                    </w:rPr>
                  </w:pPr>
                  <w:r>
                    <w:rPr>
                      <w:rFonts w:hint="default" w:ascii="Times New Roman" w:hAnsi="Times New Roman" w:eastAsia="宋体" w:cs="Times New Roman"/>
                      <w:color w:val="auto"/>
                      <w:lang w:val="en-US" w:eastAsia="zh-CN"/>
                    </w:rPr>
                    <w:t>78.89</w:t>
                  </w:r>
                </w:p>
              </w:tc>
              <w:tc>
                <w:tcPr>
                  <w:tcW w:w="756" w:type="pct"/>
                  <w:tcBorders>
                    <w:top w:val="single" w:color="auto" w:sz="12" w:space="0"/>
                    <w:bottom w:val="single" w:color="auto" w:sz="4" w:space="0"/>
                  </w:tcBorders>
                  <w:noWrap w:val="0"/>
                  <w:vAlign w:val="center"/>
                </w:tcPr>
                <w:p w14:paraId="51C8BF12">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70</w:t>
                  </w:r>
                </w:p>
              </w:tc>
            </w:tr>
            <w:tr w14:paraId="20BD1E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596" w:type="pct"/>
                  <w:vMerge w:val="continue"/>
                  <w:noWrap w:val="0"/>
                  <w:vAlign w:val="center"/>
                </w:tcPr>
                <w:p w14:paraId="1E41DB39">
                  <w:pPr>
                    <w:adjustRightInd w:val="0"/>
                    <w:snapToGrid w:val="0"/>
                    <w:jc w:val="center"/>
                    <w:rPr>
                      <w:rFonts w:hint="default" w:ascii="Times New Roman" w:hAnsi="Times New Roman" w:eastAsia="宋体" w:cs="Times New Roman"/>
                      <w:color w:val="auto"/>
                      <w:lang w:val="en-US" w:eastAsia="zh-CN"/>
                    </w:rPr>
                  </w:pPr>
                </w:p>
              </w:tc>
              <w:tc>
                <w:tcPr>
                  <w:tcW w:w="798" w:type="pct"/>
                  <w:tcBorders>
                    <w:top w:val="single" w:color="auto" w:sz="4" w:space="0"/>
                    <w:bottom w:val="single" w:color="auto" w:sz="4" w:space="0"/>
                  </w:tcBorders>
                  <w:noWrap w:val="0"/>
                  <w:vAlign w:val="center"/>
                </w:tcPr>
                <w:p w14:paraId="1250319B">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中间漆</w:t>
                  </w:r>
                </w:p>
              </w:tc>
              <w:tc>
                <w:tcPr>
                  <w:tcW w:w="790" w:type="pct"/>
                  <w:tcBorders>
                    <w:top w:val="single" w:color="auto" w:sz="4" w:space="0"/>
                    <w:bottom w:val="single" w:color="auto" w:sz="4" w:space="0"/>
                  </w:tcBorders>
                  <w:noWrap w:val="0"/>
                  <w:vAlign w:val="center"/>
                </w:tcPr>
                <w:p w14:paraId="4C977FA4">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2.05</w:t>
                  </w:r>
                </w:p>
              </w:tc>
              <w:tc>
                <w:tcPr>
                  <w:tcW w:w="909" w:type="pct"/>
                  <w:tcBorders>
                    <w:top w:val="single" w:color="auto" w:sz="4" w:space="0"/>
                    <w:bottom w:val="single" w:color="auto" w:sz="4" w:space="0"/>
                  </w:tcBorders>
                  <w:noWrap w:val="0"/>
                  <w:vAlign w:val="center"/>
                </w:tcPr>
                <w:p w14:paraId="642A3D93">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1.54</w:t>
                  </w:r>
                </w:p>
              </w:tc>
              <w:tc>
                <w:tcPr>
                  <w:tcW w:w="1147" w:type="pct"/>
                  <w:tcBorders>
                    <w:top w:val="single" w:color="auto" w:sz="4" w:space="0"/>
                    <w:bottom w:val="single" w:color="auto" w:sz="4" w:space="0"/>
                  </w:tcBorders>
                  <w:noWrap w:val="0"/>
                  <w:vAlign w:val="center"/>
                </w:tcPr>
                <w:p w14:paraId="7DCE2B65">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83.43</w:t>
                  </w:r>
                </w:p>
              </w:tc>
              <w:tc>
                <w:tcPr>
                  <w:tcW w:w="756" w:type="pct"/>
                  <w:tcBorders>
                    <w:top w:val="single" w:color="auto" w:sz="4" w:space="0"/>
                    <w:bottom w:val="single" w:color="auto" w:sz="4" w:space="0"/>
                  </w:tcBorders>
                  <w:noWrap w:val="0"/>
                  <w:vAlign w:val="center"/>
                </w:tcPr>
                <w:p w14:paraId="3F1830F3">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70</w:t>
                  </w:r>
                </w:p>
              </w:tc>
            </w:tr>
            <w:tr w14:paraId="6E12AC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596" w:type="pct"/>
                  <w:vMerge w:val="continue"/>
                  <w:noWrap w:val="0"/>
                  <w:vAlign w:val="center"/>
                </w:tcPr>
                <w:p w14:paraId="34ADB148">
                  <w:pPr>
                    <w:adjustRightInd w:val="0"/>
                    <w:snapToGrid w:val="0"/>
                    <w:jc w:val="center"/>
                    <w:rPr>
                      <w:rFonts w:hint="default" w:ascii="Times New Roman" w:hAnsi="Times New Roman" w:eastAsia="宋体" w:cs="Times New Roman"/>
                      <w:color w:val="auto"/>
                      <w:lang w:val="en-US" w:eastAsia="en-US"/>
                    </w:rPr>
                  </w:pPr>
                </w:p>
              </w:tc>
              <w:tc>
                <w:tcPr>
                  <w:tcW w:w="798" w:type="pct"/>
                  <w:tcBorders>
                    <w:top w:val="single" w:color="auto" w:sz="4" w:space="0"/>
                    <w:bottom w:val="single" w:color="auto" w:sz="4" w:space="0"/>
                  </w:tcBorders>
                  <w:noWrap w:val="0"/>
                  <w:vAlign w:val="center"/>
                </w:tcPr>
                <w:p w14:paraId="70558D3A">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面漆</w:t>
                  </w:r>
                </w:p>
              </w:tc>
              <w:tc>
                <w:tcPr>
                  <w:tcW w:w="790" w:type="pct"/>
                  <w:tcBorders>
                    <w:top w:val="single" w:color="auto" w:sz="4" w:space="0"/>
                    <w:bottom w:val="single" w:color="auto" w:sz="4" w:space="0"/>
                  </w:tcBorders>
                  <w:noWrap w:val="0"/>
                  <w:vAlign w:val="center"/>
                </w:tcPr>
                <w:p w14:paraId="2335F575">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 xml:space="preserve">2.60 </w:t>
                  </w:r>
                </w:p>
              </w:tc>
              <w:tc>
                <w:tcPr>
                  <w:tcW w:w="909" w:type="pct"/>
                  <w:tcBorders>
                    <w:top w:val="single" w:color="auto" w:sz="4" w:space="0"/>
                    <w:bottom w:val="single" w:color="auto" w:sz="4" w:space="0"/>
                  </w:tcBorders>
                  <w:noWrap w:val="0"/>
                  <w:vAlign w:val="center"/>
                </w:tcPr>
                <w:p w14:paraId="108E9F14">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1.38</w:t>
                  </w:r>
                </w:p>
              </w:tc>
              <w:tc>
                <w:tcPr>
                  <w:tcW w:w="1147" w:type="pct"/>
                  <w:tcBorders>
                    <w:top w:val="single" w:color="auto" w:sz="4" w:space="0"/>
                    <w:bottom w:val="single" w:color="auto" w:sz="4" w:space="0"/>
                  </w:tcBorders>
                  <w:noWrap w:val="0"/>
                  <w:vAlign w:val="center"/>
                </w:tcPr>
                <w:p w14:paraId="27230FB6">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65.33</w:t>
                  </w:r>
                </w:p>
              </w:tc>
              <w:tc>
                <w:tcPr>
                  <w:tcW w:w="756" w:type="pct"/>
                  <w:tcBorders>
                    <w:top w:val="single" w:color="auto" w:sz="4" w:space="0"/>
                    <w:bottom w:val="single" w:color="auto" w:sz="4" w:space="0"/>
                  </w:tcBorders>
                  <w:noWrap w:val="0"/>
                  <w:vAlign w:val="center"/>
                </w:tcPr>
                <w:p w14:paraId="3991734A">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70</w:t>
                  </w:r>
                </w:p>
              </w:tc>
            </w:tr>
            <w:tr w14:paraId="39D6A7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596" w:type="pct"/>
                  <w:vMerge w:val="continue"/>
                  <w:noWrap w:val="0"/>
                  <w:vAlign w:val="center"/>
                </w:tcPr>
                <w:p w14:paraId="2DBEA87B">
                  <w:pPr>
                    <w:adjustRightInd w:val="0"/>
                    <w:snapToGrid w:val="0"/>
                    <w:jc w:val="center"/>
                    <w:rPr>
                      <w:rFonts w:hint="default" w:ascii="Times New Roman" w:hAnsi="Times New Roman" w:eastAsia="宋体" w:cs="Times New Roman"/>
                      <w:color w:val="auto"/>
                      <w:lang w:val="en-US" w:eastAsia="en-US"/>
                    </w:rPr>
                  </w:pPr>
                </w:p>
              </w:tc>
              <w:tc>
                <w:tcPr>
                  <w:tcW w:w="798" w:type="pct"/>
                  <w:tcBorders>
                    <w:top w:val="single" w:color="auto" w:sz="4" w:space="0"/>
                    <w:bottom w:val="single" w:color="auto" w:sz="4" w:space="0"/>
                  </w:tcBorders>
                  <w:noWrap w:val="0"/>
                  <w:vAlign w:val="center"/>
                </w:tcPr>
                <w:p w14:paraId="679089E7">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小计</w:t>
                  </w:r>
                </w:p>
              </w:tc>
              <w:tc>
                <w:tcPr>
                  <w:tcW w:w="790" w:type="pct"/>
                  <w:tcBorders>
                    <w:top w:val="single" w:color="auto" w:sz="4" w:space="0"/>
                    <w:bottom w:val="single" w:color="auto" w:sz="4" w:space="0"/>
                  </w:tcBorders>
                  <w:noWrap w:val="0"/>
                  <w:vAlign w:val="center"/>
                </w:tcPr>
                <w:p w14:paraId="4FCCCF43">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8.62</w:t>
                  </w:r>
                </w:p>
              </w:tc>
              <w:tc>
                <w:tcPr>
                  <w:tcW w:w="909" w:type="pct"/>
                  <w:tcBorders>
                    <w:top w:val="single" w:color="auto" w:sz="4" w:space="0"/>
                    <w:bottom w:val="single" w:color="auto" w:sz="4" w:space="0"/>
                  </w:tcBorders>
                  <w:noWrap w:val="0"/>
                  <w:vAlign w:val="center"/>
                </w:tcPr>
                <w:p w14:paraId="4ADA828D">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w:t>
                  </w:r>
                </w:p>
              </w:tc>
              <w:tc>
                <w:tcPr>
                  <w:tcW w:w="1147" w:type="pct"/>
                  <w:tcBorders>
                    <w:top w:val="single" w:color="auto" w:sz="4" w:space="0"/>
                    <w:bottom w:val="single" w:color="auto" w:sz="4" w:space="0"/>
                  </w:tcBorders>
                  <w:noWrap w:val="0"/>
                  <w:vAlign w:val="center"/>
                </w:tcPr>
                <w:p w14:paraId="4F2E7333">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756" w:type="pct"/>
                  <w:tcBorders>
                    <w:top w:val="single" w:color="auto" w:sz="4" w:space="0"/>
                    <w:bottom w:val="single" w:color="auto" w:sz="4" w:space="0"/>
                  </w:tcBorders>
                  <w:noWrap w:val="0"/>
                  <w:vAlign w:val="center"/>
                </w:tcPr>
                <w:p w14:paraId="32408189">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w:t>
                  </w:r>
                </w:p>
              </w:tc>
            </w:tr>
            <w:tr w14:paraId="0AD322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596" w:type="pct"/>
                  <w:vMerge w:val="restart"/>
                  <w:noWrap w:val="0"/>
                  <w:vAlign w:val="center"/>
                </w:tcPr>
                <w:p w14:paraId="23A89E7C">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水性漆</w:t>
                  </w:r>
                </w:p>
              </w:tc>
              <w:tc>
                <w:tcPr>
                  <w:tcW w:w="798" w:type="pct"/>
                  <w:tcBorders>
                    <w:top w:val="single" w:color="auto" w:sz="4" w:space="0"/>
                    <w:bottom w:val="single" w:color="auto" w:sz="4" w:space="0"/>
                  </w:tcBorders>
                  <w:noWrap w:val="0"/>
                  <w:vAlign w:val="center"/>
                </w:tcPr>
                <w:p w14:paraId="61322812">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底漆</w:t>
                  </w:r>
                </w:p>
              </w:tc>
              <w:tc>
                <w:tcPr>
                  <w:tcW w:w="790" w:type="pct"/>
                  <w:tcBorders>
                    <w:top w:val="single" w:color="auto" w:sz="4" w:space="0"/>
                    <w:bottom w:val="single" w:color="auto" w:sz="4" w:space="0"/>
                  </w:tcBorders>
                  <w:noWrap w:val="0"/>
                  <w:vAlign w:val="center"/>
                </w:tcPr>
                <w:p w14:paraId="75881A0E">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 xml:space="preserve">5.50 </w:t>
                  </w:r>
                </w:p>
              </w:tc>
              <w:tc>
                <w:tcPr>
                  <w:tcW w:w="909" w:type="pct"/>
                  <w:tcBorders>
                    <w:top w:val="single" w:color="auto" w:sz="4" w:space="0"/>
                    <w:bottom w:val="single" w:color="auto" w:sz="4" w:space="0"/>
                  </w:tcBorders>
                  <w:noWrap w:val="0"/>
                  <w:vAlign w:val="center"/>
                </w:tcPr>
                <w:p w14:paraId="0D3A87D1">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1.45</w:t>
                  </w:r>
                </w:p>
              </w:tc>
              <w:tc>
                <w:tcPr>
                  <w:tcW w:w="1147" w:type="pct"/>
                  <w:tcBorders>
                    <w:top w:val="single" w:color="auto" w:sz="4" w:space="0"/>
                    <w:bottom w:val="single" w:color="auto" w:sz="4" w:space="0"/>
                  </w:tcBorders>
                  <w:noWrap w:val="0"/>
                  <w:vAlign w:val="center"/>
                </w:tcPr>
                <w:p w14:paraId="34DE8677">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60</w:t>
                  </w:r>
                </w:p>
              </w:tc>
              <w:tc>
                <w:tcPr>
                  <w:tcW w:w="756" w:type="pct"/>
                  <w:tcBorders>
                    <w:top w:val="single" w:color="auto" w:sz="4" w:space="0"/>
                    <w:bottom w:val="single" w:color="auto" w:sz="4" w:space="0"/>
                  </w:tcBorders>
                  <w:noWrap w:val="0"/>
                  <w:vAlign w:val="center"/>
                </w:tcPr>
                <w:p w14:paraId="005FB02E">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70</w:t>
                  </w:r>
                </w:p>
              </w:tc>
            </w:tr>
            <w:tr w14:paraId="09802C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596" w:type="pct"/>
                  <w:vMerge w:val="continue"/>
                  <w:noWrap w:val="0"/>
                  <w:vAlign w:val="center"/>
                </w:tcPr>
                <w:p w14:paraId="51779774">
                  <w:pPr>
                    <w:adjustRightInd w:val="0"/>
                    <w:snapToGrid w:val="0"/>
                    <w:jc w:val="center"/>
                    <w:rPr>
                      <w:rFonts w:hint="eastAsia" w:ascii="Times New Roman" w:hAnsi="Times New Roman" w:eastAsia="宋体" w:cs="Times New Roman"/>
                      <w:color w:val="auto"/>
                      <w:lang w:val="en-US" w:eastAsia="zh-CN"/>
                    </w:rPr>
                  </w:pPr>
                </w:p>
              </w:tc>
              <w:tc>
                <w:tcPr>
                  <w:tcW w:w="798" w:type="pct"/>
                  <w:tcBorders>
                    <w:top w:val="single" w:color="auto" w:sz="4" w:space="0"/>
                    <w:bottom w:val="single" w:color="auto" w:sz="4" w:space="0"/>
                  </w:tcBorders>
                  <w:noWrap w:val="0"/>
                  <w:vAlign w:val="center"/>
                </w:tcPr>
                <w:p w14:paraId="53FA41AC">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中间漆</w:t>
                  </w:r>
                </w:p>
              </w:tc>
              <w:tc>
                <w:tcPr>
                  <w:tcW w:w="790" w:type="pct"/>
                  <w:tcBorders>
                    <w:top w:val="single" w:color="auto" w:sz="4" w:space="0"/>
                    <w:bottom w:val="single" w:color="auto" w:sz="4" w:space="0"/>
                  </w:tcBorders>
                  <w:noWrap w:val="0"/>
                  <w:vAlign w:val="center"/>
                </w:tcPr>
                <w:p w14:paraId="68458F11">
                  <w:pPr>
                    <w:adjustRightInd w:val="0"/>
                    <w:snapToGrid w:val="0"/>
                    <w:jc w:val="center"/>
                    <w:rPr>
                      <w:rFonts w:hint="eastAsia" w:ascii="Times New Roman" w:hAnsi="Times New Roman" w:eastAsia="宋体" w:cs="Times New Roman"/>
                      <w:color w:val="auto"/>
                      <w:lang w:val="en-US" w:eastAsia="en-US"/>
                    </w:rPr>
                  </w:pPr>
                  <w:r>
                    <w:rPr>
                      <w:rFonts w:hint="default" w:ascii="Times New Roman" w:hAnsi="Times New Roman" w:eastAsia="宋体" w:cs="Times New Roman"/>
                      <w:color w:val="auto"/>
                      <w:lang w:val="en-US" w:eastAsia="zh-CN"/>
                    </w:rPr>
                    <w:t>4.66</w:t>
                  </w:r>
                </w:p>
              </w:tc>
              <w:tc>
                <w:tcPr>
                  <w:tcW w:w="909" w:type="pct"/>
                  <w:tcBorders>
                    <w:top w:val="single" w:color="auto" w:sz="4" w:space="0"/>
                    <w:bottom w:val="single" w:color="auto" w:sz="4" w:space="0"/>
                  </w:tcBorders>
                  <w:noWrap w:val="0"/>
                  <w:vAlign w:val="center"/>
                </w:tcPr>
                <w:p w14:paraId="67713D5C">
                  <w:pPr>
                    <w:adjustRightInd w:val="0"/>
                    <w:snapToGrid w:val="0"/>
                    <w:jc w:val="center"/>
                    <w:rPr>
                      <w:rFonts w:hint="eastAsia" w:ascii="Times New Roman" w:hAnsi="Times New Roman" w:eastAsia="宋体" w:cs="Times New Roman"/>
                      <w:color w:val="auto"/>
                      <w:kern w:val="2"/>
                      <w:sz w:val="21"/>
                      <w:szCs w:val="24"/>
                      <w:lang w:val="en-US" w:eastAsia="en-US" w:bidi="ar-SA"/>
                    </w:rPr>
                  </w:pPr>
                  <w:r>
                    <w:rPr>
                      <w:rFonts w:hint="default" w:ascii="Times New Roman" w:hAnsi="Times New Roman" w:eastAsia="宋体" w:cs="Times New Roman"/>
                      <w:color w:val="auto"/>
                      <w:lang w:val="en-US" w:eastAsia="zh-CN"/>
                    </w:rPr>
                    <w:t>1.45</w:t>
                  </w:r>
                </w:p>
              </w:tc>
              <w:tc>
                <w:tcPr>
                  <w:tcW w:w="1147" w:type="pct"/>
                  <w:tcBorders>
                    <w:top w:val="single" w:color="auto" w:sz="4" w:space="0"/>
                    <w:bottom w:val="single" w:color="auto" w:sz="4" w:space="0"/>
                  </w:tcBorders>
                  <w:noWrap w:val="0"/>
                  <w:vAlign w:val="center"/>
                </w:tcPr>
                <w:p w14:paraId="128591E1">
                  <w:pPr>
                    <w:adjustRightInd w:val="0"/>
                    <w:snapToGrid w:val="0"/>
                    <w:jc w:val="center"/>
                    <w:rPr>
                      <w:rFonts w:hint="eastAsia" w:ascii="Times New Roman" w:hAnsi="Times New Roman" w:eastAsia="宋体" w:cs="Times New Roman"/>
                      <w:color w:val="auto"/>
                      <w:kern w:val="2"/>
                      <w:sz w:val="21"/>
                      <w:szCs w:val="24"/>
                      <w:lang w:val="en-US" w:eastAsia="en-US" w:bidi="ar-SA"/>
                    </w:rPr>
                  </w:pPr>
                  <w:r>
                    <w:rPr>
                      <w:rFonts w:hint="default" w:ascii="Times New Roman" w:hAnsi="Times New Roman" w:eastAsia="宋体" w:cs="Times New Roman"/>
                      <w:color w:val="auto"/>
                      <w:lang w:val="en-US" w:eastAsia="zh-CN"/>
                    </w:rPr>
                    <w:t>60</w:t>
                  </w:r>
                </w:p>
              </w:tc>
              <w:tc>
                <w:tcPr>
                  <w:tcW w:w="756" w:type="pct"/>
                  <w:tcBorders>
                    <w:top w:val="single" w:color="auto" w:sz="4" w:space="0"/>
                    <w:bottom w:val="single" w:color="auto" w:sz="4" w:space="0"/>
                  </w:tcBorders>
                  <w:noWrap w:val="0"/>
                  <w:vAlign w:val="center"/>
                </w:tcPr>
                <w:p w14:paraId="2889B319">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70</w:t>
                  </w:r>
                </w:p>
              </w:tc>
            </w:tr>
            <w:tr w14:paraId="166B5B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596" w:type="pct"/>
                  <w:vMerge w:val="continue"/>
                  <w:noWrap w:val="0"/>
                  <w:vAlign w:val="top"/>
                </w:tcPr>
                <w:p w14:paraId="73B0D579">
                  <w:pPr>
                    <w:adjustRightInd w:val="0"/>
                    <w:snapToGrid w:val="0"/>
                    <w:jc w:val="center"/>
                    <w:rPr>
                      <w:rFonts w:hint="default" w:ascii="Times New Roman" w:hAnsi="Times New Roman" w:eastAsia="宋体" w:cs="Times New Roman"/>
                      <w:color w:val="auto"/>
                      <w:lang w:val="en-US" w:eastAsia="zh-CN"/>
                    </w:rPr>
                  </w:pPr>
                </w:p>
              </w:tc>
              <w:tc>
                <w:tcPr>
                  <w:tcW w:w="798" w:type="pct"/>
                  <w:noWrap w:val="0"/>
                  <w:vAlign w:val="center"/>
                </w:tcPr>
                <w:p w14:paraId="7FA954AA">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面漆</w:t>
                  </w:r>
                </w:p>
              </w:tc>
              <w:tc>
                <w:tcPr>
                  <w:tcW w:w="790" w:type="pct"/>
                  <w:noWrap w:val="0"/>
                  <w:vAlign w:val="center"/>
                </w:tcPr>
                <w:p w14:paraId="64388336">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4.31</w:t>
                  </w:r>
                </w:p>
              </w:tc>
              <w:tc>
                <w:tcPr>
                  <w:tcW w:w="909" w:type="pct"/>
                  <w:noWrap w:val="0"/>
                  <w:vAlign w:val="center"/>
                </w:tcPr>
                <w:p w14:paraId="72074FEC">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1.25</w:t>
                  </w:r>
                </w:p>
              </w:tc>
              <w:tc>
                <w:tcPr>
                  <w:tcW w:w="1147" w:type="pct"/>
                  <w:noWrap w:val="0"/>
                  <w:vAlign w:val="center"/>
                </w:tcPr>
                <w:p w14:paraId="082EDFD4">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60</w:t>
                  </w:r>
                </w:p>
              </w:tc>
              <w:tc>
                <w:tcPr>
                  <w:tcW w:w="756" w:type="pct"/>
                  <w:noWrap w:val="0"/>
                  <w:vAlign w:val="center"/>
                </w:tcPr>
                <w:p w14:paraId="7985D570">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70</w:t>
                  </w:r>
                </w:p>
              </w:tc>
            </w:tr>
            <w:tr w14:paraId="7F6641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596" w:type="pct"/>
                  <w:vMerge w:val="continue"/>
                  <w:noWrap w:val="0"/>
                  <w:vAlign w:val="top"/>
                </w:tcPr>
                <w:p w14:paraId="113B6324">
                  <w:pPr>
                    <w:adjustRightInd w:val="0"/>
                    <w:snapToGrid w:val="0"/>
                    <w:jc w:val="center"/>
                    <w:rPr>
                      <w:rFonts w:hint="default" w:ascii="Times New Roman" w:hAnsi="Times New Roman" w:eastAsia="宋体" w:cs="Times New Roman"/>
                      <w:color w:val="auto"/>
                      <w:lang w:val="en-US" w:eastAsia="zh-CN"/>
                    </w:rPr>
                  </w:pPr>
                </w:p>
              </w:tc>
              <w:tc>
                <w:tcPr>
                  <w:tcW w:w="798" w:type="pct"/>
                  <w:noWrap w:val="0"/>
                  <w:vAlign w:val="center"/>
                </w:tcPr>
                <w:p w14:paraId="0CA50601">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小计</w:t>
                  </w:r>
                </w:p>
              </w:tc>
              <w:tc>
                <w:tcPr>
                  <w:tcW w:w="790" w:type="pct"/>
                  <w:noWrap w:val="0"/>
                  <w:vAlign w:val="center"/>
                </w:tcPr>
                <w:p w14:paraId="6B4DEA8B">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14.47</w:t>
                  </w:r>
                </w:p>
              </w:tc>
              <w:tc>
                <w:tcPr>
                  <w:tcW w:w="909" w:type="pct"/>
                  <w:noWrap w:val="0"/>
                  <w:vAlign w:val="center"/>
                </w:tcPr>
                <w:p w14:paraId="2DF5FD67">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w:t>
                  </w:r>
                </w:p>
              </w:tc>
              <w:tc>
                <w:tcPr>
                  <w:tcW w:w="1147" w:type="pct"/>
                  <w:noWrap w:val="0"/>
                  <w:vAlign w:val="center"/>
                </w:tcPr>
                <w:p w14:paraId="13E4B763">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w:t>
                  </w:r>
                </w:p>
              </w:tc>
              <w:tc>
                <w:tcPr>
                  <w:tcW w:w="756" w:type="pct"/>
                  <w:noWrap w:val="0"/>
                  <w:vAlign w:val="center"/>
                </w:tcPr>
                <w:p w14:paraId="36B04606">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w:t>
                  </w:r>
                </w:p>
              </w:tc>
            </w:tr>
            <w:tr w14:paraId="7326E1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395" w:type="pct"/>
                  <w:gridSpan w:val="2"/>
                  <w:noWrap w:val="0"/>
                  <w:vAlign w:val="center"/>
                </w:tcPr>
                <w:p w14:paraId="3953EBAE">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合计</w:t>
                  </w:r>
                </w:p>
              </w:tc>
              <w:tc>
                <w:tcPr>
                  <w:tcW w:w="790" w:type="pct"/>
                  <w:noWrap w:val="0"/>
                  <w:vAlign w:val="center"/>
                </w:tcPr>
                <w:p w14:paraId="3B0184E4">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23.09</w:t>
                  </w:r>
                </w:p>
              </w:tc>
              <w:tc>
                <w:tcPr>
                  <w:tcW w:w="909" w:type="pct"/>
                  <w:noWrap w:val="0"/>
                  <w:vAlign w:val="center"/>
                </w:tcPr>
                <w:p w14:paraId="2A3D12D5">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w:t>
                  </w:r>
                </w:p>
              </w:tc>
              <w:tc>
                <w:tcPr>
                  <w:tcW w:w="1147" w:type="pct"/>
                  <w:noWrap w:val="0"/>
                  <w:vAlign w:val="center"/>
                </w:tcPr>
                <w:p w14:paraId="1E743018">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lang w:val="en-US" w:eastAsia="zh-CN"/>
                    </w:rPr>
                    <w:t>-</w:t>
                  </w:r>
                </w:p>
              </w:tc>
              <w:tc>
                <w:tcPr>
                  <w:tcW w:w="756" w:type="pct"/>
                  <w:noWrap w:val="0"/>
                  <w:vAlign w:val="center"/>
                </w:tcPr>
                <w:p w14:paraId="73AD4C82">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w:t>
                  </w:r>
                </w:p>
              </w:tc>
            </w:tr>
          </w:tbl>
          <w:p w14:paraId="05466693">
            <w:pPr>
              <w:keepNext w:val="0"/>
              <w:keepLines w:val="0"/>
              <w:pageBreakBefore w:val="0"/>
              <w:widowControl w:val="0"/>
              <w:kinsoku/>
              <w:wordWrap/>
              <w:overflowPunct/>
              <w:topLinePunct w:val="0"/>
              <w:autoSpaceDE/>
              <w:autoSpaceDN/>
              <w:bidi w:val="0"/>
              <w:adjustRightInd/>
              <w:snapToGrid/>
              <w:spacing w:before="157" w:beforeLines="50" w:line="348"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由表4-3，本项目油性漆使用量为8.62t/a，油性漆固体组分含量约6.54t/a，水性漆使用量为14.47t/a，水性漆固体组分含量约8.68t/a，则涂装工序</w:t>
            </w:r>
            <w:r>
              <w:rPr>
                <w:rFonts w:hint="eastAsia" w:cs="Times New Roman"/>
                <w:color w:val="auto"/>
                <w:sz w:val="24"/>
                <w:lang w:val="en-US" w:eastAsia="zh-CN"/>
              </w:rPr>
              <w:t>涂料</w:t>
            </w:r>
            <w:r>
              <w:rPr>
                <w:rFonts w:hint="eastAsia" w:ascii="Times New Roman" w:hAnsi="Times New Roman" w:eastAsia="宋体" w:cs="Times New Roman"/>
                <w:color w:val="auto"/>
                <w:sz w:val="24"/>
                <w:lang w:val="en-US" w:eastAsia="zh-CN"/>
              </w:rPr>
              <w:t>总固体组分含量约15.22t/a，涂装工序漆雾（颗粒物）产生量约4.57t/a。</w:t>
            </w:r>
          </w:p>
          <w:p w14:paraId="16592038">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本项目涂装</w:t>
            </w:r>
            <w:r>
              <w:rPr>
                <w:rFonts w:hint="default" w:ascii="Times New Roman" w:hAnsi="Times New Roman" w:eastAsia="宋体" w:cs="Times New Roman"/>
                <w:color w:val="auto"/>
                <w:sz w:val="24"/>
                <w:lang w:val="en-US" w:eastAsia="zh-CN"/>
              </w:rPr>
              <w:t>工序</w:t>
            </w:r>
            <w:r>
              <w:rPr>
                <w:rFonts w:hint="eastAsia" w:ascii="Times New Roman" w:hAnsi="Times New Roman" w:eastAsia="宋体" w:cs="Times New Roman"/>
                <w:color w:val="auto"/>
                <w:sz w:val="24"/>
                <w:lang w:val="en-US" w:eastAsia="zh-CN"/>
              </w:rPr>
              <w:t>在密闭喷漆房内操作，</w:t>
            </w:r>
            <w:r>
              <w:rPr>
                <w:rFonts w:hint="eastAsia" w:ascii="Times New Roman" w:hAnsi="Times New Roman" w:eastAsia="宋体" w:cs="Times New Roman"/>
                <w:color w:val="0000FF"/>
                <w:sz w:val="24"/>
                <w:lang w:val="en-US" w:eastAsia="zh-CN"/>
              </w:rPr>
              <w:t>喷漆房风量2</w:t>
            </w:r>
            <w:r>
              <w:rPr>
                <w:rFonts w:hint="eastAsia" w:cs="Times New Roman"/>
                <w:color w:val="0000FF"/>
                <w:sz w:val="24"/>
                <w:lang w:val="en-US" w:eastAsia="zh-CN"/>
              </w:rPr>
              <w:t>0</w:t>
            </w:r>
            <w:r>
              <w:rPr>
                <w:rFonts w:hint="eastAsia" w:ascii="Times New Roman" w:hAnsi="Times New Roman" w:eastAsia="宋体" w:cs="Times New Roman"/>
                <w:color w:val="0000FF"/>
                <w:sz w:val="24"/>
                <w:lang w:val="en-US" w:eastAsia="zh-CN"/>
              </w:rPr>
              <w:t>000m³/h，</w:t>
            </w:r>
            <w:r>
              <w:rPr>
                <w:rFonts w:hint="eastAsia" w:ascii="Times New Roman" w:hAnsi="Times New Roman" w:eastAsia="宋体" w:cs="Times New Roman"/>
                <w:color w:val="auto"/>
                <w:sz w:val="24"/>
                <w:lang w:val="en-US" w:eastAsia="zh-CN"/>
              </w:rPr>
              <w:t>漆雾（颗粒物）密闭负压收集，收集效率为99%，则涂装工序漆雾（颗粒物）有组织产生量约4.52t/a，涂装废气采用“干式漆雾过滤模组+活性炭吸附-脱附+催化燃烧装置”处理后通过20m排气筒（DA003）排放，</w:t>
            </w:r>
            <w:r>
              <w:rPr>
                <w:rFonts w:hint="eastAsia" w:ascii="Times New Roman" w:hAnsi="Times New Roman" w:eastAsia="宋体" w:cs="Times New Roman"/>
                <w:color w:val="0000FF"/>
                <w:sz w:val="24"/>
                <w:lang w:val="en-US" w:eastAsia="zh-CN"/>
              </w:rPr>
              <w:t>漆雾处理效率为9</w:t>
            </w:r>
            <w:r>
              <w:rPr>
                <w:rFonts w:hint="eastAsia" w:cs="Times New Roman"/>
                <w:color w:val="0000FF"/>
                <w:sz w:val="24"/>
                <w:lang w:val="en-US" w:eastAsia="zh-CN"/>
              </w:rPr>
              <w:t>5</w:t>
            </w:r>
            <w:r>
              <w:rPr>
                <w:rFonts w:hint="eastAsia" w:ascii="Times New Roman" w:hAnsi="Times New Roman" w:eastAsia="宋体" w:cs="Times New Roman"/>
                <w:color w:val="0000FF"/>
                <w:sz w:val="24"/>
                <w:lang w:val="en-US" w:eastAsia="zh-CN"/>
              </w:rPr>
              <w:t>%，</w:t>
            </w:r>
            <w:r>
              <w:rPr>
                <w:rFonts w:hint="eastAsia" w:ascii="Times New Roman" w:hAnsi="Times New Roman" w:eastAsia="宋体" w:cs="Times New Roman"/>
                <w:color w:val="auto"/>
                <w:sz w:val="24"/>
                <w:lang w:val="en-US" w:eastAsia="zh-CN"/>
              </w:rPr>
              <w:t>经计算，涂装工序</w:t>
            </w:r>
            <w:r>
              <w:rPr>
                <w:rFonts w:hint="eastAsia" w:ascii="Times New Roman" w:hAnsi="Times New Roman" w:eastAsia="宋体" w:cs="Times New Roman"/>
                <w:color w:val="0000FF"/>
                <w:sz w:val="24"/>
                <w:lang w:val="en-US" w:eastAsia="zh-CN"/>
              </w:rPr>
              <w:t>漆雾（颗粒物）有组织排放量为0.</w:t>
            </w:r>
            <w:r>
              <w:rPr>
                <w:rFonts w:hint="eastAsia" w:cs="Times New Roman"/>
                <w:color w:val="0000FF"/>
                <w:sz w:val="24"/>
                <w:lang w:val="en-US" w:eastAsia="zh-CN"/>
              </w:rPr>
              <w:t>23</w:t>
            </w:r>
            <w:r>
              <w:rPr>
                <w:rFonts w:hint="eastAsia" w:ascii="Times New Roman" w:hAnsi="Times New Roman" w:eastAsia="宋体" w:cs="Times New Roman"/>
                <w:color w:val="0000FF"/>
                <w:sz w:val="24"/>
                <w:lang w:val="en-US" w:eastAsia="zh-CN"/>
              </w:rPr>
              <w:t>t/a，</w:t>
            </w:r>
            <w:r>
              <w:rPr>
                <w:rFonts w:hint="eastAsia" w:ascii="Times New Roman" w:hAnsi="Times New Roman" w:eastAsia="宋体" w:cs="Times New Roman"/>
                <w:color w:val="auto"/>
                <w:sz w:val="24"/>
                <w:lang w:val="en-US" w:eastAsia="zh-CN"/>
              </w:rPr>
              <w:t>未被收集的漆雾（颗粒物）以无组织形式排放，涂装工序漆雾（颗粒物）无组织排放量约0.05t/a，排放速率为0.02kg/h。</w:t>
            </w:r>
          </w:p>
          <w:p w14:paraId="4A4E1F8C">
            <w:pPr>
              <w:spacing w:line="360" w:lineRule="auto"/>
              <w:ind w:firstLine="480" w:firstLineChars="200"/>
              <w:rPr>
                <w:rFonts w:hint="eastAsia"/>
                <w:color w:val="auto"/>
                <w:sz w:val="24"/>
              </w:rPr>
            </w:pPr>
            <w:r>
              <w:rPr>
                <w:rFonts w:hint="eastAsia"/>
                <w:color w:val="auto"/>
                <w:sz w:val="24"/>
              </w:rPr>
              <w:t>B.有机废气</w:t>
            </w:r>
          </w:p>
          <w:p w14:paraId="57F787CD">
            <w:pPr>
              <w:spacing w:line="360" w:lineRule="auto"/>
              <w:ind w:firstLine="480" w:firstLineChars="200"/>
              <w:rPr>
                <w:rFonts w:hint="eastAsia" w:ascii="Times New Roman" w:hAnsi="Times New Roman" w:eastAsia="宋体" w:cs="Times New Roman"/>
                <w:b/>
                <w:bCs/>
                <w:color w:val="auto"/>
                <w:spacing w:val="-6"/>
                <w:lang w:val="en-US" w:eastAsia="zh-CN"/>
              </w:rPr>
            </w:pPr>
            <w:r>
              <w:rPr>
                <w:rFonts w:hint="eastAsia"/>
                <w:color w:val="auto"/>
                <w:sz w:val="24"/>
              </w:rPr>
              <w:t>根据《排放源统计调查产排污核算方法和系数手册》“33金属制品业行业系数手册”中14涂装</w:t>
            </w:r>
            <w:r>
              <w:rPr>
                <w:rFonts w:hint="eastAsia"/>
                <w:color w:val="auto"/>
                <w:spacing w:val="-6"/>
                <w:sz w:val="24"/>
                <w:lang w:eastAsia="zh-CN"/>
              </w:rPr>
              <w:t>，</w:t>
            </w:r>
            <w:r>
              <w:rPr>
                <w:rFonts w:hint="eastAsia"/>
                <w:color w:val="auto"/>
                <w:spacing w:val="-6"/>
                <w:sz w:val="24"/>
                <w:lang w:val="en-US" w:eastAsia="zh-CN"/>
              </w:rPr>
              <w:t>项目涂装废气</w:t>
            </w:r>
            <w:r>
              <w:rPr>
                <w:rFonts w:hint="eastAsia"/>
                <w:color w:val="auto"/>
                <w:spacing w:val="-6"/>
                <w:sz w:val="24"/>
              </w:rPr>
              <w:t>产污系数及末端治理</w:t>
            </w:r>
            <w:r>
              <w:rPr>
                <w:rFonts w:hint="eastAsia"/>
                <w:color w:val="auto"/>
                <w:spacing w:val="-6"/>
                <w:sz w:val="24"/>
                <w:lang w:val="en-US" w:eastAsia="zh-CN"/>
              </w:rPr>
              <w:t>技术</w:t>
            </w:r>
            <w:r>
              <w:rPr>
                <w:rFonts w:hint="eastAsia"/>
                <w:color w:val="auto"/>
                <w:spacing w:val="-6"/>
                <w:sz w:val="24"/>
              </w:rPr>
              <w:t>效率见表4-</w:t>
            </w:r>
            <w:r>
              <w:rPr>
                <w:rFonts w:hint="eastAsia"/>
                <w:color w:val="auto"/>
                <w:spacing w:val="-6"/>
                <w:sz w:val="24"/>
                <w:lang w:val="en-US" w:eastAsia="zh-CN"/>
              </w:rPr>
              <w:t>4</w:t>
            </w:r>
            <w:r>
              <w:rPr>
                <w:rFonts w:hint="eastAsia"/>
                <w:color w:val="auto"/>
                <w:spacing w:val="-6"/>
                <w:sz w:val="24"/>
              </w:rPr>
              <w:t>。</w:t>
            </w:r>
          </w:p>
          <w:p w14:paraId="28B6903A">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表4-4 涂装产污系数及末端治理技术效率表</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55"/>
              <w:gridCol w:w="902"/>
              <w:gridCol w:w="1002"/>
              <w:gridCol w:w="750"/>
              <w:gridCol w:w="497"/>
              <w:gridCol w:w="890"/>
              <w:gridCol w:w="717"/>
              <w:gridCol w:w="771"/>
              <w:gridCol w:w="866"/>
              <w:gridCol w:w="884"/>
            </w:tblGrid>
            <w:tr w14:paraId="17B8FE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412" w:type="pct"/>
                  <w:noWrap w:val="0"/>
                  <w:vAlign w:val="center"/>
                </w:tcPr>
                <w:p w14:paraId="6B807FAB">
                  <w:pPr>
                    <w:adjustRightInd w:val="0"/>
                    <w:snapToGrid w:val="0"/>
                    <w:jc w:val="center"/>
                    <w:rPr>
                      <w:rFonts w:hint="eastAsia" w:ascii="宋体" w:hAnsi="宋体" w:eastAsia="宋体" w:cs="宋体"/>
                      <w:b/>
                      <w:bCs/>
                      <w:color w:val="auto"/>
                    </w:rPr>
                  </w:pPr>
                  <w:r>
                    <w:rPr>
                      <w:rFonts w:hint="eastAsia" w:ascii="宋体" w:hAnsi="宋体" w:eastAsia="宋体" w:cs="宋体"/>
                      <w:b/>
                      <w:bCs/>
                      <w:color w:val="auto"/>
                    </w:rPr>
                    <w:t>产品</w:t>
                  </w:r>
                </w:p>
                <w:p w14:paraId="3EA81DF1">
                  <w:pPr>
                    <w:adjustRightInd w:val="0"/>
                    <w:snapToGrid w:val="0"/>
                    <w:jc w:val="center"/>
                    <w:rPr>
                      <w:rFonts w:hint="eastAsia" w:ascii="宋体" w:hAnsi="宋体" w:eastAsia="宋体" w:cs="宋体"/>
                      <w:b/>
                      <w:bCs/>
                      <w:color w:val="auto"/>
                    </w:rPr>
                  </w:pPr>
                  <w:r>
                    <w:rPr>
                      <w:rFonts w:hint="eastAsia" w:ascii="宋体" w:hAnsi="宋体" w:eastAsia="宋体" w:cs="宋体"/>
                      <w:b/>
                      <w:bCs/>
                      <w:color w:val="auto"/>
                    </w:rPr>
                    <w:t>名称</w:t>
                  </w:r>
                </w:p>
              </w:tc>
              <w:tc>
                <w:tcPr>
                  <w:tcW w:w="568" w:type="pct"/>
                  <w:noWrap w:val="0"/>
                  <w:vAlign w:val="center"/>
                </w:tcPr>
                <w:p w14:paraId="7F5572AB">
                  <w:pPr>
                    <w:adjustRightInd w:val="0"/>
                    <w:snapToGrid w:val="0"/>
                    <w:jc w:val="center"/>
                    <w:rPr>
                      <w:rFonts w:hint="eastAsia" w:ascii="宋体" w:hAnsi="宋体" w:eastAsia="宋体" w:cs="宋体"/>
                      <w:b/>
                      <w:bCs/>
                      <w:color w:val="auto"/>
                    </w:rPr>
                  </w:pPr>
                  <w:r>
                    <w:rPr>
                      <w:rFonts w:hint="eastAsia" w:ascii="宋体" w:hAnsi="宋体" w:eastAsia="宋体" w:cs="宋体"/>
                      <w:b/>
                      <w:bCs/>
                      <w:color w:val="auto"/>
                    </w:rPr>
                    <w:t>原料</w:t>
                  </w:r>
                </w:p>
                <w:p w14:paraId="42E3050A">
                  <w:pPr>
                    <w:adjustRightInd w:val="0"/>
                    <w:snapToGrid w:val="0"/>
                    <w:jc w:val="center"/>
                    <w:rPr>
                      <w:rFonts w:hint="eastAsia" w:ascii="宋体" w:hAnsi="宋体" w:eastAsia="宋体" w:cs="宋体"/>
                      <w:b/>
                      <w:bCs/>
                      <w:color w:val="auto"/>
                    </w:rPr>
                  </w:pPr>
                  <w:r>
                    <w:rPr>
                      <w:rFonts w:hint="eastAsia" w:ascii="宋体" w:hAnsi="宋体" w:eastAsia="宋体" w:cs="宋体"/>
                      <w:b/>
                      <w:bCs/>
                      <w:color w:val="auto"/>
                    </w:rPr>
                    <w:t>名称</w:t>
                  </w:r>
                </w:p>
              </w:tc>
              <w:tc>
                <w:tcPr>
                  <w:tcW w:w="631" w:type="pct"/>
                  <w:noWrap w:val="0"/>
                  <w:vAlign w:val="center"/>
                </w:tcPr>
                <w:p w14:paraId="4936434D">
                  <w:pPr>
                    <w:adjustRightInd w:val="0"/>
                    <w:snapToGrid w:val="0"/>
                    <w:jc w:val="center"/>
                    <w:rPr>
                      <w:rFonts w:hint="eastAsia" w:ascii="宋体" w:hAnsi="宋体" w:eastAsia="宋体" w:cs="宋体"/>
                      <w:b/>
                      <w:bCs/>
                      <w:color w:val="auto"/>
                    </w:rPr>
                  </w:pPr>
                  <w:r>
                    <w:rPr>
                      <w:rFonts w:hint="eastAsia" w:ascii="宋体" w:hAnsi="宋体" w:eastAsia="宋体" w:cs="宋体"/>
                      <w:b/>
                      <w:bCs/>
                      <w:color w:val="auto"/>
                    </w:rPr>
                    <w:t>工艺名称</w:t>
                  </w:r>
                </w:p>
              </w:tc>
              <w:tc>
                <w:tcPr>
                  <w:tcW w:w="472" w:type="pct"/>
                  <w:noWrap w:val="0"/>
                  <w:vAlign w:val="center"/>
                </w:tcPr>
                <w:p w14:paraId="6623DFCB">
                  <w:pPr>
                    <w:adjustRightInd w:val="0"/>
                    <w:snapToGrid w:val="0"/>
                    <w:jc w:val="center"/>
                    <w:rPr>
                      <w:rFonts w:hint="eastAsia" w:ascii="宋体" w:hAnsi="宋体" w:eastAsia="宋体" w:cs="宋体"/>
                      <w:b/>
                      <w:bCs/>
                      <w:color w:val="auto"/>
                    </w:rPr>
                  </w:pPr>
                  <w:r>
                    <w:rPr>
                      <w:rFonts w:hint="eastAsia" w:ascii="宋体" w:hAnsi="宋体" w:eastAsia="宋体" w:cs="宋体"/>
                      <w:b/>
                      <w:bCs/>
                      <w:color w:val="auto"/>
                    </w:rPr>
                    <w:t>规模等级</w:t>
                  </w:r>
                </w:p>
              </w:tc>
              <w:tc>
                <w:tcPr>
                  <w:tcW w:w="874" w:type="pct"/>
                  <w:gridSpan w:val="2"/>
                  <w:noWrap w:val="0"/>
                  <w:vAlign w:val="center"/>
                </w:tcPr>
                <w:p w14:paraId="2CFAAF69">
                  <w:pPr>
                    <w:adjustRightInd w:val="0"/>
                    <w:snapToGrid w:val="0"/>
                    <w:jc w:val="center"/>
                    <w:rPr>
                      <w:rFonts w:hint="eastAsia" w:ascii="宋体" w:hAnsi="宋体" w:eastAsia="宋体" w:cs="宋体"/>
                      <w:b/>
                      <w:bCs/>
                      <w:color w:val="auto"/>
                    </w:rPr>
                  </w:pPr>
                  <w:r>
                    <w:rPr>
                      <w:rFonts w:hint="eastAsia" w:ascii="宋体" w:hAnsi="宋体" w:eastAsia="宋体" w:cs="宋体"/>
                      <w:b/>
                      <w:bCs/>
                      <w:color w:val="auto"/>
                    </w:rPr>
                    <w:t>污染物指标</w:t>
                  </w:r>
                </w:p>
              </w:tc>
              <w:tc>
                <w:tcPr>
                  <w:tcW w:w="451" w:type="pct"/>
                  <w:noWrap w:val="0"/>
                  <w:vAlign w:val="center"/>
                </w:tcPr>
                <w:p w14:paraId="3D7D956F">
                  <w:pPr>
                    <w:adjustRightInd w:val="0"/>
                    <w:snapToGrid w:val="0"/>
                    <w:jc w:val="center"/>
                    <w:rPr>
                      <w:rFonts w:hint="eastAsia" w:ascii="宋体" w:hAnsi="宋体" w:eastAsia="宋体" w:cs="宋体"/>
                      <w:b/>
                      <w:bCs/>
                      <w:color w:val="auto"/>
                    </w:rPr>
                  </w:pPr>
                  <w:r>
                    <w:rPr>
                      <w:rFonts w:hint="eastAsia" w:ascii="宋体" w:hAnsi="宋体" w:eastAsia="宋体" w:cs="宋体"/>
                      <w:b/>
                      <w:bCs/>
                      <w:color w:val="auto"/>
                    </w:rPr>
                    <w:t>单位</w:t>
                  </w:r>
                </w:p>
              </w:tc>
              <w:tc>
                <w:tcPr>
                  <w:tcW w:w="485" w:type="pct"/>
                  <w:noWrap w:val="0"/>
                  <w:vAlign w:val="center"/>
                </w:tcPr>
                <w:p w14:paraId="632D2458">
                  <w:pPr>
                    <w:adjustRightInd w:val="0"/>
                    <w:snapToGrid w:val="0"/>
                    <w:jc w:val="center"/>
                    <w:rPr>
                      <w:rFonts w:hint="eastAsia" w:ascii="宋体" w:hAnsi="宋体" w:eastAsia="宋体" w:cs="宋体"/>
                      <w:b/>
                      <w:bCs/>
                      <w:color w:val="auto"/>
                    </w:rPr>
                  </w:pPr>
                  <w:r>
                    <w:rPr>
                      <w:rFonts w:hint="eastAsia" w:ascii="宋体" w:hAnsi="宋体" w:eastAsia="宋体" w:cs="宋体"/>
                      <w:b/>
                      <w:bCs/>
                      <w:color w:val="auto"/>
                    </w:rPr>
                    <w:t>产污系数</w:t>
                  </w:r>
                </w:p>
              </w:tc>
              <w:tc>
                <w:tcPr>
                  <w:tcW w:w="545" w:type="pct"/>
                  <w:noWrap w:val="0"/>
                  <w:vAlign w:val="center"/>
                </w:tcPr>
                <w:p w14:paraId="52A5CC55">
                  <w:pPr>
                    <w:adjustRightInd w:val="0"/>
                    <w:snapToGrid w:val="0"/>
                    <w:jc w:val="center"/>
                    <w:rPr>
                      <w:rFonts w:hint="eastAsia" w:ascii="宋体" w:hAnsi="宋体" w:eastAsia="宋体" w:cs="宋体"/>
                      <w:b/>
                      <w:bCs/>
                      <w:color w:val="auto"/>
                    </w:rPr>
                  </w:pPr>
                  <w:r>
                    <w:rPr>
                      <w:rFonts w:hint="eastAsia" w:ascii="宋体" w:hAnsi="宋体" w:eastAsia="宋体" w:cs="宋体"/>
                      <w:b/>
                      <w:bCs/>
                      <w:color w:val="auto"/>
                    </w:rPr>
                    <w:t>末端治理技术名称</w:t>
                  </w:r>
                </w:p>
              </w:tc>
              <w:tc>
                <w:tcPr>
                  <w:tcW w:w="557" w:type="pct"/>
                  <w:noWrap w:val="0"/>
                  <w:vAlign w:val="center"/>
                </w:tcPr>
                <w:p w14:paraId="75B2CC33">
                  <w:pPr>
                    <w:adjustRightInd w:val="0"/>
                    <w:snapToGrid w:val="0"/>
                    <w:jc w:val="center"/>
                    <w:rPr>
                      <w:rFonts w:hint="eastAsia" w:ascii="宋体" w:hAnsi="宋体" w:eastAsia="宋体" w:cs="宋体"/>
                      <w:b/>
                      <w:bCs/>
                      <w:color w:val="auto"/>
                    </w:rPr>
                  </w:pPr>
                  <w:r>
                    <w:rPr>
                      <w:rFonts w:hint="eastAsia" w:ascii="宋体" w:hAnsi="宋体" w:eastAsia="宋体" w:cs="宋体"/>
                      <w:b/>
                      <w:bCs/>
                      <w:color w:val="auto"/>
                    </w:rPr>
                    <w:t>末端治理技术效率</w:t>
                  </w:r>
                </w:p>
              </w:tc>
            </w:tr>
            <w:tr w14:paraId="591533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412" w:type="pct"/>
                  <w:vMerge w:val="restart"/>
                  <w:noWrap w:val="0"/>
                  <w:vAlign w:val="center"/>
                </w:tcPr>
                <w:p w14:paraId="047DB147">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涂装件</w:t>
                  </w:r>
                </w:p>
              </w:tc>
              <w:tc>
                <w:tcPr>
                  <w:tcW w:w="568" w:type="pct"/>
                  <w:vMerge w:val="restart"/>
                  <w:noWrap w:val="0"/>
                  <w:vAlign w:val="center"/>
                </w:tcPr>
                <w:p w14:paraId="2FA28B85">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底漆、中涂漆、面漆、罩光漆、彩条漆、稀释剂</w:t>
                  </w:r>
                </w:p>
              </w:tc>
              <w:tc>
                <w:tcPr>
                  <w:tcW w:w="631" w:type="pct"/>
                  <w:noWrap w:val="0"/>
                  <w:vAlign w:val="center"/>
                </w:tcPr>
                <w:p w14:paraId="7242F7B9">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喷漆（水性漆）</w:t>
                  </w:r>
                </w:p>
              </w:tc>
              <w:tc>
                <w:tcPr>
                  <w:tcW w:w="472" w:type="pct"/>
                  <w:noWrap w:val="0"/>
                  <w:vAlign w:val="center"/>
                </w:tcPr>
                <w:p w14:paraId="41AF2809">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所有规模</w:t>
                  </w:r>
                </w:p>
              </w:tc>
              <w:tc>
                <w:tcPr>
                  <w:tcW w:w="313" w:type="pct"/>
                  <w:noWrap w:val="0"/>
                  <w:vAlign w:val="center"/>
                </w:tcPr>
                <w:p w14:paraId="4BA0055F">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废气</w:t>
                  </w:r>
                </w:p>
              </w:tc>
              <w:tc>
                <w:tcPr>
                  <w:tcW w:w="560" w:type="pct"/>
                  <w:noWrap w:val="0"/>
                  <w:vAlign w:val="center"/>
                </w:tcPr>
                <w:p w14:paraId="0A331F29">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挥发性有机物</w:t>
                  </w:r>
                </w:p>
              </w:tc>
              <w:tc>
                <w:tcPr>
                  <w:tcW w:w="451" w:type="pct"/>
                  <w:noWrap w:val="0"/>
                  <w:vAlign w:val="center"/>
                </w:tcPr>
                <w:p w14:paraId="74BBD621">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kg/t-原料</w:t>
                  </w:r>
                </w:p>
              </w:tc>
              <w:tc>
                <w:tcPr>
                  <w:tcW w:w="485" w:type="pct"/>
                  <w:noWrap w:val="0"/>
                  <w:vAlign w:val="center"/>
                </w:tcPr>
                <w:p w14:paraId="3EFD2E49">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135</w:t>
                  </w:r>
                </w:p>
              </w:tc>
              <w:tc>
                <w:tcPr>
                  <w:tcW w:w="545" w:type="pct"/>
                  <w:noWrap w:val="0"/>
                  <w:vAlign w:val="center"/>
                </w:tcPr>
                <w:p w14:paraId="365CF52E">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催化燃烧法</w:t>
                  </w:r>
                </w:p>
              </w:tc>
              <w:tc>
                <w:tcPr>
                  <w:tcW w:w="557" w:type="pct"/>
                  <w:noWrap w:val="0"/>
                  <w:vAlign w:val="center"/>
                </w:tcPr>
                <w:p w14:paraId="1BEF9538">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85%</w:t>
                  </w:r>
                </w:p>
              </w:tc>
            </w:tr>
            <w:tr w14:paraId="7A5009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412" w:type="pct"/>
                  <w:vMerge w:val="continue"/>
                  <w:noWrap w:val="0"/>
                  <w:vAlign w:val="center"/>
                </w:tcPr>
                <w:p w14:paraId="4BCAEDAB">
                  <w:pPr>
                    <w:adjustRightInd w:val="0"/>
                    <w:snapToGrid w:val="0"/>
                    <w:jc w:val="center"/>
                    <w:rPr>
                      <w:rFonts w:hint="eastAsia" w:ascii="Times New Roman" w:hAnsi="Times New Roman" w:eastAsia="宋体" w:cs="Times New Roman"/>
                      <w:color w:val="auto"/>
                      <w:szCs w:val="21"/>
                      <w:lang w:val="en-US" w:eastAsia="zh-CN"/>
                    </w:rPr>
                  </w:pPr>
                </w:p>
              </w:tc>
              <w:tc>
                <w:tcPr>
                  <w:tcW w:w="568" w:type="pct"/>
                  <w:vMerge w:val="continue"/>
                  <w:noWrap w:val="0"/>
                  <w:vAlign w:val="center"/>
                </w:tcPr>
                <w:p w14:paraId="4DF1B325">
                  <w:pPr>
                    <w:adjustRightInd w:val="0"/>
                    <w:snapToGrid w:val="0"/>
                    <w:jc w:val="center"/>
                    <w:rPr>
                      <w:rFonts w:hint="eastAsia" w:ascii="Times New Roman" w:hAnsi="Times New Roman" w:eastAsia="宋体" w:cs="Times New Roman"/>
                      <w:color w:val="auto"/>
                      <w:szCs w:val="21"/>
                      <w:lang w:val="en-US" w:eastAsia="zh-CN"/>
                    </w:rPr>
                  </w:pPr>
                </w:p>
              </w:tc>
              <w:tc>
                <w:tcPr>
                  <w:tcW w:w="631" w:type="pct"/>
                  <w:noWrap w:val="0"/>
                  <w:vAlign w:val="center"/>
                </w:tcPr>
                <w:p w14:paraId="1C1D7C2E">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喷漆后烘干（水性漆）</w:t>
                  </w:r>
                </w:p>
              </w:tc>
              <w:tc>
                <w:tcPr>
                  <w:tcW w:w="472" w:type="pct"/>
                  <w:noWrap w:val="0"/>
                  <w:vAlign w:val="center"/>
                </w:tcPr>
                <w:p w14:paraId="2AAD1249">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所有规模</w:t>
                  </w:r>
                </w:p>
              </w:tc>
              <w:tc>
                <w:tcPr>
                  <w:tcW w:w="313" w:type="pct"/>
                  <w:noWrap w:val="0"/>
                  <w:vAlign w:val="center"/>
                </w:tcPr>
                <w:p w14:paraId="3F40CEEF">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废气</w:t>
                  </w:r>
                </w:p>
              </w:tc>
              <w:tc>
                <w:tcPr>
                  <w:tcW w:w="560" w:type="pct"/>
                  <w:noWrap w:val="0"/>
                  <w:vAlign w:val="center"/>
                </w:tcPr>
                <w:p w14:paraId="24387806">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挥发性有机物</w:t>
                  </w:r>
                </w:p>
              </w:tc>
              <w:tc>
                <w:tcPr>
                  <w:tcW w:w="451" w:type="pct"/>
                  <w:noWrap w:val="0"/>
                  <w:vAlign w:val="center"/>
                </w:tcPr>
                <w:p w14:paraId="11F5E0EC">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kg/t-原料</w:t>
                  </w:r>
                </w:p>
              </w:tc>
              <w:tc>
                <w:tcPr>
                  <w:tcW w:w="485" w:type="pct"/>
                  <w:noWrap w:val="0"/>
                  <w:vAlign w:val="center"/>
                </w:tcPr>
                <w:p w14:paraId="1EAA7094">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15</w:t>
                  </w:r>
                </w:p>
              </w:tc>
              <w:tc>
                <w:tcPr>
                  <w:tcW w:w="545" w:type="pct"/>
                  <w:noWrap w:val="0"/>
                  <w:vAlign w:val="center"/>
                </w:tcPr>
                <w:p w14:paraId="76C25D05">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催化燃烧法</w:t>
                  </w:r>
                </w:p>
              </w:tc>
              <w:tc>
                <w:tcPr>
                  <w:tcW w:w="557" w:type="pct"/>
                  <w:noWrap w:val="0"/>
                  <w:vAlign w:val="center"/>
                </w:tcPr>
                <w:p w14:paraId="70EF7488">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85%</w:t>
                  </w:r>
                </w:p>
              </w:tc>
            </w:tr>
            <w:tr w14:paraId="364B83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412" w:type="pct"/>
                  <w:vMerge w:val="continue"/>
                  <w:noWrap w:val="0"/>
                  <w:vAlign w:val="center"/>
                </w:tcPr>
                <w:p w14:paraId="0B5E316A">
                  <w:pPr>
                    <w:adjustRightInd w:val="0"/>
                    <w:snapToGrid w:val="0"/>
                    <w:jc w:val="center"/>
                    <w:rPr>
                      <w:rFonts w:hint="eastAsia" w:ascii="Times New Roman" w:hAnsi="Times New Roman" w:eastAsia="宋体" w:cs="Times New Roman"/>
                      <w:color w:val="auto"/>
                      <w:szCs w:val="21"/>
                      <w:lang w:val="en-US" w:eastAsia="zh-CN"/>
                    </w:rPr>
                  </w:pPr>
                </w:p>
              </w:tc>
              <w:tc>
                <w:tcPr>
                  <w:tcW w:w="568" w:type="pct"/>
                  <w:vMerge w:val="continue"/>
                  <w:noWrap w:val="0"/>
                  <w:vAlign w:val="center"/>
                </w:tcPr>
                <w:p w14:paraId="77AFB428">
                  <w:pPr>
                    <w:adjustRightInd w:val="0"/>
                    <w:snapToGrid w:val="0"/>
                    <w:jc w:val="center"/>
                    <w:rPr>
                      <w:rFonts w:hint="eastAsia" w:ascii="Times New Roman" w:hAnsi="Times New Roman" w:eastAsia="宋体" w:cs="Times New Roman"/>
                      <w:color w:val="auto"/>
                      <w:szCs w:val="21"/>
                      <w:lang w:val="en-US" w:eastAsia="zh-CN"/>
                    </w:rPr>
                  </w:pPr>
                </w:p>
              </w:tc>
              <w:tc>
                <w:tcPr>
                  <w:tcW w:w="631" w:type="pct"/>
                  <w:noWrap w:val="0"/>
                  <w:vAlign w:val="center"/>
                </w:tcPr>
                <w:p w14:paraId="78BA6869">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喷漆（油性漆）</w:t>
                  </w:r>
                </w:p>
              </w:tc>
              <w:tc>
                <w:tcPr>
                  <w:tcW w:w="472" w:type="pct"/>
                  <w:noWrap w:val="0"/>
                  <w:vAlign w:val="center"/>
                </w:tcPr>
                <w:p w14:paraId="3DA23A7C">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所有规模</w:t>
                  </w:r>
                </w:p>
              </w:tc>
              <w:tc>
                <w:tcPr>
                  <w:tcW w:w="313" w:type="pct"/>
                  <w:noWrap w:val="0"/>
                  <w:vAlign w:val="center"/>
                </w:tcPr>
                <w:p w14:paraId="5F5A72E7">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废气</w:t>
                  </w:r>
                </w:p>
              </w:tc>
              <w:tc>
                <w:tcPr>
                  <w:tcW w:w="560" w:type="pct"/>
                  <w:noWrap w:val="0"/>
                  <w:vAlign w:val="center"/>
                </w:tcPr>
                <w:p w14:paraId="2B0F11E5">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挥发性有机物</w:t>
                  </w:r>
                </w:p>
              </w:tc>
              <w:tc>
                <w:tcPr>
                  <w:tcW w:w="451" w:type="pct"/>
                  <w:noWrap w:val="0"/>
                  <w:vAlign w:val="center"/>
                </w:tcPr>
                <w:p w14:paraId="363B0DFF">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kg/t-原料</w:t>
                  </w:r>
                </w:p>
              </w:tc>
              <w:tc>
                <w:tcPr>
                  <w:tcW w:w="485" w:type="pct"/>
                  <w:noWrap w:val="0"/>
                  <w:vAlign w:val="center"/>
                </w:tcPr>
                <w:p w14:paraId="765D7CC7">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486</w:t>
                  </w:r>
                </w:p>
              </w:tc>
              <w:tc>
                <w:tcPr>
                  <w:tcW w:w="545" w:type="pct"/>
                  <w:noWrap w:val="0"/>
                  <w:vAlign w:val="center"/>
                </w:tcPr>
                <w:p w14:paraId="729FC949">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催化燃烧法</w:t>
                  </w:r>
                </w:p>
              </w:tc>
              <w:tc>
                <w:tcPr>
                  <w:tcW w:w="557" w:type="pct"/>
                  <w:noWrap w:val="0"/>
                  <w:vAlign w:val="center"/>
                </w:tcPr>
                <w:p w14:paraId="1771E4BE">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85%</w:t>
                  </w:r>
                </w:p>
              </w:tc>
            </w:tr>
            <w:tr w14:paraId="2AB7A4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412" w:type="pct"/>
                  <w:vMerge w:val="continue"/>
                  <w:noWrap w:val="0"/>
                  <w:vAlign w:val="center"/>
                </w:tcPr>
                <w:p w14:paraId="0B5E88BF">
                  <w:pPr>
                    <w:adjustRightInd w:val="0"/>
                    <w:snapToGrid w:val="0"/>
                    <w:jc w:val="center"/>
                    <w:rPr>
                      <w:rFonts w:hint="eastAsia" w:ascii="Times New Roman" w:hAnsi="Times New Roman" w:eastAsia="宋体" w:cs="Times New Roman"/>
                      <w:color w:val="auto"/>
                      <w:szCs w:val="21"/>
                      <w:lang w:val="en-US" w:eastAsia="zh-CN"/>
                    </w:rPr>
                  </w:pPr>
                </w:p>
              </w:tc>
              <w:tc>
                <w:tcPr>
                  <w:tcW w:w="568" w:type="pct"/>
                  <w:vMerge w:val="continue"/>
                  <w:noWrap w:val="0"/>
                  <w:vAlign w:val="center"/>
                </w:tcPr>
                <w:p w14:paraId="011F8B41">
                  <w:pPr>
                    <w:adjustRightInd w:val="0"/>
                    <w:snapToGrid w:val="0"/>
                    <w:jc w:val="center"/>
                    <w:rPr>
                      <w:rFonts w:hint="eastAsia" w:ascii="Times New Roman" w:hAnsi="Times New Roman" w:eastAsia="宋体" w:cs="Times New Roman"/>
                      <w:color w:val="auto"/>
                      <w:szCs w:val="21"/>
                      <w:lang w:val="en-US" w:eastAsia="zh-CN"/>
                    </w:rPr>
                  </w:pPr>
                </w:p>
              </w:tc>
              <w:tc>
                <w:tcPr>
                  <w:tcW w:w="631" w:type="pct"/>
                  <w:noWrap w:val="0"/>
                  <w:vAlign w:val="center"/>
                </w:tcPr>
                <w:p w14:paraId="1EAB935D">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喷漆后烘干（油性漆）</w:t>
                  </w:r>
                </w:p>
              </w:tc>
              <w:tc>
                <w:tcPr>
                  <w:tcW w:w="472" w:type="pct"/>
                  <w:noWrap w:val="0"/>
                  <w:vAlign w:val="center"/>
                </w:tcPr>
                <w:p w14:paraId="745FEF14">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所有规模</w:t>
                  </w:r>
                </w:p>
              </w:tc>
              <w:tc>
                <w:tcPr>
                  <w:tcW w:w="313" w:type="pct"/>
                  <w:noWrap w:val="0"/>
                  <w:vAlign w:val="center"/>
                </w:tcPr>
                <w:p w14:paraId="5C8F5BAB">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废气</w:t>
                  </w:r>
                </w:p>
              </w:tc>
              <w:tc>
                <w:tcPr>
                  <w:tcW w:w="560" w:type="pct"/>
                  <w:noWrap w:val="0"/>
                  <w:vAlign w:val="center"/>
                </w:tcPr>
                <w:p w14:paraId="0C790D26">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挥发性有机物</w:t>
                  </w:r>
                </w:p>
              </w:tc>
              <w:tc>
                <w:tcPr>
                  <w:tcW w:w="451" w:type="pct"/>
                  <w:noWrap w:val="0"/>
                  <w:vAlign w:val="center"/>
                </w:tcPr>
                <w:p w14:paraId="5716617D">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kg/t-原料</w:t>
                  </w:r>
                </w:p>
              </w:tc>
              <w:tc>
                <w:tcPr>
                  <w:tcW w:w="485" w:type="pct"/>
                  <w:noWrap w:val="0"/>
                  <w:vAlign w:val="center"/>
                </w:tcPr>
                <w:p w14:paraId="0CA19019">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121</w:t>
                  </w:r>
                </w:p>
              </w:tc>
              <w:tc>
                <w:tcPr>
                  <w:tcW w:w="545" w:type="pct"/>
                  <w:noWrap w:val="0"/>
                  <w:vAlign w:val="center"/>
                </w:tcPr>
                <w:p w14:paraId="76413C83">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催化燃烧法</w:t>
                  </w:r>
                </w:p>
              </w:tc>
              <w:tc>
                <w:tcPr>
                  <w:tcW w:w="557" w:type="pct"/>
                  <w:noWrap w:val="0"/>
                  <w:vAlign w:val="center"/>
                </w:tcPr>
                <w:p w14:paraId="5BE1ED2B">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85%</w:t>
                  </w:r>
                </w:p>
              </w:tc>
            </w:tr>
          </w:tbl>
          <w:p w14:paraId="40F1CB62">
            <w:pPr>
              <w:spacing w:before="120" w:beforeLines="50"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本项目水性漆用量为14.47t/a，则水性漆喷漆</w:t>
            </w:r>
            <w:r>
              <w:rPr>
                <w:rFonts w:hint="eastAsia" w:cs="Times New Roman"/>
                <w:color w:val="auto"/>
                <w:sz w:val="24"/>
                <w:lang w:val="en-US" w:eastAsia="zh-CN"/>
              </w:rPr>
              <w:t>废气含</w:t>
            </w:r>
            <w:r>
              <w:rPr>
                <w:rFonts w:hint="eastAsia" w:ascii="Times New Roman" w:hAnsi="Times New Roman" w:eastAsia="宋体" w:cs="Times New Roman"/>
                <w:color w:val="auto"/>
                <w:sz w:val="24"/>
                <w:lang w:val="en-US" w:eastAsia="zh-CN"/>
              </w:rPr>
              <w:t>挥发性有机物</w:t>
            </w:r>
            <w:r>
              <w:rPr>
                <w:rFonts w:hint="eastAsia" w:cs="Times New Roman"/>
                <w:color w:val="auto"/>
                <w:sz w:val="24"/>
                <w:lang w:val="en-US" w:eastAsia="zh-CN"/>
              </w:rPr>
              <w:t>的</w:t>
            </w:r>
            <w:r>
              <w:rPr>
                <w:rFonts w:hint="eastAsia" w:ascii="Times New Roman" w:hAnsi="Times New Roman" w:eastAsia="宋体" w:cs="Times New Roman"/>
                <w:color w:val="auto"/>
                <w:sz w:val="24"/>
                <w:lang w:val="en-US" w:eastAsia="zh-CN"/>
              </w:rPr>
              <w:t>量约1.95t/a，水性漆喷漆后烘干（晾干）</w:t>
            </w:r>
            <w:r>
              <w:rPr>
                <w:rFonts w:hint="eastAsia" w:cs="Times New Roman"/>
                <w:color w:val="auto"/>
                <w:sz w:val="24"/>
                <w:lang w:val="en-US" w:eastAsia="zh-CN"/>
              </w:rPr>
              <w:t>废气含</w:t>
            </w:r>
            <w:r>
              <w:rPr>
                <w:rFonts w:hint="eastAsia" w:ascii="Times New Roman" w:hAnsi="Times New Roman" w:eastAsia="宋体" w:cs="Times New Roman"/>
                <w:color w:val="auto"/>
                <w:sz w:val="24"/>
                <w:lang w:val="en-US" w:eastAsia="zh-CN"/>
              </w:rPr>
              <w:t>挥发性有机物</w:t>
            </w:r>
            <w:r>
              <w:rPr>
                <w:rFonts w:hint="eastAsia" w:cs="Times New Roman"/>
                <w:color w:val="auto"/>
                <w:sz w:val="24"/>
                <w:lang w:val="en-US" w:eastAsia="zh-CN"/>
              </w:rPr>
              <w:t>的</w:t>
            </w:r>
            <w:r>
              <w:rPr>
                <w:rFonts w:hint="eastAsia" w:ascii="Times New Roman" w:hAnsi="Times New Roman" w:eastAsia="宋体" w:cs="Times New Roman"/>
                <w:color w:val="auto"/>
                <w:sz w:val="24"/>
                <w:lang w:val="en-US" w:eastAsia="zh-CN"/>
              </w:rPr>
              <w:t>量约0.22t/a；本项目油性漆（含稀释剂）用量为8.62t/a，则油性漆喷漆</w:t>
            </w:r>
            <w:r>
              <w:rPr>
                <w:rFonts w:hint="eastAsia" w:cs="Times New Roman"/>
                <w:color w:val="auto"/>
                <w:sz w:val="24"/>
                <w:lang w:val="en-US" w:eastAsia="zh-CN"/>
              </w:rPr>
              <w:t>废气含</w:t>
            </w:r>
            <w:r>
              <w:rPr>
                <w:rFonts w:hint="eastAsia" w:ascii="Times New Roman" w:hAnsi="Times New Roman" w:eastAsia="宋体" w:cs="Times New Roman"/>
                <w:color w:val="auto"/>
                <w:sz w:val="24"/>
                <w:lang w:val="en-US" w:eastAsia="zh-CN"/>
              </w:rPr>
              <w:t>挥发性有机物</w:t>
            </w:r>
            <w:r>
              <w:rPr>
                <w:rFonts w:hint="eastAsia" w:cs="Times New Roman"/>
                <w:color w:val="auto"/>
                <w:sz w:val="24"/>
                <w:lang w:val="en-US" w:eastAsia="zh-CN"/>
              </w:rPr>
              <w:t>的</w:t>
            </w:r>
            <w:r>
              <w:rPr>
                <w:rFonts w:hint="eastAsia" w:ascii="Times New Roman" w:hAnsi="Times New Roman" w:eastAsia="宋体" w:cs="Times New Roman"/>
                <w:color w:val="auto"/>
                <w:sz w:val="24"/>
                <w:lang w:val="en-US" w:eastAsia="zh-CN"/>
              </w:rPr>
              <w:t>量约4.19t/a，油性漆喷漆后烘干（晾干）</w:t>
            </w:r>
            <w:r>
              <w:rPr>
                <w:rFonts w:hint="eastAsia" w:cs="Times New Roman"/>
                <w:color w:val="auto"/>
                <w:sz w:val="24"/>
                <w:lang w:val="en-US" w:eastAsia="zh-CN"/>
              </w:rPr>
              <w:t>废气含</w:t>
            </w:r>
            <w:r>
              <w:rPr>
                <w:rFonts w:hint="eastAsia" w:ascii="Times New Roman" w:hAnsi="Times New Roman" w:eastAsia="宋体" w:cs="Times New Roman"/>
                <w:color w:val="auto"/>
                <w:sz w:val="24"/>
                <w:lang w:val="en-US" w:eastAsia="zh-CN"/>
              </w:rPr>
              <w:t>挥发性有机物</w:t>
            </w:r>
            <w:r>
              <w:rPr>
                <w:rFonts w:hint="eastAsia" w:cs="Times New Roman"/>
                <w:color w:val="auto"/>
                <w:sz w:val="24"/>
                <w:lang w:val="en-US" w:eastAsia="zh-CN"/>
              </w:rPr>
              <w:t>的</w:t>
            </w:r>
            <w:r>
              <w:rPr>
                <w:rFonts w:hint="eastAsia" w:ascii="Times New Roman" w:hAnsi="Times New Roman" w:eastAsia="宋体" w:cs="Times New Roman"/>
                <w:color w:val="auto"/>
                <w:sz w:val="24"/>
                <w:lang w:val="en-US" w:eastAsia="zh-CN"/>
              </w:rPr>
              <w:t>量约1.04t/a。</w:t>
            </w:r>
          </w:p>
          <w:p w14:paraId="6A557A2D">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w:t>
            </w:r>
            <w:r>
              <w:rPr>
                <w:rFonts w:hint="eastAsia" w:ascii="Times New Roman" w:hAnsi="Times New Roman" w:eastAsia="宋体" w:cs="Times New Roman"/>
                <w:color w:val="auto"/>
                <w:sz w:val="24"/>
              </w:rPr>
              <w:t>项目喷涂前需先在喷漆房内按比例进行调漆</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一般</w:t>
            </w:r>
            <w:r>
              <w:rPr>
                <w:rFonts w:hint="eastAsia" w:ascii="Times New Roman" w:hAnsi="Times New Roman" w:eastAsia="宋体" w:cs="Times New Roman"/>
                <w:color w:val="auto"/>
                <w:sz w:val="24"/>
                <w:lang w:val="en-US" w:eastAsia="zh-CN"/>
              </w:rPr>
              <w:t>每日需</w:t>
            </w:r>
            <w:r>
              <w:rPr>
                <w:rFonts w:hint="eastAsia" w:ascii="Times New Roman" w:hAnsi="Times New Roman" w:eastAsia="宋体" w:cs="Times New Roman"/>
                <w:color w:val="auto"/>
                <w:sz w:val="24"/>
              </w:rPr>
              <w:t>调</w:t>
            </w:r>
            <w:r>
              <w:rPr>
                <w:rFonts w:hint="eastAsia" w:ascii="Times New Roman" w:hAnsi="Times New Roman" w:eastAsia="宋体" w:cs="Times New Roman"/>
                <w:color w:val="auto"/>
                <w:sz w:val="24"/>
                <w:lang w:val="en-US" w:eastAsia="zh-CN"/>
              </w:rPr>
              <w:t>漆</w:t>
            </w:r>
            <w:r>
              <w:rPr>
                <w:rFonts w:hint="eastAsia" w:ascii="Times New Roman" w:hAnsi="Times New Roman" w:eastAsia="宋体" w:cs="Times New Roman"/>
                <w:color w:val="auto"/>
                <w:sz w:val="24"/>
              </w:rPr>
              <w:t>一次，一次调漆时间约0.5h，调漆</w:t>
            </w:r>
            <w:r>
              <w:rPr>
                <w:rFonts w:hint="eastAsia" w:cs="Times New Roman"/>
                <w:color w:val="auto"/>
                <w:sz w:val="24"/>
                <w:lang w:val="en-US" w:eastAsia="zh-CN"/>
              </w:rPr>
              <w:t>废气含</w:t>
            </w:r>
            <w:r>
              <w:rPr>
                <w:rFonts w:hint="eastAsia" w:ascii="Times New Roman" w:hAnsi="Times New Roman" w:eastAsia="宋体" w:cs="Times New Roman"/>
                <w:color w:val="auto"/>
                <w:sz w:val="24"/>
                <w:lang w:val="en-US" w:eastAsia="zh-CN"/>
              </w:rPr>
              <w:t>挥发性有机物</w:t>
            </w:r>
            <w:r>
              <w:rPr>
                <w:rFonts w:hint="eastAsia" w:cs="Times New Roman"/>
                <w:color w:val="auto"/>
                <w:sz w:val="24"/>
                <w:lang w:val="en-US" w:eastAsia="zh-CN"/>
              </w:rPr>
              <w:t>的</w:t>
            </w:r>
            <w:r>
              <w:rPr>
                <w:rFonts w:hint="eastAsia" w:ascii="Times New Roman" w:hAnsi="Times New Roman" w:eastAsia="宋体" w:cs="Times New Roman"/>
                <w:color w:val="auto"/>
                <w:sz w:val="24"/>
                <w:lang w:val="en-US" w:eastAsia="zh-CN"/>
              </w:rPr>
              <w:t>量按喷漆</w:t>
            </w:r>
            <w:r>
              <w:rPr>
                <w:rFonts w:hint="eastAsia" w:cs="Times New Roman"/>
                <w:color w:val="auto"/>
                <w:sz w:val="24"/>
                <w:lang w:val="en-US" w:eastAsia="zh-CN"/>
              </w:rPr>
              <w:t>废气含</w:t>
            </w:r>
            <w:r>
              <w:rPr>
                <w:rFonts w:hint="eastAsia" w:ascii="Times New Roman" w:hAnsi="Times New Roman" w:eastAsia="宋体" w:cs="Times New Roman"/>
                <w:color w:val="auto"/>
                <w:sz w:val="24"/>
                <w:lang w:val="en-US" w:eastAsia="zh-CN"/>
              </w:rPr>
              <w:t>挥发性有机物</w:t>
            </w:r>
            <w:r>
              <w:rPr>
                <w:rFonts w:hint="eastAsia" w:cs="Times New Roman"/>
                <w:color w:val="auto"/>
                <w:sz w:val="24"/>
                <w:lang w:val="en-US" w:eastAsia="zh-CN"/>
              </w:rPr>
              <w:t>的</w:t>
            </w:r>
            <w:r>
              <w:rPr>
                <w:rFonts w:hint="eastAsia" w:ascii="Times New Roman" w:hAnsi="Times New Roman" w:eastAsia="宋体" w:cs="Times New Roman"/>
                <w:color w:val="auto"/>
                <w:sz w:val="24"/>
                <w:lang w:val="en-US" w:eastAsia="zh-CN"/>
              </w:rPr>
              <w:t>量的10%计，项目水性漆和油性漆喷漆</w:t>
            </w:r>
            <w:r>
              <w:rPr>
                <w:rFonts w:hint="eastAsia" w:cs="Times New Roman"/>
                <w:color w:val="auto"/>
                <w:sz w:val="24"/>
                <w:lang w:val="en-US" w:eastAsia="zh-CN"/>
              </w:rPr>
              <w:t>废气含</w:t>
            </w:r>
            <w:r>
              <w:rPr>
                <w:rFonts w:hint="eastAsia" w:ascii="Times New Roman" w:hAnsi="Times New Roman" w:eastAsia="宋体" w:cs="Times New Roman"/>
                <w:color w:val="auto"/>
                <w:sz w:val="24"/>
                <w:lang w:val="en-US" w:eastAsia="zh-CN"/>
              </w:rPr>
              <w:t>挥发性有机物</w:t>
            </w:r>
            <w:r>
              <w:rPr>
                <w:rFonts w:hint="eastAsia" w:cs="Times New Roman"/>
                <w:color w:val="auto"/>
                <w:sz w:val="24"/>
                <w:lang w:val="en-US" w:eastAsia="zh-CN"/>
              </w:rPr>
              <w:t>的</w:t>
            </w:r>
            <w:r>
              <w:rPr>
                <w:rFonts w:hint="eastAsia" w:ascii="Times New Roman" w:hAnsi="Times New Roman" w:eastAsia="宋体" w:cs="Times New Roman"/>
                <w:color w:val="auto"/>
                <w:sz w:val="24"/>
                <w:lang w:val="en-US" w:eastAsia="zh-CN"/>
              </w:rPr>
              <w:t>量约6.14t/a，则调漆废气含挥发性有机物的量约0.61t/a。</w:t>
            </w:r>
          </w:p>
          <w:p w14:paraId="46862174">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涂装工序挥发性有机物（非甲烷总烃）总产生量为8.01t/a。根据表2-5油性漆成分组分及占比一览表，以油性漆中甲苯、二甲苯最不利情况（二甲苯取成分组分最大占比）估算，涂装工序挥发性有机物中，甲苯产生量约0.08t/a，二甲苯产生量约0.70t/a。</w:t>
            </w:r>
          </w:p>
          <w:p w14:paraId="13B0143D">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项目调漆、喷漆、晾干过程中，喷漆房关闭进出口，保持密闭，同时开启送排风系统，风量25000m³/h，使喷漆房处于负压状态，废气收集效率为99%，则挥发性有机物（非甲烷总烃）有组织产生量约7.93t/a，其中甲苯有组织产生量约0.079t/a，二甲苯有组织产生量约0.693t/a。</w:t>
            </w:r>
          </w:p>
          <w:p w14:paraId="70503E21">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本项目涂装废气采用“干式漆雾过滤模组+活性炭吸附-脱附+催化燃烧装置”处理后通过20m排气筒（DA003）排放</w:t>
            </w:r>
            <w:r>
              <w:rPr>
                <w:rFonts w:hint="eastAsia" w:cs="Times New Roman"/>
                <w:color w:val="auto"/>
                <w:sz w:val="24"/>
                <w:lang w:val="en-US" w:eastAsia="zh-CN"/>
              </w:rPr>
              <w:t>。</w:t>
            </w:r>
            <w:r>
              <w:rPr>
                <w:rFonts w:hint="eastAsia" w:cs="Times New Roman"/>
                <w:color w:val="0000FF"/>
                <w:sz w:val="24"/>
                <w:lang w:val="en-US" w:eastAsia="zh-CN"/>
              </w:rPr>
              <w:t>按照《吸附法工业有机废气治理工程技术规范》（HJ2026-2013）工艺设计一般规定，“吸附装置的净化效率不得低于90%”；《催化燃烧法工业有机废气治理工程技术规范》（HJ2027-2013）工艺设计一般规定，“催化燃烧装置的净化效率不得低于97%”，本项目采用“活性炭吸附-脱附-催化燃烧装置”组合技术处理有机废气，净化效率取90</w:t>
            </w:r>
            <w:r>
              <w:rPr>
                <w:rFonts w:hint="eastAsia" w:ascii="Times New Roman" w:hAnsi="Times New Roman" w:eastAsia="宋体" w:cs="Times New Roman"/>
                <w:color w:val="0000FF"/>
                <w:sz w:val="24"/>
                <w:lang w:val="en-US" w:eastAsia="zh-CN"/>
              </w:rPr>
              <w:t>%，经计算，涂装工序挥发性有机物（非甲烷总烃）有组织排放量约</w:t>
            </w:r>
            <w:r>
              <w:rPr>
                <w:rFonts w:hint="eastAsia" w:cs="Times New Roman"/>
                <w:color w:val="0000FF"/>
                <w:sz w:val="24"/>
                <w:lang w:val="en-US" w:eastAsia="zh-CN"/>
              </w:rPr>
              <w:t>0.79</w:t>
            </w:r>
            <w:r>
              <w:rPr>
                <w:rFonts w:hint="eastAsia" w:ascii="Times New Roman" w:hAnsi="Times New Roman" w:eastAsia="宋体" w:cs="Times New Roman"/>
                <w:color w:val="0000FF"/>
                <w:sz w:val="24"/>
                <w:lang w:val="en-US" w:eastAsia="zh-CN"/>
              </w:rPr>
              <w:t>t/a，其中甲苯有组织排放量为0.0</w:t>
            </w:r>
            <w:r>
              <w:rPr>
                <w:rFonts w:hint="eastAsia" w:cs="Times New Roman"/>
                <w:color w:val="0000FF"/>
                <w:sz w:val="24"/>
                <w:lang w:val="en-US" w:eastAsia="zh-CN"/>
              </w:rPr>
              <w:t>08</w:t>
            </w:r>
            <w:r>
              <w:rPr>
                <w:rFonts w:hint="eastAsia" w:ascii="Times New Roman" w:hAnsi="Times New Roman" w:eastAsia="宋体" w:cs="Times New Roman"/>
                <w:color w:val="0000FF"/>
                <w:sz w:val="24"/>
                <w:lang w:val="en-US" w:eastAsia="zh-CN"/>
              </w:rPr>
              <w:t>t/a，二甲苯有组织排放量为0.</w:t>
            </w:r>
            <w:r>
              <w:rPr>
                <w:rFonts w:hint="eastAsia" w:cs="Times New Roman"/>
                <w:color w:val="0000FF"/>
                <w:sz w:val="24"/>
                <w:lang w:val="en-US" w:eastAsia="zh-CN"/>
              </w:rPr>
              <w:t>069</w:t>
            </w:r>
            <w:r>
              <w:rPr>
                <w:rFonts w:hint="eastAsia" w:ascii="Times New Roman" w:hAnsi="Times New Roman" w:eastAsia="宋体" w:cs="Times New Roman"/>
                <w:color w:val="0000FF"/>
                <w:sz w:val="24"/>
                <w:lang w:val="en-US" w:eastAsia="zh-CN"/>
              </w:rPr>
              <w:t>t/a。</w:t>
            </w:r>
            <w:r>
              <w:rPr>
                <w:rFonts w:hint="eastAsia" w:ascii="Times New Roman" w:hAnsi="Times New Roman" w:eastAsia="宋体" w:cs="Times New Roman"/>
                <w:color w:val="auto"/>
                <w:sz w:val="24"/>
                <w:lang w:val="en-US" w:eastAsia="zh-CN"/>
              </w:rPr>
              <w:t>未被收集的挥发性有机物（非甲烷总烃）以无组织形式排放，涂装工序挥发性有机物（非甲烷总烃）无组织排放量为0.08t/a，排放速率为0.03kg/h，其中甲苯无组织排放量为0.001t/a，排放速率为0.0004kg/h，二甲苯无组织排放量为0.007t/a，排放速率为0.0029kg/h。</w:t>
            </w:r>
          </w:p>
          <w:p w14:paraId="1C86EB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本项目运营期废气污染物产排情况及污染治理措施见表4-5，废气排放口基本信息见表4-6。</w:t>
            </w:r>
          </w:p>
          <w:p w14:paraId="1D59C08F">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imes New Roman" w:hAnsi="Times New Roman" w:eastAsia="宋体" w:cs="Times New Roman"/>
                <w:b/>
                <w:bCs/>
                <w:color w:val="auto"/>
                <w:lang w:val="en-US" w:eastAsia="zh-CN"/>
              </w:rPr>
            </w:pPr>
          </w:p>
          <w:p w14:paraId="08309AD0">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imes New Roman" w:hAnsi="Times New Roman" w:eastAsia="宋体" w:cs="Times New Roman"/>
                <w:b/>
                <w:bCs/>
                <w:color w:val="auto"/>
                <w:lang w:val="en-US" w:eastAsia="zh-CN"/>
              </w:rPr>
            </w:pPr>
          </w:p>
          <w:p w14:paraId="4B2D7AC7">
            <w:pPr>
              <w:keepNext w:val="0"/>
              <w:keepLines w:val="0"/>
              <w:pageBreakBefore w:val="0"/>
              <w:widowControl w:val="0"/>
              <w:kinsoku/>
              <w:wordWrap/>
              <w:overflowPunct/>
              <w:topLinePunct w:val="0"/>
              <w:autoSpaceDE/>
              <w:autoSpaceDN/>
              <w:bidi w:val="0"/>
              <w:adjustRightInd/>
              <w:snapToGrid/>
              <w:spacing w:before="157" w:beforeLines="50" w:line="300" w:lineRule="auto"/>
              <w:jc w:val="center"/>
              <w:textAlignment w:val="auto"/>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表4-5 废气污染物产排情况汇总表</w:t>
            </w:r>
          </w:p>
          <w:tbl>
            <w:tblPr>
              <w:tblStyle w:val="26"/>
              <w:tblW w:w="8069"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64"/>
              <w:gridCol w:w="375"/>
              <w:gridCol w:w="784"/>
              <w:gridCol w:w="608"/>
              <w:gridCol w:w="725"/>
              <w:gridCol w:w="608"/>
              <w:gridCol w:w="1992"/>
              <w:gridCol w:w="483"/>
              <w:gridCol w:w="609"/>
              <w:gridCol w:w="691"/>
              <w:gridCol w:w="630"/>
            </w:tblGrid>
            <w:tr w14:paraId="52EFB9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49" w:type="pct"/>
                  <w:vMerge w:val="restart"/>
                  <w:tcBorders>
                    <w:bottom w:val="single" w:color="auto" w:sz="12" w:space="0"/>
                  </w:tcBorders>
                  <w:noWrap w:val="0"/>
                  <w:vAlign w:val="center"/>
                </w:tcPr>
                <w:p w14:paraId="41F76FEE">
                  <w:pPr>
                    <w:adjustRightInd w:val="0"/>
                    <w:snapToGrid w:val="0"/>
                    <w:jc w:val="center"/>
                    <w:rPr>
                      <w:b/>
                      <w:bCs/>
                      <w:color w:val="auto"/>
                      <w:spacing w:val="-6"/>
                      <w:sz w:val="18"/>
                      <w:szCs w:val="21"/>
                    </w:rPr>
                  </w:pPr>
                  <w:r>
                    <w:rPr>
                      <w:rFonts w:hint="eastAsia"/>
                      <w:b/>
                      <w:bCs/>
                      <w:color w:val="auto"/>
                      <w:spacing w:val="-6"/>
                      <w:sz w:val="18"/>
                      <w:szCs w:val="21"/>
                    </w:rPr>
                    <w:t>产污环节</w:t>
                  </w:r>
                </w:p>
              </w:tc>
              <w:tc>
                <w:tcPr>
                  <w:tcW w:w="232" w:type="pct"/>
                  <w:vMerge w:val="restart"/>
                  <w:tcBorders>
                    <w:bottom w:val="single" w:color="auto" w:sz="12" w:space="0"/>
                  </w:tcBorders>
                  <w:noWrap w:val="0"/>
                  <w:vAlign w:val="center"/>
                </w:tcPr>
                <w:p w14:paraId="2F5DF868">
                  <w:pPr>
                    <w:adjustRightInd w:val="0"/>
                    <w:snapToGrid w:val="0"/>
                    <w:jc w:val="center"/>
                    <w:rPr>
                      <w:rFonts w:hint="eastAsia"/>
                      <w:b/>
                      <w:bCs/>
                      <w:color w:val="auto"/>
                      <w:spacing w:val="-6"/>
                      <w:sz w:val="18"/>
                      <w:szCs w:val="21"/>
                    </w:rPr>
                  </w:pPr>
                  <w:r>
                    <w:rPr>
                      <w:rFonts w:hint="eastAsia"/>
                      <w:b/>
                      <w:bCs/>
                      <w:color w:val="auto"/>
                      <w:spacing w:val="-6"/>
                      <w:sz w:val="18"/>
                      <w:szCs w:val="21"/>
                    </w:rPr>
                    <w:t>污染物</w:t>
                  </w:r>
                </w:p>
              </w:tc>
              <w:tc>
                <w:tcPr>
                  <w:tcW w:w="485" w:type="pct"/>
                  <w:vMerge w:val="restart"/>
                  <w:tcBorders>
                    <w:bottom w:val="single" w:color="auto" w:sz="12" w:space="0"/>
                  </w:tcBorders>
                  <w:noWrap w:val="0"/>
                  <w:vAlign w:val="center"/>
                </w:tcPr>
                <w:p w14:paraId="5A5D28B7">
                  <w:pPr>
                    <w:adjustRightInd w:val="0"/>
                    <w:snapToGrid w:val="0"/>
                    <w:jc w:val="center"/>
                    <w:rPr>
                      <w:rFonts w:hint="eastAsia"/>
                      <w:b/>
                      <w:bCs/>
                      <w:color w:val="auto"/>
                      <w:spacing w:val="-6"/>
                      <w:sz w:val="18"/>
                      <w:szCs w:val="21"/>
                    </w:rPr>
                  </w:pPr>
                  <w:r>
                    <w:rPr>
                      <w:rFonts w:hint="eastAsia"/>
                      <w:b/>
                      <w:bCs/>
                      <w:color w:val="auto"/>
                      <w:spacing w:val="-6"/>
                      <w:sz w:val="18"/>
                      <w:szCs w:val="21"/>
                    </w:rPr>
                    <w:t>风量</w:t>
                  </w:r>
                </w:p>
                <w:p w14:paraId="07768667">
                  <w:pPr>
                    <w:adjustRightInd w:val="0"/>
                    <w:snapToGrid w:val="0"/>
                    <w:jc w:val="center"/>
                    <w:rPr>
                      <w:rFonts w:hint="eastAsia"/>
                      <w:b/>
                      <w:bCs/>
                      <w:color w:val="auto"/>
                      <w:spacing w:val="-6"/>
                      <w:sz w:val="18"/>
                      <w:szCs w:val="21"/>
                    </w:rPr>
                  </w:pPr>
                  <w:r>
                    <w:rPr>
                      <w:rFonts w:hint="eastAsia"/>
                      <w:b/>
                      <w:bCs/>
                      <w:color w:val="auto"/>
                      <w:spacing w:val="-6"/>
                      <w:sz w:val="18"/>
                      <w:szCs w:val="21"/>
                    </w:rPr>
                    <w:t>m³/h</w:t>
                  </w:r>
                </w:p>
              </w:tc>
              <w:tc>
                <w:tcPr>
                  <w:tcW w:w="1202" w:type="pct"/>
                  <w:gridSpan w:val="3"/>
                  <w:noWrap w:val="0"/>
                  <w:vAlign w:val="center"/>
                </w:tcPr>
                <w:p w14:paraId="783BAE27">
                  <w:pPr>
                    <w:adjustRightInd w:val="0"/>
                    <w:snapToGrid w:val="0"/>
                    <w:jc w:val="center"/>
                    <w:rPr>
                      <w:rFonts w:hint="eastAsia"/>
                      <w:b/>
                      <w:bCs/>
                      <w:color w:val="auto"/>
                      <w:spacing w:val="-6"/>
                      <w:sz w:val="18"/>
                      <w:szCs w:val="21"/>
                    </w:rPr>
                  </w:pPr>
                  <w:r>
                    <w:rPr>
                      <w:rFonts w:hint="eastAsia"/>
                      <w:b/>
                      <w:bCs/>
                      <w:color w:val="auto"/>
                      <w:spacing w:val="-6"/>
                      <w:sz w:val="18"/>
                      <w:szCs w:val="21"/>
                    </w:rPr>
                    <w:t>污染物产生</w:t>
                  </w:r>
                </w:p>
              </w:tc>
              <w:tc>
                <w:tcPr>
                  <w:tcW w:w="1533" w:type="pct"/>
                  <w:gridSpan w:val="2"/>
                  <w:noWrap w:val="0"/>
                  <w:vAlign w:val="center"/>
                </w:tcPr>
                <w:p w14:paraId="41502343">
                  <w:pPr>
                    <w:adjustRightInd w:val="0"/>
                    <w:snapToGrid w:val="0"/>
                    <w:jc w:val="center"/>
                    <w:rPr>
                      <w:rFonts w:hint="eastAsia"/>
                      <w:b/>
                      <w:bCs/>
                      <w:color w:val="auto"/>
                      <w:spacing w:val="-6"/>
                      <w:sz w:val="18"/>
                      <w:szCs w:val="21"/>
                    </w:rPr>
                  </w:pPr>
                  <w:r>
                    <w:rPr>
                      <w:rFonts w:hint="eastAsia"/>
                      <w:b/>
                      <w:bCs/>
                      <w:color w:val="auto"/>
                      <w:spacing w:val="-6"/>
                      <w:sz w:val="18"/>
                      <w:szCs w:val="21"/>
                    </w:rPr>
                    <w:t>治理措施</w:t>
                  </w:r>
                </w:p>
              </w:tc>
              <w:tc>
                <w:tcPr>
                  <w:tcW w:w="1195" w:type="pct"/>
                  <w:gridSpan w:val="3"/>
                  <w:noWrap w:val="0"/>
                  <w:vAlign w:val="center"/>
                </w:tcPr>
                <w:p w14:paraId="50175712">
                  <w:pPr>
                    <w:adjustRightInd w:val="0"/>
                    <w:snapToGrid w:val="0"/>
                    <w:jc w:val="center"/>
                    <w:rPr>
                      <w:rFonts w:hint="eastAsia"/>
                      <w:b/>
                      <w:bCs/>
                      <w:color w:val="auto"/>
                      <w:spacing w:val="-6"/>
                      <w:sz w:val="18"/>
                      <w:szCs w:val="21"/>
                    </w:rPr>
                  </w:pPr>
                  <w:r>
                    <w:rPr>
                      <w:rFonts w:hint="eastAsia"/>
                      <w:b/>
                      <w:bCs/>
                      <w:color w:val="auto"/>
                      <w:spacing w:val="-6"/>
                      <w:sz w:val="18"/>
                      <w:szCs w:val="21"/>
                    </w:rPr>
                    <w:t>污染物排放</w:t>
                  </w:r>
                </w:p>
              </w:tc>
            </w:tr>
            <w:tr w14:paraId="7F7EF1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349" w:type="pct"/>
                  <w:vMerge w:val="continue"/>
                  <w:tcBorders>
                    <w:top w:val="single" w:color="auto" w:sz="12" w:space="0"/>
                    <w:bottom w:val="single" w:color="auto" w:sz="12" w:space="0"/>
                  </w:tcBorders>
                  <w:noWrap w:val="0"/>
                  <w:vAlign w:val="center"/>
                </w:tcPr>
                <w:p w14:paraId="2D4C42F1">
                  <w:pPr>
                    <w:adjustRightInd w:val="0"/>
                    <w:snapToGrid w:val="0"/>
                    <w:jc w:val="center"/>
                    <w:rPr>
                      <w:color w:val="auto"/>
                      <w:spacing w:val="-6"/>
                      <w:sz w:val="18"/>
                      <w:szCs w:val="21"/>
                    </w:rPr>
                  </w:pPr>
                </w:p>
              </w:tc>
              <w:tc>
                <w:tcPr>
                  <w:tcW w:w="232" w:type="pct"/>
                  <w:vMerge w:val="continue"/>
                  <w:tcBorders>
                    <w:top w:val="single" w:color="auto" w:sz="12" w:space="0"/>
                    <w:bottom w:val="single" w:color="auto" w:sz="12" w:space="0"/>
                  </w:tcBorders>
                  <w:noWrap w:val="0"/>
                  <w:vAlign w:val="center"/>
                </w:tcPr>
                <w:p w14:paraId="41493758">
                  <w:pPr>
                    <w:adjustRightInd w:val="0"/>
                    <w:snapToGrid w:val="0"/>
                    <w:jc w:val="center"/>
                    <w:rPr>
                      <w:color w:val="auto"/>
                      <w:spacing w:val="-6"/>
                      <w:sz w:val="18"/>
                      <w:szCs w:val="21"/>
                    </w:rPr>
                  </w:pPr>
                </w:p>
              </w:tc>
              <w:tc>
                <w:tcPr>
                  <w:tcW w:w="485" w:type="pct"/>
                  <w:vMerge w:val="continue"/>
                  <w:tcBorders>
                    <w:top w:val="single" w:color="auto" w:sz="12" w:space="0"/>
                    <w:bottom w:val="single" w:color="auto" w:sz="12" w:space="0"/>
                  </w:tcBorders>
                  <w:noWrap w:val="0"/>
                  <w:vAlign w:val="center"/>
                </w:tcPr>
                <w:p w14:paraId="055C8338">
                  <w:pPr>
                    <w:adjustRightInd w:val="0"/>
                    <w:snapToGrid w:val="0"/>
                    <w:jc w:val="center"/>
                    <w:rPr>
                      <w:rFonts w:hint="eastAsia"/>
                      <w:color w:val="auto"/>
                      <w:spacing w:val="-6"/>
                      <w:sz w:val="18"/>
                      <w:szCs w:val="21"/>
                    </w:rPr>
                  </w:pPr>
                </w:p>
              </w:tc>
              <w:tc>
                <w:tcPr>
                  <w:tcW w:w="376" w:type="pct"/>
                  <w:tcBorders>
                    <w:bottom w:val="single" w:color="auto" w:sz="12" w:space="0"/>
                  </w:tcBorders>
                  <w:noWrap w:val="0"/>
                  <w:vAlign w:val="center"/>
                </w:tcPr>
                <w:p w14:paraId="1A74A274">
                  <w:pPr>
                    <w:adjustRightInd w:val="0"/>
                    <w:snapToGrid w:val="0"/>
                    <w:jc w:val="center"/>
                    <w:rPr>
                      <w:rFonts w:hint="eastAsia"/>
                      <w:b/>
                      <w:bCs/>
                      <w:color w:val="auto"/>
                      <w:spacing w:val="-6"/>
                      <w:sz w:val="18"/>
                      <w:szCs w:val="21"/>
                    </w:rPr>
                  </w:pPr>
                  <w:r>
                    <w:rPr>
                      <w:rFonts w:hint="eastAsia"/>
                      <w:b/>
                      <w:bCs/>
                      <w:color w:val="auto"/>
                      <w:spacing w:val="-6"/>
                      <w:sz w:val="18"/>
                      <w:szCs w:val="21"/>
                      <w:lang w:val="en-US" w:eastAsia="zh-CN"/>
                    </w:rPr>
                    <w:t>产生</w:t>
                  </w:r>
                  <w:r>
                    <w:rPr>
                      <w:rFonts w:hint="eastAsia"/>
                      <w:b/>
                      <w:bCs/>
                      <w:color w:val="auto"/>
                      <w:spacing w:val="-6"/>
                      <w:sz w:val="18"/>
                      <w:szCs w:val="21"/>
                    </w:rPr>
                    <w:t>浓度</w:t>
                  </w:r>
                </w:p>
                <w:p w14:paraId="072F4626">
                  <w:pPr>
                    <w:adjustRightInd w:val="0"/>
                    <w:snapToGrid w:val="0"/>
                    <w:jc w:val="center"/>
                    <w:rPr>
                      <w:rFonts w:hint="eastAsia"/>
                      <w:b/>
                      <w:bCs/>
                      <w:color w:val="auto"/>
                      <w:spacing w:val="-6"/>
                      <w:sz w:val="18"/>
                      <w:szCs w:val="21"/>
                    </w:rPr>
                  </w:pPr>
                  <w:r>
                    <w:rPr>
                      <w:rFonts w:hint="eastAsia"/>
                      <w:b/>
                      <w:bCs/>
                      <w:color w:val="auto"/>
                      <w:spacing w:val="-11"/>
                      <w:sz w:val="15"/>
                      <w:szCs w:val="18"/>
                    </w:rPr>
                    <w:t>mg/m³</w:t>
                  </w:r>
                </w:p>
              </w:tc>
              <w:tc>
                <w:tcPr>
                  <w:tcW w:w="449" w:type="pct"/>
                  <w:tcBorders>
                    <w:bottom w:val="single" w:color="auto" w:sz="12" w:space="0"/>
                  </w:tcBorders>
                  <w:noWrap w:val="0"/>
                  <w:vAlign w:val="center"/>
                </w:tcPr>
                <w:p w14:paraId="58682FBC">
                  <w:pPr>
                    <w:adjustRightInd w:val="0"/>
                    <w:snapToGrid w:val="0"/>
                    <w:jc w:val="center"/>
                    <w:rPr>
                      <w:rFonts w:hint="eastAsia"/>
                      <w:b/>
                      <w:bCs/>
                      <w:color w:val="auto"/>
                      <w:spacing w:val="-6"/>
                      <w:sz w:val="18"/>
                      <w:szCs w:val="21"/>
                    </w:rPr>
                  </w:pPr>
                  <w:r>
                    <w:rPr>
                      <w:rFonts w:hint="eastAsia"/>
                      <w:b/>
                      <w:bCs/>
                      <w:color w:val="auto"/>
                      <w:spacing w:val="-6"/>
                      <w:sz w:val="18"/>
                      <w:szCs w:val="21"/>
                    </w:rPr>
                    <w:t>产生速率</w:t>
                  </w:r>
                  <w:r>
                    <w:rPr>
                      <w:rFonts w:hint="eastAsia"/>
                      <w:b/>
                      <w:bCs/>
                      <w:color w:val="auto"/>
                      <w:spacing w:val="-6"/>
                      <w:sz w:val="16"/>
                      <w:szCs w:val="20"/>
                    </w:rPr>
                    <w:t>kg/h</w:t>
                  </w:r>
                </w:p>
              </w:tc>
              <w:tc>
                <w:tcPr>
                  <w:tcW w:w="376" w:type="pct"/>
                  <w:tcBorders>
                    <w:bottom w:val="single" w:color="auto" w:sz="12" w:space="0"/>
                  </w:tcBorders>
                  <w:noWrap w:val="0"/>
                  <w:vAlign w:val="center"/>
                </w:tcPr>
                <w:p w14:paraId="6BB8B922">
                  <w:pPr>
                    <w:adjustRightInd w:val="0"/>
                    <w:snapToGrid w:val="0"/>
                    <w:jc w:val="center"/>
                    <w:rPr>
                      <w:b/>
                      <w:bCs/>
                      <w:color w:val="auto"/>
                      <w:spacing w:val="-6"/>
                      <w:sz w:val="18"/>
                      <w:szCs w:val="21"/>
                    </w:rPr>
                  </w:pPr>
                  <w:r>
                    <w:rPr>
                      <w:rFonts w:hint="eastAsia"/>
                      <w:b/>
                      <w:bCs/>
                      <w:color w:val="auto"/>
                      <w:spacing w:val="-6"/>
                      <w:sz w:val="18"/>
                      <w:szCs w:val="21"/>
                    </w:rPr>
                    <w:t>产生量t/a</w:t>
                  </w:r>
                </w:p>
              </w:tc>
              <w:tc>
                <w:tcPr>
                  <w:tcW w:w="1234" w:type="pct"/>
                  <w:tcBorders>
                    <w:bottom w:val="single" w:color="auto" w:sz="12" w:space="0"/>
                  </w:tcBorders>
                  <w:noWrap w:val="0"/>
                  <w:vAlign w:val="center"/>
                </w:tcPr>
                <w:p w14:paraId="3B01B681">
                  <w:pPr>
                    <w:adjustRightInd w:val="0"/>
                    <w:snapToGrid w:val="0"/>
                    <w:jc w:val="center"/>
                    <w:rPr>
                      <w:rFonts w:hint="eastAsia"/>
                      <w:b/>
                      <w:bCs/>
                      <w:color w:val="auto"/>
                      <w:spacing w:val="-6"/>
                      <w:sz w:val="18"/>
                      <w:szCs w:val="21"/>
                    </w:rPr>
                  </w:pPr>
                  <w:r>
                    <w:rPr>
                      <w:rFonts w:hint="eastAsia"/>
                      <w:b/>
                      <w:bCs/>
                      <w:color w:val="auto"/>
                      <w:spacing w:val="-6"/>
                      <w:sz w:val="18"/>
                      <w:szCs w:val="21"/>
                    </w:rPr>
                    <w:t>工艺</w:t>
                  </w:r>
                </w:p>
              </w:tc>
              <w:tc>
                <w:tcPr>
                  <w:tcW w:w="299" w:type="pct"/>
                  <w:tcBorders>
                    <w:bottom w:val="single" w:color="auto" w:sz="12" w:space="0"/>
                  </w:tcBorders>
                  <w:noWrap w:val="0"/>
                  <w:vAlign w:val="center"/>
                </w:tcPr>
                <w:p w14:paraId="44ACA5D1">
                  <w:pPr>
                    <w:adjustRightInd w:val="0"/>
                    <w:snapToGrid w:val="0"/>
                    <w:jc w:val="center"/>
                    <w:rPr>
                      <w:rFonts w:hint="eastAsia"/>
                      <w:b/>
                      <w:bCs/>
                      <w:color w:val="auto"/>
                      <w:spacing w:val="-6"/>
                      <w:sz w:val="18"/>
                      <w:szCs w:val="21"/>
                    </w:rPr>
                  </w:pPr>
                  <w:r>
                    <w:rPr>
                      <w:rFonts w:hint="eastAsia"/>
                      <w:b/>
                      <w:bCs/>
                      <w:color w:val="auto"/>
                      <w:spacing w:val="-6"/>
                      <w:sz w:val="18"/>
                      <w:szCs w:val="21"/>
                    </w:rPr>
                    <w:t>效率%</w:t>
                  </w:r>
                </w:p>
              </w:tc>
              <w:tc>
                <w:tcPr>
                  <w:tcW w:w="377" w:type="pct"/>
                  <w:tcBorders>
                    <w:bottom w:val="single" w:color="auto" w:sz="12" w:space="0"/>
                  </w:tcBorders>
                  <w:noWrap w:val="0"/>
                  <w:vAlign w:val="center"/>
                </w:tcPr>
                <w:p w14:paraId="36BC0863">
                  <w:pPr>
                    <w:adjustRightInd w:val="0"/>
                    <w:snapToGrid w:val="0"/>
                    <w:jc w:val="center"/>
                    <w:rPr>
                      <w:rFonts w:hint="eastAsia"/>
                      <w:b/>
                      <w:bCs/>
                      <w:color w:val="auto"/>
                      <w:spacing w:val="-6"/>
                      <w:sz w:val="18"/>
                      <w:szCs w:val="21"/>
                    </w:rPr>
                  </w:pPr>
                  <w:r>
                    <w:rPr>
                      <w:rFonts w:hint="eastAsia"/>
                      <w:b/>
                      <w:bCs/>
                      <w:color w:val="auto"/>
                      <w:spacing w:val="-6"/>
                      <w:sz w:val="18"/>
                      <w:szCs w:val="21"/>
                    </w:rPr>
                    <w:t>排放</w:t>
                  </w:r>
                </w:p>
                <w:p w14:paraId="6037A280">
                  <w:pPr>
                    <w:adjustRightInd w:val="0"/>
                    <w:snapToGrid w:val="0"/>
                    <w:jc w:val="center"/>
                    <w:rPr>
                      <w:rFonts w:hint="eastAsia"/>
                      <w:b/>
                      <w:bCs/>
                      <w:color w:val="auto"/>
                      <w:spacing w:val="-6"/>
                      <w:sz w:val="18"/>
                      <w:szCs w:val="21"/>
                    </w:rPr>
                  </w:pPr>
                  <w:r>
                    <w:rPr>
                      <w:rFonts w:hint="eastAsia"/>
                      <w:b/>
                      <w:bCs/>
                      <w:color w:val="auto"/>
                      <w:spacing w:val="-6"/>
                      <w:sz w:val="18"/>
                      <w:szCs w:val="21"/>
                    </w:rPr>
                    <w:t>浓度</w:t>
                  </w:r>
                </w:p>
                <w:p w14:paraId="0D5E462C">
                  <w:pPr>
                    <w:adjustRightInd w:val="0"/>
                    <w:snapToGrid w:val="0"/>
                    <w:jc w:val="center"/>
                    <w:rPr>
                      <w:rFonts w:hint="eastAsia"/>
                      <w:b/>
                      <w:bCs/>
                      <w:color w:val="auto"/>
                      <w:spacing w:val="-6"/>
                      <w:sz w:val="18"/>
                      <w:szCs w:val="21"/>
                    </w:rPr>
                  </w:pPr>
                  <w:r>
                    <w:rPr>
                      <w:rFonts w:hint="eastAsia"/>
                      <w:b/>
                      <w:bCs/>
                      <w:color w:val="auto"/>
                      <w:spacing w:val="-11"/>
                      <w:sz w:val="15"/>
                      <w:szCs w:val="18"/>
                    </w:rPr>
                    <w:t>mg/m³</w:t>
                  </w:r>
                </w:p>
              </w:tc>
              <w:tc>
                <w:tcPr>
                  <w:tcW w:w="428" w:type="pct"/>
                  <w:tcBorders>
                    <w:bottom w:val="single" w:color="auto" w:sz="12" w:space="0"/>
                  </w:tcBorders>
                  <w:noWrap w:val="0"/>
                  <w:vAlign w:val="center"/>
                </w:tcPr>
                <w:p w14:paraId="6CCC276A">
                  <w:pPr>
                    <w:adjustRightInd w:val="0"/>
                    <w:snapToGrid w:val="0"/>
                    <w:jc w:val="center"/>
                    <w:rPr>
                      <w:rFonts w:hint="eastAsia"/>
                      <w:b/>
                      <w:bCs/>
                      <w:color w:val="auto"/>
                      <w:spacing w:val="-6"/>
                      <w:sz w:val="18"/>
                      <w:szCs w:val="21"/>
                    </w:rPr>
                  </w:pPr>
                  <w:r>
                    <w:rPr>
                      <w:rFonts w:hint="eastAsia"/>
                      <w:b/>
                      <w:bCs/>
                      <w:color w:val="auto"/>
                      <w:spacing w:val="-6"/>
                      <w:sz w:val="18"/>
                      <w:szCs w:val="21"/>
                    </w:rPr>
                    <w:t>排放速率kg/h</w:t>
                  </w:r>
                </w:p>
              </w:tc>
              <w:tc>
                <w:tcPr>
                  <w:tcW w:w="390" w:type="pct"/>
                  <w:tcBorders>
                    <w:bottom w:val="single" w:color="auto" w:sz="12" w:space="0"/>
                  </w:tcBorders>
                  <w:noWrap w:val="0"/>
                  <w:vAlign w:val="center"/>
                </w:tcPr>
                <w:p w14:paraId="6F76BD0E">
                  <w:pPr>
                    <w:adjustRightInd w:val="0"/>
                    <w:snapToGrid w:val="0"/>
                    <w:jc w:val="center"/>
                    <w:rPr>
                      <w:rFonts w:hint="eastAsia"/>
                      <w:b/>
                      <w:bCs/>
                      <w:color w:val="auto"/>
                      <w:spacing w:val="-6"/>
                      <w:sz w:val="18"/>
                      <w:szCs w:val="21"/>
                    </w:rPr>
                  </w:pPr>
                  <w:r>
                    <w:rPr>
                      <w:rFonts w:hint="eastAsia"/>
                      <w:b/>
                      <w:bCs/>
                      <w:color w:val="auto"/>
                      <w:spacing w:val="-6"/>
                      <w:sz w:val="18"/>
                      <w:szCs w:val="21"/>
                    </w:rPr>
                    <w:t>排放量t/a</w:t>
                  </w:r>
                </w:p>
              </w:tc>
            </w:tr>
            <w:tr w14:paraId="6D35DF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349" w:type="pct"/>
                  <w:tcBorders>
                    <w:top w:val="single" w:color="auto" w:sz="12" w:space="0"/>
                    <w:bottom w:val="single" w:color="000000" w:sz="4" w:space="0"/>
                  </w:tcBorders>
                  <w:noWrap w:val="0"/>
                  <w:vAlign w:val="center"/>
                </w:tcPr>
                <w:p w14:paraId="10F4F3AD">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切割</w:t>
                  </w:r>
                </w:p>
              </w:tc>
              <w:tc>
                <w:tcPr>
                  <w:tcW w:w="232" w:type="pct"/>
                  <w:tcBorders>
                    <w:top w:val="single" w:color="auto" w:sz="12" w:space="0"/>
                    <w:bottom w:val="single" w:color="000000" w:sz="4" w:space="0"/>
                  </w:tcBorders>
                  <w:noWrap w:val="0"/>
                  <w:vAlign w:val="center"/>
                </w:tcPr>
                <w:p w14:paraId="3B0DA81C">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颗粒物</w:t>
                  </w:r>
                </w:p>
              </w:tc>
              <w:tc>
                <w:tcPr>
                  <w:tcW w:w="485" w:type="pct"/>
                  <w:tcBorders>
                    <w:top w:val="single" w:color="auto" w:sz="12" w:space="0"/>
                    <w:bottom w:val="single" w:color="000000" w:sz="4" w:space="0"/>
                  </w:tcBorders>
                  <w:noWrap w:val="0"/>
                  <w:vAlign w:val="center"/>
                </w:tcPr>
                <w:p w14:paraId="0B70C509">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无组织</w:t>
                  </w:r>
                </w:p>
              </w:tc>
              <w:tc>
                <w:tcPr>
                  <w:tcW w:w="376" w:type="pct"/>
                  <w:tcBorders>
                    <w:top w:val="single" w:color="auto" w:sz="12" w:space="0"/>
                    <w:bottom w:val="single" w:color="000000" w:sz="4" w:space="0"/>
                  </w:tcBorders>
                  <w:noWrap w:val="0"/>
                  <w:vAlign w:val="center"/>
                </w:tcPr>
                <w:p w14:paraId="632A20D0">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w:t>
                  </w:r>
                </w:p>
              </w:tc>
              <w:tc>
                <w:tcPr>
                  <w:tcW w:w="449" w:type="pct"/>
                  <w:tcBorders>
                    <w:top w:val="single" w:color="auto" w:sz="12" w:space="0"/>
                    <w:bottom w:val="single" w:color="000000" w:sz="4" w:space="0"/>
                  </w:tcBorders>
                  <w:noWrap w:val="0"/>
                  <w:vAlign w:val="center"/>
                </w:tcPr>
                <w:p w14:paraId="16F2357A">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10.83</w:t>
                  </w:r>
                </w:p>
              </w:tc>
              <w:tc>
                <w:tcPr>
                  <w:tcW w:w="376" w:type="pct"/>
                  <w:tcBorders>
                    <w:top w:val="single" w:color="auto" w:sz="12" w:space="0"/>
                    <w:bottom w:val="single" w:color="000000" w:sz="4" w:space="0"/>
                  </w:tcBorders>
                  <w:noWrap w:val="0"/>
                  <w:vAlign w:val="center"/>
                </w:tcPr>
                <w:p w14:paraId="64D2A2F2">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26</w:t>
                  </w:r>
                </w:p>
              </w:tc>
              <w:tc>
                <w:tcPr>
                  <w:tcW w:w="1234" w:type="pct"/>
                  <w:tcBorders>
                    <w:top w:val="single" w:color="auto" w:sz="12" w:space="0"/>
                    <w:bottom w:val="single" w:color="000000" w:sz="4" w:space="0"/>
                  </w:tcBorders>
                  <w:noWrap w:val="0"/>
                  <w:vAlign w:val="center"/>
                </w:tcPr>
                <w:p w14:paraId="3E484F60">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激光切割机自带</w:t>
                  </w:r>
                  <w:r>
                    <w:rPr>
                      <w:rFonts w:hint="eastAsia" w:cs="Times New Roman"/>
                      <w:color w:val="auto"/>
                      <w:spacing w:val="-6"/>
                      <w:sz w:val="18"/>
                      <w:szCs w:val="18"/>
                      <w:lang w:val="en-US" w:eastAsia="zh-CN"/>
                    </w:rPr>
                    <w:t>袋式除尘器；火焰切</w:t>
                  </w:r>
                  <w:r>
                    <w:rPr>
                      <w:rFonts w:hint="eastAsia" w:ascii="Times New Roman" w:hAnsi="Times New Roman" w:eastAsia="宋体" w:cs="Times New Roman"/>
                      <w:color w:val="auto"/>
                      <w:spacing w:val="-6"/>
                      <w:sz w:val="18"/>
                      <w:szCs w:val="18"/>
                      <w:lang w:val="en-US" w:eastAsia="zh-CN"/>
                    </w:rPr>
                    <w:t>割机设移动式烟尘净化器</w:t>
                  </w:r>
                </w:p>
              </w:tc>
              <w:tc>
                <w:tcPr>
                  <w:tcW w:w="299" w:type="pct"/>
                  <w:tcBorders>
                    <w:top w:val="single" w:color="auto" w:sz="12" w:space="0"/>
                    <w:bottom w:val="single" w:color="000000" w:sz="4" w:space="0"/>
                  </w:tcBorders>
                  <w:noWrap w:val="0"/>
                  <w:vAlign w:val="center"/>
                </w:tcPr>
                <w:p w14:paraId="572AB318">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99</w:t>
                  </w:r>
                  <w:r>
                    <w:rPr>
                      <w:rFonts w:hint="eastAsia" w:cs="Times New Roman"/>
                      <w:color w:val="auto"/>
                      <w:spacing w:val="-6"/>
                      <w:sz w:val="18"/>
                      <w:szCs w:val="18"/>
                      <w:lang w:val="en-US" w:eastAsia="zh-CN"/>
                    </w:rPr>
                    <w:t>；</w:t>
                  </w:r>
                </w:p>
                <w:p w14:paraId="3A985572">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95</w:t>
                  </w:r>
                </w:p>
              </w:tc>
              <w:tc>
                <w:tcPr>
                  <w:tcW w:w="377" w:type="pct"/>
                  <w:tcBorders>
                    <w:top w:val="single" w:color="auto" w:sz="12" w:space="0"/>
                    <w:bottom w:val="single" w:color="000000" w:sz="4" w:space="0"/>
                  </w:tcBorders>
                  <w:noWrap w:val="0"/>
                  <w:vAlign w:val="center"/>
                </w:tcPr>
                <w:p w14:paraId="625237AD">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w:t>
                  </w:r>
                </w:p>
              </w:tc>
              <w:tc>
                <w:tcPr>
                  <w:tcW w:w="428" w:type="pct"/>
                  <w:tcBorders>
                    <w:top w:val="single" w:color="auto" w:sz="12" w:space="0"/>
                    <w:bottom w:val="single" w:color="000000" w:sz="4" w:space="0"/>
                  </w:tcBorders>
                  <w:noWrap w:val="0"/>
                  <w:vAlign w:val="center"/>
                </w:tcPr>
                <w:p w14:paraId="0769B443">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0.14</w:t>
                  </w:r>
                </w:p>
              </w:tc>
              <w:tc>
                <w:tcPr>
                  <w:tcW w:w="390" w:type="pct"/>
                  <w:tcBorders>
                    <w:top w:val="single" w:color="auto" w:sz="12" w:space="0"/>
                    <w:bottom w:val="single" w:color="000000" w:sz="4" w:space="0"/>
                  </w:tcBorders>
                  <w:noWrap w:val="0"/>
                  <w:vAlign w:val="center"/>
                </w:tcPr>
                <w:p w14:paraId="75DFEE5A">
                  <w:pPr>
                    <w:adjustRightInd w:val="0"/>
                    <w:snapToGrid w:val="0"/>
                    <w:jc w:val="center"/>
                    <w:rPr>
                      <w:rFonts w:hint="eastAsia"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0.33</w:t>
                  </w:r>
                </w:p>
              </w:tc>
            </w:tr>
            <w:tr w14:paraId="6E4FE4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349" w:type="pct"/>
                  <w:vMerge w:val="restart"/>
                  <w:tcBorders>
                    <w:top w:val="single" w:color="000000" w:sz="4" w:space="0"/>
                    <w:left w:val="nil"/>
                    <w:bottom w:val="single" w:color="000000" w:sz="4" w:space="0"/>
                    <w:right w:val="single" w:color="000000" w:sz="4" w:space="0"/>
                  </w:tcBorders>
                  <w:noWrap w:val="0"/>
                  <w:vAlign w:val="center"/>
                </w:tcPr>
                <w:p w14:paraId="4FB4C7D4">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焊接打磨</w:t>
                  </w:r>
                </w:p>
              </w:tc>
              <w:tc>
                <w:tcPr>
                  <w:tcW w:w="232" w:type="pct"/>
                  <w:vMerge w:val="restart"/>
                  <w:tcBorders>
                    <w:top w:val="single" w:color="000000" w:sz="4" w:space="0"/>
                    <w:left w:val="single" w:color="000000" w:sz="4" w:space="0"/>
                    <w:bottom w:val="single" w:color="000000" w:sz="4" w:space="0"/>
                    <w:right w:val="single" w:color="000000" w:sz="4" w:space="0"/>
                  </w:tcBorders>
                  <w:noWrap w:val="0"/>
                  <w:vAlign w:val="center"/>
                </w:tcPr>
                <w:p w14:paraId="3F24D96E">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颗粒物</w:t>
                  </w:r>
                </w:p>
              </w:tc>
              <w:tc>
                <w:tcPr>
                  <w:tcW w:w="485" w:type="pct"/>
                  <w:tcBorders>
                    <w:top w:val="single" w:color="000000" w:sz="4" w:space="0"/>
                    <w:left w:val="single" w:color="000000" w:sz="4" w:space="0"/>
                    <w:bottom w:val="single" w:color="000000" w:sz="4" w:space="0"/>
                    <w:right w:val="single" w:color="000000" w:sz="4" w:space="0"/>
                  </w:tcBorders>
                  <w:noWrap w:val="0"/>
                  <w:vAlign w:val="center"/>
                </w:tcPr>
                <w:p w14:paraId="58643CB2">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10000</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1025638F">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197</w:t>
                  </w: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0453CF3D">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1.97</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7013630E">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4.73</w:t>
                  </w:r>
                </w:p>
              </w:tc>
              <w:tc>
                <w:tcPr>
                  <w:tcW w:w="1234" w:type="pct"/>
                  <w:tcBorders>
                    <w:top w:val="single" w:color="000000" w:sz="4" w:space="0"/>
                    <w:left w:val="single" w:color="000000" w:sz="4" w:space="0"/>
                    <w:bottom w:val="single" w:color="000000" w:sz="4" w:space="0"/>
                    <w:right w:val="single" w:color="000000" w:sz="4" w:space="0"/>
                  </w:tcBorders>
                  <w:noWrap w:val="0"/>
                  <w:vAlign w:val="center"/>
                </w:tcPr>
                <w:p w14:paraId="3FF910FC">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高效集气设施+</w:t>
                  </w:r>
                  <w:r>
                    <w:rPr>
                      <w:rFonts w:hint="eastAsia" w:cs="Times New Roman"/>
                      <w:color w:val="0000FF"/>
                      <w:spacing w:val="-6"/>
                      <w:sz w:val="18"/>
                      <w:szCs w:val="18"/>
                      <w:lang w:val="en-US" w:eastAsia="zh-CN"/>
                    </w:rPr>
                    <w:t>气箱式脉冲袋式除尘器</w:t>
                  </w:r>
                  <w:r>
                    <w:rPr>
                      <w:rFonts w:hint="eastAsia" w:ascii="Times New Roman" w:hAnsi="Times New Roman" w:eastAsia="宋体" w:cs="Times New Roman"/>
                      <w:color w:val="auto"/>
                      <w:spacing w:val="-6"/>
                      <w:sz w:val="18"/>
                      <w:szCs w:val="18"/>
                      <w:lang w:val="en-US" w:eastAsia="zh-CN"/>
                    </w:rPr>
                    <w:t>+15m排气筒（DA001）</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05456393">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cs="Times New Roman"/>
                      <w:color w:val="0000FF"/>
                      <w:spacing w:val="-6"/>
                      <w:sz w:val="18"/>
                      <w:szCs w:val="18"/>
                      <w:lang w:val="en-US" w:eastAsia="zh-CN"/>
                    </w:rPr>
                    <w:t>99</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14:paraId="65038F33">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2.08</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151CDEBD">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0.02</w:t>
                  </w:r>
                </w:p>
              </w:tc>
              <w:tc>
                <w:tcPr>
                  <w:tcW w:w="390" w:type="pct"/>
                  <w:tcBorders>
                    <w:top w:val="single" w:color="000000" w:sz="4" w:space="0"/>
                    <w:left w:val="single" w:color="000000" w:sz="4" w:space="0"/>
                    <w:bottom w:val="single" w:color="000000" w:sz="4" w:space="0"/>
                    <w:right w:val="nil"/>
                  </w:tcBorders>
                  <w:noWrap w:val="0"/>
                  <w:vAlign w:val="center"/>
                </w:tcPr>
                <w:p w14:paraId="6AD2EDD7">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0.05</w:t>
                  </w:r>
                </w:p>
              </w:tc>
            </w:tr>
            <w:tr w14:paraId="3DA5BB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9" w:type="pct"/>
                  <w:vMerge w:val="continue"/>
                  <w:tcBorders>
                    <w:top w:val="single" w:color="000000" w:sz="4" w:space="0"/>
                    <w:left w:val="nil"/>
                    <w:bottom w:val="single" w:color="000000" w:sz="4" w:space="0"/>
                    <w:right w:val="single" w:color="000000" w:sz="4" w:space="0"/>
                  </w:tcBorders>
                  <w:noWrap w:val="0"/>
                  <w:vAlign w:val="center"/>
                </w:tcPr>
                <w:p w14:paraId="1EDF6092">
                  <w:pPr>
                    <w:adjustRightInd w:val="0"/>
                    <w:snapToGrid w:val="0"/>
                    <w:jc w:val="center"/>
                    <w:rPr>
                      <w:rFonts w:hint="eastAsia" w:ascii="Times New Roman" w:hAnsi="Times New Roman" w:eastAsia="宋体" w:cs="Times New Roman"/>
                      <w:color w:val="auto"/>
                      <w:spacing w:val="-6"/>
                      <w:sz w:val="18"/>
                      <w:szCs w:val="18"/>
                      <w:lang w:val="en-US" w:eastAsia="zh-CN"/>
                    </w:rPr>
                  </w:pPr>
                </w:p>
              </w:tc>
              <w:tc>
                <w:tcPr>
                  <w:tcW w:w="2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06D7EFA">
                  <w:pPr>
                    <w:adjustRightInd w:val="0"/>
                    <w:snapToGrid w:val="0"/>
                    <w:jc w:val="center"/>
                    <w:rPr>
                      <w:rFonts w:hint="eastAsia" w:ascii="Times New Roman" w:hAnsi="Times New Roman" w:eastAsia="宋体" w:cs="Times New Roman"/>
                      <w:color w:val="auto"/>
                      <w:spacing w:val="-6"/>
                      <w:sz w:val="18"/>
                      <w:szCs w:val="18"/>
                      <w:lang w:val="en-US" w:eastAsia="zh-CN"/>
                    </w:rPr>
                  </w:pPr>
                </w:p>
              </w:tc>
              <w:tc>
                <w:tcPr>
                  <w:tcW w:w="485" w:type="pct"/>
                  <w:tcBorders>
                    <w:top w:val="single" w:color="000000" w:sz="4" w:space="0"/>
                    <w:left w:val="single" w:color="000000" w:sz="4" w:space="0"/>
                    <w:bottom w:val="single" w:color="000000" w:sz="4" w:space="0"/>
                    <w:right w:val="single" w:color="000000" w:sz="4" w:space="0"/>
                  </w:tcBorders>
                  <w:noWrap w:val="0"/>
                  <w:vAlign w:val="center"/>
                </w:tcPr>
                <w:p w14:paraId="071CCC24">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无组织</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4B0F8878">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w:t>
                  </w: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7C1B7C29">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0.10</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025641C4">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0.25</w:t>
                  </w:r>
                </w:p>
              </w:tc>
              <w:tc>
                <w:tcPr>
                  <w:tcW w:w="1234" w:type="pct"/>
                  <w:tcBorders>
                    <w:top w:val="single" w:color="000000" w:sz="4" w:space="0"/>
                    <w:left w:val="single" w:color="000000" w:sz="4" w:space="0"/>
                    <w:bottom w:val="single" w:color="000000" w:sz="4" w:space="0"/>
                    <w:right w:val="single" w:color="000000" w:sz="4" w:space="0"/>
                  </w:tcBorders>
                  <w:noWrap w:val="0"/>
                  <w:vAlign w:val="center"/>
                </w:tcPr>
                <w:p w14:paraId="2D24C947">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08E074FD">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14:paraId="4EA5E47C">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06086060">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0.</w:t>
                  </w:r>
                  <w:r>
                    <w:rPr>
                      <w:rFonts w:hint="eastAsia" w:cs="Times New Roman"/>
                      <w:color w:val="0000FF"/>
                      <w:spacing w:val="-6"/>
                      <w:sz w:val="18"/>
                      <w:szCs w:val="18"/>
                      <w:lang w:val="en-US" w:eastAsia="zh-CN"/>
                    </w:rPr>
                    <w:t>10</w:t>
                  </w:r>
                </w:p>
              </w:tc>
              <w:tc>
                <w:tcPr>
                  <w:tcW w:w="390" w:type="pct"/>
                  <w:tcBorders>
                    <w:top w:val="single" w:color="000000" w:sz="4" w:space="0"/>
                    <w:left w:val="single" w:color="000000" w:sz="4" w:space="0"/>
                    <w:bottom w:val="single" w:color="000000" w:sz="4" w:space="0"/>
                    <w:right w:val="nil"/>
                  </w:tcBorders>
                  <w:noWrap w:val="0"/>
                  <w:vAlign w:val="center"/>
                </w:tcPr>
                <w:p w14:paraId="4F8E6FCF">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0.25</w:t>
                  </w:r>
                </w:p>
              </w:tc>
            </w:tr>
            <w:tr w14:paraId="5DF326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349" w:type="pct"/>
                  <w:vMerge w:val="restart"/>
                  <w:tcBorders>
                    <w:top w:val="single" w:color="000000" w:sz="4" w:space="0"/>
                    <w:left w:val="nil"/>
                    <w:bottom w:val="single" w:color="000000" w:sz="4" w:space="0"/>
                    <w:right w:val="single" w:color="000000" w:sz="4" w:space="0"/>
                  </w:tcBorders>
                  <w:noWrap w:val="0"/>
                  <w:vAlign w:val="center"/>
                </w:tcPr>
                <w:p w14:paraId="69B5F988">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抛丸</w:t>
                  </w:r>
                </w:p>
              </w:tc>
              <w:tc>
                <w:tcPr>
                  <w:tcW w:w="232" w:type="pct"/>
                  <w:vMerge w:val="restart"/>
                  <w:tcBorders>
                    <w:top w:val="single" w:color="000000" w:sz="4" w:space="0"/>
                    <w:left w:val="single" w:color="000000" w:sz="4" w:space="0"/>
                    <w:bottom w:val="single" w:color="000000" w:sz="4" w:space="0"/>
                    <w:right w:val="single" w:color="000000" w:sz="4" w:space="0"/>
                  </w:tcBorders>
                  <w:noWrap w:val="0"/>
                  <w:vAlign w:val="center"/>
                </w:tcPr>
                <w:p w14:paraId="10E7A0C7">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颗粒物</w:t>
                  </w:r>
                </w:p>
              </w:tc>
              <w:tc>
                <w:tcPr>
                  <w:tcW w:w="485" w:type="pct"/>
                  <w:tcBorders>
                    <w:top w:val="single" w:color="000000" w:sz="4" w:space="0"/>
                    <w:left w:val="single" w:color="000000" w:sz="4" w:space="0"/>
                    <w:bottom w:val="single" w:color="000000" w:sz="4" w:space="0"/>
                    <w:right w:val="single" w:color="000000" w:sz="4" w:space="0"/>
                  </w:tcBorders>
                  <w:noWrap w:val="0"/>
                  <w:vAlign w:val="center"/>
                </w:tcPr>
                <w:p w14:paraId="54F8A967">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cs="Times New Roman"/>
                      <w:color w:val="0000FF"/>
                      <w:spacing w:val="-6"/>
                      <w:sz w:val="18"/>
                      <w:szCs w:val="18"/>
                      <w:lang w:val="en-US" w:eastAsia="zh-CN"/>
                    </w:rPr>
                    <w:t>2</w:t>
                  </w:r>
                  <w:r>
                    <w:rPr>
                      <w:rFonts w:hint="eastAsia" w:ascii="Times New Roman" w:hAnsi="Times New Roman" w:eastAsia="宋体" w:cs="Times New Roman"/>
                      <w:color w:val="0000FF"/>
                      <w:spacing w:val="-6"/>
                      <w:sz w:val="18"/>
                      <w:szCs w:val="18"/>
                      <w:lang w:val="en-US" w:eastAsia="zh-CN"/>
                    </w:rPr>
                    <w:t>0000</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3CA2E269">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181</w:t>
                  </w: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02531BEB">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3.61</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67BF1DD5">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8.67</w:t>
                  </w:r>
                </w:p>
              </w:tc>
              <w:tc>
                <w:tcPr>
                  <w:tcW w:w="1234" w:type="pct"/>
                  <w:tcBorders>
                    <w:top w:val="single" w:color="000000" w:sz="4" w:space="0"/>
                    <w:left w:val="single" w:color="000000" w:sz="4" w:space="0"/>
                    <w:bottom w:val="single" w:color="000000" w:sz="4" w:space="0"/>
                    <w:right w:val="single" w:color="000000" w:sz="4" w:space="0"/>
                  </w:tcBorders>
                  <w:noWrap w:val="0"/>
                  <w:vAlign w:val="center"/>
                </w:tcPr>
                <w:p w14:paraId="7CD37D69">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密闭负压+</w:t>
                  </w:r>
                  <w:r>
                    <w:rPr>
                      <w:rFonts w:hint="eastAsia" w:ascii="Times New Roman" w:hAnsi="Times New Roman" w:eastAsia="宋体" w:cs="Times New Roman"/>
                      <w:color w:val="0000FF"/>
                      <w:spacing w:val="-6"/>
                      <w:sz w:val="18"/>
                      <w:szCs w:val="18"/>
                      <w:lang w:val="en-US" w:eastAsia="zh-CN"/>
                    </w:rPr>
                    <w:t>气箱式脉冲袋式除尘器</w:t>
                  </w:r>
                  <w:r>
                    <w:rPr>
                      <w:rFonts w:hint="eastAsia" w:ascii="Times New Roman" w:hAnsi="Times New Roman" w:eastAsia="宋体" w:cs="Times New Roman"/>
                      <w:color w:val="auto"/>
                      <w:spacing w:val="-6"/>
                      <w:sz w:val="18"/>
                      <w:szCs w:val="18"/>
                      <w:lang w:val="en-US" w:eastAsia="zh-CN"/>
                    </w:rPr>
                    <w:t>+15m排气筒（DA002）</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5489DF53">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99</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14:paraId="60440859">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1.88</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1728F689">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0.04</w:t>
                  </w:r>
                </w:p>
              </w:tc>
              <w:tc>
                <w:tcPr>
                  <w:tcW w:w="390" w:type="pct"/>
                  <w:tcBorders>
                    <w:top w:val="single" w:color="000000" w:sz="4" w:space="0"/>
                    <w:left w:val="single" w:color="000000" w:sz="4" w:space="0"/>
                    <w:bottom w:val="single" w:color="000000" w:sz="4" w:space="0"/>
                    <w:right w:val="nil"/>
                  </w:tcBorders>
                  <w:noWrap w:val="0"/>
                  <w:vAlign w:val="center"/>
                </w:tcPr>
                <w:p w14:paraId="3092E67C">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0.09</w:t>
                  </w:r>
                </w:p>
              </w:tc>
            </w:tr>
            <w:tr w14:paraId="5235E6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9" w:type="pct"/>
                  <w:vMerge w:val="continue"/>
                  <w:tcBorders>
                    <w:top w:val="single" w:color="000000" w:sz="4" w:space="0"/>
                    <w:left w:val="nil"/>
                    <w:bottom w:val="single" w:color="000000" w:sz="4" w:space="0"/>
                    <w:right w:val="single" w:color="000000" w:sz="4" w:space="0"/>
                  </w:tcBorders>
                  <w:noWrap w:val="0"/>
                  <w:vAlign w:val="center"/>
                </w:tcPr>
                <w:p w14:paraId="49A99A1F">
                  <w:pPr>
                    <w:adjustRightInd w:val="0"/>
                    <w:snapToGrid w:val="0"/>
                    <w:jc w:val="center"/>
                    <w:rPr>
                      <w:rFonts w:hint="eastAsia" w:ascii="Times New Roman" w:hAnsi="Times New Roman" w:eastAsia="宋体" w:cs="Times New Roman"/>
                      <w:color w:val="auto"/>
                      <w:spacing w:val="-6"/>
                      <w:sz w:val="18"/>
                      <w:szCs w:val="18"/>
                      <w:lang w:val="en-US" w:eastAsia="zh-CN"/>
                    </w:rPr>
                  </w:pPr>
                </w:p>
              </w:tc>
              <w:tc>
                <w:tcPr>
                  <w:tcW w:w="2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180D0E0">
                  <w:pPr>
                    <w:adjustRightInd w:val="0"/>
                    <w:snapToGrid w:val="0"/>
                    <w:jc w:val="center"/>
                    <w:rPr>
                      <w:rFonts w:hint="eastAsia" w:ascii="Times New Roman" w:hAnsi="Times New Roman" w:eastAsia="宋体" w:cs="Times New Roman"/>
                      <w:color w:val="auto"/>
                      <w:spacing w:val="-6"/>
                      <w:sz w:val="18"/>
                      <w:szCs w:val="18"/>
                      <w:lang w:val="en-US" w:eastAsia="zh-CN"/>
                    </w:rPr>
                  </w:pPr>
                </w:p>
              </w:tc>
              <w:tc>
                <w:tcPr>
                  <w:tcW w:w="485" w:type="pct"/>
                  <w:tcBorders>
                    <w:top w:val="single" w:color="000000" w:sz="4" w:space="0"/>
                    <w:left w:val="single" w:color="000000" w:sz="4" w:space="0"/>
                    <w:bottom w:val="single" w:color="000000" w:sz="4" w:space="0"/>
                    <w:right w:val="single" w:color="000000" w:sz="4" w:space="0"/>
                  </w:tcBorders>
                  <w:noWrap w:val="0"/>
                  <w:vAlign w:val="center"/>
                </w:tcPr>
                <w:p w14:paraId="1D20484F">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无组织</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3D07ECD6">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w:t>
                  </w: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50F6888F">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0.04</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67AB67FA">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0.09</w:t>
                  </w:r>
                </w:p>
              </w:tc>
              <w:tc>
                <w:tcPr>
                  <w:tcW w:w="1234" w:type="pct"/>
                  <w:tcBorders>
                    <w:top w:val="single" w:color="000000" w:sz="4" w:space="0"/>
                    <w:left w:val="single" w:color="000000" w:sz="4" w:space="0"/>
                    <w:bottom w:val="single" w:color="000000" w:sz="4" w:space="0"/>
                    <w:right w:val="single" w:color="000000" w:sz="4" w:space="0"/>
                  </w:tcBorders>
                  <w:noWrap w:val="0"/>
                  <w:vAlign w:val="center"/>
                </w:tcPr>
                <w:p w14:paraId="6C1F0E14">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697ECE0A">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14:paraId="2F2C1FD7">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w:t>
                  </w:r>
                </w:p>
              </w:tc>
              <w:tc>
                <w:tcPr>
                  <w:tcW w:w="691" w:type="dxa"/>
                  <w:tcBorders>
                    <w:top w:val="single" w:color="000000" w:sz="4" w:space="0"/>
                    <w:left w:val="single" w:color="000000" w:sz="4" w:space="0"/>
                    <w:bottom w:val="single" w:color="000000" w:sz="4" w:space="0"/>
                    <w:right w:val="single" w:color="000000" w:sz="4" w:space="0"/>
                  </w:tcBorders>
                  <w:noWrap w:val="0"/>
                  <w:vAlign w:val="center"/>
                </w:tcPr>
                <w:p w14:paraId="3C9D2905">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cs="Times New Roman"/>
                      <w:color w:val="0000FF"/>
                      <w:spacing w:val="-6"/>
                      <w:sz w:val="18"/>
                      <w:szCs w:val="18"/>
                      <w:lang w:val="en-US" w:eastAsia="zh-CN"/>
                    </w:rPr>
                    <w:t>0.04</w:t>
                  </w:r>
                </w:p>
              </w:tc>
              <w:tc>
                <w:tcPr>
                  <w:tcW w:w="630" w:type="dxa"/>
                  <w:tcBorders>
                    <w:top w:val="single" w:color="000000" w:sz="4" w:space="0"/>
                    <w:left w:val="single" w:color="000000" w:sz="4" w:space="0"/>
                    <w:bottom w:val="single" w:color="000000" w:sz="4" w:space="0"/>
                    <w:right w:val="nil"/>
                  </w:tcBorders>
                  <w:noWrap w:val="0"/>
                  <w:vAlign w:val="center"/>
                </w:tcPr>
                <w:p w14:paraId="2818567C">
                  <w:pPr>
                    <w:adjustRightInd w:val="0"/>
                    <w:snapToGrid w:val="0"/>
                    <w:jc w:val="center"/>
                    <w:rPr>
                      <w:rFonts w:hint="eastAsia"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0.09</w:t>
                  </w:r>
                </w:p>
              </w:tc>
            </w:tr>
            <w:tr w14:paraId="1BBABE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349" w:type="pct"/>
                  <w:vMerge w:val="restart"/>
                  <w:tcBorders>
                    <w:top w:val="single" w:color="000000" w:sz="4" w:space="0"/>
                    <w:left w:val="nil"/>
                    <w:right w:val="single" w:color="000000" w:sz="4" w:space="0"/>
                  </w:tcBorders>
                  <w:noWrap w:val="0"/>
                  <w:vAlign w:val="center"/>
                </w:tcPr>
                <w:p w14:paraId="01B5769A">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涂装</w:t>
                  </w:r>
                </w:p>
              </w:tc>
              <w:tc>
                <w:tcPr>
                  <w:tcW w:w="232" w:type="pct"/>
                  <w:vMerge w:val="restart"/>
                  <w:tcBorders>
                    <w:top w:val="single" w:color="000000" w:sz="4" w:space="0"/>
                    <w:left w:val="single" w:color="000000" w:sz="4" w:space="0"/>
                    <w:bottom w:val="single" w:color="000000" w:sz="4" w:space="0"/>
                    <w:right w:val="single" w:color="000000" w:sz="4" w:space="0"/>
                  </w:tcBorders>
                  <w:noWrap w:val="0"/>
                  <w:vAlign w:val="center"/>
                </w:tcPr>
                <w:p w14:paraId="0303EA54">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颗粒物</w:t>
                  </w:r>
                </w:p>
              </w:tc>
              <w:tc>
                <w:tcPr>
                  <w:tcW w:w="485" w:type="pct"/>
                  <w:tcBorders>
                    <w:top w:val="single" w:color="000000" w:sz="4" w:space="0"/>
                    <w:left w:val="single" w:color="000000" w:sz="4" w:space="0"/>
                    <w:bottom w:val="single" w:color="000000" w:sz="4" w:space="0"/>
                    <w:right w:val="single" w:color="000000" w:sz="4" w:space="0"/>
                  </w:tcBorders>
                  <w:noWrap w:val="0"/>
                  <w:vAlign w:val="center"/>
                </w:tcPr>
                <w:p w14:paraId="22C90901">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2</w:t>
                  </w:r>
                  <w:r>
                    <w:rPr>
                      <w:rFonts w:hint="eastAsia" w:cs="Times New Roman"/>
                      <w:color w:val="0000FF"/>
                      <w:spacing w:val="-6"/>
                      <w:sz w:val="18"/>
                      <w:szCs w:val="18"/>
                      <w:lang w:val="en-US" w:eastAsia="zh-CN"/>
                    </w:rPr>
                    <w:t>0</w:t>
                  </w:r>
                  <w:r>
                    <w:rPr>
                      <w:rFonts w:hint="eastAsia" w:ascii="Times New Roman" w:hAnsi="Times New Roman" w:eastAsia="宋体" w:cs="Times New Roman"/>
                      <w:color w:val="0000FF"/>
                      <w:spacing w:val="-6"/>
                      <w:sz w:val="18"/>
                      <w:szCs w:val="18"/>
                      <w:lang w:val="en-US" w:eastAsia="zh-CN"/>
                    </w:rPr>
                    <w:t>000</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1FFA740A">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94</w:t>
                  </w: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00043DC5">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1.88</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348203C1">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4.52</w:t>
                  </w:r>
                </w:p>
              </w:tc>
              <w:tc>
                <w:tcPr>
                  <w:tcW w:w="1234" w:type="pct"/>
                  <w:tcBorders>
                    <w:top w:val="single" w:color="000000" w:sz="4" w:space="0"/>
                    <w:left w:val="single" w:color="000000" w:sz="4" w:space="0"/>
                    <w:bottom w:val="single" w:color="000000" w:sz="4" w:space="0"/>
                    <w:right w:val="single" w:color="000000" w:sz="4" w:space="0"/>
                  </w:tcBorders>
                  <w:noWrap w:val="0"/>
                  <w:vAlign w:val="center"/>
                </w:tcPr>
                <w:p w14:paraId="7063C113">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密闭负压+干式漆雾过滤模组+活性炭吸附-脱附+催化燃烧装置+20m排气筒（DA003）</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2A88DAEB">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cs="Times New Roman"/>
                      <w:color w:val="0000FF"/>
                      <w:spacing w:val="-6"/>
                      <w:sz w:val="18"/>
                      <w:szCs w:val="18"/>
                      <w:lang w:val="en-US" w:eastAsia="zh-CN"/>
                    </w:rPr>
                    <w:t>95</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14:paraId="158D8F83">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4.79</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2C7FA290">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0.1</w:t>
                  </w:r>
                  <w:r>
                    <w:rPr>
                      <w:rFonts w:hint="eastAsia" w:cs="Times New Roman"/>
                      <w:color w:val="0000FF"/>
                      <w:spacing w:val="-6"/>
                      <w:sz w:val="18"/>
                      <w:szCs w:val="18"/>
                      <w:lang w:val="en-US" w:eastAsia="zh-CN"/>
                    </w:rPr>
                    <w:t>0</w:t>
                  </w:r>
                </w:p>
              </w:tc>
              <w:tc>
                <w:tcPr>
                  <w:tcW w:w="390" w:type="pct"/>
                  <w:tcBorders>
                    <w:top w:val="single" w:color="000000" w:sz="4" w:space="0"/>
                    <w:left w:val="single" w:color="000000" w:sz="4" w:space="0"/>
                    <w:bottom w:val="single" w:color="000000" w:sz="4" w:space="0"/>
                    <w:right w:val="nil"/>
                  </w:tcBorders>
                  <w:noWrap w:val="0"/>
                  <w:vAlign w:val="center"/>
                </w:tcPr>
                <w:p w14:paraId="0F097A38">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0.23</w:t>
                  </w:r>
                </w:p>
              </w:tc>
            </w:tr>
            <w:tr w14:paraId="3B642D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9" w:type="pct"/>
                  <w:vMerge w:val="continue"/>
                  <w:tcBorders>
                    <w:left w:val="nil"/>
                    <w:right w:val="single" w:color="000000" w:sz="4" w:space="0"/>
                  </w:tcBorders>
                  <w:noWrap w:val="0"/>
                  <w:vAlign w:val="center"/>
                </w:tcPr>
                <w:p w14:paraId="273743F6">
                  <w:pPr>
                    <w:adjustRightInd w:val="0"/>
                    <w:snapToGrid w:val="0"/>
                    <w:jc w:val="center"/>
                    <w:rPr>
                      <w:rFonts w:hint="eastAsia" w:ascii="Times New Roman" w:hAnsi="Times New Roman" w:eastAsia="宋体" w:cs="Times New Roman"/>
                      <w:color w:val="auto"/>
                      <w:spacing w:val="-6"/>
                      <w:sz w:val="18"/>
                      <w:szCs w:val="18"/>
                      <w:lang w:val="en-US" w:eastAsia="zh-CN"/>
                    </w:rPr>
                  </w:pPr>
                </w:p>
              </w:tc>
              <w:tc>
                <w:tcPr>
                  <w:tcW w:w="2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FF4F6D7">
                  <w:pPr>
                    <w:adjustRightInd w:val="0"/>
                    <w:snapToGrid w:val="0"/>
                    <w:jc w:val="center"/>
                    <w:rPr>
                      <w:rFonts w:hint="eastAsia" w:ascii="Times New Roman" w:hAnsi="Times New Roman" w:eastAsia="宋体" w:cs="Times New Roman"/>
                      <w:color w:val="auto"/>
                      <w:spacing w:val="-6"/>
                      <w:sz w:val="18"/>
                      <w:szCs w:val="18"/>
                      <w:lang w:val="en-US" w:eastAsia="zh-CN"/>
                    </w:rPr>
                  </w:pPr>
                </w:p>
              </w:tc>
              <w:tc>
                <w:tcPr>
                  <w:tcW w:w="485" w:type="pct"/>
                  <w:tcBorders>
                    <w:top w:val="single" w:color="000000" w:sz="4" w:space="0"/>
                    <w:left w:val="single" w:color="000000" w:sz="4" w:space="0"/>
                    <w:bottom w:val="single" w:color="000000" w:sz="4" w:space="0"/>
                    <w:right w:val="single" w:color="000000" w:sz="4" w:space="0"/>
                  </w:tcBorders>
                  <w:noWrap w:val="0"/>
                  <w:vAlign w:val="center"/>
                </w:tcPr>
                <w:p w14:paraId="5B808E0F">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无组织</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02650273">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w:t>
                  </w: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757AD49F">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0.02</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3C0D324B">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0.05</w:t>
                  </w:r>
                </w:p>
              </w:tc>
              <w:tc>
                <w:tcPr>
                  <w:tcW w:w="1234" w:type="pct"/>
                  <w:tcBorders>
                    <w:top w:val="single" w:color="000000" w:sz="4" w:space="0"/>
                    <w:left w:val="single" w:color="000000" w:sz="4" w:space="0"/>
                    <w:bottom w:val="single" w:color="000000" w:sz="4" w:space="0"/>
                    <w:right w:val="single" w:color="000000" w:sz="4" w:space="0"/>
                  </w:tcBorders>
                  <w:noWrap w:val="0"/>
                  <w:vAlign w:val="center"/>
                </w:tcPr>
                <w:p w14:paraId="39323ACE">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68494C8F">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14:paraId="0BBFFF0D">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791680B0">
                  <w:pPr>
                    <w:adjustRightInd w:val="0"/>
                    <w:snapToGrid w:val="0"/>
                    <w:jc w:val="center"/>
                    <w:rPr>
                      <w:rFonts w:hint="eastAsia"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0.02</w:t>
                  </w:r>
                </w:p>
              </w:tc>
              <w:tc>
                <w:tcPr>
                  <w:tcW w:w="390" w:type="pct"/>
                  <w:tcBorders>
                    <w:top w:val="single" w:color="000000" w:sz="4" w:space="0"/>
                    <w:left w:val="single" w:color="000000" w:sz="4" w:space="0"/>
                    <w:bottom w:val="single" w:color="000000" w:sz="4" w:space="0"/>
                    <w:right w:val="nil"/>
                  </w:tcBorders>
                  <w:noWrap w:val="0"/>
                  <w:vAlign w:val="center"/>
                </w:tcPr>
                <w:p w14:paraId="4DE06F06">
                  <w:pPr>
                    <w:adjustRightInd w:val="0"/>
                    <w:snapToGrid w:val="0"/>
                    <w:jc w:val="center"/>
                    <w:rPr>
                      <w:rFonts w:hint="eastAsia"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0.05</w:t>
                  </w:r>
                </w:p>
              </w:tc>
            </w:tr>
            <w:tr w14:paraId="73B8E0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349" w:type="pct"/>
                  <w:vMerge w:val="continue"/>
                  <w:tcBorders>
                    <w:left w:val="nil"/>
                    <w:right w:val="single" w:color="000000" w:sz="4" w:space="0"/>
                  </w:tcBorders>
                  <w:noWrap w:val="0"/>
                  <w:vAlign w:val="center"/>
                </w:tcPr>
                <w:p w14:paraId="131EFD6E">
                  <w:pPr>
                    <w:adjustRightInd w:val="0"/>
                    <w:snapToGrid w:val="0"/>
                    <w:jc w:val="center"/>
                    <w:rPr>
                      <w:rFonts w:hint="eastAsia" w:ascii="Times New Roman" w:hAnsi="Times New Roman" w:eastAsia="宋体" w:cs="Times New Roman"/>
                      <w:color w:val="auto"/>
                      <w:spacing w:val="-6"/>
                      <w:sz w:val="18"/>
                      <w:szCs w:val="18"/>
                      <w:lang w:val="en-US" w:eastAsia="zh-CN"/>
                    </w:rPr>
                  </w:pPr>
                </w:p>
              </w:tc>
              <w:tc>
                <w:tcPr>
                  <w:tcW w:w="232" w:type="pct"/>
                  <w:vMerge w:val="restart"/>
                  <w:tcBorders>
                    <w:top w:val="single" w:color="000000" w:sz="4" w:space="0"/>
                    <w:left w:val="single" w:color="000000" w:sz="4" w:space="0"/>
                    <w:bottom w:val="single" w:color="000000" w:sz="4" w:space="0"/>
                    <w:right w:val="single" w:color="000000" w:sz="4" w:space="0"/>
                  </w:tcBorders>
                  <w:noWrap w:val="0"/>
                  <w:vAlign w:val="center"/>
                </w:tcPr>
                <w:p w14:paraId="34253BA6">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非甲烷总烃</w:t>
                  </w:r>
                </w:p>
              </w:tc>
              <w:tc>
                <w:tcPr>
                  <w:tcW w:w="485" w:type="pct"/>
                  <w:tcBorders>
                    <w:top w:val="single" w:color="000000" w:sz="4" w:space="0"/>
                    <w:left w:val="single" w:color="000000" w:sz="4" w:space="0"/>
                    <w:bottom w:val="single" w:color="000000" w:sz="4" w:space="0"/>
                    <w:right w:val="single" w:color="000000" w:sz="4" w:space="0"/>
                  </w:tcBorders>
                  <w:noWrap w:val="0"/>
                  <w:vAlign w:val="center"/>
                </w:tcPr>
                <w:p w14:paraId="6C45CA21">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2</w:t>
                  </w:r>
                  <w:r>
                    <w:rPr>
                      <w:rFonts w:hint="eastAsia" w:cs="Times New Roman"/>
                      <w:color w:val="0000FF"/>
                      <w:spacing w:val="-6"/>
                      <w:sz w:val="18"/>
                      <w:szCs w:val="18"/>
                      <w:lang w:val="en-US" w:eastAsia="zh-CN"/>
                    </w:rPr>
                    <w:t>0</w:t>
                  </w:r>
                  <w:r>
                    <w:rPr>
                      <w:rFonts w:hint="eastAsia" w:ascii="Times New Roman" w:hAnsi="Times New Roman" w:eastAsia="宋体" w:cs="Times New Roman"/>
                      <w:color w:val="0000FF"/>
                      <w:spacing w:val="-6"/>
                      <w:sz w:val="18"/>
                      <w:szCs w:val="18"/>
                      <w:lang w:val="en-US" w:eastAsia="zh-CN"/>
                    </w:rPr>
                    <w:t>000</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34B9AF81">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165</w:t>
                  </w: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355B60E5">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3.30</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4B7AFB5B">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7.93</w:t>
                  </w:r>
                </w:p>
              </w:tc>
              <w:tc>
                <w:tcPr>
                  <w:tcW w:w="1234" w:type="pct"/>
                  <w:tcBorders>
                    <w:top w:val="single" w:color="000000" w:sz="4" w:space="0"/>
                    <w:left w:val="single" w:color="000000" w:sz="4" w:space="0"/>
                    <w:bottom w:val="single" w:color="000000" w:sz="4" w:space="0"/>
                    <w:right w:val="single" w:color="000000" w:sz="4" w:space="0"/>
                  </w:tcBorders>
                  <w:noWrap w:val="0"/>
                  <w:vAlign w:val="center"/>
                </w:tcPr>
                <w:p w14:paraId="5CB66CA8">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密闭负压+干式漆雾过滤模组+活性炭吸附-脱附+催化燃烧装置+20m排气筒（DA003）</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102B4CA5">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cs="Times New Roman"/>
                      <w:color w:val="0000FF"/>
                      <w:spacing w:val="-6"/>
                      <w:sz w:val="18"/>
                      <w:szCs w:val="18"/>
                      <w:lang w:val="en-US" w:eastAsia="zh-CN"/>
                    </w:rPr>
                    <w:t>90</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14:paraId="5142A7E5">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16.46</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4AAF2901">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0.33</w:t>
                  </w:r>
                </w:p>
              </w:tc>
              <w:tc>
                <w:tcPr>
                  <w:tcW w:w="390" w:type="pct"/>
                  <w:tcBorders>
                    <w:top w:val="single" w:color="000000" w:sz="4" w:space="0"/>
                    <w:left w:val="single" w:color="000000" w:sz="4" w:space="0"/>
                    <w:bottom w:val="single" w:color="000000" w:sz="4" w:space="0"/>
                    <w:right w:val="nil"/>
                  </w:tcBorders>
                  <w:noWrap w:val="0"/>
                  <w:vAlign w:val="center"/>
                </w:tcPr>
                <w:p w14:paraId="64B68396">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0.79</w:t>
                  </w:r>
                </w:p>
              </w:tc>
            </w:tr>
            <w:tr w14:paraId="638F50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9" w:type="pct"/>
                  <w:vMerge w:val="continue"/>
                  <w:tcBorders>
                    <w:left w:val="nil"/>
                    <w:right w:val="single" w:color="000000" w:sz="4" w:space="0"/>
                  </w:tcBorders>
                  <w:noWrap w:val="0"/>
                  <w:vAlign w:val="center"/>
                </w:tcPr>
                <w:p w14:paraId="68854CF0">
                  <w:pPr>
                    <w:adjustRightInd w:val="0"/>
                    <w:snapToGrid w:val="0"/>
                    <w:jc w:val="center"/>
                    <w:rPr>
                      <w:rFonts w:hint="eastAsia" w:ascii="Times New Roman" w:hAnsi="Times New Roman" w:eastAsia="宋体" w:cs="Times New Roman"/>
                      <w:color w:val="auto"/>
                      <w:spacing w:val="-6"/>
                      <w:sz w:val="18"/>
                      <w:szCs w:val="18"/>
                      <w:lang w:val="en-US" w:eastAsia="zh-CN"/>
                    </w:rPr>
                  </w:pPr>
                </w:p>
              </w:tc>
              <w:tc>
                <w:tcPr>
                  <w:tcW w:w="2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1608DA38">
                  <w:pPr>
                    <w:adjustRightInd w:val="0"/>
                    <w:snapToGrid w:val="0"/>
                    <w:jc w:val="center"/>
                    <w:rPr>
                      <w:rFonts w:hint="eastAsia" w:ascii="Times New Roman" w:hAnsi="Times New Roman" w:eastAsia="宋体" w:cs="Times New Roman"/>
                      <w:color w:val="auto"/>
                      <w:spacing w:val="-6"/>
                      <w:sz w:val="18"/>
                      <w:szCs w:val="18"/>
                      <w:lang w:val="en-US" w:eastAsia="zh-CN"/>
                    </w:rPr>
                  </w:pPr>
                </w:p>
              </w:tc>
              <w:tc>
                <w:tcPr>
                  <w:tcW w:w="485" w:type="pct"/>
                  <w:tcBorders>
                    <w:top w:val="single" w:color="000000" w:sz="4" w:space="0"/>
                    <w:left w:val="single" w:color="000000" w:sz="4" w:space="0"/>
                    <w:bottom w:val="single" w:color="000000" w:sz="4" w:space="0"/>
                    <w:right w:val="single" w:color="000000" w:sz="4" w:space="0"/>
                  </w:tcBorders>
                  <w:noWrap w:val="0"/>
                  <w:vAlign w:val="center"/>
                </w:tcPr>
                <w:p w14:paraId="395E128D">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无组织</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538DE15C">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w:t>
                  </w: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6584728D">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0.03</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661BA996">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0.08</w:t>
                  </w:r>
                </w:p>
              </w:tc>
              <w:tc>
                <w:tcPr>
                  <w:tcW w:w="1234" w:type="pct"/>
                  <w:tcBorders>
                    <w:top w:val="single" w:color="000000" w:sz="4" w:space="0"/>
                    <w:left w:val="single" w:color="000000" w:sz="4" w:space="0"/>
                    <w:bottom w:val="single" w:color="000000" w:sz="4" w:space="0"/>
                    <w:right w:val="single" w:color="000000" w:sz="4" w:space="0"/>
                  </w:tcBorders>
                  <w:noWrap w:val="0"/>
                  <w:vAlign w:val="center"/>
                </w:tcPr>
                <w:p w14:paraId="3076D227">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5668D3A3">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14:paraId="62C23560">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34C41E27">
                  <w:pPr>
                    <w:adjustRightInd w:val="0"/>
                    <w:snapToGrid w:val="0"/>
                    <w:jc w:val="center"/>
                    <w:rPr>
                      <w:rFonts w:hint="eastAsia"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0.03</w:t>
                  </w:r>
                </w:p>
              </w:tc>
              <w:tc>
                <w:tcPr>
                  <w:tcW w:w="390" w:type="pct"/>
                  <w:tcBorders>
                    <w:top w:val="single" w:color="000000" w:sz="4" w:space="0"/>
                    <w:left w:val="single" w:color="000000" w:sz="4" w:space="0"/>
                    <w:bottom w:val="single" w:color="000000" w:sz="4" w:space="0"/>
                    <w:right w:val="nil"/>
                  </w:tcBorders>
                  <w:noWrap w:val="0"/>
                  <w:vAlign w:val="center"/>
                </w:tcPr>
                <w:p w14:paraId="57387353">
                  <w:pPr>
                    <w:adjustRightInd w:val="0"/>
                    <w:snapToGrid w:val="0"/>
                    <w:jc w:val="center"/>
                    <w:rPr>
                      <w:rFonts w:hint="eastAsia"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0.08</w:t>
                  </w:r>
                </w:p>
              </w:tc>
            </w:tr>
            <w:tr w14:paraId="0480CA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349" w:type="pct"/>
                  <w:vMerge w:val="continue"/>
                  <w:tcBorders>
                    <w:left w:val="nil"/>
                    <w:right w:val="single" w:color="000000" w:sz="4" w:space="0"/>
                  </w:tcBorders>
                  <w:noWrap w:val="0"/>
                  <w:vAlign w:val="center"/>
                </w:tcPr>
                <w:p w14:paraId="6BC55532">
                  <w:pPr>
                    <w:adjustRightInd w:val="0"/>
                    <w:snapToGrid w:val="0"/>
                    <w:jc w:val="center"/>
                    <w:rPr>
                      <w:rFonts w:hint="eastAsia" w:ascii="Times New Roman" w:hAnsi="Times New Roman" w:eastAsia="宋体" w:cs="Times New Roman"/>
                      <w:color w:val="auto"/>
                      <w:spacing w:val="-6"/>
                      <w:sz w:val="18"/>
                      <w:szCs w:val="18"/>
                      <w:lang w:val="en-US" w:eastAsia="zh-CN"/>
                    </w:rPr>
                  </w:pPr>
                </w:p>
              </w:tc>
              <w:tc>
                <w:tcPr>
                  <w:tcW w:w="232" w:type="pct"/>
                  <w:vMerge w:val="restart"/>
                  <w:tcBorders>
                    <w:top w:val="single" w:color="000000" w:sz="4" w:space="0"/>
                    <w:left w:val="single" w:color="000000" w:sz="4" w:space="0"/>
                    <w:right w:val="single" w:color="000000" w:sz="4" w:space="0"/>
                  </w:tcBorders>
                  <w:noWrap w:val="0"/>
                  <w:vAlign w:val="center"/>
                </w:tcPr>
                <w:p w14:paraId="0D10FC3C">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甲苯</w:t>
                  </w:r>
                </w:p>
              </w:tc>
              <w:tc>
                <w:tcPr>
                  <w:tcW w:w="485" w:type="pct"/>
                  <w:tcBorders>
                    <w:top w:val="single" w:color="000000" w:sz="4" w:space="0"/>
                    <w:left w:val="single" w:color="000000" w:sz="4" w:space="0"/>
                    <w:bottom w:val="single" w:color="000000" w:sz="4" w:space="0"/>
                    <w:right w:val="single" w:color="000000" w:sz="4" w:space="0"/>
                  </w:tcBorders>
                  <w:noWrap w:val="0"/>
                  <w:vAlign w:val="center"/>
                </w:tcPr>
                <w:p w14:paraId="26DDEC86">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2</w:t>
                  </w:r>
                  <w:r>
                    <w:rPr>
                      <w:rFonts w:hint="eastAsia" w:cs="Times New Roman"/>
                      <w:color w:val="0000FF"/>
                      <w:spacing w:val="-6"/>
                      <w:sz w:val="18"/>
                      <w:szCs w:val="18"/>
                      <w:lang w:val="en-US" w:eastAsia="zh-CN"/>
                    </w:rPr>
                    <w:t>0</w:t>
                  </w:r>
                  <w:r>
                    <w:rPr>
                      <w:rFonts w:hint="eastAsia" w:ascii="Times New Roman" w:hAnsi="Times New Roman" w:eastAsia="宋体" w:cs="Times New Roman"/>
                      <w:color w:val="0000FF"/>
                      <w:spacing w:val="-6"/>
                      <w:sz w:val="18"/>
                      <w:szCs w:val="18"/>
                      <w:lang w:val="en-US" w:eastAsia="zh-CN"/>
                    </w:rPr>
                    <w:t>000</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5F7A08D1">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1.65</w:t>
                  </w: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44F92AFB">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0.03</w:t>
                  </w:r>
                  <w:r>
                    <w:rPr>
                      <w:rFonts w:hint="eastAsia" w:cs="Times New Roman"/>
                      <w:color w:val="0000FF"/>
                      <w:spacing w:val="-6"/>
                      <w:sz w:val="18"/>
                      <w:szCs w:val="18"/>
                      <w:lang w:val="en-US" w:eastAsia="zh-CN"/>
                    </w:rPr>
                    <w:t>3</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322905B1">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0.079</w:t>
                  </w:r>
                </w:p>
              </w:tc>
              <w:tc>
                <w:tcPr>
                  <w:tcW w:w="1234" w:type="pct"/>
                  <w:tcBorders>
                    <w:top w:val="single" w:color="000000" w:sz="4" w:space="0"/>
                    <w:left w:val="single" w:color="000000" w:sz="4" w:space="0"/>
                    <w:bottom w:val="single" w:color="000000" w:sz="4" w:space="0"/>
                    <w:right w:val="single" w:color="000000" w:sz="4" w:space="0"/>
                  </w:tcBorders>
                  <w:noWrap w:val="0"/>
                  <w:vAlign w:val="center"/>
                </w:tcPr>
                <w:p w14:paraId="27BB928D">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密闭负压+干式漆雾过滤模组+活性炭吸附-脱附+催化燃烧装置+20m排气筒（DA003）</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247E069D">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cs="Times New Roman"/>
                      <w:color w:val="0000FF"/>
                      <w:spacing w:val="-6"/>
                      <w:sz w:val="18"/>
                      <w:szCs w:val="18"/>
                      <w:lang w:val="en-US" w:eastAsia="zh-CN"/>
                    </w:rPr>
                    <w:t>90</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14:paraId="57FB148C">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0.17</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21C5F854">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0.00</w:t>
                  </w:r>
                  <w:r>
                    <w:rPr>
                      <w:rFonts w:hint="eastAsia" w:cs="Times New Roman"/>
                      <w:color w:val="0000FF"/>
                      <w:spacing w:val="-6"/>
                      <w:sz w:val="18"/>
                      <w:szCs w:val="18"/>
                      <w:lang w:val="en-US" w:eastAsia="zh-CN"/>
                    </w:rPr>
                    <w:t>3</w:t>
                  </w:r>
                </w:p>
              </w:tc>
              <w:tc>
                <w:tcPr>
                  <w:tcW w:w="390" w:type="pct"/>
                  <w:tcBorders>
                    <w:top w:val="single" w:color="000000" w:sz="4" w:space="0"/>
                    <w:left w:val="single" w:color="000000" w:sz="4" w:space="0"/>
                    <w:bottom w:val="single" w:color="000000" w:sz="4" w:space="0"/>
                    <w:right w:val="nil"/>
                  </w:tcBorders>
                  <w:noWrap w:val="0"/>
                  <w:vAlign w:val="center"/>
                </w:tcPr>
                <w:p w14:paraId="37DF18A1">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0.0</w:t>
                  </w:r>
                  <w:r>
                    <w:rPr>
                      <w:rFonts w:hint="eastAsia" w:cs="Times New Roman"/>
                      <w:color w:val="0000FF"/>
                      <w:spacing w:val="-6"/>
                      <w:sz w:val="18"/>
                      <w:szCs w:val="18"/>
                      <w:lang w:val="en-US" w:eastAsia="zh-CN"/>
                    </w:rPr>
                    <w:t>08</w:t>
                  </w:r>
                </w:p>
              </w:tc>
            </w:tr>
            <w:tr w14:paraId="006E67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9" w:type="pct"/>
                  <w:vMerge w:val="continue"/>
                  <w:tcBorders>
                    <w:left w:val="nil"/>
                    <w:right w:val="single" w:color="000000" w:sz="4" w:space="0"/>
                  </w:tcBorders>
                  <w:noWrap w:val="0"/>
                  <w:vAlign w:val="center"/>
                </w:tcPr>
                <w:p w14:paraId="001BC5DB">
                  <w:pPr>
                    <w:adjustRightInd w:val="0"/>
                    <w:snapToGrid w:val="0"/>
                    <w:jc w:val="center"/>
                    <w:rPr>
                      <w:rFonts w:hint="eastAsia" w:ascii="Times New Roman" w:hAnsi="Times New Roman" w:eastAsia="宋体" w:cs="Times New Roman"/>
                      <w:color w:val="auto"/>
                      <w:spacing w:val="-6"/>
                      <w:sz w:val="18"/>
                      <w:szCs w:val="18"/>
                      <w:lang w:val="en-US" w:eastAsia="zh-CN"/>
                    </w:rPr>
                  </w:pPr>
                </w:p>
              </w:tc>
              <w:tc>
                <w:tcPr>
                  <w:tcW w:w="232" w:type="pct"/>
                  <w:vMerge w:val="continue"/>
                  <w:tcBorders>
                    <w:left w:val="single" w:color="000000" w:sz="4" w:space="0"/>
                    <w:bottom w:val="single" w:color="000000" w:sz="4" w:space="0"/>
                    <w:right w:val="single" w:color="000000" w:sz="4" w:space="0"/>
                  </w:tcBorders>
                  <w:noWrap w:val="0"/>
                  <w:vAlign w:val="center"/>
                </w:tcPr>
                <w:p w14:paraId="5C5B26EB">
                  <w:pPr>
                    <w:adjustRightInd w:val="0"/>
                    <w:snapToGrid w:val="0"/>
                    <w:jc w:val="center"/>
                    <w:rPr>
                      <w:rFonts w:hint="eastAsia" w:ascii="Times New Roman" w:hAnsi="Times New Roman" w:eastAsia="宋体" w:cs="Times New Roman"/>
                      <w:color w:val="auto"/>
                      <w:spacing w:val="-6"/>
                      <w:sz w:val="18"/>
                      <w:szCs w:val="18"/>
                      <w:lang w:val="en-US" w:eastAsia="zh-CN"/>
                    </w:rPr>
                  </w:pPr>
                </w:p>
              </w:tc>
              <w:tc>
                <w:tcPr>
                  <w:tcW w:w="485" w:type="pct"/>
                  <w:tcBorders>
                    <w:top w:val="single" w:color="000000" w:sz="4" w:space="0"/>
                    <w:left w:val="single" w:color="000000" w:sz="4" w:space="0"/>
                    <w:bottom w:val="single" w:color="000000" w:sz="4" w:space="0"/>
                    <w:right w:val="single" w:color="000000" w:sz="4" w:space="0"/>
                  </w:tcBorders>
                  <w:noWrap w:val="0"/>
                  <w:vAlign w:val="center"/>
                </w:tcPr>
                <w:p w14:paraId="402C5228">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无组织</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588B92AF">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w:t>
                  </w: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579429BF">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0.0004</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3EF6AE7F">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0.001</w:t>
                  </w:r>
                </w:p>
              </w:tc>
              <w:tc>
                <w:tcPr>
                  <w:tcW w:w="1234" w:type="pct"/>
                  <w:tcBorders>
                    <w:top w:val="single" w:color="000000" w:sz="4" w:space="0"/>
                    <w:left w:val="single" w:color="000000" w:sz="4" w:space="0"/>
                    <w:bottom w:val="single" w:color="000000" w:sz="4" w:space="0"/>
                    <w:right w:val="single" w:color="000000" w:sz="4" w:space="0"/>
                  </w:tcBorders>
                  <w:noWrap w:val="0"/>
                  <w:vAlign w:val="center"/>
                </w:tcPr>
                <w:p w14:paraId="19F1B623">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5C7F0B55">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14:paraId="48867403">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60352D57">
                  <w:pPr>
                    <w:adjustRightInd w:val="0"/>
                    <w:snapToGrid w:val="0"/>
                    <w:jc w:val="center"/>
                    <w:rPr>
                      <w:rFonts w:hint="eastAsia"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0.0004</w:t>
                  </w:r>
                </w:p>
              </w:tc>
              <w:tc>
                <w:tcPr>
                  <w:tcW w:w="390" w:type="pct"/>
                  <w:tcBorders>
                    <w:top w:val="single" w:color="000000" w:sz="4" w:space="0"/>
                    <w:left w:val="single" w:color="000000" w:sz="4" w:space="0"/>
                    <w:bottom w:val="single" w:color="000000" w:sz="4" w:space="0"/>
                    <w:right w:val="nil"/>
                  </w:tcBorders>
                  <w:noWrap w:val="0"/>
                  <w:vAlign w:val="center"/>
                </w:tcPr>
                <w:p w14:paraId="6AF5E554">
                  <w:pPr>
                    <w:adjustRightInd w:val="0"/>
                    <w:snapToGrid w:val="0"/>
                    <w:jc w:val="center"/>
                    <w:rPr>
                      <w:rFonts w:hint="eastAsia"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0.001</w:t>
                  </w:r>
                </w:p>
              </w:tc>
            </w:tr>
            <w:tr w14:paraId="75541D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349" w:type="pct"/>
                  <w:vMerge w:val="continue"/>
                  <w:tcBorders>
                    <w:left w:val="nil"/>
                    <w:right w:val="single" w:color="000000" w:sz="4" w:space="0"/>
                  </w:tcBorders>
                  <w:noWrap w:val="0"/>
                  <w:vAlign w:val="center"/>
                </w:tcPr>
                <w:p w14:paraId="7A4798E8">
                  <w:pPr>
                    <w:adjustRightInd w:val="0"/>
                    <w:snapToGrid w:val="0"/>
                    <w:jc w:val="center"/>
                    <w:rPr>
                      <w:rFonts w:hint="eastAsia" w:ascii="Times New Roman" w:hAnsi="Times New Roman" w:eastAsia="宋体" w:cs="Times New Roman"/>
                      <w:color w:val="auto"/>
                      <w:spacing w:val="-6"/>
                      <w:sz w:val="18"/>
                      <w:szCs w:val="18"/>
                      <w:lang w:val="en-US" w:eastAsia="zh-CN"/>
                    </w:rPr>
                  </w:pPr>
                </w:p>
              </w:tc>
              <w:tc>
                <w:tcPr>
                  <w:tcW w:w="232" w:type="pct"/>
                  <w:vMerge w:val="restart"/>
                  <w:tcBorders>
                    <w:top w:val="single" w:color="000000" w:sz="4" w:space="0"/>
                    <w:left w:val="single" w:color="000000" w:sz="4" w:space="0"/>
                    <w:right w:val="single" w:color="000000" w:sz="4" w:space="0"/>
                  </w:tcBorders>
                  <w:noWrap w:val="0"/>
                  <w:vAlign w:val="center"/>
                </w:tcPr>
                <w:p w14:paraId="0D2F26E7">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二甲苯</w:t>
                  </w:r>
                </w:p>
              </w:tc>
              <w:tc>
                <w:tcPr>
                  <w:tcW w:w="485" w:type="pct"/>
                  <w:tcBorders>
                    <w:top w:val="single" w:color="000000" w:sz="4" w:space="0"/>
                    <w:left w:val="single" w:color="000000" w:sz="4" w:space="0"/>
                    <w:bottom w:val="single" w:color="000000" w:sz="4" w:space="0"/>
                    <w:right w:val="single" w:color="000000" w:sz="4" w:space="0"/>
                  </w:tcBorders>
                  <w:noWrap w:val="0"/>
                  <w:vAlign w:val="center"/>
                </w:tcPr>
                <w:p w14:paraId="4C936D0B">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2</w:t>
                  </w:r>
                  <w:r>
                    <w:rPr>
                      <w:rFonts w:hint="eastAsia" w:cs="Times New Roman"/>
                      <w:color w:val="0000FF"/>
                      <w:spacing w:val="-6"/>
                      <w:sz w:val="18"/>
                      <w:szCs w:val="18"/>
                      <w:lang w:val="en-US" w:eastAsia="zh-CN"/>
                    </w:rPr>
                    <w:t>0</w:t>
                  </w:r>
                  <w:r>
                    <w:rPr>
                      <w:rFonts w:hint="eastAsia" w:ascii="Times New Roman" w:hAnsi="Times New Roman" w:eastAsia="宋体" w:cs="Times New Roman"/>
                      <w:color w:val="0000FF"/>
                      <w:spacing w:val="-6"/>
                      <w:sz w:val="18"/>
                      <w:szCs w:val="18"/>
                      <w:lang w:val="en-US" w:eastAsia="zh-CN"/>
                    </w:rPr>
                    <w:t>000</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70E786CA">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14.44</w:t>
                  </w: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57928B1C">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0.2</w:t>
                  </w:r>
                  <w:r>
                    <w:rPr>
                      <w:rFonts w:hint="eastAsia" w:cs="Times New Roman"/>
                      <w:color w:val="0000FF"/>
                      <w:spacing w:val="-6"/>
                      <w:sz w:val="18"/>
                      <w:szCs w:val="18"/>
                      <w:lang w:val="en-US" w:eastAsia="zh-CN"/>
                    </w:rPr>
                    <w:t>89</w:t>
                  </w:r>
                </w:p>
              </w:tc>
              <w:tc>
                <w:tcPr>
                  <w:tcW w:w="376" w:type="pct"/>
                  <w:tcBorders>
                    <w:top w:val="single" w:color="000000" w:sz="4" w:space="0"/>
                    <w:left w:val="single" w:color="000000" w:sz="4" w:space="0"/>
                    <w:bottom w:val="single" w:color="000000" w:sz="4" w:space="0"/>
                    <w:right w:val="single" w:color="000000" w:sz="4" w:space="0"/>
                  </w:tcBorders>
                  <w:noWrap w:val="0"/>
                  <w:vAlign w:val="center"/>
                </w:tcPr>
                <w:p w14:paraId="715E1C39">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0.693</w:t>
                  </w:r>
                </w:p>
              </w:tc>
              <w:tc>
                <w:tcPr>
                  <w:tcW w:w="1234" w:type="pct"/>
                  <w:tcBorders>
                    <w:top w:val="single" w:color="000000" w:sz="4" w:space="0"/>
                    <w:left w:val="single" w:color="000000" w:sz="4" w:space="0"/>
                    <w:bottom w:val="single" w:color="000000" w:sz="4" w:space="0"/>
                    <w:right w:val="single" w:color="000000" w:sz="4" w:space="0"/>
                  </w:tcBorders>
                  <w:noWrap w:val="0"/>
                  <w:vAlign w:val="center"/>
                </w:tcPr>
                <w:p w14:paraId="1733CA85">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密闭负压+干式漆雾过滤模组+活性炭吸附-脱附+催化燃烧装置+20m排气筒（DA003）</w:t>
                  </w:r>
                </w:p>
              </w:tc>
              <w:tc>
                <w:tcPr>
                  <w:tcW w:w="299" w:type="pct"/>
                  <w:tcBorders>
                    <w:top w:val="single" w:color="000000" w:sz="4" w:space="0"/>
                    <w:left w:val="single" w:color="000000" w:sz="4" w:space="0"/>
                    <w:bottom w:val="single" w:color="000000" w:sz="4" w:space="0"/>
                    <w:right w:val="single" w:color="000000" w:sz="4" w:space="0"/>
                  </w:tcBorders>
                  <w:noWrap w:val="0"/>
                  <w:vAlign w:val="center"/>
                </w:tcPr>
                <w:p w14:paraId="165D3E15">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cs="Times New Roman"/>
                      <w:color w:val="0000FF"/>
                      <w:spacing w:val="-6"/>
                      <w:sz w:val="18"/>
                      <w:szCs w:val="18"/>
                      <w:lang w:val="en-US" w:eastAsia="zh-CN"/>
                    </w:rPr>
                    <w:t>90</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14:paraId="306788DE">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1.44</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299964F0">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0.0</w:t>
                  </w:r>
                  <w:r>
                    <w:rPr>
                      <w:rFonts w:hint="eastAsia" w:cs="Times New Roman"/>
                      <w:color w:val="0000FF"/>
                      <w:spacing w:val="-6"/>
                      <w:sz w:val="18"/>
                      <w:szCs w:val="18"/>
                      <w:lang w:val="en-US" w:eastAsia="zh-CN"/>
                    </w:rPr>
                    <w:t>29</w:t>
                  </w:r>
                </w:p>
              </w:tc>
              <w:tc>
                <w:tcPr>
                  <w:tcW w:w="390" w:type="pct"/>
                  <w:tcBorders>
                    <w:top w:val="single" w:color="000000" w:sz="4" w:space="0"/>
                    <w:left w:val="single" w:color="000000" w:sz="4" w:space="0"/>
                    <w:bottom w:val="single" w:color="000000" w:sz="4" w:space="0"/>
                    <w:right w:val="nil"/>
                  </w:tcBorders>
                  <w:noWrap w:val="0"/>
                  <w:vAlign w:val="center"/>
                </w:tcPr>
                <w:p w14:paraId="6DAE9DF7">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0.</w:t>
                  </w:r>
                  <w:r>
                    <w:rPr>
                      <w:rFonts w:hint="eastAsia" w:cs="Times New Roman"/>
                      <w:color w:val="0000FF"/>
                      <w:spacing w:val="-6"/>
                      <w:sz w:val="18"/>
                      <w:szCs w:val="18"/>
                      <w:lang w:val="en-US" w:eastAsia="zh-CN"/>
                    </w:rPr>
                    <w:t>069</w:t>
                  </w:r>
                </w:p>
              </w:tc>
            </w:tr>
            <w:tr w14:paraId="1EF755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9" w:type="pct"/>
                  <w:vMerge w:val="continue"/>
                  <w:tcBorders>
                    <w:left w:val="nil"/>
                    <w:right w:val="single" w:color="000000" w:sz="4" w:space="0"/>
                  </w:tcBorders>
                  <w:noWrap w:val="0"/>
                  <w:vAlign w:val="center"/>
                </w:tcPr>
                <w:p w14:paraId="3BDA9E0D">
                  <w:pPr>
                    <w:adjustRightInd w:val="0"/>
                    <w:snapToGrid w:val="0"/>
                    <w:jc w:val="center"/>
                    <w:rPr>
                      <w:rFonts w:hint="eastAsia" w:ascii="Times New Roman" w:hAnsi="Times New Roman" w:eastAsia="宋体" w:cs="Times New Roman"/>
                      <w:color w:val="auto"/>
                      <w:spacing w:val="-6"/>
                      <w:sz w:val="18"/>
                      <w:szCs w:val="18"/>
                      <w:lang w:val="en-US" w:eastAsia="zh-CN"/>
                    </w:rPr>
                  </w:pPr>
                </w:p>
              </w:tc>
              <w:tc>
                <w:tcPr>
                  <w:tcW w:w="232" w:type="pct"/>
                  <w:vMerge w:val="continue"/>
                  <w:tcBorders>
                    <w:left w:val="single" w:color="000000" w:sz="4" w:space="0"/>
                    <w:right w:val="single" w:color="000000" w:sz="4" w:space="0"/>
                  </w:tcBorders>
                  <w:noWrap w:val="0"/>
                  <w:vAlign w:val="center"/>
                </w:tcPr>
                <w:p w14:paraId="1900F3FE">
                  <w:pPr>
                    <w:adjustRightInd w:val="0"/>
                    <w:snapToGrid w:val="0"/>
                    <w:jc w:val="center"/>
                    <w:rPr>
                      <w:rFonts w:hint="eastAsia" w:ascii="Times New Roman" w:hAnsi="Times New Roman" w:eastAsia="宋体" w:cs="Times New Roman"/>
                      <w:color w:val="auto"/>
                      <w:spacing w:val="-6"/>
                      <w:sz w:val="18"/>
                      <w:szCs w:val="18"/>
                      <w:lang w:val="en-US" w:eastAsia="zh-CN"/>
                    </w:rPr>
                  </w:pPr>
                </w:p>
              </w:tc>
              <w:tc>
                <w:tcPr>
                  <w:tcW w:w="485" w:type="pct"/>
                  <w:tcBorders>
                    <w:top w:val="single" w:color="000000" w:sz="4" w:space="0"/>
                    <w:bottom w:val="single" w:color="000000" w:sz="4" w:space="0"/>
                  </w:tcBorders>
                  <w:noWrap w:val="0"/>
                  <w:vAlign w:val="center"/>
                </w:tcPr>
                <w:p w14:paraId="7B32A503">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无组织</w:t>
                  </w:r>
                </w:p>
              </w:tc>
              <w:tc>
                <w:tcPr>
                  <w:tcW w:w="376" w:type="pct"/>
                  <w:tcBorders>
                    <w:top w:val="single" w:color="000000" w:sz="4" w:space="0"/>
                    <w:bottom w:val="single" w:color="000000" w:sz="4" w:space="0"/>
                  </w:tcBorders>
                  <w:noWrap w:val="0"/>
                  <w:vAlign w:val="center"/>
                </w:tcPr>
                <w:p w14:paraId="149E4D2F">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w:t>
                  </w:r>
                </w:p>
              </w:tc>
              <w:tc>
                <w:tcPr>
                  <w:tcW w:w="449" w:type="pct"/>
                  <w:tcBorders>
                    <w:top w:val="single" w:color="000000" w:sz="4" w:space="0"/>
                    <w:bottom w:val="single" w:color="000000" w:sz="4" w:space="0"/>
                  </w:tcBorders>
                  <w:noWrap w:val="0"/>
                  <w:vAlign w:val="center"/>
                </w:tcPr>
                <w:p w14:paraId="055E9493">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0.0029</w:t>
                  </w:r>
                </w:p>
              </w:tc>
              <w:tc>
                <w:tcPr>
                  <w:tcW w:w="376" w:type="pct"/>
                  <w:tcBorders>
                    <w:top w:val="single" w:color="000000" w:sz="4" w:space="0"/>
                    <w:bottom w:val="single" w:color="000000" w:sz="4" w:space="0"/>
                  </w:tcBorders>
                  <w:noWrap w:val="0"/>
                  <w:vAlign w:val="center"/>
                </w:tcPr>
                <w:p w14:paraId="30319E5B">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0.007</w:t>
                  </w:r>
                </w:p>
              </w:tc>
              <w:tc>
                <w:tcPr>
                  <w:tcW w:w="1234" w:type="pct"/>
                  <w:tcBorders>
                    <w:top w:val="single" w:color="000000" w:sz="4" w:space="0"/>
                    <w:bottom w:val="single" w:color="000000" w:sz="4" w:space="0"/>
                  </w:tcBorders>
                  <w:noWrap w:val="0"/>
                  <w:vAlign w:val="center"/>
                </w:tcPr>
                <w:p w14:paraId="23FBBA21">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w:t>
                  </w:r>
                </w:p>
              </w:tc>
              <w:tc>
                <w:tcPr>
                  <w:tcW w:w="299" w:type="pct"/>
                  <w:tcBorders>
                    <w:top w:val="single" w:color="000000" w:sz="4" w:space="0"/>
                    <w:bottom w:val="single" w:color="000000" w:sz="4" w:space="0"/>
                  </w:tcBorders>
                  <w:noWrap w:val="0"/>
                  <w:vAlign w:val="center"/>
                </w:tcPr>
                <w:p w14:paraId="05488105">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w:t>
                  </w:r>
                </w:p>
              </w:tc>
              <w:tc>
                <w:tcPr>
                  <w:tcW w:w="377" w:type="pct"/>
                  <w:tcBorders>
                    <w:top w:val="single" w:color="000000" w:sz="4" w:space="0"/>
                    <w:bottom w:val="single" w:color="000000" w:sz="4" w:space="0"/>
                  </w:tcBorders>
                  <w:noWrap w:val="0"/>
                  <w:vAlign w:val="center"/>
                </w:tcPr>
                <w:p w14:paraId="0E06E938">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w:t>
                  </w:r>
                </w:p>
              </w:tc>
              <w:tc>
                <w:tcPr>
                  <w:tcW w:w="428" w:type="pct"/>
                  <w:tcBorders>
                    <w:top w:val="single" w:color="000000" w:sz="4" w:space="0"/>
                    <w:bottom w:val="single" w:color="000000" w:sz="4" w:space="0"/>
                  </w:tcBorders>
                  <w:noWrap w:val="0"/>
                  <w:vAlign w:val="center"/>
                </w:tcPr>
                <w:p w14:paraId="410E56BC">
                  <w:pPr>
                    <w:adjustRightInd w:val="0"/>
                    <w:snapToGrid w:val="0"/>
                    <w:jc w:val="center"/>
                    <w:rPr>
                      <w:rFonts w:hint="eastAsia"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0.0029</w:t>
                  </w:r>
                </w:p>
              </w:tc>
              <w:tc>
                <w:tcPr>
                  <w:tcW w:w="390" w:type="pct"/>
                  <w:tcBorders>
                    <w:top w:val="single" w:color="000000" w:sz="4" w:space="0"/>
                    <w:bottom w:val="single" w:color="000000" w:sz="4" w:space="0"/>
                  </w:tcBorders>
                  <w:noWrap w:val="0"/>
                  <w:vAlign w:val="center"/>
                </w:tcPr>
                <w:p w14:paraId="5DE2DF4D">
                  <w:pPr>
                    <w:adjustRightInd w:val="0"/>
                    <w:snapToGrid w:val="0"/>
                    <w:jc w:val="center"/>
                    <w:rPr>
                      <w:rFonts w:hint="eastAsia"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0.007</w:t>
                  </w:r>
                </w:p>
              </w:tc>
            </w:tr>
            <w:tr w14:paraId="10EC76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11"/>
                  <w:tcBorders>
                    <w:left w:val="nil"/>
                  </w:tcBorders>
                  <w:noWrap w:val="0"/>
                  <w:vAlign w:val="center"/>
                </w:tcPr>
                <w:p w14:paraId="6784BB46">
                  <w:pPr>
                    <w:adjustRightInd w:val="0"/>
                    <w:snapToGrid w:val="0"/>
                    <w:jc w:val="left"/>
                    <w:rPr>
                      <w:rFonts w:hint="default"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注：挥发性有机物（以非甲烷总烃计）中包含甲苯、二甲苯。</w:t>
                  </w:r>
                </w:p>
              </w:tc>
            </w:tr>
          </w:tbl>
          <w:p w14:paraId="2C1CF123">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imes New Roman" w:hAnsi="Times New Roman" w:eastAsia="宋体" w:cs="Times New Roman"/>
                <w:b/>
                <w:bCs/>
                <w:color w:val="auto"/>
                <w:lang w:val="en-US" w:eastAsia="zh-CN"/>
              </w:rPr>
            </w:pPr>
          </w:p>
          <w:p w14:paraId="3A4F4E91">
            <w:pPr>
              <w:keepNext w:val="0"/>
              <w:keepLines w:val="0"/>
              <w:pageBreakBefore w:val="0"/>
              <w:widowControl w:val="0"/>
              <w:kinsoku/>
              <w:wordWrap/>
              <w:overflowPunct/>
              <w:topLinePunct w:val="0"/>
              <w:autoSpaceDE/>
              <w:autoSpaceDN/>
              <w:bidi w:val="0"/>
              <w:adjustRightInd/>
              <w:snapToGrid/>
              <w:spacing w:before="157" w:beforeLines="50" w:line="300" w:lineRule="auto"/>
              <w:jc w:val="center"/>
              <w:textAlignment w:val="auto"/>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表4-6 废气排放口基本情况一览表</w:t>
            </w:r>
          </w:p>
          <w:tbl>
            <w:tblPr>
              <w:tblStyle w:val="26"/>
              <w:tblW w:w="8003"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43"/>
              <w:gridCol w:w="780"/>
              <w:gridCol w:w="1700"/>
              <w:gridCol w:w="770"/>
              <w:gridCol w:w="590"/>
              <w:gridCol w:w="620"/>
              <w:gridCol w:w="570"/>
              <w:gridCol w:w="740"/>
              <w:gridCol w:w="1490"/>
            </w:tblGrid>
            <w:tr w14:paraId="26EC7B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4" w:type="pct"/>
                  <w:vMerge w:val="restart"/>
                  <w:noWrap w:val="0"/>
                  <w:vAlign w:val="center"/>
                </w:tcPr>
                <w:p w14:paraId="116A3CE7">
                  <w:pPr>
                    <w:adjustRightInd w:val="0"/>
                    <w:snapToGrid w:val="0"/>
                    <w:jc w:val="center"/>
                    <w:rPr>
                      <w:rFonts w:hint="eastAsia" w:ascii="Times New Roman" w:hAnsi="Times New Roman" w:eastAsia="宋体" w:cs="Times New Roman"/>
                      <w:b/>
                      <w:bCs/>
                      <w:color w:val="auto"/>
                      <w:spacing w:val="-6"/>
                      <w:sz w:val="18"/>
                      <w:szCs w:val="21"/>
                      <w:lang w:val="en-US" w:eastAsia="zh-CN"/>
                    </w:rPr>
                  </w:pPr>
                  <w:r>
                    <w:rPr>
                      <w:rFonts w:hint="eastAsia" w:ascii="Times New Roman" w:hAnsi="Times New Roman" w:eastAsia="宋体" w:cs="Times New Roman"/>
                      <w:b/>
                      <w:bCs/>
                      <w:color w:val="auto"/>
                      <w:spacing w:val="-6"/>
                      <w:sz w:val="18"/>
                      <w:szCs w:val="21"/>
                      <w:lang w:val="en-US" w:eastAsia="zh-CN"/>
                    </w:rPr>
                    <w:t>编号</w:t>
                  </w:r>
                </w:p>
              </w:tc>
              <w:tc>
                <w:tcPr>
                  <w:tcW w:w="487" w:type="pct"/>
                  <w:vMerge w:val="restart"/>
                  <w:noWrap w:val="0"/>
                  <w:vAlign w:val="center"/>
                </w:tcPr>
                <w:p w14:paraId="0DFAFD95">
                  <w:pPr>
                    <w:adjustRightInd w:val="0"/>
                    <w:snapToGrid w:val="0"/>
                    <w:jc w:val="center"/>
                    <w:rPr>
                      <w:rFonts w:hint="default" w:ascii="Times New Roman" w:hAnsi="Times New Roman" w:eastAsia="宋体" w:cs="Times New Roman"/>
                      <w:b/>
                      <w:bCs/>
                      <w:color w:val="auto"/>
                      <w:spacing w:val="-6"/>
                      <w:sz w:val="18"/>
                      <w:szCs w:val="21"/>
                      <w:lang w:val="en-US" w:eastAsia="zh-CN"/>
                    </w:rPr>
                  </w:pPr>
                  <w:r>
                    <w:rPr>
                      <w:rFonts w:hint="eastAsia" w:ascii="Times New Roman" w:hAnsi="Times New Roman" w:eastAsia="宋体" w:cs="Times New Roman"/>
                      <w:b/>
                      <w:bCs/>
                      <w:color w:val="auto"/>
                      <w:spacing w:val="-6"/>
                      <w:sz w:val="18"/>
                      <w:szCs w:val="21"/>
                      <w:lang w:val="en-US" w:eastAsia="zh-CN"/>
                    </w:rPr>
                    <w:t>名称</w:t>
                  </w:r>
                </w:p>
              </w:tc>
              <w:tc>
                <w:tcPr>
                  <w:tcW w:w="1062" w:type="pct"/>
                  <w:vMerge w:val="restart"/>
                  <w:noWrap w:val="0"/>
                  <w:vAlign w:val="center"/>
                </w:tcPr>
                <w:p w14:paraId="3284F9F8">
                  <w:pPr>
                    <w:adjustRightInd w:val="0"/>
                    <w:snapToGrid w:val="0"/>
                    <w:jc w:val="center"/>
                    <w:rPr>
                      <w:rFonts w:hint="eastAsia" w:ascii="Times New Roman" w:hAnsi="Times New Roman" w:eastAsia="宋体" w:cs="Times New Roman"/>
                      <w:b/>
                      <w:bCs/>
                      <w:color w:val="auto"/>
                      <w:spacing w:val="-6"/>
                      <w:sz w:val="18"/>
                      <w:szCs w:val="21"/>
                      <w:lang w:val="en-US" w:eastAsia="zh-CN"/>
                    </w:rPr>
                  </w:pPr>
                  <w:r>
                    <w:rPr>
                      <w:rFonts w:hint="eastAsia" w:ascii="Times New Roman" w:hAnsi="Times New Roman" w:eastAsia="宋体" w:cs="Times New Roman"/>
                      <w:b/>
                      <w:bCs/>
                      <w:color w:val="auto"/>
                      <w:spacing w:val="-6"/>
                      <w:sz w:val="18"/>
                      <w:szCs w:val="21"/>
                      <w:lang w:val="en-US" w:eastAsia="zh-CN"/>
                    </w:rPr>
                    <w:t>排气筒底部</w:t>
                  </w:r>
                </w:p>
                <w:p w14:paraId="5126D618">
                  <w:pPr>
                    <w:adjustRightInd w:val="0"/>
                    <w:snapToGrid w:val="0"/>
                    <w:jc w:val="center"/>
                    <w:rPr>
                      <w:rFonts w:hint="eastAsia" w:ascii="Times New Roman" w:hAnsi="Times New Roman" w:eastAsia="宋体" w:cs="Times New Roman"/>
                      <w:b/>
                      <w:bCs/>
                      <w:color w:val="auto"/>
                      <w:spacing w:val="-6"/>
                      <w:sz w:val="18"/>
                      <w:szCs w:val="21"/>
                    </w:rPr>
                  </w:pPr>
                  <w:r>
                    <w:rPr>
                      <w:rFonts w:hint="eastAsia" w:ascii="Times New Roman" w:hAnsi="Times New Roman" w:eastAsia="宋体" w:cs="Times New Roman"/>
                      <w:b/>
                      <w:bCs/>
                      <w:color w:val="auto"/>
                      <w:spacing w:val="-6"/>
                      <w:sz w:val="18"/>
                      <w:szCs w:val="21"/>
                      <w:lang w:val="en-US" w:eastAsia="zh-CN"/>
                    </w:rPr>
                    <w:t>地理坐标</w:t>
                  </w:r>
                </w:p>
              </w:tc>
              <w:tc>
                <w:tcPr>
                  <w:tcW w:w="481" w:type="pct"/>
                  <w:vMerge w:val="restart"/>
                  <w:noWrap w:val="0"/>
                  <w:vAlign w:val="center"/>
                </w:tcPr>
                <w:p w14:paraId="32AD3508">
                  <w:pPr>
                    <w:adjustRightInd w:val="0"/>
                    <w:snapToGrid w:val="0"/>
                    <w:jc w:val="center"/>
                    <w:rPr>
                      <w:rFonts w:hint="eastAsia" w:ascii="Times New Roman" w:hAnsi="Times New Roman" w:eastAsia="宋体" w:cs="Times New Roman"/>
                      <w:b/>
                      <w:bCs/>
                      <w:color w:val="auto"/>
                      <w:spacing w:val="-6"/>
                      <w:sz w:val="18"/>
                      <w:szCs w:val="21"/>
                      <w:lang w:val="en-US" w:eastAsia="zh-CN"/>
                    </w:rPr>
                  </w:pPr>
                  <w:r>
                    <w:rPr>
                      <w:rFonts w:hint="eastAsia" w:ascii="Times New Roman" w:hAnsi="Times New Roman" w:eastAsia="宋体" w:cs="Times New Roman"/>
                      <w:b/>
                      <w:bCs/>
                      <w:color w:val="auto"/>
                      <w:spacing w:val="-6"/>
                      <w:sz w:val="18"/>
                      <w:szCs w:val="21"/>
                      <w:lang w:val="en-US" w:eastAsia="zh-CN"/>
                    </w:rPr>
                    <w:t>废气量</w:t>
                  </w:r>
                </w:p>
                <w:p w14:paraId="50A261C6">
                  <w:pPr>
                    <w:adjustRightInd w:val="0"/>
                    <w:snapToGrid w:val="0"/>
                    <w:jc w:val="center"/>
                    <w:rPr>
                      <w:rFonts w:hint="eastAsia" w:ascii="Times New Roman" w:hAnsi="Times New Roman" w:eastAsia="宋体" w:cs="Times New Roman"/>
                      <w:b/>
                      <w:bCs/>
                      <w:color w:val="auto"/>
                      <w:spacing w:val="-6"/>
                      <w:sz w:val="18"/>
                      <w:szCs w:val="21"/>
                      <w:lang w:eastAsia="zh-CN"/>
                    </w:rPr>
                  </w:pPr>
                  <w:r>
                    <w:rPr>
                      <w:rFonts w:hint="eastAsia" w:ascii="Times New Roman" w:hAnsi="Times New Roman" w:eastAsia="宋体" w:cs="Times New Roman"/>
                      <w:b/>
                      <w:bCs/>
                      <w:color w:val="auto"/>
                      <w:spacing w:val="-6"/>
                      <w:sz w:val="18"/>
                      <w:szCs w:val="21"/>
                      <w:lang w:val="en-US" w:eastAsia="zh-CN"/>
                    </w:rPr>
                    <w:t>m³/h</w:t>
                  </w:r>
                </w:p>
              </w:tc>
              <w:tc>
                <w:tcPr>
                  <w:tcW w:w="1112" w:type="pct"/>
                  <w:gridSpan w:val="3"/>
                  <w:tcBorders>
                    <w:bottom w:val="single" w:color="auto" w:sz="4" w:space="0"/>
                  </w:tcBorders>
                  <w:noWrap w:val="0"/>
                  <w:vAlign w:val="center"/>
                </w:tcPr>
                <w:p w14:paraId="2A0D080C">
                  <w:pPr>
                    <w:adjustRightInd w:val="0"/>
                    <w:snapToGrid w:val="0"/>
                    <w:jc w:val="center"/>
                    <w:rPr>
                      <w:rFonts w:hint="eastAsia" w:ascii="Times New Roman" w:hAnsi="Times New Roman" w:eastAsia="宋体" w:cs="Times New Roman"/>
                      <w:b/>
                      <w:bCs/>
                      <w:color w:val="auto"/>
                      <w:spacing w:val="-6"/>
                      <w:sz w:val="18"/>
                      <w:szCs w:val="21"/>
                      <w:lang w:val="en-US" w:eastAsia="zh-CN"/>
                    </w:rPr>
                  </w:pPr>
                  <w:r>
                    <w:rPr>
                      <w:rFonts w:hint="eastAsia" w:ascii="Times New Roman" w:hAnsi="Times New Roman" w:eastAsia="宋体" w:cs="Times New Roman"/>
                      <w:b/>
                      <w:bCs/>
                      <w:color w:val="auto"/>
                      <w:spacing w:val="-6"/>
                      <w:sz w:val="18"/>
                      <w:szCs w:val="21"/>
                      <w:lang w:val="en-US" w:eastAsia="zh-CN"/>
                    </w:rPr>
                    <w:t>排气筒参数</w:t>
                  </w:r>
                </w:p>
              </w:tc>
              <w:tc>
                <w:tcPr>
                  <w:tcW w:w="462" w:type="pct"/>
                  <w:vMerge w:val="restart"/>
                  <w:noWrap w:val="0"/>
                  <w:vAlign w:val="center"/>
                </w:tcPr>
                <w:p w14:paraId="26E6F30F">
                  <w:pPr>
                    <w:adjustRightInd w:val="0"/>
                    <w:snapToGrid w:val="0"/>
                    <w:jc w:val="center"/>
                    <w:rPr>
                      <w:rFonts w:hint="default" w:ascii="Times New Roman" w:hAnsi="Times New Roman" w:eastAsia="宋体" w:cs="Times New Roman"/>
                      <w:b/>
                      <w:bCs/>
                      <w:color w:val="auto"/>
                      <w:spacing w:val="-6"/>
                      <w:sz w:val="18"/>
                      <w:szCs w:val="21"/>
                      <w:lang w:val="en-US" w:eastAsia="zh-CN"/>
                    </w:rPr>
                  </w:pPr>
                  <w:r>
                    <w:rPr>
                      <w:rFonts w:hint="eastAsia" w:ascii="Times New Roman" w:hAnsi="Times New Roman" w:eastAsia="宋体" w:cs="Times New Roman"/>
                      <w:b/>
                      <w:bCs/>
                      <w:color w:val="auto"/>
                      <w:spacing w:val="-6"/>
                      <w:sz w:val="18"/>
                      <w:szCs w:val="21"/>
                      <w:lang w:val="en-US" w:eastAsia="zh-CN"/>
                    </w:rPr>
                    <w:t>类型</w:t>
                  </w:r>
                </w:p>
              </w:tc>
              <w:tc>
                <w:tcPr>
                  <w:tcW w:w="930" w:type="pct"/>
                  <w:vMerge w:val="restart"/>
                  <w:noWrap w:val="0"/>
                  <w:vAlign w:val="center"/>
                </w:tcPr>
                <w:p w14:paraId="0F7CFA4A">
                  <w:pPr>
                    <w:adjustRightInd w:val="0"/>
                    <w:snapToGrid w:val="0"/>
                    <w:jc w:val="center"/>
                    <w:rPr>
                      <w:rFonts w:hint="eastAsia" w:ascii="Times New Roman" w:hAnsi="Times New Roman" w:eastAsia="宋体" w:cs="Times New Roman"/>
                      <w:b/>
                      <w:bCs/>
                      <w:color w:val="auto"/>
                      <w:spacing w:val="-6"/>
                      <w:sz w:val="18"/>
                      <w:szCs w:val="21"/>
                    </w:rPr>
                  </w:pPr>
                  <w:r>
                    <w:rPr>
                      <w:rFonts w:hint="eastAsia" w:ascii="Times New Roman" w:hAnsi="Times New Roman" w:eastAsia="宋体" w:cs="Times New Roman"/>
                      <w:b/>
                      <w:bCs/>
                      <w:color w:val="auto"/>
                      <w:spacing w:val="-6"/>
                      <w:sz w:val="18"/>
                      <w:szCs w:val="21"/>
                    </w:rPr>
                    <w:t>执行标准</w:t>
                  </w:r>
                </w:p>
              </w:tc>
            </w:tr>
            <w:tr w14:paraId="22032C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464" w:type="pct"/>
                  <w:vMerge w:val="continue"/>
                  <w:tcBorders>
                    <w:bottom w:val="single" w:color="auto" w:sz="12" w:space="0"/>
                  </w:tcBorders>
                  <w:noWrap w:val="0"/>
                  <w:vAlign w:val="center"/>
                </w:tcPr>
                <w:p w14:paraId="7C42E783">
                  <w:pPr>
                    <w:adjustRightInd w:val="0"/>
                    <w:snapToGrid w:val="0"/>
                    <w:jc w:val="center"/>
                    <w:rPr>
                      <w:color w:val="auto"/>
                    </w:rPr>
                  </w:pPr>
                </w:p>
              </w:tc>
              <w:tc>
                <w:tcPr>
                  <w:tcW w:w="487" w:type="pct"/>
                  <w:vMerge w:val="continue"/>
                  <w:tcBorders>
                    <w:bottom w:val="single" w:color="auto" w:sz="12" w:space="0"/>
                  </w:tcBorders>
                  <w:noWrap w:val="0"/>
                  <w:vAlign w:val="center"/>
                </w:tcPr>
                <w:p w14:paraId="5A8EE4D2">
                  <w:pPr>
                    <w:adjustRightInd w:val="0"/>
                    <w:snapToGrid w:val="0"/>
                    <w:jc w:val="center"/>
                    <w:rPr>
                      <w:color w:val="auto"/>
                    </w:rPr>
                  </w:pPr>
                </w:p>
              </w:tc>
              <w:tc>
                <w:tcPr>
                  <w:tcW w:w="1062" w:type="pct"/>
                  <w:vMerge w:val="continue"/>
                  <w:tcBorders>
                    <w:bottom w:val="single" w:color="auto" w:sz="12" w:space="0"/>
                  </w:tcBorders>
                  <w:noWrap w:val="0"/>
                  <w:vAlign w:val="center"/>
                </w:tcPr>
                <w:p w14:paraId="475348F4">
                  <w:pPr>
                    <w:adjustRightInd w:val="0"/>
                    <w:snapToGrid w:val="0"/>
                    <w:jc w:val="center"/>
                    <w:rPr>
                      <w:color w:val="auto"/>
                    </w:rPr>
                  </w:pPr>
                </w:p>
              </w:tc>
              <w:tc>
                <w:tcPr>
                  <w:tcW w:w="481" w:type="pct"/>
                  <w:vMerge w:val="continue"/>
                  <w:tcBorders>
                    <w:bottom w:val="single" w:color="auto" w:sz="12" w:space="0"/>
                  </w:tcBorders>
                  <w:noWrap w:val="0"/>
                  <w:vAlign w:val="center"/>
                </w:tcPr>
                <w:p w14:paraId="793E5CDA">
                  <w:pPr>
                    <w:adjustRightInd w:val="0"/>
                    <w:snapToGrid w:val="0"/>
                    <w:jc w:val="center"/>
                    <w:rPr>
                      <w:color w:val="auto"/>
                    </w:rPr>
                  </w:pPr>
                </w:p>
              </w:tc>
              <w:tc>
                <w:tcPr>
                  <w:tcW w:w="368" w:type="pct"/>
                  <w:tcBorders>
                    <w:top w:val="single" w:color="auto" w:sz="4" w:space="0"/>
                    <w:bottom w:val="single" w:color="auto" w:sz="12" w:space="0"/>
                  </w:tcBorders>
                  <w:noWrap w:val="0"/>
                  <w:vAlign w:val="center"/>
                </w:tcPr>
                <w:p w14:paraId="0105AF25">
                  <w:pPr>
                    <w:adjustRightInd w:val="0"/>
                    <w:snapToGrid w:val="0"/>
                    <w:jc w:val="center"/>
                    <w:rPr>
                      <w:rFonts w:hint="eastAsia" w:ascii="Times New Roman" w:hAnsi="Times New Roman" w:eastAsia="宋体" w:cs="Times New Roman"/>
                      <w:b/>
                      <w:bCs/>
                      <w:color w:val="auto"/>
                      <w:spacing w:val="-6"/>
                      <w:sz w:val="18"/>
                      <w:szCs w:val="21"/>
                      <w:lang w:val="en-US" w:eastAsia="zh-CN"/>
                    </w:rPr>
                  </w:pPr>
                  <w:r>
                    <w:rPr>
                      <w:rFonts w:hint="eastAsia" w:ascii="Times New Roman" w:hAnsi="Times New Roman" w:eastAsia="宋体" w:cs="Times New Roman"/>
                      <w:b/>
                      <w:bCs/>
                      <w:color w:val="auto"/>
                      <w:spacing w:val="-6"/>
                      <w:sz w:val="18"/>
                      <w:szCs w:val="21"/>
                      <w:lang w:val="en-US" w:eastAsia="zh-CN"/>
                    </w:rPr>
                    <w:t>高度/m</w:t>
                  </w:r>
                </w:p>
              </w:tc>
              <w:tc>
                <w:tcPr>
                  <w:tcW w:w="387" w:type="pct"/>
                  <w:tcBorders>
                    <w:top w:val="single" w:color="auto" w:sz="4" w:space="0"/>
                    <w:bottom w:val="single" w:color="auto" w:sz="12" w:space="0"/>
                  </w:tcBorders>
                  <w:noWrap w:val="0"/>
                  <w:vAlign w:val="center"/>
                </w:tcPr>
                <w:p w14:paraId="6F7B5535">
                  <w:pPr>
                    <w:adjustRightInd w:val="0"/>
                    <w:snapToGrid w:val="0"/>
                    <w:jc w:val="center"/>
                    <w:rPr>
                      <w:rFonts w:hint="eastAsia" w:ascii="Times New Roman" w:hAnsi="Times New Roman" w:eastAsia="宋体" w:cs="Times New Roman"/>
                      <w:b/>
                      <w:bCs/>
                      <w:color w:val="auto"/>
                      <w:spacing w:val="-6"/>
                      <w:sz w:val="18"/>
                      <w:szCs w:val="21"/>
                      <w:lang w:val="en-US" w:eastAsia="zh-CN"/>
                    </w:rPr>
                  </w:pPr>
                  <w:r>
                    <w:rPr>
                      <w:rFonts w:hint="eastAsia" w:ascii="Times New Roman" w:hAnsi="Times New Roman" w:eastAsia="宋体" w:cs="Times New Roman"/>
                      <w:b/>
                      <w:bCs/>
                      <w:color w:val="auto"/>
                      <w:spacing w:val="-6"/>
                      <w:sz w:val="18"/>
                      <w:szCs w:val="21"/>
                      <w:lang w:val="en-US" w:eastAsia="zh-CN"/>
                    </w:rPr>
                    <w:t>内径/m</w:t>
                  </w:r>
                </w:p>
              </w:tc>
              <w:tc>
                <w:tcPr>
                  <w:tcW w:w="356" w:type="pct"/>
                  <w:tcBorders>
                    <w:top w:val="single" w:color="auto" w:sz="4" w:space="0"/>
                    <w:bottom w:val="single" w:color="auto" w:sz="12" w:space="0"/>
                  </w:tcBorders>
                  <w:noWrap w:val="0"/>
                  <w:vAlign w:val="center"/>
                </w:tcPr>
                <w:p w14:paraId="202434D5">
                  <w:pPr>
                    <w:adjustRightInd w:val="0"/>
                    <w:snapToGrid w:val="0"/>
                    <w:jc w:val="center"/>
                    <w:rPr>
                      <w:rFonts w:hint="eastAsia" w:ascii="Times New Roman" w:hAnsi="Times New Roman" w:eastAsia="宋体" w:cs="Times New Roman"/>
                      <w:b/>
                      <w:bCs/>
                      <w:color w:val="auto"/>
                      <w:spacing w:val="-6"/>
                      <w:sz w:val="18"/>
                      <w:szCs w:val="21"/>
                      <w:lang w:val="en-US" w:eastAsia="zh-CN"/>
                    </w:rPr>
                  </w:pPr>
                  <w:r>
                    <w:rPr>
                      <w:rFonts w:hint="eastAsia" w:ascii="Times New Roman" w:hAnsi="Times New Roman" w:eastAsia="宋体" w:cs="Times New Roman"/>
                      <w:b/>
                      <w:bCs/>
                      <w:color w:val="auto"/>
                      <w:spacing w:val="-6"/>
                      <w:sz w:val="18"/>
                      <w:szCs w:val="21"/>
                      <w:lang w:val="en-US" w:eastAsia="zh-CN"/>
                    </w:rPr>
                    <w:t>温度/℃</w:t>
                  </w:r>
                </w:p>
              </w:tc>
              <w:tc>
                <w:tcPr>
                  <w:tcW w:w="462" w:type="pct"/>
                  <w:vMerge w:val="continue"/>
                  <w:tcBorders>
                    <w:bottom w:val="single" w:color="auto" w:sz="12" w:space="0"/>
                  </w:tcBorders>
                  <w:noWrap w:val="0"/>
                  <w:vAlign w:val="center"/>
                </w:tcPr>
                <w:p w14:paraId="1203A5A2">
                  <w:pPr>
                    <w:adjustRightInd w:val="0"/>
                    <w:snapToGrid w:val="0"/>
                    <w:jc w:val="center"/>
                    <w:rPr>
                      <w:rFonts w:hint="eastAsia" w:ascii="Times New Roman" w:hAnsi="Times New Roman" w:eastAsia="宋体" w:cs="Times New Roman"/>
                      <w:b/>
                      <w:bCs/>
                      <w:color w:val="auto"/>
                      <w:spacing w:val="-6"/>
                      <w:sz w:val="18"/>
                      <w:szCs w:val="21"/>
                    </w:rPr>
                  </w:pPr>
                </w:p>
              </w:tc>
              <w:tc>
                <w:tcPr>
                  <w:tcW w:w="930" w:type="pct"/>
                  <w:vMerge w:val="continue"/>
                  <w:tcBorders>
                    <w:bottom w:val="single" w:color="auto" w:sz="12" w:space="0"/>
                  </w:tcBorders>
                  <w:noWrap w:val="0"/>
                  <w:vAlign w:val="center"/>
                </w:tcPr>
                <w:p w14:paraId="28EF44F0">
                  <w:pPr>
                    <w:adjustRightInd w:val="0"/>
                    <w:snapToGrid w:val="0"/>
                    <w:jc w:val="center"/>
                    <w:rPr>
                      <w:rFonts w:hint="eastAsia" w:ascii="Times New Roman" w:hAnsi="Times New Roman" w:eastAsia="宋体" w:cs="Times New Roman"/>
                      <w:b/>
                      <w:bCs/>
                      <w:color w:val="auto"/>
                      <w:spacing w:val="-6"/>
                      <w:sz w:val="18"/>
                      <w:szCs w:val="21"/>
                    </w:rPr>
                  </w:pPr>
                </w:p>
              </w:tc>
            </w:tr>
            <w:tr w14:paraId="5DEF5A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464" w:type="pct"/>
                  <w:tcBorders>
                    <w:top w:val="single" w:color="auto" w:sz="12" w:space="0"/>
                    <w:bottom w:val="single" w:color="auto" w:sz="4" w:space="0"/>
                  </w:tcBorders>
                  <w:noWrap w:val="0"/>
                  <w:vAlign w:val="center"/>
                </w:tcPr>
                <w:p w14:paraId="2D08AE2B">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DA001</w:t>
                  </w:r>
                </w:p>
              </w:tc>
              <w:tc>
                <w:tcPr>
                  <w:tcW w:w="487" w:type="pct"/>
                  <w:tcBorders>
                    <w:top w:val="single" w:color="auto" w:sz="12" w:space="0"/>
                    <w:bottom w:val="single" w:color="auto" w:sz="4" w:space="0"/>
                  </w:tcBorders>
                  <w:noWrap w:val="0"/>
                  <w:vAlign w:val="center"/>
                </w:tcPr>
                <w:p w14:paraId="06C26F8B">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焊接、打磨</w:t>
                  </w:r>
                  <w:r>
                    <w:rPr>
                      <w:rFonts w:hint="eastAsia" w:cs="Times New Roman"/>
                      <w:color w:val="auto"/>
                      <w:spacing w:val="-6"/>
                      <w:sz w:val="18"/>
                      <w:szCs w:val="18"/>
                      <w:lang w:val="en-US" w:eastAsia="zh-CN"/>
                    </w:rPr>
                    <w:t>废气</w:t>
                  </w:r>
                  <w:r>
                    <w:rPr>
                      <w:rFonts w:hint="eastAsia" w:ascii="Times New Roman" w:hAnsi="Times New Roman" w:eastAsia="宋体" w:cs="Times New Roman"/>
                      <w:color w:val="auto"/>
                      <w:spacing w:val="-6"/>
                      <w:sz w:val="18"/>
                      <w:szCs w:val="18"/>
                      <w:lang w:val="en-US" w:eastAsia="zh-CN"/>
                    </w:rPr>
                    <w:t>排口</w:t>
                  </w:r>
                </w:p>
              </w:tc>
              <w:tc>
                <w:tcPr>
                  <w:tcW w:w="1062" w:type="pct"/>
                  <w:tcBorders>
                    <w:top w:val="single" w:color="auto" w:sz="12" w:space="0"/>
                    <w:bottom w:val="single" w:color="auto" w:sz="4" w:space="0"/>
                  </w:tcBorders>
                  <w:noWrap w:val="0"/>
                  <w:vAlign w:val="center"/>
                </w:tcPr>
                <w:p w14:paraId="17C722D6">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E87°1′50.592″</w:t>
                  </w:r>
                </w:p>
                <w:p w14:paraId="2D4181BD">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N44°6′55.825″</w:t>
                  </w:r>
                </w:p>
              </w:tc>
              <w:tc>
                <w:tcPr>
                  <w:tcW w:w="481" w:type="pct"/>
                  <w:tcBorders>
                    <w:top w:val="single" w:color="auto" w:sz="12" w:space="0"/>
                    <w:bottom w:val="single" w:color="auto" w:sz="4" w:space="0"/>
                  </w:tcBorders>
                  <w:noWrap w:val="0"/>
                  <w:vAlign w:val="center"/>
                </w:tcPr>
                <w:p w14:paraId="150DA051">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10000</w:t>
                  </w:r>
                </w:p>
              </w:tc>
              <w:tc>
                <w:tcPr>
                  <w:tcW w:w="368" w:type="pct"/>
                  <w:tcBorders>
                    <w:top w:val="single" w:color="auto" w:sz="12" w:space="0"/>
                    <w:bottom w:val="single" w:color="auto" w:sz="4" w:space="0"/>
                  </w:tcBorders>
                  <w:noWrap w:val="0"/>
                  <w:vAlign w:val="center"/>
                </w:tcPr>
                <w:p w14:paraId="2C12943A">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15</w:t>
                  </w:r>
                </w:p>
              </w:tc>
              <w:tc>
                <w:tcPr>
                  <w:tcW w:w="387" w:type="pct"/>
                  <w:tcBorders>
                    <w:top w:val="single" w:color="auto" w:sz="12" w:space="0"/>
                    <w:bottom w:val="single" w:color="auto" w:sz="4" w:space="0"/>
                  </w:tcBorders>
                  <w:noWrap w:val="0"/>
                  <w:vAlign w:val="center"/>
                </w:tcPr>
                <w:p w14:paraId="59F7AC7C">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0.5</w:t>
                  </w:r>
                </w:p>
              </w:tc>
              <w:tc>
                <w:tcPr>
                  <w:tcW w:w="356" w:type="pct"/>
                  <w:tcBorders>
                    <w:top w:val="single" w:color="auto" w:sz="12" w:space="0"/>
                    <w:bottom w:val="single" w:color="auto" w:sz="4" w:space="0"/>
                  </w:tcBorders>
                  <w:noWrap w:val="0"/>
                  <w:vAlign w:val="center"/>
                </w:tcPr>
                <w:p w14:paraId="58219976">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20</w:t>
                  </w:r>
                </w:p>
              </w:tc>
              <w:tc>
                <w:tcPr>
                  <w:tcW w:w="462" w:type="pct"/>
                  <w:tcBorders>
                    <w:top w:val="single" w:color="auto" w:sz="12" w:space="0"/>
                    <w:bottom w:val="single" w:color="auto" w:sz="4" w:space="0"/>
                  </w:tcBorders>
                  <w:noWrap w:val="0"/>
                  <w:vAlign w:val="center"/>
                </w:tcPr>
                <w:p w14:paraId="127FE07F">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一般排放口</w:t>
                  </w:r>
                </w:p>
              </w:tc>
              <w:tc>
                <w:tcPr>
                  <w:tcW w:w="930" w:type="pct"/>
                  <w:vMerge w:val="restart"/>
                  <w:tcBorders>
                    <w:top w:val="single" w:color="auto" w:sz="12" w:space="0"/>
                  </w:tcBorders>
                  <w:noWrap w:val="0"/>
                  <w:vAlign w:val="center"/>
                </w:tcPr>
                <w:p w14:paraId="34607E0C">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《大气污染物综合排放标准》</w:t>
                  </w:r>
                  <w:r>
                    <w:rPr>
                      <w:rFonts w:hint="eastAsia" w:ascii="Times New Roman" w:hAnsi="Times New Roman" w:eastAsia="宋体" w:cs="Times New Roman"/>
                      <w:color w:val="auto"/>
                      <w:spacing w:val="-11"/>
                      <w:sz w:val="18"/>
                      <w:szCs w:val="18"/>
                      <w:lang w:val="en-US" w:eastAsia="zh-CN"/>
                    </w:rPr>
                    <w:t>（GB16297-1996）</w:t>
                  </w:r>
                </w:p>
                <w:p w14:paraId="4BA12742">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表2新污染源大气污染物二级</w:t>
                  </w:r>
                  <w:r>
                    <w:rPr>
                      <w:rFonts w:hint="eastAsia" w:cs="Times New Roman"/>
                      <w:color w:val="auto"/>
                      <w:spacing w:val="-6"/>
                      <w:sz w:val="18"/>
                      <w:szCs w:val="18"/>
                      <w:lang w:val="en-US" w:eastAsia="zh-CN"/>
                    </w:rPr>
                    <w:t>排放限值</w:t>
                  </w:r>
                </w:p>
              </w:tc>
            </w:tr>
            <w:tr w14:paraId="00576D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464" w:type="pct"/>
                  <w:tcBorders>
                    <w:top w:val="single" w:color="auto" w:sz="4" w:space="0"/>
                    <w:bottom w:val="single" w:color="auto" w:sz="4" w:space="0"/>
                  </w:tcBorders>
                  <w:noWrap w:val="0"/>
                  <w:vAlign w:val="center"/>
                </w:tcPr>
                <w:p w14:paraId="14338B54">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DA002</w:t>
                  </w:r>
                </w:p>
              </w:tc>
              <w:tc>
                <w:tcPr>
                  <w:tcW w:w="487" w:type="pct"/>
                  <w:tcBorders>
                    <w:top w:val="single" w:color="auto" w:sz="4" w:space="0"/>
                    <w:bottom w:val="single" w:color="auto" w:sz="4" w:space="0"/>
                  </w:tcBorders>
                  <w:noWrap w:val="0"/>
                  <w:vAlign w:val="center"/>
                </w:tcPr>
                <w:p w14:paraId="494B6487">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抛丸</w:t>
                  </w:r>
                  <w:r>
                    <w:rPr>
                      <w:rFonts w:hint="eastAsia" w:cs="Times New Roman"/>
                      <w:color w:val="auto"/>
                      <w:spacing w:val="-6"/>
                      <w:sz w:val="18"/>
                      <w:szCs w:val="18"/>
                      <w:lang w:val="en-US" w:eastAsia="zh-CN"/>
                    </w:rPr>
                    <w:t>粉尘</w:t>
                  </w:r>
                  <w:r>
                    <w:rPr>
                      <w:rFonts w:hint="eastAsia" w:ascii="Times New Roman" w:hAnsi="Times New Roman" w:eastAsia="宋体" w:cs="Times New Roman"/>
                      <w:color w:val="auto"/>
                      <w:spacing w:val="-6"/>
                      <w:sz w:val="18"/>
                      <w:szCs w:val="18"/>
                      <w:lang w:val="en-US" w:eastAsia="zh-CN"/>
                    </w:rPr>
                    <w:t>排口</w:t>
                  </w:r>
                </w:p>
              </w:tc>
              <w:tc>
                <w:tcPr>
                  <w:tcW w:w="1062" w:type="pct"/>
                  <w:tcBorders>
                    <w:top w:val="single" w:color="auto" w:sz="4" w:space="0"/>
                    <w:bottom w:val="single" w:color="auto" w:sz="4" w:space="0"/>
                  </w:tcBorders>
                  <w:noWrap w:val="0"/>
                  <w:vAlign w:val="center"/>
                </w:tcPr>
                <w:p w14:paraId="203897B4">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E87°1′52.183″</w:t>
                  </w:r>
                </w:p>
                <w:p w14:paraId="0B241E10">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N44°6′55.401″</w:t>
                  </w:r>
                </w:p>
              </w:tc>
              <w:tc>
                <w:tcPr>
                  <w:tcW w:w="481" w:type="pct"/>
                  <w:tcBorders>
                    <w:top w:val="single" w:color="auto" w:sz="4" w:space="0"/>
                    <w:bottom w:val="single" w:color="auto" w:sz="4" w:space="0"/>
                  </w:tcBorders>
                  <w:noWrap w:val="0"/>
                  <w:vAlign w:val="center"/>
                </w:tcPr>
                <w:p w14:paraId="2D3C9E3B">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cs="Times New Roman"/>
                      <w:color w:val="0000FF"/>
                      <w:spacing w:val="-6"/>
                      <w:sz w:val="18"/>
                      <w:szCs w:val="18"/>
                      <w:lang w:val="en-US" w:eastAsia="zh-CN"/>
                    </w:rPr>
                    <w:t>20</w:t>
                  </w:r>
                  <w:r>
                    <w:rPr>
                      <w:rFonts w:hint="eastAsia" w:ascii="Times New Roman" w:hAnsi="Times New Roman" w:eastAsia="宋体" w:cs="Times New Roman"/>
                      <w:color w:val="0000FF"/>
                      <w:spacing w:val="-6"/>
                      <w:sz w:val="18"/>
                      <w:szCs w:val="18"/>
                      <w:lang w:val="en-US" w:eastAsia="zh-CN"/>
                    </w:rPr>
                    <w:t>000</w:t>
                  </w:r>
                </w:p>
              </w:tc>
              <w:tc>
                <w:tcPr>
                  <w:tcW w:w="368" w:type="pct"/>
                  <w:tcBorders>
                    <w:top w:val="single" w:color="auto" w:sz="4" w:space="0"/>
                    <w:bottom w:val="single" w:color="auto" w:sz="4" w:space="0"/>
                  </w:tcBorders>
                  <w:noWrap w:val="0"/>
                  <w:vAlign w:val="center"/>
                </w:tcPr>
                <w:p w14:paraId="4411B3D9">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15</w:t>
                  </w:r>
                </w:p>
              </w:tc>
              <w:tc>
                <w:tcPr>
                  <w:tcW w:w="387" w:type="pct"/>
                  <w:tcBorders>
                    <w:top w:val="single" w:color="auto" w:sz="4" w:space="0"/>
                    <w:bottom w:val="single" w:color="auto" w:sz="4" w:space="0"/>
                  </w:tcBorders>
                  <w:noWrap w:val="0"/>
                  <w:vAlign w:val="center"/>
                </w:tcPr>
                <w:p w14:paraId="20F6C959">
                  <w:pPr>
                    <w:adjustRightInd w:val="0"/>
                    <w:snapToGrid w:val="0"/>
                    <w:jc w:val="center"/>
                    <w:rPr>
                      <w:rFonts w:hint="eastAsia" w:ascii="Times New Roman" w:hAnsi="Times New Roman" w:eastAsia="宋体" w:cs="Times New Roman"/>
                      <w:color w:val="auto"/>
                      <w:spacing w:val="-6"/>
                      <w:kern w:val="2"/>
                      <w:sz w:val="18"/>
                      <w:szCs w:val="18"/>
                      <w:lang w:val="en-US" w:eastAsia="zh-CN" w:bidi="ar-SA"/>
                    </w:rPr>
                  </w:pPr>
                  <w:r>
                    <w:rPr>
                      <w:rFonts w:hint="eastAsia" w:ascii="Times New Roman" w:hAnsi="Times New Roman" w:eastAsia="宋体" w:cs="Times New Roman"/>
                      <w:color w:val="auto"/>
                      <w:spacing w:val="-6"/>
                      <w:sz w:val="18"/>
                      <w:szCs w:val="18"/>
                      <w:lang w:val="en-US" w:eastAsia="zh-CN"/>
                    </w:rPr>
                    <w:t>0.5</w:t>
                  </w:r>
                </w:p>
              </w:tc>
              <w:tc>
                <w:tcPr>
                  <w:tcW w:w="356" w:type="pct"/>
                  <w:tcBorders>
                    <w:top w:val="single" w:color="auto" w:sz="4" w:space="0"/>
                    <w:bottom w:val="single" w:color="auto" w:sz="4" w:space="0"/>
                  </w:tcBorders>
                  <w:noWrap w:val="0"/>
                  <w:vAlign w:val="center"/>
                </w:tcPr>
                <w:p w14:paraId="58B99778">
                  <w:pPr>
                    <w:adjustRightInd w:val="0"/>
                    <w:snapToGrid w:val="0"/>
                    <w:jc w:val="center"/>
                    <w:rPr>
                      <w:rFonts w:hint="eastAsia" w:ascii="Times New Roman" w:hAnsi="Times New Roman" w:eastAsia="宋体" w:cs="Times New Roman"/>
                      <w:color w:val="auto"/>
                      <w:spacing w:val="-6"/>
                      <w:kern w:val="2"/>
                      <w:sz w:val="18"/>
                      <w:szCs w:val="18"/>
                      <w:lang w:val="en-US" w:eastAsia="zh-CN" w:bidi="ar-SA"/>
                    </w:rPr>
                  </w:pPr>
                  <w:r>
                    <w:rPr>
                      <w:rFonts w:hint="eastAsia" w:ascii="Times New Roman" w:hAnsi="Times New Roman" w:eastAsia="宋体" w:cs="Times New Roman"/>
                      <w:color w:val="auto"/>
                      <w:spacing w:val="-6"/>
                      <w:sz w:val="18"/>
                      <w:szCs w:val="18"/>
                      <w:lang w:val="en-US" w:eastAsia="zh-CN"/>
                    </w:rPr>
                    <w:t>20</w:t>
                  </w:r>
                </w:p>
              </w:tc>
              <w:tc>
                <w:tcPr>
                  <w:tcW w:w="462" w:type="pct"/>
                  <w:tcBorders>
                    <w:top w:val="single" w:color="auto" w:sz="4" w:space="0"/>
                    <w:bottom w:val="single" w:color="auto" w:sz="4" w:space="0"/>
                  </w:tcBorders>
                  <w:noWrap w:val="0"/>
                  <w:vAlign w:val="center"/>
                </w:tcPr>
                <w:p w14:paraId="185C83B1">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一般排放口</w:t>
                  </w:r>
                </w:p>
              </w:tc>
              <w:tc>
                <w:tcPr>
                  <w:tcW w:w="930" w:type="pct"/>
                  <w:vMerge w:val="continue"/>
                  <w:noWrap w:val="0"/>
                  <w:vAlign w:val="center"/>
                </w:tcPr>
                <w:p w14:paraId="42AF2421">
                  <w:pPr>
                    <w:adjustRightInd w:val="0"/>
                    <w:snapToGrid w:val="0"/>
                    <w:jc w:val="center"/>
                    <w:rPr>
                      <w:rFonts w:hint="eastAsia" w:ascii="Times New Roman" w:hAnsi="Times New Roman" w:eastAsia="宋体" w:cs="Times New Roman"/>
                      <w:color w:val="auto"/>
                      <w:spacing w:val="-6"/>
                      <w:sz w:val="18"/>
                      <w:szCs w:val="18"/>
                      <w:lang w:val="en-US" w:eastAsia="zh-CN"/>
                    </w:rPr>
                  </w:pPr>
                </w:p>
              </w:tc>
            </w:tr>
            <w:tr w14:paraId="23A6EC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464" w:type="pct"/>
                  <w:tcBorders>
                    <w:top w:val="single" w:color="auto" w:sz="4" w:space="0"/>
                    <w:bottom w:val="single" w:color="auto" w:sz="4" w:space="0"/>
                  </w:tcBorders>
                  <w:noWrap w:val="0"/>
                  <w:vAlign w:val="center"/>
                </w:tcPr>
                <w:p w14:paraId="0F7A46FB">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DA003</w:t>
                  </w:r>
                </w:p>
              </w:tc>
              <w:tc>
                <w:tcPr>
                  <w:tcW w:w="487" w:type="pct"/>
                  <w:tcBorders>
                    <w:top w:val="single" w:color="auto" w:sz="4" w:space="0"/>
                    <w:bottom w:val="single" w:color="auto" w:sz="4" w:space="0"/>
                  </w:tcBorders>
                  <w:noWrap w:val="0"/>
                  <w:vAlign w:val="center"/>
                </w:tcPr>
                <w:p w14:paraId="1FBE9337">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喷漆</w:t>
                  </w:r>
                  <w:r>
                    <w:rPr>
                      <w:rFonts w:hint="eastAsia" w:cs="Times New Roman"/>
                      <w:color w:val="auto"/>
                      <w:spacing w:val="-6"/>
                      <w:sz w:val="18"/>
                      <w:szCs w:val="18"/>
                      <w:lang w:val="en-US" w:eastAsia="zh-CN"/>
                    </w:rPr>
                    <w:t>废气</w:t>
                  </w:r>
                  <w:r>
                    <w:rPr>
                      <w:rFonts w:hint="eastAsia" w:ascii="Times New Roman" w:hAnsi="Times New Roman" w:eastAsia="宋体" w:cs="Times New Roman"/>
                      <w:color w:val="auto"/>
                      <w:spacing w:val="-6"/>
                      <w:sz w:val="18"/>
                      <w:szCs w:val="18"/>
                      <w:lang w:val="en-US" w:eastAsia="zh-CN"/>
                    </w:rPr>
                    <w:t>排口</w:t>
                  </w:r>
                </w:p>
              </w:tc>
              <w:tc>
                <w:tcPr>
                  <w:tcW w:w="1062" w:type="pct"/>
                  <w:tcBorders>
                    <w:top w:val="single" w:color="auto" w:sz="4" w:space="0"/>
                    <w:bottom w:val="single" w:color="auto" w:sz="4" w:space="0"/>
                  </w:tcBorders>
                  <w:noWrap w:val="0"/>
                  <w:vAlign w:val="center"/>
                </w:tcPr>
                <w:p w14:paraId="3AA6DD99">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E87°1′47.993″</w:t>
                  </w:r>
                </w:p>
                <w:p w14:paraId="52280E63">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N44°6′55.109″</w:t>
                  </w:r>
                </w:p>
              </w:tc>
              <w:tc>
                <w:tcPr>
                  <w:tcW w:w="481" w:type="pct"/>
                  <w:tcBorders>
                    <w:top w:val="single" w:color="auto" w:sz="4" w:space="0"/>
                    <w:bottom w:val="single" w:color="auto" w:sz="4" w:space="0"/>
                  </w:tcBorders>
                  <w:noWrap w:val="0"/>
                  <w:vAlign w:val="center"/>
                </w:tcPr>
                <w:p w14:paraId="6BF81E4A">
                  <w:pPr>
                    <w:adjustRightInd w:val="0"/>
                    <w:snapToGrid w:val="0"/>
                    <w:jc w:val="center"/>
                    <w:rPr>
                      <w:rFonts w:hint="default" w:ascii="Times New Roman" w:hAnsi="Times New Roman" w:eastAsia="宋体" w:cs="Times New Roman"/>
                      <w:color w:val="0000FF"/>
                      <w:spacing w:val="-6"/>
                      <w:sz w:val="18"/>
                      <w:szCs w:val="18"/>
                      <w:lang w:val="en-US" w:eastAsia="zh-CN"/>
                    </w:rPr>
                  </w:pPr>
                  <w:r>
                    <w:rPr>
                      <w:rFonts w:hint="eastAsia" w:ascii="Times New Roman" w:hAnsi="Times New Roman" w:eastAsia="宋体" w:cs="Times New Roman"/>
                      <w:color w:val="0000FF"/>
                      <w:spacing w:val="-6"/>
                      <w:sz w:val="18"/>
                      <w:szCs w:val="18"/>
                      <w:lang w:val="en-US" w:eastAsia="zh-CN"/>
                    </w:rPr>
                    <w:t>20000</w:t>
                  </w:r>
                </w:p>
              </w:tc>
              <w:tc>
                <w:tcPr>
                  <w:tcW w:w="368" w:type="pct"/>
                  <w:tcBorders>
                    <w:top w:val="single" w:color="auto" w:sz="4" w:space="0"/>
                    <w:bottom w:val="single" w:color="auto" w:sz="4" w:space="0"/>
                  </w:tcBorders>
                  <w:noWrap w:val="0"/>
                  <w:vAlign w:val="center"/>
                </w:tcPr>
                <w:p w14:paraId="6B2B6560">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20</w:t>
                  </w:r>
                </w:p>
              </w:tc>
              <w:tc>
                <w:tcPr>
                  <w:tcW w:w="387" w:type="pct"/>
                  <w:tcBorders>
                    <w:top w:val="single" w:color="auto" w:sz="4" w:space="0"/>
                    <w:bottom w:val="single" w:color="auto" w:sz="4" w:space="0"/>
                  </w:tcBorders>
                  <w:noWrap w:val="0"/>
                  <w:vAlign w:val="center"/>
                </w:tcPr>
                <w:p w14:paraId="777B2BED">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0.5</w:t>
                  </w:r>
                </w:p>
              </w:tc>
              <w:tc>
                <w:tcPr>
                  <w:tcW w:w="356" w:type="pct"/>
                  <w:tcBorders>
                    <w:top w:val="single" w:color="auto" w:sz="4" w:space="0"/>
                    <w:bottom w:val="single" w:color="auto" w:sz="4" w:space="0"/>
                  </w:tcBorders>
                  <w:noWrap w:val="0"/>
                  <w:vAlign w:val="center"/>
                </w:tcPr>
                <w:p w14:paraId="4F7F468F">
                  <w:pPr>
                    <w:adjustRightInd w:val="0"/>
                    <w:snapToGrid w:val="0"/>
                    <w:jc w:val="center"/>
                    <w:rPr>
                      <w:rFonts w:hint="default"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20</w:t>
                  </w:r>
                </w:p>
              </w:tc>
              <w:tc>
                <w:tcPr>
                  <w:tcW w:w="462" w:type="pct"/>
                  <w:tcBorders>
                    <w:top w:val="single" w:color="auto" w:sz="4" w:space="0"/>
                    <w:bottom w:val="single" w:color="auto" w:sz="4" w:space="0"/>
                  </w:tcBorders>
                  <w:noWrap w:val="0"/>
                  <w:vAlign w:val="center"/>
                </w:tcPr>
                <w:p w14:paraId="162F9A04">
                  <w:pPr>
                    <w:adjustRightInd w:val="0"/>
                    <w:snapToGrid w:val="0"/>
                    <w:jc w:val="center"/>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一般排放口</w:t>
                  </w:r>
                </w:p>
              </w:tc>
              <w:tc>
                <w:tcPr>
                  <w:tcW w:w="930" w:type="pct"/>
                  <w:vMerge w:val="continue"/>
                  <w:noWrap w:val="0"/>
                  <w:vAlign w:val="center"/>
                </w:tcPr>
                <w:p w14:paraId="1F0122EF">
                  <w:pPr>
                    <w:adjustRightInd w:val="0"/>
                    <w:snapToGrid w:val="0"/>
                    <w:jc w:val="center"/>
                    <w:rPr>
                      <w:rFonts w:hint="eastAsia" w:ascii="Times New Roman" w:hAnsi="Times New Roman" w:eastAsia="宋体" w:cs="Times New Roman"/>
                      <w:color w:val="auto"/>
                      <w:spacing w:val="-6"/>
                      <w:sz w:val="18"/>
                      <w:szCs w:val="18"/>
                      <w:lang w:val="en-US" w:eastAsia="zh-CN"/>
                    </w:rPr>
                  </w:pPr>
                </w:p>
              </w:tc>
            </w:tr>
            <w:tr w14:paraId="5E4A29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00" w:type="pct"/>
                  <w:gridSpan w:val="9"/>
                  <w:tcBorders>
                    <w:top w:val="single" w:color="auto" w:sz="4" w:space="0"/>
                  </w:tcBorders>
                  <w:noWrap w:val="0"/>
                  <w:vAlign w:val="center"/>
                </w:tcPr>
                <w:p w14:paraId="07B17A3E">
                  <w:pPr>
                    <w:adjustRightInd w:val="0"/>
                    <w:snapToGrid w:val="0"/>
                    <w:jc w:val="left"/>
                    <w:rPr>
                      <w:rFonts w:hint="eastAsia" w:ascii="Times New Roman" w:hAnsi="Times New Roman" w:eastAsia="宋体" w:cs="Times New Roman"/>
                      <w:color w:val="auto"/>
                      <w:spacing w:val="-6"/>
                      <w:sz w:val="18"/>
                      <w:szCs w:val="18"/>
                      <w:lang w:val="en-US" w:eastAsia="zh-CN"/>
                    </w:rPr>
                  </w:pPr>
                  <w:r>
                    <w:rPr>
                      <w:rFonts w:hint="eastAsia" w:ascii="Times New Roman" w:hAnsi="Times New Roman" w:eastAsia="宋体" w:cs="Times New Roman"/>
                      <w:color w:val="auto"/>
                      <w:spacing w:val="-6"/>
                      <w:sz w:val="18"/>
                      <w:szCs w:val="18"/>
                      <w:lang w:val="en-US" w:eastAsia="zh-CN"/>
                    </w:rPr>
                    <w:t>注：</w:t>
                  </w:r>
                  <w:r>
                    <w:rPr>
                      <w:rFonts w:hint="eastAsia" w:eastAsia="宋体" w:cs="Times New Roman"/>
                      <w:color w:val="auto"/>
                      <w:spacing w:val="-6"/>
                      <w:sz w:val="18"/>
                      <w:szCs w:val="18"/>
                      <w:lang w:val="en-US" w:eastAsia="zh-CN"/>
                    </w:rPr>
                    <w:t>喷漆废气排气筒（DA003）位于西侧厂房内，厂房高16.35m，故排气筒高度设20m</w:t>
                  </w:r>
                  <w:r>
                    <w:rPr>
                      <w:rFonts w:hint="eastAsia" w:ascii="Times New Roman" w:hAnsi="Times New Roman" w:eastAsia="宋体" w:cs="Times New Roman"/>
                      <w:color w:val="auto"/>
                      <w:spacing w:val="-6"/>
                      <w:sz w:val="18"/>
                      <w:szCs w:val="18"/>
                      <w:lang w:val="en-US" w:eastAsia="zh-CN"/>
                    </w:rPr>
                    <w:t>。</w:t>
                  </w:r>
                </w:p>
              </w:tc>
            </w:tr>
          </w:tbl>
          <w:p w14:paraId="604F23DF">
            <w:pPr>
              <w:keepNext w:val="0"/>
              <w:keepLines w:val="0"/>
              <w:pageBreakBefore w:val="0"/>
              <w:widowControl w:val="0"/>
              <w:kinsoku/>
              <w:wordWrap w:val="0"/>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（2）环境影响分析</w:t>
            </w:r>
          </w:p>
          <w:p w14:paraId="553507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①</w:t>
            </w:r>
            <w:r>
              <w:rPr>
                <w:rFonts w:hint="default" w:ascii="Times New Roman" w:hAnsi="Times New Roman" w:eastAsia="宋体" w:cs="Times New Roman"/>
                <w:color w:val="auto"/>
                <w:kern w:val="2"/>
                <w:sz w:val="24"/>
                <w:szCs w:val="24"/>
                <w:highlight w:val="none"/>
                <w:lang w:val="en-US" w:eastAsia="zh-CN" w:bidi="ar-SA"/>
              </w:rPr>
              <w:t>大气污染物</w:t>
            </w:r>
            <w:r>
              <w:rPr>
                <w:rFonts w:hint="eastAsia" w:ascii="Times New Roman" w:hAnsi="Times New Roman" w:eastAsia="宋体" w:cs="Times New Roman"/>
                <w:color w:val="auto"/>
                <w:kern w:val="2"/>
                <w:sz w:val="24"/>
                <w:szCs w:val="24"/>
                <w:highlight w:val="none"/>
                <w:lang w:val="en-US" w:eastAsia="zh-CN" w:bidi="ar-SA"/>
              </w:rPr>
              <w:t>达标</w:t>
            </w:r>
            <w:r>
              <w:rPr>
                <w:rFonts w:hint="default" w:ascii="Times New Roman" w:hAnsi="Times New Roman" w:eastAsia="宋体" w:cs="Times New Roman"/>
                <w:color w:val="auto"/>
                <w:kern w:val="2"/>
                <w:sz w:val="24"/>
                <w:szCs w:val="24"/>
                <w:highlight w:val="none"/>
                <w:lang w:val="en-US" w:eastAsia="zh-CN" w:bidi="ar-SA"/>
              </w:rPr>
              <w:t>排放</w:t>
            </w:r>
          </w:p>
          <w:p w14:paraId="7293CF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rPr>
            </w:pPr>
            <w:r>
              <w:rPr>
                <w:rFonts w:hint="eastAsia"/>
                <w:color w:val="auto"/>
                <w:sz w:val="24"/>
                <w:lang w:val="en-US" w:eastAsia="zh-CN"/>
              </w:rPr>
              <w:t>本</w:t>
            </w:r>
            <w:r>
              <w:rPr>
                <w:rFonts w:hint="eastAsia"/>
                <w:color w:val="auto"/>
                <w:sz w:val="24"/>
              </w:rPr>
              <w:t>项目运营期废气达标</w:t>
            </w:r>
            <w:r>
              <w:rPr>
                <w:rFonts w:hint="eastAsia"/>
                <w:color w:val="auto"/>
                <w:sz w:val="24"/>
                <w:lang w:val="en-US" w:eastAsia="zh-CN"/>
              </w:rPr>
              <w:t>排放</w:t>
            </w:r>
            <w:r>
              <w:rPr>
                <w:rFonts w:hint="eastAsia"/>
                <w:color w:val="auto"/>
                <w:sz w:val="24"/>
              </w:rPr>
              <w:t>情况见表4-</w:t>
            </w:r>
            <w:r>
              <w:rPr>
                <w:rFonts w:hint="eastAsia"/>
                <w:color w:val="auto"/>
                <w:sz w:val="24"/>
                <w:lang w:val="en-US" w:eastAsia="zh-CN"/>
              </w:rPr>
              <w:t>7</w:t>
            </w:r>
            <w:r>
              <w:rPr>
                <w:rFonts w:hint="eastAsia"/>
                <w:color w:val="auto"/>
                <w:sz w:val="24"/>
              </w:rPr>
              <w:t>。</w:t>
            </w:r>
          </w:p>
          <w:p w14:paraId="6327A097">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表4-7 废气达标排放情况一览表</w:t>
            </w:r>
          </w:p>
          <w:tbl>
            <w:tblPr>
              <w:tblStyle w:val="26"/>
              <w:tblW w:w="798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811"/>
              <w:gridCol w:w="1120"/>
              <w:gridCol w:w="1098"/>
              <w:gridCol w:w="946"/>
              <w:gridCol w:w="1109"/>
              <w:gridCol w:w="937"/>
              <w:gridCol w:w="904"/>
            </w:tblGrid>
            <w:tr w14:paraId="02CF69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4" w:type="pct"/>
                  <w:vMerge w:val="restart"/>
                  <w:noWrap w:val="0"/>
                  <w:vAlign w:val="center"/>
                </w:tcPr>
                <w:p w14:paraId="72410A8D">
                  <w:pPr>
                    <w:adjustRightInd w:val="0"/>
                    <w:snapToGrid w:val="0"/>
                    <w:jc w:val="center"/>
                    <w:rPr>
                      <w:rFonts w:hint="eastAsia" w:ascii="Times New Roman" w:hAnsi="Times New Roman" w:eastAsia="宋体" w:cs="Times New Roman"/>
                      <w:b/>
                      <w:bCs/>
                      <w:color w:val="auto"/>
                      <w:spacing w:val="-6"/>
                      <w:sz w:val="18"/>
                      <w:szCs w:val="21"/>
                      <w:lang w:val="en-US" w:eastAsia="zh-CN"/>
                    </w:rPr>
                  </w:pPr>
                  <w:r>
                    <w:rPr>
                      <w:rFonts w:hint="eastAsia" w:ascii="Times New Roman" w:hAnsi="Times New Roman" w:eastAsia="宋体" w:cs="Times New Roman"/>
                      <w:b/>
                      <w:bCs/>
                      <w:color w:val="auto"/>
                      <w:spacing w:val="-6"/>
                      <w:sz w:val="18"/>
                      <w:szCs w:val="21"/>
                      <w:lang w:val="en-US" w:eastAsia="zh-CN"/>
                    </w:rPr>
                    <w:t>产污环节</w:t>
                  </w:r>
                </w:p>
              </w:tc>
              <w:tc>
                <w:tcPr>
                  <w:tcW w:w="507" w:type="pct"/>
                  <w:vMerge w:val="restart"/>
                  <w:noWrap w:val="0"/>
                  <w:vAlign w:val="center"/>
                </w:tcPr>
                <w:p w14:paraId="5AAEEF71">
                  <w:pPr>
                    <w:adjustRightInd w:val="0"/>
                    <w:snapToGrid w:val="0"/>
                    <w:jc w:val="center"/>
                    <w:rPr>
                      <w:rFonts w:hint="default" w:ascii="Times New Roman" w:hAnsi="Times New Roman" w:eastAsia="宋体" w:cs="Times New Roman"/>
                      <w:b/>
                      <w:bCs/>
                      <w:color w:val="auto"/>
                      <w:spacing w:val="-6"/>
                      <w:sz w:val="18"/>
                      <w:szCs w:val="21"/>
                      <w:lang w:val="en-US" w:eastAsia="zh-CN"/>
                    </w:rPr>
                  </w:pPr>
                  <w:r>
                    <w:rPr>
                      <w:rFonts w:hint="eastAsia" w:ascii="Times New Roman" w:hAnsi="Times New Roman" w:eastAsia="宋体" w:cs="Times New Roman"/>
                      <w:b/>
                      <w:bCs/>
                      <w:color w:val="auto"/>
                      <w:spacing w:val="-6"/>
                      <w:sz w:val="18"/>
                      <w:szCs w:val="21"/>
                      <w:lang w:val="en-US" w:eastAsia="zh-CN"/>
                    </w:rPr>
                    <w:t>编号</w:t>
                  </w:r>
                </w:p>
              </w:tc>
              <w:tc>
                <w:tcPr>
                  <w:tcW w:w="701" w:type="pct"/>
                  <w:vMerge w:val="restart"/>
                  <w:noWrap w:val="0"/>
                  <w:vAlign w:val="center"/>
                </w:tcPr>
                <w:p w14:paraId="6759A0FE">
                  <w:pPr>
                    <w:adjustRightInd w:val="0"/>
                    <w:snapToGrid w:val="0"/>
                    <w:jc w:val="center"/>
                    <w:rPr>
                      <w:rFonts w:hint="eastAsia" w:ascii="Times New Roman" w:hAnsi="Times New Roman" w:eastAsia="宋体" w:cs="Times New Roman"/>
                      <w:b/>
                      <w:bCs/>
                      <w:color w:val="auto"/>
                      <w:spacing w:val="-6"/>
                      <w:sz w:val="18"/>
                      <w:szCs w:val="21"/>
                      <w:lang w:val="en-US" w:eastAsia="zh-CN"/>
                    </w:rPr>
                  </w:pPr>
                  <w:r>
                    <w:rPr>
                      <w:rFonts w:hint="eastAsia" w:ascii="Times New Roman" w:hAnsi="Times New Roman" w:eastAsia="宋体" w:cs="Times New Roman"/>
                      <w:b/>
                      <w:bCs/>
                      <w:color w:val="auto"/>
                      <w:spacing w:val="-6"/>
                      <w:sz w:val="18"/>
                      <w:szCs w:val="21"/>
                      <w:lang w:val="en-US" w:eastAsia="zh-CN"/>
                    </w:rPr>
                    <w:t>主要污染物</w:t>
                  </w:r>
                </w:p>
              </w:tc>
              <w:tc>
                <w:tcPr>
                  <w:tcW w:w="1279" w:type="pct"/>
                  <w:gridSpan w:val="2"/>
                  <w:noWrap w:val="0"/>
                  <w:vAlign w:val="center"/>
                </w:tcPr>
                <w:p w14:paraId="3CEC8B7D">
                  <w:pPr>
                    <w:adjustRightInd w:val="0"/>
                    <w:snapToGrid w:val="0"/>
                    <w:jc w:val="center"/>
                    <w:rPr>
                      <w:rFonts w:hint="eastAsia" w:ascii="Times New Roman" w:hAnsi="Times New Roman" w:eastAsia="宋体" w:cs="Times New Roman"/>
                      <w:b/>
                      <w:bCs/>
                      <w:color w:val="auto"/>
                      <w:spacing w:val="-6"/>
                      <w:sz w:val="18"/>
                      <w:szCs w:val="21"/>
                      <w:lang w:val="en-US" w:eastAsia="zh-CN"/>
                    </w:rPr>
                  </w:pPr>
                  <w:r>
                    <w:rPr>
                      <w:rFonts w:hint="eastAsia" w:ascii="Times New Roman" w:hAnsi="Times New Roman" w:eastAsia="宋体" w:cs="Times New Roman"/>
                      <w:b/>
                      <w:bCs/>
                      <w:color w:val="auto"/>
                      <w:spacing w:val="-6"/>
                      <w:sz w:val="18"/>
                      <w:szCs w:val="21"/>
                      <w:lang w:val="en-US" w:eastAsia="zh-CN"/>
                    </w:rPr>
                    <w:t>污染物排放</w:t>
                  </w:r>
                </w:p>
              </w:tc>
              <w:tc>
                <w:tcPr>
                  <w:tcW w:w="1280" w:type="pct"/>
                  <w:gridSpan w:val="2"/>
                  <w:tcBorders>
                    <w:bottom w:val="single" w:color="auto" w:sz="4" w:space="0"/>
                  </w:tcBorders>
                  <w:noWrap w:val="0"/>
                  <w:vAlign w:val="center"/>
                </w:tcPr>
                <w:p w14:paraId="44720F3F">
                  <w:pPr>
                    <w:adjustRightInd w:val="0"/>
                    <w:snapToGrid w:val="0"/>
                    <w:jc w:val="center"/>
                    <w:rPr>
                      <w:rFonts w:hint="default" w:ascii="Times New Roman" w:hAnsi="Times New Roman" w:eastAsia="宋体" w:cs="Times New Roman"/>
                      <w:b/>
                      <w:bCs/>
                      <w:color w:val="auto"/>
                      <w:spacing w:val="-6"/>
                      <w:sz w:val="18"/>
                      <w:szCs w:val="21"/>
                      <w:lang w:val="en-US" w:eastAsia="zh-CN"/>
                    </w:rPr>
                  </w:pPr>
                  <w:r>
                    <w:rPr>
                      <w:rFonts w:hint="eastAsia" w:ascii="Times New Roman" w:hAnsi="Times New Roman" w:eastAsia="宋体" w:cs="Times New Roman"/>
                      <w:b/>
                      <w:bCs/>
                      <w:color w:val="auto"/>
                      <w:spacing w:val="-6"/>
                      <w:sz w:val="18"/>
                      <w:szCs w:val="21"/>
                      <w:lang w:val="en-US" w:eastAsia="zh-CN"/>
                    </w:rPr>
                    <w:t>排放标准</w:t>
                  </w:r>
                </w:p>
              </w:tc>
              <w:tc>
                <w:tcPr>
                  <w:tcW w:w="565" w:type="pct"/>
                  <w:vMerge w:val="restart"/>
                  <w:noWrap w:val="0"/>
                  <w:vAlign w:val="center"/>
                </w:tcPr>
                <w:p w14:paraId="641FB450">
                  <w:pPr>
                    <w:adjustRightInd w:val="0"/>
                    <w:snapToGrid w:val="0"/>
                    <w:jc w:val="center"/>
                    <w:rPr>
                      <w:b/>
                      <w:bCs/>
                      <w:color w:val="auto"/>
                      <w:spacing w:val="-6"/>
                      <w:sz w:val="18"/>
                      <w:szCs w:val="21"/>
                    </w:rPr>
                  </w:pPr>
                  <w:r>
                    <w:rPr>
                      <w:rFonts w:hint="eastAsia"/>
                      <w:b/>
                      <w:bCs/>
                      <w:color w:val="auto"/>
                      <w:spacing w:val="-6"/>
                      <w:sz w:val="18"/>
                      <w:szCs w:val="21"/>
                    </w:rPr>
                    <w:t>年排放量（t/a）</w:t>
                  </w:r>
                </w:p>
              </w:tc>
            </w:tr>
            <w:tr w14:paraId="628E7A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4" w:type="pct"/>
                  <w:vMerge w:val="continue"/>
                  <w:tcBorders>
                    <w:bottom w:val="single" w:color="auto" w:sz="12" w:space="0"/>
                  </w:tcBorders>
                  <w:noWrap w:val="0"/>
                  <w:vAlign w:val="center"/>
                </w:tcPr>
                <w:p w14:paraId="75294084">
                  <w:pPr>
                    <w:adjustRightInd w:val="0"/>
                    <w:snapToGrid w:val="0"/>
                    <w:jc w:val="center"/>
                    <w:rPr>
                      <w:rFonts w:hint="eastAsia" w:ascii="Times New Roman" w:hAnsi="Times New Roman" w:eastAsia="宋体" w:cs="Times New Roman"/>
                      <w:b/>
                      <w:bCs/>
                      <w:color w:val="auto"/>
                      <w:spacing w:val="-6"/>
                      <w:sz w:val="18"/>
                      <w:szCs w:val="21"/>
                      <w:lang w:val="en-US" w:eastAsia="zh-CN"/>
                    </w:rPr>
                  </w:pPr>
                </w:p>
              </w:tc>
              <w:tc>
                <w:tcPr>
                  <w:tcW w:w="507" w:type="pct"/>
                  <w:vMerge w:val="continue"/>
                  <w:tcBorders>
                    <w:bottom w:val="single" w:color="auto" w:sz="12" w:space="0"/>
                  </w:tcBorders>
                  <w:noWrap w:val="0"/>
                  <w:vAlign w:val="center"/>
                </w:tcPr>
                <w:p w14:paraId="6CF8DF3D">
                  <w:pPr>
                    <w:adjustRightInd w:val="0"/>
                    <w:snapToGrid w:val="0"/>
                    <w:jc w:val="center"/>
                    <w:rPr>
                      <w:rFonts w:hint="eastAsia" w:ascii="Times New Roman" w:hAnsi="Times New Roman" w:eastAsia="宋体" w:cs="Times New Roman"/>
                      <w:b/>
                      <w:bCs/>
                      <w:color w:val="auto"/>
                      <w:spacing w:val="-6"/>
                      <w:sz w:val="18"/>
                      <w:szCs w:val="21"/>
                      <w:lang w:val="en-US" w:eastAsia="zh-CN"/>
                    </w:rPr>
                  </w:pPr>
                </w:p>
              </w:tc>
              <w:tc>
                <w:tcPr>
                  <w:tcW w:w="701" w:type="pct"/>
                  <w:vMerge w:val="continue"/>
                  <w:tcBorders>
                    <w:bottom w:val="single" w:color="auto" w:sz="12" w:space="0"/>
                  </w:tcBorders>
                  <w:noWrap w:val="0"/>
                  <w:vAlign w:val="center"/>
                </w:tcPr>
                <w:p w14:paraId="1F94F7F9">
                  <w:pPr>
                    <w:adjustRightInd w:val="0"/>
                    <w:snapToGrid w:val="0"/>
                    <w:jc w:val="center"/>
                    <w:rPr>
                      <w:rFonts w:hint="eastAsia" w:ascii="Times New Roman" w:hAnsi="Times New Roman" w:eastAsia="宋体" w:cs="Times New Roman"/>
                      <w:b/>
                      <w:bCs/>
                      <w:color w:val="auto"/>
                      <w:spacing w:val="-6"/>
                      <w:sz w:val="18"/>
                      <w:szCs w:val="21"/>
                      <w:lang w:val="en-US" w:eastAsia="zh-CN"/>
                    </w:rPr>
                  </w:pPr>
                </w:p>
              </w:tc>
              <w:tc>
                <w:tcPr>
                  <w:tcW w:w="687" w:type="pct"/>
                  <w:tcBorders>
                    <w:bottom w:val="single" w:color="auto" w:sz="12" w:space="0"/>
                  </w:tcBorders>
                  <w:noWrap w:val="0"/>
                  <w:vAlign w:val="center"/>
                </w:tcPr>
                <w:p w14:paraId="195B324A">
                  <w:pPr>
                    <w:adjustRightInd w:val="0"/>
                    <w:snapToGrid w:val="0"/>
                    <w:jc w:val="center"/>
                    <w:rPr>
                      <w:rFonts w:hint="eastAsia" w:ascii="Times New Roman" w:hAnsi="Times New Roman" w:eastAsia="宋体" w:cs="Times New Roman"/>
                      <w:b/>
                      <w:bCs/>
                      <w:color w:val="auto"/>
                      <w:spacing w:val="-6"/>
                      <w:kern w:val="2"/>
                      <w:sz w:val="18"/>
                      <w:szCs w:val="21"/>
                      <w:lang w:val="en-US" w:eastAsia="zh-CN" w:bidi="ar-SA"/>
                    </w:rPr>
                  </w:pPr>
                  <w:r>
                    <w:rPr>
                      <w:rFonts w:hint="eastAsia" w:ascii="Times New Roman" w:hAnsi="Times New Roman" w:eastAsia="宋体" w:cs="Times New Roman"/>
                      <w:b/>
                      <w:bCs/>
                      <w:color w:val="auto"/>
                      <w:spacing w:val="-6"/>
                      <w:sz w:val="18"/>
                      <w:szCs w:val="21"/>
                      <w:lang w:val="en-US" w:eastAsia="zh-CN"/>
                    </w:rPr>
                    <w:t>浓度mg/m³</w:t>
                  </w:r>
                </w:p>
              </w:tc>
              <w:tc>
                <w:tcPr>
                  <w:tcW w:w="592" w:type="pct"/>
                  <w:tcBorders>
                    <w:bottom w:val="single" w:color="auto" w:sz="12" w:space="0"/>
                  </w:tcBorders>
                  <w:noWrap w:val="0"/>
                  <w:vAlign w:val="center"/>
                </w:tcPr>
                <w:p w14:paraId="1FB6FA64">
                  <w:pPr>
                    <w:adjustRightInd w:val="0"/>
                    <w:snapToGrid w:val="0"/>
                    <w:jc w:val="center"/>
                    <w:rPr>
                      <w:rFonts w:hint="eastAsia" w:ascii="Times New Roman" w:hAnsi="Times New Roman" w:eastAsia="宋体" w:cs="Times New Roman"/>
                      <w:b/>
                      <w:bCs/>
                      <w:color w:val="auto"/>
                      <w:spacing w:val="-6"/>
                      <w:kern w:val="2"/>
                      <w:sz w:val="18"/>
                      <w:szCs w:val="21"/>
                      <w:lang w:val="en-US" w:eastAsia="zh-CN" w:bidi="ar-SA"/>
                    </w:rPr>
                  </w:pPr>
                  <w:r>
                    <w:rPr>
                      <w:rFonts w:hint="eastAsia" w:ascii="Times New Roman" w:hAnsi="Times New Roman" w:eastAsia="宋体" w:cs="Times New Roman"/>
                      <w:b/>
                      <w:bCs/>
                      <w:color w:val="auto"/>
                      <w:spacing w:val="-6"/>
                      <w:sz w:val="18"/>
                      <w:szCs w:val="21"/>
                      <w:lang w:val="en-US" w:eastAsia="zh-CN"/>
                    </w:rPr>
                    <w:t>速率kg/h</w:t>
                  </w:r>
                </w:p>
              </w:tc>
              <w:tc>
                <w:tcPr>
                  <w:tcW w:w="694" w:type="pct"/>
                  <w:tcBorders>
                    <w:top w:val="single" w:color="auto" w:sz="4" w:space="0"/>
                    <w:bottom w:val="single" w:color="auto" w:sz="12" w:space="0"/>
                  </w:tcBorders>
                  <w:noWrap w:val="0"/>
                  <w:vAlign w:val="center"/>
                </w:tcPr>
                <w:p w14:paraId="6089B5F8">
                  <w:pPr>
                    <w:adjustRightInd w:val="0"/>
                    <w:snapToGrid w:val="0"/>
                    <w:jc w:val="center"/>
                    <w:rPr>
                      <w:rFonts w:hint="eastAsia" w:ascii="Times New Roman" w:hAnsi="Times New Roman" w:eastAsia="宋体" w:cs="Times New Roman"/>
                      <w:b/>
                      <w:bCs/>
                      <w:color w:val="auto"/>
                      <w:spacing w:val="-6"/>
                      <w:sz w:val="18"/>
                      <w:szCs w:val="21"/>
                      <w:lang w:val="en-US" w:eastAsia="zh-CN"/>
                    </w:rPr>
                  </w:pPr>
                  <w:r>
                    <w:rPr>
                      <w:rFonts w:hint="eastAsia" w:ascii="Times New Roman" w:hAnsi="Times New Roman" w:eastAsia="宋体" w:cs="Times New Roman"/>
                      <w:b/>
                      <w:bCs/>
                      <w:color w:val="auto"/>
                      <w:spacing w:val="-6"/>
                      <w:sz w:val="18"/>
                      <w:szCs w:val="21"/>
                      <w:lang w:val="en-US" w:eastAsia="zh-CN"/>
                    </w:rPr>
                    <w:t>浓度mg/m³</w:t>
                  </w:r>
                </w:p>
              </w:tc>
              <w:tc>
                <w:tcPr>
                  <w:tcW w:w="586" w:type="pct"/>
                  <w:tcBorders>
                    <w:top w:val="single" w:color="auto" w:sz="4" w:space="0"/>
                    <w:bottom w:val="single" w:color="auto" w:sz="12" w:space="0"/>
                  </w:tcBorders>
                  <w:noWrap w:val="0"/>
                  <w:vAlign w:val="center"/>
                </w:tcPr>
                <w:p w14:paraId="35E40EAE">
                  <w:pPr>
                    <w:adjustRightInd w:val="0"/>
                    <w:snapToGrid w:val="0"/>
                    <w:jc w:val="center"/>
                    <w:rPr>
                      <w:rFonts w:hint="eastAsia" w:ascii="Times New Roman" w:hAnsi="Times New Roman" w:eastAsia="宋体" w:cs="Times New Roman"/>
                      <w:b/>
                      <w:bCs/>
                      <w:color w:val="auto"/>
                      <w:spacing w:val="-6"/>
                      <w:sz w:val="18"/>
                      <w:szCs w:val="21"/>
                      <w:lang w:val="en-US" w:eastAsia="zh-CN"/>
                    </w:rPr>
                  </w:pPr>
                  <w:r>
                    <w:rPr>
                      <w:rFonts w:hint="eastAsia" w:ascii="Times New Roman" w:hAnsi="Times New Roman" w:eastAsia="宋体" w:cs="Times New Roman"/>
                      <w:b/>
                      <w:bCs/>
                      <w:color w:val="auto"/>
                      <w:spacing w:val="-6"/>
                      <w:sz w:val="18"/>
                      <w:szCs w:val="21"/>
                      <w:lang w:val="en-US" w:eastAsia="zh-CN"/>
                    </w:rPr>
                    <w:t>速率kg/h</w:t>
                  </w:r>
                </w:p>
              </w:tc>
              <w:tc>
                <w:tcPr>
                  <w:tcW w:w="565" w:type="pct"/>
                  <w:vMerge w:val="continue"/>
                  <w:tcBorders>
                    <w:bottom w:val="single" w:color="auto" w:sz="12" w:space="0"/>
                  </w:tcBorders>
                  <w:noWrap w:val="0"/>
                  <w:vAlign w:val="center"/>
                </w:tcPr>
                <w:p w14:paraId="3B03F016">
                  <w:pPr>
                    <w:adjustRightInd w:val="0"/>
                    <w:snapToGrid w:val="0"/>
                    <w:jc w:val="center"/>
                    <w:rPr>
                      <w:color w:val="auto"/>
                    </w:rPr>
                  </w:pPr>
                </w:p>
              </w:tc>
            </w:tr>
            <w:tr w14:paraId="6D86F6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4" w:type="pct"/>
                  <w:tcBorders>
                    <w:top w:val="single" w:color="auto" w:sz="12" w:space="0"/>
                    <w:bottom w:val="single" w:color="auto" w:sz="4" w:space="0"/>
                  </w:tcBorders>
                  <w:noWrap w:val="0"/>
                  <w:vAlign w:val="center"/>
                </w:tcPr>
                <w:p w14:paraId="64CAE91A">
                  <w:pPr>
                    <w:adjustRightInd w:val="0"/>
                    <w:snapToGrid w:val="0"/>
                    <w:jc w:val="center"/>
                    <w:rPr>
                      <w:rFonts w:hint="eastAsia"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焊接、打磨</w:t>
                  </w:r>
                </w:p>
              </w:tc>
              <w:tc>
                <w:tcPr>
                  <w:tcW w:w="507" w:type="pct"/>
                  <w:tcBorders>
                    <w:top w:val="single" w:color="auto" w:sz="12" w:space="0"/>
                    <w:bottom w:val="single" w:color="auto" w:sz="4" w:space="0"/>
                  </w:tcBorders>
                  <w:noWrap w:val="0"/>
                  <w:vAlign w:val="center"/>
                </w:tcPr>
                <w:p w14:paraId="46636331">
                  <w:pPr>
                    <w:adjustRightInd w:val="0"/>
                    <w:snapToGrid w:val="0"/>
                    <w:jc w:val="center"/>
                    <w:rPr>
                      <w:rFonts w:hint="eastAsia"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DA001</w:t>
                  </w:r>
                </w:p>
              </w:tc>
              <w:tc>
                <w:tcPr>
                  <w:tcW w:w="701" w:type="pct"/>
                  <w:tcBorders>
                    <w:top w:val="single" w:color="auto" w:sz="12" w:space="0"/>
                    <w:bottom w:val="single" w:color="auto" w:sz="4" w:space="0"/>
                  </w:tcBorders>
                  <w:noWrap w:val="0"/>
                  <w:vAlign w:val="center"/>
                </w:tcPr>
                <w:p w14:paraId="6F5B6DA2">
                  <w:pPr>
                    <w:adjustRightInd w:val="0"/>
                    <w:snapToGrid w:val="0"/>
                    <w:jc w:val="center"/>
                    <w:rPr>
                      <w:rFonts w:hint="eastAsia"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颗粒物</w:t>
                  </w:r>
                </w:p>
              </w:tc>
              <w:tc>
                <w:tcPr>
                  <w:tcW w:w="1098" w:type="dxa"/>
                  <w:tcBorders>
                    <w:top w:val="single" w:color="auto" w:sz="12" w:space="0"/>
                    <w:bottom w:val="single" w:color="auto" w:sz="4" w:space="0"/>
                  </w:tcBorders>
                  <w:noWrap w:val="0"/>
                  <w:vAlign w:val="center"/>
                </w:tcPr>
                <w:p w14:paraId="5821EFB0">
                  <w:pPr>
                    <w:adjustRightInd w:val="0"/>
                    <w:snapToGrid w:val="0"/>
                    <w:jc w:val="center"/>
                    <w:rPr>
                      <w:rFonts w:hint="default"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2.08</w:t>
                  </w:r>
                </w:p>
              </w:tc>
              <w:tc>
                <w:tcPr>
                  <w:tcW w:w="946" w:type="dxa"/>
                  <w:tcBorders>
                    <w:top w:val="single" w:color="auto" w:sz="12" w:space="0"/>
                    <w:bottom w:val="single" w:color="auto" w:sz="4" w:space="0"/>
                  </w:tcBorders>
                  <w:noWrap w:val="0"/>
                  <w:vAlign w:val="center"/>
                </w:tcPr>
                <w:p w14:paraId="6A9627AF">
                  <w:pPr>
                    <w:adjustRightInd w:val="0"/>
                    <w:snapToGrid w:val="0"/>
                    <w:jc w:val="center"/>
                    <w:rPr>
                      <w:rFonts w:hint="default"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0.02</w:t>
                  </w:r>
                </w:p>
              </w:tc>
              <w:tc>
                <w:tcPr>
                  <w:tcW w:w="694" w:type="pct"/>
                  <w:tcBorders>
                    <w:top w:val="single" w:color="auto" w:sz="12" w:space="0"/>
                    <w:bottom w:val="single" w:color="auto" w:sz="4" w:space="0"/>
                  </w:tcBorders>
                  <w:noWrap w:val="0"/>
                  <w:vAlign w:val="center"/>
                </w:tcPr>
                <w:p w14:paraId="07FB0925">
                  <w:pPr>
                    <w:adjustRightInd w:val="0"/>
                    <w:snapToGrid w:val="0"/>
                    <w:jc w:val="center"/>
                    <w:rPr>
                      <w:rFonts w:hint="default"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120</w:t>
                  </w:r>
                </w:p>
              </w:tc>
              <w:tc>
                <w:tcPr>
                  <w:tcW w:w="586" w:type="pct"/>
                  <w:tcBorders>
                    <w:top w:val="single" w:color="auto" w:sz="12" w:space="0"/>
                    <w:bottom w:val="single" w:color="auto" w:sz="4" w:space="0"/>
                  </w:tcBorders>
                  <w:noWrap w:val="0"/>
                  <w:vAlign w:val="center"/>
                </w:tcPr>
                <w:p w14:paraId="23068395">
                  <w:pPr>
                    <w:adjustRightInd w:val="0"/>
                    <w:snapToGrid w:val="0"/>
                    <w:jc w:val="center"/>
                    <w:rPr>
                      <w:rFonts w:hint="default"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3.5</w:t>
                  </w:r>
                </w:p>
              </w:tc>
              <w:tc>
                <w:tcPr>
                  <w:tcW w:w="565" w:type="pct"/>
                  <w:tcBorders>
                    <w:top w:val="single" w:color="auto" w:sz="12" w:space="0"/>
                    <w:bottom w:val="single" w:color="auto" w:sz="4" w:space="0"/>
                  </w:tcBorders>
                  <w:noWrap w:val="0"/>
                  <w:vAlign w:val="center"/>
                </w:tcPr>
                <w:p w14:paraId="35CA677D">
                  <w:pPr>
                    <w:adjustRightInd w:val="0"/>
                    <w:snapToGrid w:val="0"/>
                    <w:jc w:val="center"/>
                    <w:rPr>
                      <w:rFonts w:hint="default" w:ascii="Times New Roman" w:hAnsi="Times New Roman" w:eastAsia="宋体" w:cs="Times New Roman"/>
                      <w:color w:val="auto"/>
                      <w:spacing w:val="0"/>
                      <w:sz w:val="18"/>
                      <w:szCs w:val="18"/>
                      <w:lang w:val="en-US" w:eastAsia="zh-CN"/>
                    </w:rPr>
                  </w:pPr>
                  <w:r>
                    <w:rPr>
                      <w:rFonts w:hint="eastAsia" w:cs="Times New Roman"/>
                      <w:color w:val="auto"/>
                      <w:spacing w:val="0"/>
                      <w:sz w:val="18"/>
                      <w:szCs w:val="18"/>
                      <w:lang w:val="en-US" w:eastAsia="zh-CN"/>
                    </w:rPr>
                    <w:t>0.05</w:t>
                  </w:r>
                </w:p>
              </w:tc>
            </w:tr>
            <w:tr w14:paraId="271762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4" w:type="pct"/>
                  <w:tcBorders>
                    <w:top w:val="single" w:color="auto" w:sz="4" w:space="0"/>
                  </w:tcBorders>
                  <w:noWrap w:val="0"/>
                  <w:vAlign w:val="center"/>
                </w:tcPr>
                <w:p w14:paraId="5C964EDE">
                  <w:pPr>
                    <w:adjustRightInd w:val="0"/>
                    <w:snapToGrid w:val="0"/>
                    <w:jc w:val="center"/>
                    <w:rPr>
                      <w:rFonts w:hint="eastAsia"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抛丸</w:t>
                  </w:r>
                </w:p>
              </w:tc>
              <w:tc>
                <w:tcPr>
                  <w:tcW w:w="507" w:type="pct"/>
                  <w:tcBorders>
                    <w:top w:val="single" w:color="auto" w:sz="4" w:space="0"/>
                    <w:bottom w:val="single" w:color="auto" w:sz="4" w:space="0"/>
                  </w:tcBorders>
                  <w:noWrap w:val="0"/>
                  <w:vAlign w:val="center"/>
                </w:tcPr>
                <w:p w14:paraId="623A5BFE">
                  <w:pPr>
                    <w:adjustRightInd w:val="0"/>
                    <w:snapToGrid w:val="0"/>
                    <w:jc w:val="center"/>
                    <w:rPr>
                      <w:rFonts w:hint="eastAsia"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DA002</w:t>
                  </w:r>
                </w:p>
              </w:tc>
              <w:tc>
                <w:tcPr>
                  <w:tcW w:w="701" w:type="pct"/>
                  <w:tcBorders>
                    <w:top w:val="single" w:color="auto" w:sz="4" w:space="0"/>
                    <w:bottom w:val="single" w:color="auto" w:sz="4" w:space="0"/>
                  </w:tcBorders>
                  <w:noWrap w:val="0"/>
                  <w:vAlign w:val="center"/>
                </w:tcPr>
                <w:p w14:paraId="4FCAA00F">
                  <w:pPr>
                    <w:adjustRightInd w:val="0"/>
                    <w:snapToGrid w:val="0"/>
                    <w:jc w:val="center"/>
                    <w:rPr>
                      <w:rFonts w:hint="eastAsia"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颗粒物</w:t>
                  </w:r>
                </w:p>
              </w:tc>
              <w:tc>
                <w:tcPr>
                  <w:tcW w:w="1098" w:type="dxa"/>
                  <w:tcBorders>
                    <w:top w:val="single" w:color="auto" w:sz="4" w:space="0"/>
                    <w:bottom w:val="single" w:color="auto" w:sz="4" w:space="0"/>
                  </w:tcBorders>
                  <w:noWrap w:val="0"/>
                  <w:vAlign w:val="center"/>
                </w:tcPr>
                <w:p w14:paraId="50895996">
                  <w:pPr>
                    <w:adjustRightInd w:val="0"/>
                    <w:snapToGrid w:val="0"/>
                    <w:jc w:val="center"/>
                    <w:rPr>
                      <w:rFonts w:hint="default"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1.88</w:t>
                  </w:r>
                </w:p>
              </w:tc>
              <w:tc>
                <w:tcPr>
                  <w:tcW w:w="946" w:type="dxa"/>
                  <w:tcBorders>
                    <w:top w:val="single" w:color="auto" w:sz="4" w:space="0"/>
                    <w:bottom w:val="single" w:color="auto" w:sz="4" w:space="0"/>
                  </w:tcBorders>
                  <w:noWrap w:val="0"/>
                  <w:vAlign w:val="center"/>
                </w:tcPr>
                <w:p w14:paraId="3B0E5B71">
                  <w:pPr>
                    <w:adjustRightInd w:val="0"/>
                    <w:snapToGrid w:val="0"/>
                    <w:jc w:val="center"/>
                    <w:rPr>
                      <w:rFonts w:hint="default"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0.04</w:t>
                  </w:r>
                </w:p>
              </w:tc>
              <w:tc>
                <w:tcPr>
                  <w:tcW w:w="694" w:type="pct"/>
                  <w:tcBorders>
                    <w:top w:val="single" w:color="auto" w:sz="4" w:space="0"/>
                    <w:bottom w:val="single" w:color="auto" w:sz="4" w:space="0"/>
                  </w:tcBorders>
                  <w:noWrap w:val="0"/>
                  <w:vAlign w:val="center"/>
                </w:tcPr>
                <w:p w14:paraId="02AE9F66">
                  <w:pPr>
                    <w:adjustRightInd w:val="0"/>
                    <w:snapToGrid w:val="0"/>
                    <w:jc w:val="center"/>
                    <w:rPr>
                      <w:rFonts w:hint="eastAsia" w:ascii="Times New Roman" w:hAnsi="Times New Roman" w:eastAsia="宋体" w:cs="Times New Roman"/>
                      <w:color w:val="auto"/>
                      <w:spacing w:val="0"/>
                      <w:kern w:val="2"/>
                      <w:sz w:val="18"/>
                      <w:szCs w:val="18"/>
                      <w:lang w:val="en-US" w:eastAsia="zh-CN" w:bidi="ar-SA"/>
                    </w:rPr>
                  </w:pPr>
                  <w:r>
                    <w:rPr>
                      <w:rFonts w:hint="eastAsia" w:ascii="Times New Roman" w:hAnsi="Times New Roman" w:eastAsia="宋体" w:cs="Times New Roman"/>
                      <w:color w:val="auto"/>
                      <w:spacing w:val="0"/>
                      <w:sz w:val="18"/>
                      <w:szCs w:val="18"/>
                      <w:lang w:val="en-US" w:eastAsia="zh-CN"/>
                    </w:rPr>
                    <w:t>120</w:t>
                  </w:r>
                </w:p>
              </w:tc>
              <w:tc>
                <w:tcPr>
                  <w:tcW w:w="586" w:type="pct"/>
                  <w:tcBorders>
                    <w:top w:val="single" w:color="auto" w:sz="4" w:space="0"/>
                    <w:bottom w:val="single" w:color="auto" w:sz="4" w:space="0"/>
                  </w:tcBorders>
                  <w:noWrap w:val="0"/>
                  <w:vAlign w:val="center"/>
                </w:tcPr>
                <w:p w14:paraId="3F12F53E">
                  <w:pPr>
                    <w:adjustRightInd w:val="0"/>
                    <w:snapToGrid w:val="0"/>
                    <w:jc w:val="center"/>
                    <w:rPr>
                      <w:rFonts w:hint="eastAsia" w:ascii="Times New Roman" w:hAnsi="Times New Roman" w:eastAsia="宋体" w:cs="Times New Roman"/>
                      <w:color w:val="auto"/>
                      <w:spacing w:val="0"/>
                      <w:kern w:val="2"/>
                      <w:sz w:val="18"/>
                      <w:szCs w:val="18"/>
                      <w:lang w:val="en-US" w:eastAsia="zh-CN" w:bidi="ar-SA"/>
                    </w:rPr>
                  </w:pPr>
                  <w:r>
                    <w:rPr>
                      <w:rFonts w:hint="eastAsia" w:ascii="Times New Roman" w:hAnsi="Times New Roman" w:eastAsia="宋体" w:cs="Times New Roman"/>
                      <w:color w:val="auto"/>
                      <w:spacing w:val="0"/>
                      <w:sz w:val="18"/>
                      <w:szCs w:val="18"/>
                      <w:lang w:val="en-US" w:eastAsia="zh-CN"/>
                    </w:rPr>
                    <w:t>3.5</w:t>
                  </w:r>
                </w:p>
              </w:tc>
              <w:tc>
                <w:tcPr>
                  <w:tcW w:w="565" w:type="pct"/>
                  <w:tcBorders>
                    <w:top w:val="single" w:color="auto" w:sz="4" w:space="0"/>
                    <w:bottom w:val="single" w:color="auto" w:sz="4" w:space="0"/>
                  </w:tcBorders>
                  <w:noWrap w:val="0"/>
                  <w:vAlign w:val="center"/>
                </w:tcPr>
                <w:p w14:paraId="725C6E03">
                  <w:pPr>
                    <w:adjustRightInd w:val="0"/>
                    <w:snapToGrid w:val="0"/>
                    <w:jc w:val="center"/>
                    <w:rPr>
                      <w:rFonts w:hint="default" w:ascii="Times New Roman" w:hAnsi="Times New Roman" w:eastAsia="宋体" w:cs="Times New Roman"/>
                      <w:color w:val="auto"/>
                      <w:spacing w:val="0"/>
                      <w:sz w:val="18"/>
                      <w:szCs w:val="18"/>
                      <w:lang w:val="en-US" w:eastAsia="zh-CN"/>
                    </w:rPr>
                  </w:pPr>
                  <w:r>
                    <w:rPr>
                      <w:rFonts w:hint="eastAsia" w:cs="Times New Roman"/>
                      <w:color w:val="auto"/>
                      <w:spacing w:val="0"/>
                      <w:sz w:val="18"/>
                      <w:szCs w:val="18"/>
                      <w:lang w:val="en-US" w:eastAsia="zh-CN"/>
                    </w:rPr>
                    <w:t>0.09</w:t>
                  </w:r>
                </w:p>
              </w:tc>
            </w:tr>
            <w:tr w14:paraId="09E17C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4" w:type="pct"/>
                  <w:vMerge w:val="restart"/>
                  <w:tcBorders>
                    <w:top w:val="single" w:color="auto" w:sz="4" w:space="0"/>
                  </w:tcBorders>
                  <w:noWrap w:val="0"/>
                  <w:vAlign w:val="center"/>
                </w:tcPr>
                <w:p w14:paraId="211CD653">
                  <w:pPr>
                    <w:adjustRightInd w:val="0"/>
                    <w:snapToGrid w:val="0"/>
                    <w:jc w:val="center"/>
                    <w:rPr>
                      <w:rFonts w:hint="eastAsia"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6"/>
                      <w:sz w:val="18"/>
                      <w:szCs w:val="18"/>
                      <w:lang w:val="en-US" w:eastAsia="zh-CN"/>
                    </w:rPr>
                    <w:t>涂装</w:t>
                  </w:r>
                </w:p>
              </w:tc>
              <w:tc>
                <w:tcPr>
                  <w:tcW w:w="507" w:type="pct"/>
                  <w:vMerge w:val="restart"/>
                  <w:tcBorders>
                    <w:top w:val="single" w:color="auto" w:sz="4" w:space="0"/>
                  </w:tcBorders>
                  <w:noWrap w:val="0"/>
                  <w:vAlign w:val="center"/>
                </w:tcPr>
                <w:p w14:paraId="462B0C2B">
                  <w:pPr>
                    <w:adjustRightInd w:val="0"/>
                    <w:snapToGrid w:val="0"/>
                    <w:jc w:val="center"/>
                    <w:rPr>
                      <w:rFonts w:hint="default"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DA003</w:t>
                  </w:r>
                </w:p>
              </w:tc>
              <w:tc>
                <w:tcPr>
                  <w:tcW w:w="701" w:type="pct"/>
                  <w:tcBorders>
                    <w:top w:val="single" w:color="auto" w:sz="4" w:space="0"/>
                    <w:bottom w:val="single" w:color="auto" w:sz="4" w:space="0"/>
                  </w:tcBorders>
                  <w:noWrap w:val="0"/>
                  <w:vAlign w:val="center"/>
                </w:tcPr>
                <w:p w14:paraId="35279C59">
                  <w:pPr>
                    <w:adjustRightInd w:val="0"/>
                    <w:snapToGrid w:val="0"/>
                    <w:jc w:val="center"/>
                    <w:rPr>
                      <w:rFonts w:hint="eastAsia"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颗粒物</w:t>
                  </w:r>
                </w:p>
              </w:tc>
              <w:tc>
                <w:tcPr>
                  <w:tcW w:w="1098" w:type="dxa"/>
                  <w:tcBorders>
                    <w:top w:val="single" w:color="auto" w:sz="4" w:space="0"/>
                    <w:bottom w:val="single" w:color="auto" w:sz="4" w:space="0"/>
                  </w:tcBorders>
                  <w:noWrap w:val="0"/>
                  <w:vAlign w:val="center"/>
                </w:tcPr>
                <w:p w14:paraId="69E55D5E">
                  <w:pPr>
                    <w:adjustRightInd w:val="0"/>
                    <w:snapToGrid w:val="0"/>
                    <w:jc w:val="center"/>
                    <w:rPr>
                      <w:rFonts w:hint="default"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4.79</w:t>
                  </w:r>
                </w:p>
              </w:tc>
              <w:tc>
                <w:tcPr>
                  <w:tcW w:w="946" w:type="dxa"/>
                  <w:tcBorders>
                    <w:top w:val="single" w:color="auto" w:sz="4" w:space="0"/>
                    <w:bottom w:val="single" w:color="auto" w:sz="4" w:space="0"/>
                  </w:tcBorders>
                  <w:noWrap w:val="0"/>
                  <w:vAlign w:val="center"/>
                </w:tcPr>
                <w:p w14:paraId="32E82472">
                  <w:pPr>
                    <w:adjustRightInd w:val="0"/>
                    <w:snapToGrid w:val="0"/>
                    <w:jc w:val="center"/>
                    <w:rPr>
                      <w:rFonts w:hint="default"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0.10</w:t>
                  </w:r>
                </w:p>
              </w:tc>
              <w:tc>
                <w:tcPr>
                  <w:tcW w:w="694" w:type="pct"/>
                  <w:tcBorders>
                    <w:top w:val="single" w:color="auto" w:sz="4" w:space="0"/>
                    <w:bottom w:val="single" w:color="auto" w:sz="4" w:space="0"/>
                  </w:tcBorders>
                  <w:noWrap w:val="0"/>
                  <w:vAlign w:val="center"/>
                </w:tcPr>
                <w:p w14:paraId="41DF8B96">
                  <w:pPr>
                    <w:adjustRightInd w:val="0"/>
                    <w:snapToGrid w:val="0"/>
                    <w:jc w:val="center"/>
                    <w:rPr>
                      <w:rFonts w:hint="eastAsia" w:ascii="Times New Roman" w:hAnsi="Times New Roman" w:eastAsia="宋体" w:cs="Times New Roman"/>
                      <w:color w:val="auto"/>
                      <w:spacing w:val="0"/>
                      <w:kern w:val="2"/>
                      <w:sz w:val="18"/>
                      <w:szCs w:val="18"/>
                      <w:lang w:val="en-US" w:eastAsia="zh-CN" w:bidi="ar-SA"/>
                    </w:rPr>
                  </w:pPr>
                  <w:r>
                    <w:rPr>
                      <w:rFonts w:hint="eastAsia" w:ascii="Times New Roman" w:hAnsi="Times New Roman" w:eastAsia="宋体" w:cs="Times New Roman"/>
                      <w:color w:val="auto"/>
                      <w:spacing w:val="0"/>
                      <w:sz w:val="18"/>
                      <w:szCs w:val="18"/>
                      <w:lang w:val="en-US" w:eastAsia="zh-CN"/>
                    </w:rPr>
                    <w:t>120</w:t>
                  </w:r>
                </w:p>
              </w:tc>
              <w:tc>
                <w:tcPr>
                  <w:tcW w:w="586" w:type="pct"/>
                  <w:tcBorders>
                    <w:top w:val="single" w:color="auto" w:sz="4" w:space="0"/>
                    <w:bottom w:val="single" w:color="auto" w:sz="4" w:space="0"/>
                  </w:tcBorders>
                  <w:noWrap w:val="0"/>
                  <w:vAlign w:val="center"/>
                </w:tcPr>
                <w:p w14:paraId="31391ABD">
                  <w:pPr>
                    <w:adjustRightInd w:val="0"/>
                    <w:snapToGrid w:val="0"/>
                    <w:jc w:val="center"/>
                    <w:rPr>
                      <w:rFonts w:hint="default" w:ascii="Times New Roman" w:hAnsi="Times New Roman" w:eastAsia="宋体" w:cs="Times New Roman"/>
                      <w:color w:val="auto"/>
                      <w:spacing w:val="0"/>
                      <w:kern w:val="2"/>
                      <w:sz w:val="18"/>
                      <w:szCs w:val="18"/>
                      <w:lang w:val="en-US" w:eastAsia="zh-CN" w:bidi="ar-SA"/>
                    </w:rPr>
                  </w:pPr>
                  <w:r>
                    <w:rPr>
                      <w:rFonts w:hint="eastAsia" w:ascii="Times New Roman" w:hAnsi="Times New Roman" w:eastAsia="宋体" w:cs="Times New Roman"/>
                      <w:color w:val="auto"/>
                      <w:spacing w:val="0"/>
                      <w:sz w:val="18"/>
                      <w:szCs w:val="18"/>
                      <w:lang w:val="en-US" w:eastAsia="zh-CN"/>
                    </w:rPr>
                    <w:t>5.9</w:t>
                  </w:r>
                </w:p>
              </w:tc>
              <w:tc>
                <w:tcPr>
                  <w:tcW w:w="565" w:type="pct"/>
                  <w:tcBorders>
                    <w:top w:val="single" w:color="auto" w:sz="4" w:space="0"/>
                    <w:bottom w:val="single" w:color="auto" w:sz="4" w:space="0"/>
                  </w:tcBorders>
                  <w:noWrap w:val="0"/>
                  <w:vAlign w:val="center"/>
                </w:tcPr>
                <w:p w14:paraId="6589CF26">
                  <w:pPr>
                    <w:adjustRightInd w:val="0"/>
                    <w:snapToGrid w:val="0"/>
                    <w:jc w:val="center"/>
                    <w:rPr>
                      <w:rFonts w:hint="default" w:ascii="Times New Roman" w:hAnsi="Times New Roman" w:eastAsia="宋体" w:cs="Times New Roman"/>
                      <w:color w:val="auto"/>
                      <w:spacing w:val="0"/>
                      <w:sz w:val="18"/>
                      <w:szCs w:val="18"/>
                      <w:lang w:val="en-US" w:eastAsia="zh-CN"/>
                    </w:rPr>
                  </w:pPr>
                  <w:r>
                    <w:rPr>
                      <w:rFonts w:hint="eastAsia" w:cs="Times New Roman"/>
                      <w:color w:val="auto"/>
                      <w:spacing w:val="0"/>
                      <w:sz w:val="18"/>
                      <w:szCs w:val="18"/>
                      <w:lang w:val="en-US" w:eastAsia="zh-CN"/>
                    </w:rPr>
                    <w:t>0.23</w:t>
                  </w:r>
                </w:p>
              </w:tc>
            </w:tr>
            <w:tr w14:paraId="14219F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4" w:type="pct"/>
                  <w:vMerge w:val="continue"/>
                  <w:noWrap w:val="0"/>
                  <w:vAlign w:val="center"/>
                </w:tcPr>
                <w:p w14:paraId="2FD8FB79">
                  <w:pPr>
                    <w:adjustRightInd w:val="0"/>
                    <w:snapToGrid w:val="0"/>
                    <w:jc w:val="center"/>
                    <w:rPr>
                      <w:rFonts w:hint="eastAsia" w:ascii="Times New Roman" w:hAnsi="Times New Roman" w:eastAsia="宋体" w:cs="Times New Roman"/>
                      <w:color w:val="auto"/>
                      <w:spacing w:val="0"/>
                      <w:sz w:val="18"/>
                      <w:szCs w:val="18"/>
                      <w:lang w:val="en-US" w:eastAsia="zh-CN"/>
                    </w:rPr>
                  </w:pPr>
                </w:p>
              </w:tc>
              <w:tc>
                <w:tcPr>
                  <w:tcW w:w="507" w:type="pct"/>
                  <w:vMerge w:val="continue"/>
                  <w:noWrap w:val="0"/>
                  <w:vAlign w:val="center"/>
                </w:tcPr>
                <w:p w14:paraId="436F6DD0">
                  <w:pPr>
                    <w:adjustRightInd w:val="0"/>
                    <w:snapToGrid w:val="0"/>
                    <w:jc w:val="center"/>
                    <w:rPr>
                      <w:rFonts w:hint="eastAsia" w:ascii="Times New Roman" w:hAnsi="Times New Roman" w:eastAsia="宋体" w:cs="Times New Roman"/>
                      <w:color w:val="auto"/>
                      <w:spacing w:val="0"/>
                      <w:sz w:val="18"/>
                      <w:szCs w:val="18"/>
                      <w:lang w:val="en-US" w:eastAsia="zh-CN"/>
                    </w:rPr>
                  </w:pPr>
                </w:p>
              </w:tc>
              <w:tc>
                <w:tcPr>
                  <w:tcW w:w="701" w:type="pct"/>
                  <w:tcBorders>
                    <w:top w:val="single" w:color="auto" w:sz="4" w:space="0"/>
                    <w:bottom w:val="single" w:color="auto" w:sz="4" w:space="0"/>
                  </w:tcBorders>
                  <w:noWrap w:val="0"/>
                  <w:vAlign w:val="center"/>
                </w:tcPr>
                <w:p w14:paraId="6ADE3276">
                  <w:pPr>
                    <w:adjustRightInd w:val="0"/>
                    <w:snapToGrid w:val="0"/>
                    <w:jc w:val="center"/>
                    <w:rPr>
                      <w:rFonts w:hint="eastAsia"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非甲烷总烃</w:t>
                  </w:r>
                </w:p>
              </w:tc>
              <w:tc>
                <w:tcPr>
                  <w:tcW w:w="1098" w:type="dxa"/>
                  <w:tcBorders>
                    <w:top w:val="single" w:color="auto" w:sz="4" w:space="0"/>
                    <w:bottom w:val="single" w:color="auto" w:sz="4" w:space="0"/>
                  </w:tcBorders>
                  <w:noWrap w:val="0"/>
                  <w:vAlign w:val="center"/>
                </w:tcPr>
                <w:p w14:paraId="21C20D3D">
                  <w:pPr>
                    <w:adjustRightInd w:val="0"/>
                    <w:snapToGrid w:val="0"/>
                    <w:jc w:val="center"/>
                    <w:rPr>
                      <w:rFonts w:hint="default"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16.46</w:t>
                  </w:r>
                </w:p>
              </w:tc>
              <w:tc>
                <w:tcPr>
                  <w:tcW w:w="946" w:type="dxa"/>
                  <w:tcBorders>
                    <w:top w:val="single" w:color="auto" w:sz="4" w:space="0"/>
                    <w:bottom w:val="single" w:color="auto" w:sz="4" w:space="0"/>
                  </w:tcBorders>
                  <w:noWrap w:val="0"/>
                  <w:vAlign w:val="center"/>
                </w:tcPr>
                <w:p w14:paraId="6EECE1DE">
                  <w:pPr>
                    <w:adjustRightInd w:val="0"/>
                    <w:snapToGrid w:val="0"/>
                    <w:jc w:val="center"/>
                    <w:rPr>
                      <w:rFonts w:hint="default"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0.33</w:t>
                  </w:r>
                </w:p>
              </w:tc>
              <w:tc>
                <w:tcPr>
                  <w:tcW w:w="694" w:type="pct"/>
                  <w:tcBorders>
                    <w:top w:val="single" w:color="auto" w:sz="4" w:space="0"/>
                    <w:bottom w:val="single" w:color="auto" w:sz="4" w:space="0"/>
                  </w:tcBorders>
                  <w:noWrap w:val="0"/>
                  <w:vAlign w:val="center"/>
                </w:tcPr>
                <w:p w14:paraId="1E3A60FB">
                  <w:pPr>
                    <w:adjustRightInd w:val="0"/>
                    <w:snapToGrid w:val="0"/>
                    <w:jc w:val="center"/>
                    <w:rPr>
                      <w:rFonts w:hint="eastAsia" w:ascii="Times New Roman" w:hAnsi="Times New Roman" w:eastAsia="宋体" w:cs="Times New Roman"/>
                      <w:color w:val="auto"/>
                      <w:spacing w:val="0"/>
                      <w:kern w:val="2"/>
                      <w:sz w:val="18"/>
                      <w:szCs w:val="18"/>
                      <w:lang w:val="en-US" w:eastAsia="zh-CN" w:bidi="ar-SA"/>
                    </w:rPr>
                  </w:pPr>
                  <w:r>
                    <w:rPr>
                      <w:rFonts w:hint="eastAsia" w:ascii="Times New Roman" w:hAnsi="Times New Roman" w:eastAsia="宋体" w:cs="Times New Roman"/>
                      <w:color w:val="auto"/>
                      <w:spacing w:val="0"/>
                      <w:sz w:val="18"/>
                      <w:szCs w:val="18"/>
                      <w:lang w:val="en-US" w:eastAsia="zh-CN"/>
                    </w:rPr>
                    <w:t>120</w:t>
                  </w:r>
                </w:p>
              </w:tc>
              <w:tc>
                <w:tcPr>
                  <w:tcW w:w="586" w:type="pct"/>
                  <w:tcBorders>
                    <w:top w:val="single" w:color="auto" w:sz="4" w:space="0"/>
                    <w:bottom w:val="single" w:color="auto" w:sz="4" w:space="0"/>
                  </w:tcBorders>
                  <w:noWrap w:val="0"/>
                  <w:vAlign w:val="center"/>
                </w:tcPr>
                <w:p w14:paraId="6517688D">
                  <w:pPr>
                    <w:adjustRightInd w:val="0"/>
                    <w:snapToGrid w:val="0"/>
                    <w:jc w:val="center"/>
                    <w:rPr>
                      <w:rFonts w:hint="default" w:ascii="Times New Roman" w:hAnsi="Times New Roman" w:eastAsia="宋体" w:cs="Times New Roman"/>
                      <w:color w:val="auto"/>
                      <w:spacing w:val="0"/>
                      <w:kern w:val="2"/>
                      <w:sz w:val="18"/>
                      <w:szCs w:val="18"/>
                      <w:lang w:val="en-US" w:eastAsia="zh-CN" w:bidi="ar-SA"/>
                    </w:rPr>
                  </w:pPr>
                  <w:r>
                    <w:rPr>
                      <w:rFonts w:hint="eastAsia" w:ascii="Times New Roman" w:hAnsi="Times New Roman" w:eastAsia="宋体" w:cs="Times New Roman"/>
                      <w:color w:val="auto"/>
                      <w:spacing w:val="0"/>
                      <w:sz w:val="18"/>
                      <w:szCs w:val="18"/>
                      <w:lang w:val="en-US" w:eastAsia="zh-CN"/>
                    </w:rPr>
                    <w:t>17</w:t>
                  </w:r>
                </w:p>
              </w:tc>
              <w:tc>
                <w:tcPr>
                  <w:tcW w:w="565" w:type="pct"/>
                  <w:tcBorders>
                    <w:top w:val="single" w:color="auto" w:sz="4" w:space="0"/>
                    <w:bottom w:val="single" w:color="auto" w:sz="4" w:space="0"/>
                  </w:tcBorders>
                  <w:noWrap w:val="0"/>
                  <w:vAlign w:val="center"/>
                </w:tcPr>
                <w:p w14:paraId="36FEC9C6">
                  <w:pPr>
                    <w:adjustRightInd w:val="0"/>
                    <w:snapToGrid w:val="0"/>
                    <w:jc w:val="center"/>
                    <w:rPr>
                      <w:rFonts w:hint="default" w:ascii="Times New Roman" w:hAnsi="Times New Roman" w:eastAsia="宋体" w:cs="Times New Roman"/>
                      <w:color w:val="auto"/>
                      <w:spacing w:val="0"/>
                      <w:sz w:val="18"/>
                      <w:szCs w:val="18"/>
                      <w:lang w:val="en-US" w:eastAsia="zh-CN"/>
                    </w:rPr>
                  </w:pPr>
                  <w:r>
                    <w:rPr>
                      <w:rFonts w:hint="eastAsia" w:cs="Times New Roman"/>
                      <w:color w:val="auto"/>
                      <w:spacing w:val="0"/>
                      <w:sz w:val="18"/>
                      <w:szCs w:val="18"/>
                      <w:lang w:val="en-US" w:eastAsia="zh-CN"/>
                    </w:rPr>
                    <w:t>0.79</w:t>
                  </w:r>
                </w:p>
              </w:tc>
            </w:tr>
            <w:tr w14:paraId="461E3E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4" w:type="pct"/>
                  <w:vMerge w:val="continue"/>
                  <w:noWrap w:val="0"/>
                  <w:vAlign w:val="center"/>
                </w:tcPr>
                <w:p w14:paraId="230128D8">
                  <w:pPr>
                    <w:adjustRightInd w:val="0"/>
                    <w:snapToGrid w:val="0"/>
                    <w:jc w:val="center"/>
                    <w:rPr>
                      <w:rFonts w:hint="eastAsia" w:ascii="Times New Roman" w:hAnsi="Times New Roman" w:eastAsia="宋体" w:cs="Times New Roman"/>
                      <w:color w:val="auto"/>
                      <w:spacing w:val="0"/>
                      <w:sz w:val="18"/>
                      <w:szCs w:val="18"/>
                      <w:lang w:val="en-US" w:eastAsia="zh-CN"/>
                    </w:rPr>
                  </w:pPr>
                </w:p>
              </w:tc>
              <w:tc>
                <w:tcPr>
                  <w:tcW w:w="507" w:type="pct"/>
                  <w:vMerge w:val="continue"/>
                  <w:noWrap w:val="0"/>
                  <w:vAlign w:val="center"/>
                </w:tcPr>
                <w:p w14:paraId="5429CE39">
                  <w:pPr>
                    <w:adjustRightInd w:val="0"/>
                    <w:snapToGrid w:val="0"/>
                    <w:jc w:val="center"/>
                    <w:rPr>
                      <w:rFonts w:hint="eastAsia" w:ascii="Times New Roman" w:hAnsi="Times New Roman" w:eastAsia="宋体" w:cs="Times New Roman"/>
                      <w:color w:val="auto"/>
                      <w:spacing w:val="0"/>
                      <w:sz w:val="18"/>
                      <w:szCs w:val="18"/>
                      <w:lang w:val="en-US" w:eastAsia="zh-CN"/>
                    </w:rPr>
                  </w:pPr>
                </w:p>
              </w:tc>
              <w:tc>
                <w:tcPr>
                  <w:tcW w:w="701" w:type="pct"/>
                  <w:tcBorders>
                    <w:top w:val="single" w:color="auto" w:sz="4" w:space="0"/>
                    <w:bottom w:val="single" w:color="auto" w:sz="4" w:space="0"/>
                  </w:tcBorders>
                  <w:noWrap w:val="0"/>
                  <w:vAlign w:val="center"/>
                </w:tcPr>
                <w:p w14:paraId="4C161AAA">
                  <w:pPr>
                    <w:adjustRightInd w:val="0"/>
                    <w:snapToGrid w:val="0"/>
                    <w:jc w:val="center"/>
                    <w:rPr>
                      <w:rFonts w:hint="default"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甲苯</w:t>
                  </w:r>
                </w:p>
              </w:tc>
              <w:tc>
                <w:tcPr>
                  <w:tcW w:w="1098" w:type="dxa"/>
                  <w:tcBorders>
                    <w:top w:val="single" w:color="auto" w:sz="4" w:space="0"/>
                    <w:bottom w:val="single" w:color="auto" w:sz="4" w:space="0"/>
                  </w:tcBorders>
                  <w:noWrap w:val="0"/>
                  <w:vAlign w:val="center"/>
                </w:tcPr>
                <w:p w14:paraId="70109D03">
                  <w:pPr>
                    <w:adjustRightInd w:val="0"/>
                    <w:snapToGrid w:val="0"/>
                    <w:jc w:val="center"/>
                    <w:rPr>
                      <w:rFonts w:hint="default"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0.17</w:t>
                  </w:r>
                </w:p>
              </w:tc>
              <w:tc>
                <w:tcPr>
                  <w:tcW w:w="946" w:type="dxa"/>
                  <w:tcBorders>
                    <w:top w:val="single" w:color="auto" w:sz="4" w:space="0"/>
                    <w:bottom w:val="single" w:color="auto" w:sz="4" w:space="0"/>
                  </w:tcBorders>
                  <w:noWrap w:val="0"/>
                  <w:vAlign w:val="center"/>
                </w:tcPr>
                <w:p w14:paraId="11A306F0">
                  <w:pPr>
                    <w:adjustRightInd w:val="0"/>
                    <w:snapToGrid w:val="0"/>
                    <w:jc w:val="center"/>
                    <w:rPr>
                      <w:rFonts w:hint="default"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0.003</w:t>
                  </w:r>
                </w:p>
              </w:tc>
              <w:tc>
                <w:tcPr>
                  <w:tcW w:w="694" w:type="pct"/>
                  <w:tcBorders>
                    <w:top w:val="single" w:color="auto" w:sz="4" w:space="0"/>
                    <w:bottom w:val="single" w:color="auto" w:sz="4" w:space="0"/>
                  </w:tcBorders>
                  <w:noWrap w:val="0"/>
                  <w:vAlign w:val="center"/>
                </w:tcPr>
                <w:p w14:paraId="69259605">
                  <w:pPr>
                    <w:adjustRightInd w:val="0"/>
                    <w:snapToGrid w:val="0"/>
                    <w:jc w:val="center"/>
                    <w:rPr>
                      <w:rFonts w:hint="default"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40</w:t>
                  </w:r>
                </w:p>
              </w:tc>
              <w:tc>
                <w:tcPr>
                  <w:tcW w:w="586" w:type="pct"/>
                  <w:tcBorders>
                    <w:top w:val="single" w:color="auto" w:sz="4" w:space="0"/>
                    <w:bottom w:val="single" w:color="auto" w:sz="4" w:space="0"/>
                  </w:tcBorders>
                  <w:noWrap w:val="0"/>
                  <w:vAlign w:val="center"/>
                </w:tcPr>
                <w:p w14:paraId="69016127">
                  <w:pPr>
                    <w:adjustRightInd w:val="0"/>
                    <w:snapToGrid w:val="0"/>
                    <w:jc w:val="center"/>
                    <w:rPr>
                      <w:rFonts w:hint="default"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5.2</w:t>
                  </w:r>
                </w:p>
              </w:tc>
              <w:tc>
                <w:tcPr>
                  <w:tcW w:w="565" w:type="pct"/>
                  <w:tcBorders>
                    <w:top w:val="single" w:color="auto" w:sz="4" w:space="0"/>
                    <w:bottom w:val="single" w:color="auto" w:sz="4" w:space="0"/>
                  </w:tcBorders>
                  <w:noWrap w:val="0"/>
                  <w:vAlign w:val="center"/>
                </w:tcPr>
                <w:p w14:paraId="7098621A">
                  <w:pPr>
                    <w:adjustRightInd w:val="0"/>
                    <w:snapToGrid w:val="0"/>
                    <w:jc w:val="center"/>
                    <w:rPr>
                      <w:rFonts w:hint="default" w:ascii="Times New Roman" w:hAnsi="Times New Roman" w:eastAsia="宋体" w:cs="Times New Roman"/>
                      <w:color w:val="auto"/>
                      <w:spacing w:val="0"/>
                      <w:sz w:val="18"/>
                      <w:szCs w:val="18"/>
                      <w:lang w:val="en-US" w:eastAsia="zh-CN"/>
                    </w:rPr>
                  </w:pPr>
                  <w:r>
                    <w:rPr>
                      <w:rFonts w:hint="eastAsia" w:cs="Times New Roman"/>
                      <w:color w:val="auto"/>
                      <w:spacing w:val="0"/>
                      <w:sz w:val="18"/>
                      <w:szCs w:val="18"/>
                      <w:lang w:val="en-US" w:eastAsia="zh-CN"/>
                    </w:rPr>
                    <w:t>0.008</w:t>
                  </w:r>
                </w:p>
              </w:tc>
            </w:tr>
            <w:tr w14:paraId="5FB772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664" w:type="pct"/>
                  <w:vMerge w:val="continue"/>
                  <w:tcBorders>
                    <w:bottom w:val="single" w:color="auto" w:sz="12" w:space="0"/>
                  </w:tcBorders>
                  <w:noWrap w:val="0"/>
                  <w:vAlign w:val="center"/>
                </w:tcPr>
                <w:p w14:paraId="3F08350F">
                  <w:pPr>
                    <w:adjustRightInd w:val="0"/>
                    <w:snapToGrid w:val="0"/>
                    <w:jc w:val="center"/>
                    <w:rPr>
                      <w:rFonts w:hint="eastAsia" w:ascii="Times New Roman" w:hAnsi="Times New Roman" w:eastAsia="宋体" w:cs="Times New Roman"/>
                      <w:color w:val="auto"/>
                      <w:spacing w:val="0"/>
                      <w:sz w:val="18"/>
                      <w:szCs w:val="18"/>
                      <w:lang w:val="en-US" w:eastAsia="zh-CN"/>
                    </w:rPr>
                  </w:pPr>
                </w:p>
              </w:tc>
              <w:tc>
                <w:tcPr>
                  <w:tcW w:w="507" w:type="pct"/>
                  <w:vMerge w:val="continue"/>
                  <w:tcBorders>
                    <w:bottom w:val="single" w:color="auto" w:sz="12" w:space="0"/>
                  </w:tcBorders>
                  <w:noWrap w:val="0"/>
                  <w:vAlign w:val="center"/>
                </w:tcPr>
                <w:p w14:paraId="75A3BA2A">
                  <w:pPr>
                    <w:adjustRightInd w:val="0"/>
                    <w:snapToGrid w:val="0"/>
                    <w:jc w:val="center"/>
                    <w:rPr>
                      <w:rFonts w:hint="eastAsia" w:ascii="Times New Roman" w:hAnsi="Times New Roman" w:eastAsia="宋体" w:cs="Times New Roman"/>
                      <w:color w:val="auto"/>
                      <w:spacing w:val="0"/>
                      <w:sz w:val="18"/>
                      <w:szCs w:val="18"/>
                      <w:lang w:val="en-US" w:eastAsia="zh-CN"/>
                    </w:rPr>
                  </w:pPr>
                </w:p>
              </w:tc>
              <w:tc>
                <w:tcPr>
                  <w:tcW w:w="701" w:type="pct"/>
                  <w:tcBorders>
                    <w:top w:val="single" w:color="auto" w:sz="4" w:space="0"/>
                    <w:bottom w:val="single" w:color="auto" w:sz="12" w:space="0"/>
                  </w:tcBorders>
                  <w:noWrap w:val="0"/>
                  <w:vAlign w:val="center"/>
                </w:tcPr>
                <w:p w14:paraId="5C2932E6">
                  <w:pPr>
                    <w:adjustRightInd w:val="0"/>
                    <w:snapToGrid w:val="0"/>
                    <w:jc w:val="center"/>
                    <w:rPr>
                      <w:rFonts w:hint="default"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二甲苯</w:t>
                  </w:r>
                </w:p>
              </w:tc>
              <w:tc>
                <w:tcPr>
                  <w:tcW w:w="1098" w:type="dxa"/>
                  <w:tcBorders>
                    <w:top w:val="single" w:color="auto" w:sz="4" w:space="0"/>
                    <w:bottom w:val="single" w:color="auto" w:sz="12" w:space="0"/>
                  </w:tcBorders>
                  <w:noWrap w:val="0"/>
                  <w:vAlign w:val="center"/>
                </w:tcPr>
                <w:p w14:paraId="1C22DE55">
                  <w:pPr>
                    <w:adjustRightInd w:val="0"/>
                    <w:snapToGrid w:val="0"/>
                    <w:jc w:val="center"/>
                    <w:rPr>
                      <w:rFonts w:hint="default"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1.44</w:t>
                  </w:r>
                </w:p>
              </w:tc>
              <w:tc>
                <w:tcPr>
                  <w:tcW w:w="946" w:type="dxa"/>
                  <w:tcBorders>
                    <w:top w:val="single" w:color="auto" w:sz="4" w:space="0"/>
                    <w:bottom w:val="single" w:color="auto" w:sz="12" w:space="0"/>
                  </w:tcBorders>
                  <w:noWrap w:val="0"/>
                  <w:vAlign w:val="center"/>
                </w:tcPr>
                <w:p w14:paraId="2F901074">
                  <w:pPr>
                    <w:adjustRightInd w:val="0"/>
                    <w:snapToGrid w:val="0"/>
                    <w:jc w:val="center"/>
                    <w:rPr>
                      <w:rFonts w:hint="default"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0.029</w:t>
                  </w:r>
                </w:p>
              </w:tc>
              <w:tc>
                <w:tcPr>
                  <w:tcW w:w="694" w:type="pct"/>
                  <w:tcBorders>
                    <w:top w:val="single" w:color="auto" w:sz="4" w:space="0"/>
                    <w:bottom w:val="single" w:color="auto" w:sz="12" w:space="0"/>
                  </w:tcBorders>
                  <w:noWrap w:val="0"/>
                  <w:vAlign w:val="center"/>
                </w:tcPr>
                <w:p w14:paraId="1DB2B4F7">
                  <w:pPr>
                    <w:adjustRightInd w:val="0"/>
                    <w:snapToGrid w:val="0"/>
                    <w:jc w:val="center"/>
                    <w:rPr>
                      <w:rFonts w:hint="default"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70</w:t>
                  </w:r>
                </w:p>
              </w:tc>
              <w:tc>
                <w:tcPr>
                  <w:tcW w:w="586" w:type="pct"/>
                  <w:tcBorders>
                    <w:top w:val="single" w:color="auto" w:sz="4" w:space="0"/>
                    <w:bottom w:val="single" w:color="auto" w:sz="12" w:space="0"/>
                  </w:tcBorders>
                  <w:noWrap w:val="0"/>
                  <w:vAlign w:val="center"/>
                </w:tcPr>
                <w:p w14:paraId="06AB63A3">
                  <w:pPr>
                    <w:adjustRightInd w:val="0"/>
                    <w:snapToGrid w:val="0"/>
                    <w:jc w:val="center"/>
                    <w:rPr>
                      <w:rFonts w:hint="default" w:ascii="Times New Roman" w:hAnsi="Times New Roman" w:eastAsia="宋体" w:cs="Times New Roman"/>
                      <w:color w:val="auto"/>
                      <w:spacing w:val="0"/>
                      <w:sz w:val="18"/>
                      <w:szCs w:val="18"/>
                      <w:lang w:val="en-US" w:eastAsia="zh-CN"/>
                    </w:rPr>
                  </w:pPr>
                  <w:r>
                    <w:rPr>
                      <w:rFonts w:hint="eastAsia" w:ascii="Times New Roman" w:hAnsi="Times New Roman" w:eastAsia="宋体" w:cs="Times New Roman"/>
                      <w:color w:val="auto"/>
                      <w:spacing w:val="0"/>
                      <w:sz w:val="18"/>
                      <w:szCs w:val="18"/>
                      <w:lang w:val="en-US" w:eastAsia="zh-CN"/>
                    </w:rPr>
                    <w:t>1.7</w:t>
                  </w:r>
                </w:p>
              </w:tc>
              <w:tc>
                <w:tcPr>
                  <w:tcW w:w="565" w:type="pct"/>
                  <w:tcBorders>
                    <w:top w:val="single" w:color="auto" w:sz="4" w:space="0"/>
                    <w:bottom w:val="single" w:color="auto" w:sz="12" w:space="0"/>
                  </w:tcBorders>
                  <w:noWrap w:val="0"/>
                  <w:vAlign w:val="center"/>
                </w:tcPr>
                <w:p w14:paraId="1C0C3833">
                  <w:pPr>
                    <w:adjustRightInd w:val="0"/>
                    <w:snapToGrid w:val="0"/>
                    <w:jc w:val="center"/>
                    <w:rPr>
                      <w:rFonts w:hint="default" w:ascii="Times New Roman" w:hAnsi="Times New Roman" w:eastAsia="宋体" w:cs="Times New Roman"/>
                      <w:color w:val="auto"/>
                      <w:spacing w:val="0"/>
                      <w:sz w:val="18"/>
                      <w:szCs w:val="18"/>
                      <w:lang w:val="en-US" w:eastAsia="zh-CN"/>
                    </w:rPr>
                  </w:pPr>
                  <w:r>
                    <w:rPr>
                      <w:rFonts w:hint="eastAsia" w:cs="Times New Roman"/>
                      <w:color w:val="auto"/>
                      <w:spacing w:val="0"/>
                      <w:sz w:val="18"/>
                      <w:szCs w:val="18"/>
                      <w:lang w:val="en-US" w:eastAsia="zh-CN"/>
                    </w:rPr>
                    <w:t>0.069</w:t>
                  </w:r>
                </w:p>
              </w:tc>
            </w:tr>
          </w:tbl>
          <w:p w14:paraId="2363A348">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本项目主要大气污染物为颗粒物、非甲烷总烃、甲苯和二甲苯，通过对焊接、打磨工序废气采用“高效集气设施+</w:t>
            </w:r>
            <w:r>
              <w:rPr>
                <w:rFonts w:hint="eastAsia" w:ascii="Times New Roman" w:hAnsi="Times New Roman" w:eastAsia="宋体" w:cs="Times New Roman"/>
                <w:color w:val="0000FF"/>
                <w:kern w:val="2"/>
                <w:sz w:val="24"/>
                <w:szCs w:val="24"/>
                <w:highlight w:val="none"/>
                <w:lang w:val="en-US" w:eastAsia="zh-CN" w:bidi="ar-SA"/>
              </w:rPr>
              <w:t>气箱式脉冲袋式除尘器</w:t>
            </w:r>
            <w:r>
              <w:rPr>
                <w:rFonts w:hint="eastAsia" w:ascii="Times New Roman" w:hAnsi="Times New Roman" w:eastAsia="宋体" w:cs="Times New Roman"/>
                <w:color w:val="auto"/>
                <w:kern w:val="2"/>
                <w:sz w:val="24"/>
                <w:szCs w:val="24"/>
                <w:highlight w:val="none"/>
                <w:lang w:val="en-US" w:eastAsia="zh-CN" w:bidi="ar-SA"/>
              </w:rPr>
              <w:t>”，对抛丸粉尘配套“密闭负压+</w:t>
            </w:r>
            <w:r>
              <w:rPr>
                <w:rFonts w:hint="eastAsia" w:ascii="Times New Roman" w:hAnsi="Times New Roman" w:eastAsia="宋体" w:cs="Times New Roman"/>
                <w:color w:val="0000FF"/>
                <w:kern w:val="2"/>
                <w:sz w:val="24"/>
                <w:szCs w:val="24"/>
                <w:highlight w:val="none"/>
                <w:lang w:val="en-US" w:eastAsia="zh-CN" w:bidi="ar-SA"/>
              </w:rPr>
              <w:t>气箱式脉冲袋式除尘器</w:t>
            </w:r>
            <w:r>
              <w:rPr>
                <w:rFonts w:hint="eastAsia" w:ascii="Times New Roman" w:hAnsi="Times New Roman" w:eastAsia="宋体" w:cs="Times New Roman"/>
                <w:color w:val="auto"/>
                <w:kern w:val="2"/>
                <w:sz w:val="24"/>
                <w:szCs w:val="24"/>
                <w:highlight w:val="none"/>
                <w:lang w:val="en-US" w:eastAsia="zh-CN" w:bidi="ar-SA"/>
              </w:rPr>
              <w:t>”，对涂装废气采用“密闭负压+干式漆雾过滤模组+活性炭吸附-脱附+催化燃烧装置”处理等，正常工况下大气污染物均可达标排放。本项目大气污染物采用的措施合理，均属可行技术。正常工况下对本项目周边大气环境的影响较小。</w:t>
            </w:r>
          </w:p>
          <w:p w14:paraId="2B792AB9">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②</w:t>
            </w:r>
            <w:r>
              <w:rPr>
                <w:rFonts w:hint="default" w:ascii="Times New Roman" w:hAnsi="Times New Roman" w:eastAsia="宋体" w:cs="Times New Roman"/>
                <w:color w:val="auto"/>
                <w:kern w:val="2"/>
                <w:sz w:val="24"/>
                <w:szCs w:val="24"/>
                <w:highlight w:val="none"/>
                <w:lang w:val="en-US" w:eastAsia="zh-CN" w:bidi="ar-SA"/>
              </w:rPr>
              <w:t>非正常工况</w:t>
            </w:r>
          </w:p>
          <w:p w14:paraId="6725B8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本项目废气非正常排放主要考虑废气处理设施故障未及时发现，废气处理设施达不到应有效率，即</w:t>
            </w:r>
            <w:r>
              <w:rPr>
                <w:rFonts w:hint="eastAsia" w:ascii="Times New Roman" w:hAnsi="Times New Roman" w:eastAsia="宋体" w:cs="Times New Roman"/>
                <w:color w:val="0000FF"/>
                <w:kern w:val="2"/>
                <w:sz w:val="24"/>
                <w:szCs w:val="24"/>
                <w:highlight w:val="none"/>
                <w:lang w:val="en-US" w:eastAsia="zh-CN" w:bidi="ar-SA"/>
              </w:rPr>
              <w:t>气箱式脉冲袋式除尘器</w:t>
            </w:r>
            <w:r>
              <w:rPr>
                <w:rFonts w:hint="eastAsia" w:ascii="Times New Roman" w:hAnsi="Times New Roman" w:eastAsia="宋体" w:cs="Times New Roman"/>
                <w:color w:val="auto"/>
                <w:kern w:val="2"/>
                <w:sz w:val="24"/>
                <w:szCs w:val="24"/>
                <w:highlight w:val="none"/>
                <w:lang w:val="en-US" w:eastAsia="zh-CN" w:bidi="ar-SA"/>
              </w:rPr>
              <w:t>或干式漆雾过滤模组+活性炭吸附-脱附+催化燃烧装置发生故障，造成生产工艺废气未经净化直接排放，本次评价以</w:t>
            </w:r>
            <w:r>
              <w:rPr>
                <w:rFonts w:hint="eastAsia" w:ascii="Times New Roman" w:hAnsi="Times New Roman" w:eastAsia="宋体" w:cs="Times New Roman"/>
                <w:color w:val="0000FF"/>
                <w:kern w:val="2"/>
                <w:sz w:val="24"/>
                <w:szCs w:val="24"/>
                <w:highlight w:val="none"/>
                <w:lang w:val="en-US" w:eastAsia="zh-CN" w:bidi="ar-SA"/>
              </w:rPr>
              <w:t>气箱式脉冲袋式除尘器</w:t>
            </w:r>
            <w:r>
              <w:rPr>
                <w:rFonts w:hint="eastAsia" w:ascii="Times New Roman" w:hAnsi="Times New Roman" w:eastAsia="宋体" w:cs="Times New Roman"/>
                <w:color w:val="auto"/>
                <w:kern w:val="2"/>
                <w:sz w:val="24"/>
                <w:szCs w:val="24"/>
                <w:highlight w:val="none"/>
                <w:lang w:val="en-US" w:eastAsia="zh-CN" w:bidi="ar-SA"/>
              </w:rPr>
              <w:t>故障，干式漆雾过滤模组+活性炭吸附-脱附+催化燃烧装置故障作为评价依据，本项目非正常排放量核算详见表4-8。</w:t>
            </w:r>
          </w:p>
          <w:p w14:paraId="1E6FBD93">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表4-8 非正常排放参数表</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627"/>
              <w:gridCol w:w="912"/>
              <w:gridCol w:w="1001"/>
              <w:gridCol w:w="824"/>
              <w:gridCol w:w="962"/>
              <w:gridCol w:w="911"/>
              <w:gridCol w:w="868"/>
            </w:tblGrid>
            <w:tr w14:paraId="1A712F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522" w:type="pct"/>
                  <w:tcBorders>
                    <w:bottom w:val="single" w:color="auto" w:sz="12" w:space="0"/>
                  </w:tcBorders>
                  <w:noWrap w:val="0"/>
                  <w:vAlign w:val="center"/>
                </w:tcPr>
                <w:p w14:paraId="4279EDDD">
                  <w:pPr>
                    <w:adjustRightInd w:val="0"/>
                    <w:snapToGrid w:val="0"/>
                    <w:jc w:val="center"/>
                    <w:rPr>
                      <w:b/>
                      <w:bCs/>
                      <w:color w:val="auto"/>
                      <w:sz w:val="18"/>
                      <w:szCs w:val="21"/>
                    </w:rPr>
                  </w:pPr>
                  <w:r>
                    <w:rPr>
                      <w:rFonts w:hint="eastAsia"/>
                      <w:b/>
                      <w:bCs/>
                      <w:color w:val="auto"/>
                      <w:sz w:val="18"/>
                      <w:szCs w:val="21"/>
                    </w:rPr>
                    <w:t>非正常排放源</w:t>
                  </w:r>
                </w:p>
              </w:tc>
              <w:tc>
                <w:tcPr>
                  <w:tcW w:w="1025" w:type="pct"/>
                  <w:tcBorders>
                    <w:bottom w:val="single" w:color="auto" w:sz="12" w:space="0"/>
                  </w:tcBorders>
                  <w:noWrap w:val="0"/>
                  <w:vAlign w:val="center"/>
                </w:tcPr>
                <w:p w14:paraId="664DC28D">
                  <w:pPr>
                    <w:adjustRightInd w:val="0"/>
                    <w:snapToGrid w:val="0"/>
                    <w:jc w:val="center"/>
                    <w:rPr>
                      <w:rFonts w:hint="eastAsia"/>
                      <w:b/>
                      <w:bCs/>
                      <w:color w:val="auto"/>
                      <w:sz w:val="18"/>
                      <w:szCs w:val="21"/>
                    </w:rPr>
                  </w:pPr>
                  <w:r>
                    <w:rPr>
                      <w:rFonts w:hint="eastAsia"/>
                      <w:b/>
                      <w:bCs/>
                      <w:color w:val="auto"/>
                      <w:sz w:val="18"/>
                      <w:szCs w:val="21"/>
                    </w:rPr>
                    <w:t>非正常排放原因</w:t>
                  </w:r>
                </w:p>
              </w:tc>
              <w:tc>
                <w:tcPr>
                  <w:tcW w:w="574" w:type="pct"/>
                  <w:tcBorders>
                    <w:bottom w:val="single" w:color="auto" w:sz="12" w:space="0"/>
                  </w:tcBorders>
                  <w:noWrap w:val="0"/>
                  <w:vAlign w:val="center"/>
                </w:tcPr>
                <w:p w14:paraId="4C4D88F2">
                  <w:pPr>
                    <w:adjustRightInd w:val="0"/>
                    <w:snapToGrid w:val="0"/>
                    <w:jc w:val="center"/>
                    <w:rPr>
                      <w:rFonts w:hint="eastAsia"/>
                      <w:b/>
                      <w:bCs/>
                      <w:color w:val="auto"/>
                      <w:sz w:val="18"/>
                      <w:szCs w:val="21"/>
                    </w:rPr>
                  </w:pPr>
                  <w:r>
                    <w:rPr>
                      <w:rFonts w:hint="eastAsia"/>
                      <w:b/>
                      <w:bCs/>
                      <w:color w:val="auto"/>
                      <w:sz w:val="18"/>
                      <w:szCs w:val="21"/>
                    </w:rPr>
                    <w:t>污染物</w:t>
                  </w:r>
                </w:p>
              </w:tc>
              <w:tc>
                <w:tcPr>
                  <w:tcW w:w="630" w:type="pct"/>
                  <w:tcBorders>
                    <w:bottom w:val="single" w:color="auto" w:sz="12" w:space="0"/>
                  </w:tcBorders>
                  <w:noWrap w:val="0"/>
                  <w:vAlign w:val="center"/>
                </w:tcPr>
                <w:p w14:paraId="6552A891">
                  <w:pPr>
                    <w:adjustRightInd w:val="0"/>
                    <w:snapToGrid w:val="0"/>
                    <w:jc w:val="center"/>
                    <w:rPr>
                      <w:rFonts w:hint="eastAsia"/>
                      <w:b/>
                      <w:bCs/>
                      <w:color w:val="auto"/>
                      <w:sz w:val="18"/>
                      <w:szCs w:val="21"/>
                    </w:rPr>
                  </w:pPr>
                  <w:r>
                    <w:rPr>
                      <w:rFonts w:hint="eastAsia"/>
                      <w:b/>
                      <w:bCs/>
                      <w:color w:val="auto"/>
                      <w:sz w:val="18"/>
                      <w:szCs w:val="21"/>
                    </w:rPr>
                    <w:t>排放浓度</w:t>
                  </w:r>
                </w:p>
                <w:p w14:paraId="09205FF9">
                  <w:pPr>
                    <w:adjustRightInd w:val="0"/>
                    <w:snapToGrid w:val="0"/>
                    <w:jc w:val="center"/>
                    <w:rPr>
                      <w:b/>
                      <w:bCs/>
                      <w:color w:val="auto"/>
                      <w:sz w:val="18"/>
                      <w:szCs w:val="21"/>
                    </w:rPr>
                  </w:pPr>
                  <w:r>
                    <w:rPr>
                      <w:rFonts w:hint="eastAsia"/>
                      <w:b/>
                      <w:bCs/>
                      <w:color w:val="auto"/>
                      <w:sz w:val="16"/>
                      <w:szCs w:val="20"/>
                    </w:rPr>
                    <w:t>mg/m³</w:t>
                  </w:r>
                </w:p>
              </w:tc>
              <w:tc>
                <w:tcPr>
                  <w:tcW w:w="519" w:type="pct"/>
                  <w:tcBorders>
                    <w:bottom w:val="single" w:color="auto" w:sz="12" w:space="0"/>
                  </w:tcBorders>
                  <w:noWrap w:val="0"/>
                  <w:vAlign w:val="center"/>
                </w:tcPr>
                <w:p w14:paraId="5C3D6BBB">
                  <w:pPr>
                    <w:adjustRightInd w:val="0"/>
                    <w:snapToGrid w:val="0"/>
                    <w:jc w:val="center"/>
                    <w:rPr>
                      <w:rFonts w:hint="eastAsia"/>
                      <w:b/>
                      <w:bCs/>
                      <w:color w:val="auto"/>
                      <w:sz w:val="18"/>
                      <w:szCs w:val="21"/>
                    </w:rPr>
                  </w:pPr>
                  <w:r>
                    <w:rPr>
                      <w:rFonts w:hint="eastAsia"/>
                      <w:b/>
                      <w:bCs/>
                      <w:color w:val="auto"/>
                      <w:sz w:val="18"/>
                      <w:szCs w:val="21"/>
                    </w:rPr>
                    <w:t>排放速率kg/h</w:t>
                  </w:r>
                </w:p>
              </w:tc>
              <w:tc>
                <w:tcPr>
                  <w:tcW w:w="606" w:type="pct"/>
                  <w:tcBorders>
                    <w:bottom w:val="single" w:color="auto" w:sz="12" w:space="0"/>
                  </w:tcBorders>
                  <w:noWrap w:val="0"/>
                  <w:vAlign w:val="center"/>
                </w:tcPr>
                <w:p w14:paraId="008E4D4F">
                  <w:pPr>
                    <w:adjustRightInd w:val="0"/>
                    <w:snapToGrid w:val="0"/>
                    <w:jc w:val="center"/>
                    <w:rPr>
                      <w:b/>
                      <w:bCs/>
                      <w:color w:val="auto"/>
                      <w:sz w:val="18"/>
                      <w:szCs w:val="21"/>
                    </w:rPr>
                  </w:pPr>
                  <w:r>
                    <w:rPr>
                      <w:rFonts w:hint="eastAsia"/>
                      <w:b/>
                      <w:bCs/>
                      <w:color w:val="auto"/>
                      <w:sz w:val="18"/>
                      <w:szCs w:val="21"/>
                    </w:rPr>
                    <w:t>排放量t/h</w:t>
                  </w:r>
                </w:p>
              </w:tc>
              <w:tc>
                <w:tcPr>
                  <w:tcW w:w="574" w:type="pct"/>
                  <w:tcBorders>
                    <w:bottom w:val="single" w:color="auto" w:sz="12" w:space="0"/>
                  </w:tcBorders>
                  <w:noWrap w:val="0"/>
                  <w:vAlign w:val="center"/>
                </w:tcPr>
                <w:p w14:paraId="34C11F12">
                  <w:pPr>
                    <w:adjustRightInd w:val="0"/>
                    <w:snapToGrid w:val="0"/>
                    <w:jc w:val="center"/>
                    <w:rPr>
                      <w:b/>
                      <w:bCs/>
                      <w:color w:val="auto"/>
                      <w:sz w:val="18"/>
                      <w:szCs w:val="21"/>
                    </w:rPr>
                  </w:pPr>
                  <w:r>
                    <w:rPr>
                      <w:rFonts w:hint="eastAsia"/>
                      <w:b/>
                      <w:bCs/>
                      <w:color w:val="auto"/>
                      <w:sz w:val="18"/>
                      <w:szCs w:val="21"/>
                    </w:rPr>
                    <w:t>单次持续时间/h</w:t>
                  </w:r>
                </w:p>
              </w:tc>
              <w:tc>
                <w:tcPr>
                  <w:tcW w:w="547" w:type="pct"/>
                  <w:tcBorders>
                    <w:bottom w:val="single" w:color="auto" w:sz="12" w:space="0"/>
                  </w:tcBorders>
                  <w:noWrap w:val="0"/>
                  <w:vAlign w:val="center"/>
                </w:tcPr>
                <w:p w14:paraId="0A43E3B8">
                  <w:pPr>
                    <w:adjustRightInd w:val="0"/>
                    <w:snapToGrid w:val="0"/>
                    <w:jc w:val="center"/>
                    <w:rPr>
                      <w:rFonts w:hint="eastAsia"/>
                      <w:b/>
                      <w:bCs/>
                      <w:color w:val="auto"/>
                      <w:sz w:val="18"/>
                      <w:szCs w:val="21"/>
                    </w:rPr>
                  </w:pPr>
                  <w:r>
                    <w:rPr>
                      <w:rFonts w:hint="eastAsia"/>
                      <w:b/>
                      <w:bCs/>
                      <w:color w:val="auto"/>
                      <w:sz w:val="18"/>
                      <w:szCs w:val="21"/>
                    </w:rPr>
                    <w:t>年发生频次/次</w:t>
                  </w:r>
                </w:p>
              </w:tc>
            </w:tr>
            <w:tr w14:paraId="5D782C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522" w:type="pct"/>
                  <w:tcBorders>
                    <w:top w:val="single" w:color="auto" w:sz="12" w:space="0"/>
                  </w:tcBorders>
                  <w:noWrap w:val="0"/>
                  <w:vAlign w:val="center"/>
                </w:tcPr>
                <w:p w14:paraId="55BE3198">
                  <w:pPr>
                    <w:adjustRightInd w:val="0"/>
                    <w:snapToGrid w:val="0"/>
                    <w:jc w:val="center"/>
                    <w:rPr>
                      <w:rFonts w:hint="eastAsia"/>
                      <w:color w:val="auto"/>
                      <w:sz w:val="18"/>
                      <w:szCs w:val="18"/>
                      <w:lang w:val="en-US" w:eastAsia="zh-CN"/>
                    </w:rPr>
                  </w:pPr>
                  <w:r>
                    <w:rPr>
                      <w:rFonts w:hint="eastAsia"/>
                      <w:color w:val="auto"/>
                      <w:sz w:val="18"/>
                      <w:szCs w:val="18"/>
                      <w:lang w:val="en-US" w:eastAsia="zh-CN"/>
                    </w:rPr>
                    <w:t>焊接</w:t>
                  </w:r>
                </w:p>
                <w:p w14:paraId="4F5F94A4">
                  <w:pPr>
                    <w:adjustRightInd w:val="0"/>
                    <w:snapToGrid w:val="0"/>
                    <w:jc w:val="center"/>
                    <w:rPr>
                      <w:rFonts w:hint="default" w:eastAsia="宋体"/>
                      <w:color w:val="auto"/>
                      <w:sz w:val="18"/>
                      <w:szCs w:val="18"/>
                      <w:lang w:val="en-US" w:eastAsia="zh-CN"/>
                    </w:rPr>
                  </w:pPr>
                  <w:r>
                    <w:rPr>
                      <w:rFonts w:hint="eastAsia"/>
                      <w:color w:val="auto"/>
                      <w:sz w:val="18"/>
                      <w:szCs w:val="18"/>
                      <w:lang w:val="en-US" w:eastAsia="zh-CN"/>
                    </w:rPr>
                    <w:t>打磨</w:t>
                  </w:r>
                </w:p>
              </w:tc>
              <w:tc>
                <w:tcPr>
                  <w:tcW w:w="1025" w:type="pct"/>
                  <w:tcBorders>
                    <w:top w:val="single" w:color="auto" w:sz="12" w:space="0"/>
                  </w:tcBorders>
                  <w:noWrap w:val="0"/>
                  <w:vAlign w:val="center"/>
                </w:tcPr>
                <w:p w14:paraId="7D24E18E">
                  <w:pPr>
                    <w:adjustRightInd w:val="0"/>
                    <w:snapToGrid w:val="0"/>
                    <w:jc w:val="center"/>
                    <w:rPr>
                      <w:rFonts w:hint="eastAsia" w:ascii="Times New Roman" w:hAnsi="Times New Roman" w:eastAsia="宋体" w:cs="Times New Roman"/>
                      <w:color w:val="auto"/>
                      <w:sz w:val="18"/>
                      <w:szCs w:val="18"/>
                    </w:rPr>
                  </w:pPr>
                  <w:r>
                    <w:rPr>
                      <w:rFonts w:hint="eastAsia" w:ascii="Times New Roman" w:hAnsi="Times New Roman" w:eastAsia="宋体" w:cs="Times New Roman"/>
                      <w:color w:val="0000FF"/>
                      <w:sz w:val="18"/>
                      <w:szCs w:val="18"/>
                      <w:lang w:val="en-US" w:eastAsia="zh-CN"/>
                    </w:rPr>
                    <w:t>气箱式脉冲袋式除尘器</w:t>
                  </w:r>
                  <w:r>
                    <w:rPr>
                      <w:rFonts w:hint="eastAsia" w:ascii="Times New Roman" w:hAnsi="Times New Roman" w:eastAsia="宋体" w:cs="Times New Roman"/>
                      <w:color w:val="auto"/>
                      <w:sz w:val="18"/>
                      <w:szCs w:val="18"/>
                    </w:rPr>
                    <w:t>故障</w:t>
                  </w:r>
                </w:p>
              </w:tc>
              <w:tc>
                <w:tcPr>
                  <w:tcW w:w="574" w:type="pct"/>
                  <w:tcBorders>
                    <w:top w:val="single" w:color="auto" w:sz="12" w:space="0"/>
                  </w:tcBorders>
                  <w:noWrap w:val="0"/>
                  <w:vAlign w:val="center"/>
                </w:tcPr>
                <w:p w14:paraId="436F3253">
                  <w:pPr>
                    <w:adjustRightInd w:val="0"/>
                    <w:snapToGrid w:val="0"/>
                    <w:jc w:val="center"/>
                    <w:rPr>
                      <w:rFonts w:hint="eastAsia"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颗粒物</w:t>
                  </w:r>
                </w:p>
              </w:tc>
              <w:tc>
                <w:tcPr>
                  <w:tcW w:w="1001" w:type="dxa"/>
                  <w:tcBorders>
                    <w:top w:val="single" w:color="auto" w:sz="12" w:space="0"/>
                  </w:tcBorders>
                  <w:noWrap w:val="0"/>
                  <w:vAlign w:val="center"/>
                </w:tcPr>
                <w:p w14:paraId="0AD03AA5">
                  <w:pPr>
                    <w:adjustRightInd w:val="0"/>
                    <w:snapToGrid w:val="0"/>
                    <w:jc w:val="center"/>
                    <w:rPr>
                      <w:rFonts w:hint="default" w:cs="Times New Roman"/>
                      <w:color w:val="0000FF"/>
                      <w:sz w:val="18"/>
                      <w:szCs w:val="18"/>
                      <w:lang w:val="en-US" w:eastAsia="zh-CN"/>
                    </w:rPr>
                  </w:pPr>
                  <w:r>
                    <w:rPr>
                      <w:rFonts w:hint="eastAsia" w:cs="Times New Roman"/>
                      <w:color w:val="0000FF"/>
                      <w:sz w:val="18"/>
                      <w:szCs w:val="18"/>
                      <w:lang w:val="en-US" w:eastAsia="zh-CN"/>
                    </w:rPr>
                    <w:t>197</w:t>
                  </w:r>
                </w:p>
              </w:tc>
              <w:tc>
                <w:tcPr>
                  <w:tcW w:w="824" w:type="dxa"/>
                  <w:tcBorders>
                    <w:top w:val="single" w:color="auto" w:sz="12" w:space="0"/>
                  </w:tcBorders>
                  <w:noWrap w:val="0"/>
                  <w:vAlign w:val="center"/>
                </w:tcPr>
                <w:p w14:paraId="2DE79340">
                  <w:pPr>
                    <w:adjustRightInd w:val="0"/>
                    <w:snapToGrid w:val="0"/>
                    <w:jc w:val="center"/>
                    <w:rPr>
                      <w:rFonts w:hint="default" w:cs="Times New Roman"/>
                      <w:color w:val="0000FF"/>
                      <w:sz w:val="18"/>
                      <w:szCs w:val="18"/>
                      <w:lang w:val="en-US" w:eastAsia="zh-CN"/>
                    </w:rPr>
                  </w:pPr>
                  <w:r>
                    <w:rPr>
                      <w:rFonts w:hint="eastAsia" w:cs="Times New Roman"/>
                      <w:color w:val="0000FF"/>
                      <w:sz w:val="18"/>
                      <w:szCs w:val="18"/>
                      <w:lang w:val="en-US" w:eastAsia="zh-CN"/>
                    </w:rPr>
                    <w:t>1.97</w:t>
                  </w:r>
                </w:p>
              </w:tc>
              <w:tc>
                <w:tcPr>
                  <w:tcW w:w="606" w:type="pct"/>
                  <w:tcBorders>
                    <w:top w:val="single" w:color="auto" w:sz="12" w:space="0"/>
                  </w:tcBorders>
                  <w:noWrap w:val="0"/>
                  <w:vAlign w:val="center"/>
                </w:tcPr>
                <w:p w14:paraId="7C218914">
                  <w:pPr>
                    <w:adjustRightInd w:val="0"/>
                    <w:snapToGrid w:val="0"/>
                    <w:jc w:val="center"/>
                    <w:rPr>
                      <w:rFonts w:hint="default" w:cs="Times New Roman"/>
                      <w:color w:val="0000FF"/>
                      <w:sz w:val="18"/>
                      <w:szCs w:val="18"/>
                      <w:lang w:val="en-US" w:eastAsia="zh-CN"/>
                    </w:rPr>
                  </w:pPr>
                  <w:r>
                    <w:rPr>
                      <w:rFonts w:hint="eastAsia" w:cs="Times New Roman"/>
                      <w:color w:val="0000FF"/>
                      <w:sz w:val="18"/>
                      <w:szCs w:val="18"/>
                      <w:lang w:val="en-US" w:eastAsia="zh-CN"/>
                    </w:rPr>
                    <w:t>0.0020</w:t>
                  </w:r>
                </w:p>
              </w:tc>
              <w:tc>
                <w:tcPr>
                  <w:tcW w:w="574" w:type="pct"/>
                  <w:tcBorders>
                    <w:top w:val="single" w:color="auto" w:sz="12" w:space="0"/>
                  </w:tcBorders>
                  <w:noWrap w:val="0"/>
                  <w:vAlign w:val="center"/>
                </w:tcPr>
                <w:p w14:paraId="21897974">
                  <w:pPr>
                    <w:adjustRightInd w:val="0"/>
                    <w:snapToGrid w:val="0"/>
                    <w:jc w:val="center"/>
                    <w:rPr>
                      <w:rFonts w:hint="eastAsia"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1</w:t>
                  </w:r>
                </w:p>
              </w:tc>
              <w:tc>
                <w:tcPr>
                  <w:tcW w:w="547" w:type="pct"/>
                  <w:tcBorders>
                    <w:top w:val="single" w:color="auto" w:sz="12" w:space="0"/>
                  </w:tcBorders>
                  <w:noWrap w:val="0"/>
                  <w:vAlign w:val="center"/>
                </w:tcPr>
                <w:p w14:paraId="56351096">
                  <w:pPr>
                    <w:adjustRightInd w:val="0"/>
                    <w:snapToGrid w:val="0"/>
                    <w:jc w:val="center"/>
                    <w:rPr>
                      <w:rFonts w:hint="eastAsia"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1次</w:t>
                  </w:r>
                </w:p>
              </w:tc>
            </w:tr>
            <w:tr w14:paraId="76C6BC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522" w:type="pct"/>
                  <w:noWrap w:val="0"/>
                  <w:vAlign w:val="center"/>
                </w:tcPr>
                <w:p w14:paraId="4454671C">
                  <w:pPr>
                    <w:adjustRightInd w:val="0"/>
                    <w:snapToGrid w:val="0"/>
                    <w:jc w:val="center"/>
                    <w:rPr>
                      <w:rFonts w:hint="eastAsia" w:eastAsia="宋体"/>
                      <w:color w:val="auto"/>
                      <w:sz w:val="18"/>
                      <w:szCs w:val="18"/>
                      <w:lang w:val="en-US" w:eastAsia="zh-CN"/>
                    </w:rPr>
                  </w:pPr>
                  <w:r>
                    <w:rPr>
                      <w:rFonts w:hint="eastAsia"/>
                      <w:color w:val="auto"/>
                      <w:sz w:val="18"/>
                      <w:szCs w:val="18"/>
                      <w:lang w:val="en-US" w:eastAsia="zh-CN"/>
                    </w:rPr>
                    <w:t>抛丸</w:t>
                  </w:r>
                </w:p>
              </w:tc>
              <w:tc>
                <w:tcPr>
                  <w:tcW w:w="1025" w:type="pct"/>
                  <w:noWrap w:val="0"/>
                  <w:vAlign w:val="center"/>
                </w:tcPr>
                <w:p w14:paraId="04672020">
                  <w:pPr>
                    <w:adjustRightInd w:val="0"/>
                    <w:snapToGrid w:val="0"/>
                    <w:jc w:val="center"/>
                    <w:rPr>
                      <w:rFonts w:hint="eastAsia" w:ascii="Times New Roman" w:hAnsi="Times New Roman" w:eastAsia="宋体" w:cs="Times New Roman"/>
                      <w:color w:val="auto"/>
                      <w:sz w:val="18"/>
                      <w:szCs w:val="18"/>
                    </w:rPr>
                  </w:pPr>
                  <w:r>
                    <w:rPr>
                      <w:rFonts w:hint="eastAsia" w:ascii="Times New Roman" w:hAnsi="Times New Roman" w:eastAsia="宋体" w:cs="Times New Roman"/>
                      <w:color w:val="0000FF"/>
                      <w:sz w:val="18"/>
                      <w:szCs w:val="18"/>
                      <w:lang w:val="en-US" w:eastAsia="zh-CN"/>
                    </w:rPr>
                    <w:t>气箱式脉冲袋式除尘器</w:t>
                  </w:r>
                  <w:r>
                    <w:rPr>
                      <w:rFonts w:hint="eastAsia" w:ascii="Times New Roman" w:hAnsi="Times New Roman" w:eastAsia="宋体" w:cs="Times New Roman"/>
                      <w:color w:val="auto"/>
                      <w:sz w:val="18"/>
                      <w:szCs w:val="18"/>
                    </w:rPr>
                    <w:t>故障</w:t>
                  </w:r>
                </w:p>
              </w:tc>
              <w:tc>
                <w:tcPr>
                  <w:tcW w:w="574" w:type="pct"/>
                  <w:shd w:val="clear" w:color="auto" w:fill="auto"/>
                  <w:noWrap w:val="0"/>
                  <w:vAlign w:val="center"/>
                </w:tcPr>
                <w:p w14:paraId="4B9513DE">
                  <w:pPr>
                    <w:adjustRightInd w:val="0"/>
                    <w:snapToGrid w:val="0"/>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rPr>
                    <w:t>颗粒物</w:t>
                  </w:r>
                </w:p>
              </w:tc>
              <w:tc>
                <w:tcPr>
                  <w:tcW w:w="1001" w:type="dxa"/>
                  <w:shd w:val="clear" w:color="auto" w:fill="auto"/>
                  <w:noWrap w:val="0"/>
                  <w:vAlign w:val="center"/>
                </w:tcPr>
                <w:p w14:paraId="6D17400E">
                  <w:pPr>
                    <w:adjustRightInd w:val="0"/>
                    <w:snapToGrid w:val="0"/>
                    <w:jc w:val="center"/>
                    <w:rPr>
                      <w:rFonts w:hint="default" w:cs="Times New Roman"/>
                      <w:color w:val="0000FF"/>
                      <w:sz w:val="18"/>
                      <w:szCs w:val="18"/>
                      <w:lang w:val="en-US" w:eastAsia="zh-CN"/>
                    </w:rPr>
                  </w:pPr>
                  <w:r>
                    <w:rPr>
                      <w:rFonts w:hint="eastAsia" w:cs="Times New Roman"/>
                      <w:color w:val="0000FF"/>
                      <w:sz w:val="18"/>
                      <w:szCs w:val="18"/>
                      <w:lang w:val="en-US" w:eastAsia="zh-CN"/>
                    </w:rPr>
                    <w:t>181</w:t>
                  </w:r>
                </w:p>
              </w:tc>
              <w:tc>
                <w:tcPr>
                  <w:tcW w:w="824" w:type="dxa"/>
                  <w:shd w:val="clear" w:color="auto" w:fill="auto"/>
                  <w:noWrap w:val="0"/>
                  <w:vAlign w:val="center"/>
                </w:tcPr>
                <w:p w14:paraId="2B1C3807">
                  <w:pPr>
                    <w:adjustRightInd w:val="0"/>
                    <w:snapToGrid w:val="0"/>
                    <w:jc w:val="center"/>
                    <w:rPr>
                      <w:rFonts w:hint="default" w:cs="Times New Roman"/>
                      <w:color w:val="0000FF"/>
                      <w:sz w:val="18"/>
                      <w:szCs w:val="18"/>
                      <w:lang w:val="en-US" w:eastAsia="zh-CN"/>
                    </w:rPr>
                  </w:pPr>
                  <w:r>
                    <w:rPr>
                      <w:rFonts w:hint="eastAsia" w:cs="Times New Roman"/>
                      <w:color w:val="0000FF"/>
                      <w:sz w:val="18"/>
                      <w:szCs w:val="18"/>
                      <w:lang w:val="en-US" w:eastAsia="zh-CN"/>
                    </w:rPr>
                    <w:t>3.61</w:t>
                  </w:r>
                </w:p>
              </w:tc>
              <w:tc>
                <w:tcPr>
                  <w:tcW w:w="606" w:type="pct"/>
                  <w:shd w:val="clear" w:color="auto" w:fill="auto"/>
                  <w:noWrap w:val="0"/>
                  <w:vAlign w:val="center"/>
                </w:tcPr>
                <w:p w14:paraId="14EF1FD0">
                  <w:pPr>
                    <w:adjustRightInd w:val="0"/>
                    <w:snapToGrid w:val="0"/>
                    <w:jc w:val="center"/>
                    <w:rPr>
                      <w:rFonts w:hint="default" w:cs="Times New Roman"/>
                      <w:color w:val="0000FF"/>
                      <w:sz w:val="18"/>
                      <w:szCs w:val="18"/>
                      <w:lang w:val="en-US" w:eastAsia="zh-CN"/>
                    </w:rPr>
                  </w:pPr>
                  <w:r>
                    <w:rPr>
                      <w:rFonts w:hint="eastAsia" w:cs="Times New Roman"/>
                      <w:color w:val="0000FF"/>
                      <w:sz w:val="18"/>
                      <w:szCs w:val="18"/>
                      <w:lang w:val="en-US" w:eastAsia="zh-CN"/>
                    </w:rPr>
                    <w:t>0.0036</w:t>
                  </w:r>
                </w:p>
              </w:tc>
              <w:tc>
                <w:tcPr>
                  <w:tcW w:w="574" w:type="pct"/>
                  <w:shd w:val="clear" w:color="auto" w:fill="auto"/>
                  <w:noWrap w:val="0"/>
                  <w:vAlign w:val="center"/>
                </w:tcPr>
                <w:p w14:paraId="101A0946">
                  <w:pPr>
                    <w:adjustRightInd w:val="0"/>
                    <w:snapToGrid w:val="0"/>
                    <w:jc w:val="center"/>
                    <w:rPr>
                      <w:rFonts w:hint="eastAsia" w:ascii="Times New Roman" w:hAnsi="Times New Roman" w:eastAsia="宋体" w:cs="Times New Roman"/>
                      <w:color w:val="auto"/>
                      <w:kern w:val="2"/>
                      <w:sz w:val="18"/>
                      <w:szCs w:val="18"/>
                      <w:lang w:val="en-US" w:eastAsia="zh-CN" w:bidi="ar-SA"/>
                    </w:rPr>
                  </w:pPr>
                  <w:r>
                    <w:rPr>
                      <w:rFonts w:hint="eastAsia" w:ascii="Times New Roman" w:hAnsi="Times New Roman" w:eastAsia="宋体" w:cs="Times New Roman"/>
                      <w:color w:val="auto"/>
                      <w:sz w:val="18"/>
                      <w:szCs w:val="18"/>
                    </w:rPr>
                    <w:t>1</w:t>
                  </w:r>
                </w:p>
              </w:tc>
              <w:tc>
                <w:tcPr>
                  <w:tcW w:w="547" w:type="pct"/>
                  <w:shd w:val="clear" w:color="auto" w:fill="auto"/>
                  <w:noWrap w:val="0"/>
                  <w:vAlign w:val="center"/>
                </w:tcPr>
                <w:p w14:paraId="737E6033">
                  <w:pPr>
                    <w:adjustRightInd w:val="0"/>
                    <w:snapToGrid w:val="0"/>
                    <w:jc w:val="center"/>
                    <w:rPr>
                      <w:rFonts w:hint="eastAsia" w:ascii="Times New Roman" w:hAnsi="Times New Roman" w:eastAsia="宋体" w:cs="Times New Roman"/>
                      <w:color w:val="auto"/>
                      <w:kern w:val="2"/>
                      <w:sz w:val="18"/>
                      <w:szCs w:val="18"/>
                      <w:lang w:val="en-US" w:eastAsia="zh-CN" w:bidi="ar-SA"/>
                    </w:rPr>
                  </w:pPr>
                  <w:r>
                    <w:rPr>
                      <w:rFonts w:hint="eastAsia" w:ascii="Times New Roman" w:hAnsi="Times New Roman" w:eastAsia="宋体" w:cs="Times New Roman"/>
                      <w:color w:val="auto"/>
                      <w:sz w:val="18"/>
                      <w:szCs w:val="18"/>
                    </w:rPr>
                    <w:t>1次</w:t>
                  </w:r>
                </w:p>
              </w:tc>
            </w:tr>
            <w:tr w14:paraId="26072D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2" w:type="pct"/>
                  <w:vMerge w:val="restart"/>
                  <w:noWrap w:val="0"/>
                  <w:vAlign w:val="center"/>
                </w:tcPr>
                <w:p w14:paraId="2AA896FD">
                  <w:pPr>
                    <w:adjustRightInd w:val="0"/>
                    <w:snapToGrid w:val="0"/>
                    <w:jc w:val="center"/>
                    <w:rPr>
                      <w:rFonts w:hint="eastAsia" w:eastAsia="宋体"/>
                      <w:color w:val="auto"/>
                      <w:sz w:val="18"/>
                      <w:szCs w:val="18"/>
                      <w:lang w:val="en-US" w:eastAsia="zh-CN"/>
                    </w:rPr>
                  </w:pPr>
                  <w:r>
                    <w:rPr>
                      <w:rFonts w:hint="eastAsia"/>
                      <w:color w:val="auto"/>
                      <w:sz w:val="18"/>
                      <w:szCs w:val="18"/>
                      <w:lang w:val="en-US" w:eastAsia="zh-CN"/>
                    </w:rPr>
                    <w:t>涂装</w:t>
                  </w:r>
                </w:p>
              </w:tc>
              <w:tc>
                <w:tcPr>
                  <w:tcW w:w="1025" w:type="pct"/>
                  <w:vMerge w:val="restart"/>
                  <w:noWrap w:val="0"/>
                  <w:vAlign w:val="center"/>
                </w:tcPr>
                <w:p w14:paraId="4F23E7C8">
                  <w:pPr>
                    <w:adjustRightInd w:val="0"/>
                    <w:snapToGrid w:val="0"/>
                    <w:jc w:val="center"/>
                    <w:rPr>
                      <w:rFonts w:hint="eastAsia"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干式漆雾过滤模组+活性炭吸附-脱附+催化燃烧装置故障</w:t>
                  </w:r>
                </w:p>
              </w:tc>
              <w:tc>
                <w:tcPr>
                  <w:tcW w:w="574" w:type="pct"/>
                  <w:noWrap w:val="0"/>
                  <w:vAlign w:val="center"/>
                </w:tcPr>
                <w:p w14:paraId="4D5FA5AA">
                  <w:pPr>
                    <w:adjustRightInd w:val="0"/>
                    <w:snapToGrid w:val="0"/>
                    <w:jc w:val="center"/>
                    <w:rPr>
                      <w:rFonts w:hint="eastAsia"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颗粒物</w:t>
                  </w:r>
                </w:p>
              </w:tc>
              <w:tc>
                <w:tcPr>
                  <w:tcW w:w="1001" w:type="dxa"/>
                  <w:noWrap w:val="0"/>
                  <w:vAlign w:val="center"/>
                </w:tcPr>
                <w:p w14:paraId="2FA59C6B">
                  <w:pPr>
                    <w:adjustRightInd w:val="0"/>
                    <w:snapToGrid w:val="0"/>
                    <w:jc w:val="center"/>
                    <w:rPr>
                      <w:rFonts w:hint="default" w:cs="Times New Roman"/>
                      <w:color w:val="0000FF"/>
                      <w:sz w:val="18"/>
                      <w:szCs w:val="18"/>
                      <w:lang w:val="en-US" w:eastAsia="zh-CN"/>
                    </w:rPr>
                  </w:pPr>
                  <w:r>
                    <w:rPr>
                      <w:rFonts w:hint="eastAsia" w:cs="Times New Roman"/>
                      <w:color w:val="0000FF"/>
                      <w:sz w:val="18"/>
                      <w:szCs w:val="18"/>
                      <w:lang w:val="en-US" w:eastAsia="zh-CN"/>
                    </w:rPr>
                    <w:t>94</w:t>
                  </w:r>
                </w:p>
              </w:tc>
              <w:tc>
                <w:tcPr>
                  <w:tcW w:w="824" w:type="dxa"/>
                  <w:noWrap w:val="0"/>
                  <w:vAlign w:val="center"/>
                </w:tcPr>
                <w:p w14:paraId="39000F93">
                  <w:pPr>
                    <w:adjustRightInd w:val="0"/>
                    <w:snapToGrid w:val="0"/>
                    <w:jc w:val="center"/>
                    <w:rPr>
                      <w:rFonts w:hint="default" w:cs="Times New Roman"/>
                      <w:color w:val="0000FF"/>
                      <w:sz w:val="18"/>
                      <w:szCs w:val="18"/>
                      <w:lang w:val="en-US" w:eastAsia="zh-CN"/>
                    </w:rPr>
                  </w:pPr>
                  <w:r>
                    <w:rPr>
                      <w:rFonts w:hint="eastAsia" w:cs="Times New Roman"/>
                      <w:color w:val="0000FF"/>
                      <w:sz w:val="18"/>
                      <w:szCs w:val="18"/>
                      <w:lang w:val="en-US" w:eastAsia="zh-CN"/>
                    </w:rPr>
                    <w:t>1.88</w:t>
                  </w:r>
                </w:p>
              </w:tc>
              <w:tc>
                <w:tcPr>
                  <w:tcW w:w="606" w:type="pct"/>
                  <w:noWrap w:val="0"/>
                  <w:vAlign w:val="center"/>
                </w:tcPr>
                <w:p w14:paraId="72272127">
                  <w:pPr>
                    <w:adjustRightInd w:val="0"/>
                    <w:snapToGrid w:val="0"/>
                    <w:jc w:val="center"/>
                    <w:rPr>
                      <w:rFonts w:hint="default" w:cs="Times New Roman"/>
                      <w:color w:val="0000FF"/>
                      <w:sz w:val="18"/>
                      <w:szCs w:val="18"/>
                      <w:lang w:val="en-US" w:eastAsia="zh-CN"/>
                    </w:rPr>
                  </w:pPr>
                  <w:r>
                    <w:rPr>
                      <w:rFonts w:hint="eastAsia" w:cs="Times New Roman"/>
                      <w:color w:val="0000FF"/>
                      <w:sz w:val="18"/>
                      <w:szCs w:val="18"/>
                      <w:lang w:val="en-US" w:eastAsia="zh-CN"/>
                    </w:rPr>
                    <w:t>0.0019</w:t>
                  </w:r>
                </w:p>
              </w:tc>
              <w:tc>
                <w:tcPr>
                  <w:tcW w:w="574" w:type="pct"/>
                  <w:vMerge w:val="restart"/>
                  <w:noWrap w:val="0"/>
                  <w:vAlign w:val="center"/>
                </w:tcPr>
                <w:p w14:paraId="1AF1AAB6">
                  <w:pPr>
                    <w:adjustRightInd w:val="0"/>
                    <w:snapToGrid w:val="0"/>
                    <w:jc w:val="center"/>
                    <w:rPr>
                      <w:rFonts w:hint="eastAsia"/>
                      <w:color w:val="auto"/>
                      <w:sz w:val="18"/>
                      <w:szCs w:val="18"/>
                    </w:rPr>
                  </w:pPr>
                  <w:r>
                    <w:rPr>
                      <w:rFonts w:hint="eastAsia"/>
                      <w:color w:val="auto"/>
                      <w:sz w:val="18"/>
                      <w:szCs w:val="18"/>
                    </w:rPr>
                    <w:t>1</w:t>
                  </w:r>
                </w:p>
              </w:tc>
              <w:tc>
                <w:tcPr>
                  <w:tcW w:w="547" w:type="pct"/>
                  <w:vMerge w:val="restart"/>
                  <w:noWrap w:val="0"/>
                  <w:vAlign w:val="center"/>
                </w:tcPr>
                <w:p w14:paraId="7BC4A823">
                  <w:pPr>
                    <w:adjustRightInd w:val="0"/>
                    <w:snapToGrid w:val="0"/>
                    <w:jc w:val="center"/>
                    <w:rPr>
                      <w:rFonts w:hint="eastAsia"/>
                      <w:color w:val="auto"/>
                      <w:sz w:val="18"/>
                      <w:szCs w:val="18"/>
                    </w:rPr>
                  </w:pPr>
                  <w:r>
                    <w:rPr>
                      <w:rFonts w:hint="eastAsia"/>
                      <w:color w:val="auto"/>
                      <w:sz w:val="18"/>
                      <w:szCs w:val="18"/>
                    </w:rPr>
                    <w:t>1次</w:t>
                  </w:r>
                </w:p>
              </w:tc>
            </w:tr>
            <w:tr w14:paraId="45E815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522" w:type="pct"/>
                  <w:vMerge w:val="continue"/>
                  <w:noWrap w:val="0"/>
                  <w:vAlign w:val="center"/>
                </w:tcPr>
                <w:p w14:paraId="2ABC317D">
                  <w:pPr>
                    <w:adjustRightInd w:val="0"/>
                    <w:snapToGrid w:val="0"/>
                    <w:jc w:val="center"/>
                    <w:rPr>
                      <w:rFonts w:hint="eastAsia"/>
                      <w:color w:val="auto"/>
                      <w:sz w:val="18"/>
                      <w:szCs w:val="18"/>
                    </w:rPr>
                  </w:pPr>
                </w:p>
              </w:tc>
              <w:tc>
                <w:tcPr>
                  <w:tcW w:w="1025" w:type="pct"/>
                  <w:vMerge w:val="continue"/>
                  <w:noWrap w:val="0"/>
                  <w:vAlign w:val="center"/>
                </w:tcPr>
                <w:p w14:paraId="250F0896">
                  <w:pPr>
                    <w:adjustRightInd w:val="0"/>
                    <w:snapToGrid w:val="0"/>
                    <w:jc w:val="center"/>
                    <w:rPr>
                      <w:rFonts w:hint="eastAsia"/>
                      <w:color w:val="auto"/>
                      <w:sz w:val="18"/>
                      <w:szCs w:val="18"/>
                    </w:rPr>
                  </w:pPr>
                </w:p>
              </w:tc>
              <w:tc>
                <w:tcPr>
                  <w:tcW w:w="574" w:type="pct"/>
                  <w:noWrap w:val="0"/>
                  <w:vAlign w:val="center"/>
                </w:tcPr>
                <w:p w14:paraId="756D5E27">
                  <w:pPr>
                    <w:adjustRightInd w:val="0"/>
                    <w:snapToGrid w:val="0"/>
                    <w:jc w:val="center"/>
                    <w:rPr>
                      <w:rFonts w:hint="eastAsia"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非甲烷总烃</w:t>
                  </w:r>
                </w:p>
              </w:tc>
              <w:tc>
                <w:tcPr>
                  <w:tcW w:w="1001" w:type="dxa"/>
                  <w:noWrap w:val="0"/>
                  <w:vAlign w:val="center"/>
                </w:tcPr>
                <w:p w14:paraId="7E53103A">
                  <w:pPr>
                    <w:adjustRightInd w:val="0"/>
                    <w:snapToGrid w:val="0"/>
                    <w:jc w:val="center"/>
                    <w:rPr>
                      <w:rFonts w:hint="default" w:cs="Times New Roman"/>
                      <w:color w:val="0000FF"/>
                      <w:sz w:val="18"/>
                      <w:szCs w:val="18"/>
                      <w:lang w:val="en-US" w:eastAsia="zh-CN"/>
                    </w:rPr>
                  </w:pPr>
                  <w:r>
                    <w:rPr>
                      <w:rFonts w:hint="eastAsia" w:cs="Times New Roman"/>
                      <w:color w:val="0000FF"/>
                      <w:sz w:val="18"/>
                      <w:szCs w:val="18"/>
                      <w:lang w:val="en-US" w:eastAsia="zh-CN"/>
                    </w:rPr>
                    <w:t>165</w:t>
                  </w:r>
                </w:p>
              </w:tc>
              <w:tc>
                <w:tcPr>
                  <w:tcW w:w="824" w:type="dxa"/>
                  <w:noWrap w:val="0"/>
                  <w:vAlign w:val="center"/>
                </w:tcPr>
                <w:p w14:paraId="7E01DA94">
                  <w:pPr>
                    <w:adjustRightInd w:val="0"/>
                    <w:snapToGrid w:val="0"/>
                    <w:jc w:val="center"/>
                    <w:rPr>
                      <w:rFonts w:hint="default" w:cs="Times New Roman"/>
                      <w:color w:val="0000FF"/>
                      <w:sz w:val="18"/>
                      <w:szCs w:val="18"/>
                      <w:lang w:val="en-US" w:eastAsia="zh-CN"/>
                    </w:rPr>
                  </w:pPr>
                  <w:r>
                    <w:rPr>
                      <w:rFonts w:hint="eastAsia" w:cs="Times New Roman"/>
                      <w:color w:val="0000FF"/>
                      <w:sz w:val="18"/>
                      <w:szCs w:val="18"/>
                      <w:lang w:val="en-US" w:eastAsia="zh-CN"/>
                    </w:rPr>
                    <w:t>3.30</w:t>
                  </w:r>
                </w:p>
              </w:tc>
              <w:tc>
                <w:tcPr>
                  <w:tcW w:w="606" w:type="pct"/>
                  <w:noWrap w:val="0"/>
                  <w:vAlign w:val="center"/>
                </w:tcPr>
                <w:p w14:paraId="74B19D27">
                  <w:pPr>
                    <w:adjustRightInd w:val="0"/>
                    <w:snapToGrid w:val="0"/>
                    <w:jc w:val="center"/>
                    <w:rPr>
                      <w:rFonts w:hint="default" w:cs="Times New Roman"/>
                      <w:color w:val="0000FF"/>
                      <w:sz w:val="18"/>
                      <w:szCs w:val="18"/>
                      <w:lang w:val="en-US" w:eastAsia="zh-CN"/>
                    </w:rPr>
                  </w:pPr>
                  <w:r>
                    <w:rPr>
                      <w:rFonts w:hint="eastAsia" w:cs="Times New Roman"/>
                      <w:color w:val="0000FF"/>
                      <w:sz w:val="18"/>
                      <w:szCs w:val="18"/>
                      <w:lang w:val="en-US" w:eastAsia="zh-CN"/>
                    </w:rPr>
                    <w:t>0.0033</w:t>
                  </w:r>
                </w:p>
              </w:tc>
              <w:tc>
                <w:tcPr>
                  <w:tcW w:w="574" w:type="pct"/>
                  <w:vMerge w:val="continue"/>
                  <w:noWrap w:val="0"/>
                  <w:vAlign w:val="center"/>
                </w:tcPr>
                <w:p w14:paraId="15DA8D63">
                  <w:pPr>
                    <w:adjustRightInd w:val="0"/>
                    <w:snapToGrid w:val="0"/>
                    <w:jc w:val="center"/>
                    <w:rPr>
                      <w:rFonts w:hint="eastAsia"/>
                      <w:color w:val="auto"/>
                      <w:szCs w:val="21"/>
                    </w:rPr>
                  </w:pPr>
                </w:p>
              </w:tc>
              <w:tc>
                <w:tcPr>
                  <w:tcW w:w="547" w:type="pct"/>
                  <w:vMerge w:val="continue"/>
                  <w:noWrap w:val="0"/>
                  <w:vAlign w:val="center"/>
                </w:tcPr>
                <w:p w14:paraId="2C8C4209">
                  <w:pPr>
                    <w:adjustRightInd w:val="0"/>
                    <w:snapToGrid w:val="0"/>
                    <w:jc w:val="center"/>
                    <w:rPr>
                      <w:rFonts w:hint="eastAsia"/>
                      <w:color w:val="auto"/>
                      <w:szCs w:val="21"/>
                    </w:rPr>
                  </w:pPr>
                </w:p>
              </w:tc>
            </w:tr>
            <w:tr w14:paraId="365C6D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2" w:type="pct"/>
                  <w:vMerge w:val="continue"/>
                  <w:noWrap w:val="0"/>
                  <w:vAlign w:val="center"/>
                </w:tcPr>
                <w:p w14:paraId="5E2CF60E">
                  <w:pPr>
                    <w:adjustRightInd w:val="0"/>
                    <w:snapToGrid w:val="0"/>
                    <w:jc w:val="center"/>
                    <w:rPr>
                      <w:rFonts w:hint="eastAsia" w:eastAsia="宋体"/>
                      <w:color w:val="auto"/>
                      <w:sz w:val="18"/>
                      <w:szCs w:val="18"/>
                      <w:lang w:val="en-US" w:eastAsia="zh-CN"/>
                    </w:rPr>
                  </w:pPr>
                </w:p>
              </w:tc>
              <w:tc>
                <w:tcPr>
                  <w:tcW w:w="1025" w:type="pct"/>
                  <w:vMerge w:val="continue"/>
                  <w:noWrap w:val="0"/>
                  <w:vAlign w:val="center"/>
                </w:tcPr>
                <w:p w14:paraId="00C5E773">
                  <w:pPr>
                    <w:adjustRightInd w:val="0"/>
                    <w:snapToGrid w:val="0"/>
                    <w:jc w:val="center"/>
                    <w:rPr>
                      <w:rFonts w:hint="eastAsia"/>
                      <w:color w:val="auto"/>
                      <w:sz w:val="18"/>
                      <w:szCs w:val="18"/>
                    </w:rPr>
                  </w:pPr>
                </w:p>
              </w:tc>
              <w:tc>
                <w:tcPr>
                  <w:tcW w:w="574" w:type="pct"/>
                  <w:noWrap w:val="0"/>
                  <w:vAlign w:val="center"/>
                </w:tcPr>
                <w:p w14:paraId="31CBA326">
                  <w:pPr>
                    <w:adjustRightInd w:val="0"/>
                    <w:snapToGrid w:val="0"/>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甲苯</w:t>
                  </w:r>
                </w:p>
              </w:tc>
              <w:tc>
                <w:tcPr>
                  <w:tcW w:w="1001" w:type="dxa"/>
                  <w:noWrap w:val="0"/>
                  <w:vAlign w:val="center"/>
                </w:tcPr>
                <w:p w14:paraId="2DD30CE1">
                  <w:pPr>
                    <w:adjustRightInd w:val="0"/>
                    <w:snapToGrid w:val="0"/>
                    <w:jc w:val="center"/>
                    <w:rPr>
                      <w:rFonts w:hint="default" w:cs="Times New Roman"/>
                      <w:color w:val="0000FF"/>
                      <w:sz w:val="18"/>
                      <w:szCs w:val="18"/>
                      <w:lang w:val="en-US" w:eastAsia="zh-CN"/>
                    </w:rPr>
                  </w:pPr>
                  <w:r>
                    <w:rPr>
                      <w:rFonts w:hint="eastAsia" w:cs="Times New Roman"/>
                      <w:color w:val="0000FF"/>
                      <w:sz w:val="18"/>
                      <w:szCs w:val="18"/>
                      <w:lang w:val="en-US" w:eastAsia="zh-CN"/>
                    </w:rPr>
                    <w:t>1.65</w:t>
                  </w:r>
                </w:p>
              </w:tc>
              <w:tc>
                <w:tcPr>
                  <w:tcW w:w="824" w:type="dxa"/>
                  <w:noWrap w:val="0"/>
                  <w:vAlign w:val="center"/>
                </w:tcPr>
                <w:p w14:paraId="137B07F2">
                  <w:pPr>
                    <w:adjustRightInd w:val="0"/>
                    <w:snapToGrid w:val="0"/>
                    <w:jc w:val="center"/>
                    <w:rPr>
                      <w:rFonts w:hint="default" w:cs="Times New Roman"/>
                      <w:color w:val="0000FF"/>
                      <w:sz w:val="18"/>
                      <w:szCs w:val="18"/>
                      <w:lang w:val="en-US" w:eastAsia="zh-CN"/>
                    </w:rPr>
                  </w:pPr>
                  <w:r>
                    <w:rPr>
                      <w:rFonts w:hint="eastAsia" w:cs="Times New Roman"/>
                      <w:color w:val="0000FF"/>
                      <w:sz w:val="18"/>
                      <w:szCs w:val="18"/>
                      <w:lang w:val="en-US" w:eastAsia="zh-CN"/>
                    </w:rPr>
                    <w:t>0.033</w:t>
                  </w:r>
                </w:p>
              </w:tc>
              <w:tc>
                <w:tcPr>
                  <w:tcW w:w="606" w:type="pct"/>
                  <w:noWrap w:val="0"/>
                  <w:vAlign w:val="center"/>
                </w:tcPr>
                <w:p w14:paraId="0B04D090">
                  <w:pPr>
                    <w:adjustRightInd w:val="0"/>
                    <w:snapToGrid w:val="0"/>
                    <w:jc w:val="center"/>
                    <w:rPr>
                      <w:rFonts w:hint="default" w:cs="Times New Roman"/>
                      <w:color w:val="0000FF"/>
                      <w:sz w:val="18"/>
                      <w:szCs w:val="18"/>
                      <w:lang w:val="en-US" w:eastAsia="zh-CN"/>
                    </w:rPr>
                  </w:pPr>
                  <w:r>
                    <w:rPr>
                      <w:rFonts w:hint="eastAsia" w:cs="Times New Roman"/>
                      <w:color w:val="0000FF"/>
                      <w:sz w:val="18"/>
                      <w:szCs w:val="18"/>
                      <w:lang w:val="en-US" w:eastAsia="zh-CN"/>
                    </w:rPr>
                    <w:t>3.3</w:t>
                  </w:r>
                  <w:r>
                    <w:rPr>
                      <w:rFonts w:hint="default" w:cs="Times New Roman"/>
                      <w:color w:val="0000FF"/>
                      <w:sz w:val="18"/>
                      <w:szCs w:val="18"/>
                      <w:lang w:val="en-US" w:eastAsia="zh-CN"/>
                    </w:rPr>
                    <w:t>×</w:t>
                  </w:r>
                  <w:r>
                    <w:rPr>
                      <w:rFonts w:hint="eastAsia" w:cs="Times New Roman"/>
                      <w:color w:val="0000FF"/>
                      <w:sz w:val="18"/>
                      <w:szCs w:val="18"/>
                      <w:lang w:val="en-US" w:eastAsia="zh-CN"/>
                    </w:rPr>
                    <w:t>10</w:t>
                  </w:r>
                  <w:r>
                    <w:rPr>
                      <w:rFonts w:hint="eastAsia" w:cs="Times New Roman"/>
                      <w:color w:val="0000FF"/>
                      <w:sz w:val="18"/>
                      <w:szCs w:val="18"/>
                      <w:vertAlign w:val="superscript"/>
                      <w:lang w:val="en-US" w:eastAsia="zh-CN"/>
                    </w:rPr>
                    <w:t>-5</w:t>
                  </w:r>
                </w:p>
              </w:tc>
              <w:tc>
                <w:tcPr>
                  <w:tcW w:w="574" w:type="pct"/>
                  <w:vMerge w:val="continue"/>
                  <w:noWrap w:val="0"/>
                  <w:vAlign w:val="center"/>
                </w:tcPr>
                <w:p w14:paraId="613446F0">
                  <w:pPr>
                    <w:adjustRightInd w:val="0"/>
                    <w:snapToGrid w:val="0"/>
                    <w:jc w:val="center"/>
                    <w:rPr>
                      <w:rFonts w:hint="eastAsia"/>
                      <w:color w:val="auto"/>
                      <w:szCs w:val="21"/>
                    </w:rPr>
                  </w:pPr>
                </w:p>
              </w:tc>
              <w:tc>
                <w:tcPr>
                  <w:tcW w:w="547" w:type="pct"/>
                  <w:vMerge w:val="continue"/>
                  <w:noWrap w:val="0"/>
                  <w:vAlign w:val="center"/>
                </w:tcPr>
                <w:p w14:paraId="267D0D37">
                  <w:pPr>
                    <w:adjustRightInd w:val="0"/>
                    <w:snapToGrid w:val="0"/>
                    <w:jc w:val="center"/>
                    <w:rPr>
                      <w:rFonts w:hint="eastAsia"/>
                      <w:color w:val="auto"/>
                      <w:szCs w:val="21"/>
                    </w:rPr>
                  </w:pPr>
                </w:p>
              </w:tc>
            </w:tr>
            <w:tr w14:paraId="0E398A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2" w:type="pct"/>
                  <w:vMerge w:val="continue"/>
                  <w:noWrap w:val="0"/>
                  <w:vAlign w:val="center"/>
                </w:tcPr>
                <w:p w14:paraId="314EA0E7">
                  <w:pPr>
                    <w:adjustRightInd w:val="0"/>
                    <w:snapToGrid w:val="0"/>
                    <w:jc w:val="center"/>
                    <w:rPr>
                      <w:rFonts w:hint="eastAsia" w:eastAsia="宋体"/>
                      <w:color w:val="auto"/>
                      <w:sz w:val="18"/>
                      <w:szCs w:val="18"/>
                      <w:lang w:val="en-US" w:eastAsia="zh-CN"/>
                    </w:rPr>
                  </w:pPr>
                </w:p>
              </w:tc>
              <w:tc>
                <w:tcPr>
                  <w:tcW w:w="1025" w:type="pct"/>
                  <w:vMerge w:val="continue"/>
                  <w:noWrap w:val="0"/>
                  <w:vAlign w:val="center"/>
                </w:tcPr>
                <w:p w14:paraId="61D94D8E">
                  <w:pPr>
                    <w:adjustRightInd w:val="0"/>
                    <w:snapToGrid w:val="0"/>
                    <w:jc w:val="center"/>
                    <w:rPr>
                      <w:rFonts w:hint="eastAsia"/>
                      <w:color w:val="auto"/>
                      <w:sz w:val="18"/>
                      <w:szCs w:val="18"/>
                    </w:rPr>
                  </w:pPr>
                </w:p>
              </w:tc>
              <w:tc>
                <w:tcPr>
                  <w:tcW w:w="574" w:type="pct"/>
                  <w:noWrap w:val="0"/>
                  <w:vAlign w:val="center"/>
                </w:tcPr>
                <w:p w14:paraId="16EF082C">
                  <w:pPr>
                    <w:adjustRightInd w:val="0"/>
                    <w:snapToGrid w:val="0"/>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二甲苯</w:t>
                  </w:r>
                </w:p>
              </w:tc>
              <w:tc>
                <w:tcPr>
                  <w:tcW w:w="1001" w:type="dxa"/>
                  <w:noWrap w:val="0"/>
                  <w:vAlign w:val="center"/>
                </w:tcPr>
                <w:p w14:paraId="705DDF41">
                  <w:pPr>
                    <w:adjustRightInd w:val="0"/>
                    <w:snapToGrid w:val="0"/>
                    <w:jc w:val="center"/>
                    <w:rPr>
                      <w:rFonts w:hint="default" w:cs="Times New Roman"/>
                      <w:color w:val="0000FF"/>
                      <w:sz w:val="18"/>
                      <w:szCs w:val="18"/>
                      <w:lang w:val="en-US" w:eastAsia="zh-CN"/>
                    </w:rPr>
                  </w:pPr>
                  <w:r>
                    <w:rPr>
                      <w:rFonts w:hint="eastAsia" w:cs="Times New Roman"/>
                      <w:color w:val="0000FF"/>
                      <w:sz w:val="18"/>
                      <w:szCs w:val="18"/>
                      <w:lang w:val="en-US" w:eastAsia="zh-CN"/>
                    </w:rPr>
                    <w:t>14.44</w:t>
                  </w:r>
                </w:p>
              </w:tc>
              <w:tc>
                <w:tcPr>
                  <w:tcW w:w="824" w:type="dxa"/>
                  <w:noWrap w:val="0"/>
                  <w:vAlign w:val="center"/>
                </w:tcPr>
                <w:p w14:paraId="6D3B3AF4">
                  <w:pPr>
                    <w:adjustRightInd w:val="0"/>
                    <w:snapToGrid w:val="0"/>
                    <w:jc w:val="center"/>
                    <w:rPr>
                      <w:rFonts w:hint="default" w:cs="Times New Roman"/>
                      <w:color w:val="0000FF"/>
                      <w:sz w:val="18"/>
                      <w:szCs w:val="18"/>
                      <w:lang w:val="en-US" w:eastAsia="zh-CN"/>
                    </w:rPr>
                  </w:pPr>
                  <w:r>
                    <w:rPr>
                      <w:rFonts w:hint="eastAsia" w:cs="Times New Roman"/>
                      <w:color w:val="0000FF"/>
                      <w:sz w:val="18"/>
                      <w:szCs w:val="18"/>
                      <w:lang w:val="en-US" w:eastAsia="zh-CN"/>
                    </w:rPr>
                    <w:t>0.289</w:t>
                  </w:r>
                </w:p>
              </w:tc>
              <w:tc>
                <w:tcPr>
                  <w:tcW w:w="606" w:type="pct"/>
                  <w:noWrap w:val="0"/>
                  <w:vAlign w:val="center"/>
                </w:tcPr>
                <w:p w14:paraId="5E051558">
                  <w:pPr>
                    <w:adjustRightInd w:val="0"/>
                    <w:snapToGrid w:val="0"/>
                    <w:jc w:val="center"/>
                    <w:rPr>
                      <w:rFonts w:hint="default" w:cs="Times New Roman"/>
                      <w:color w:val="0000FF"/>
                      <w:sz w:val="18"/>
                      <w:szCs w:val="18"/>
                      <w:lang w:val="en-US" w:eastAsia="zh-CN"/>
                    </w:rPr>
                  </w:pPr>
                  <w:r>
                    <w:rPr>
                      <w:rFonts w:hint="eastAsia" w:cs="Times New Roman"/>
                      <w:color w:val="0000FF"/>
                      <w:sz w:val="18"/>
                      <w:szCs w:val="18"/>
                      <w:lang w:val="en-US" w:eastAsia="zh-CN"/>
                    </w:rPr>
                    <w:t>2.9</w:t>
                  </w:r>
                  <w:r>
                    <w:rPr>
                      <w:rFonts w:hint="default" w:cs="Times New Roman"/>
                      <w:color w:val="0000FF"/>
                      <w:sz w:val="18"/>
                      <w:szCs w:val="18"/>
                      <w:lang w:val="en-US" w:eastAsia="zh-CN"/>
                    </w:rPr>
                    <w:t>×</w:t>
                  </w:r>
                  <w:r>
                    <w:rPr>
                      <w:rFonts w:hint="eastAsia" w:cs="Times New Roman"/>
                      <w:color w:val="0000FF"/>
                      <w:sz w:val="18"/>
                      <w:szCs w:val="18"/>
                      <w:lang w:val="en-US" w:eastAsia="zh-CN"/>
                    </w:rPr>
                    <w:t>10</w:t>
                  </w:r>
                  <w:r>
                    <w:rPr>
                      <w:rFonts w:hint="eastAsia" w:cs="Times New Roman"/>
                      <w:color w:val="0000FF"/>
                      <w:sz w:val="18"/>
                      <w:szCs w:val="18"/>
                      <w:vertAlign w:val="superscript"/>
                      <w:lang w:val="en-US" w:eastAsia="zh-CN"/>
                    </w:rPr>
                    <w:t>-4</w:t>
                  </w:r>
                </w:p>
              </w:tc>
              <w:tc>
                <w:tcPr>
                  <w:tcW w:w="574" w:type="pct"/>
                  <w:vMerge w:val="continue"/>
                  <w:noWrap w:val="0"/>
                  <w:vAlign w:val="center"/>
                </w:tcPr>
                <w:p w14:paraId="6C3D29D6">
                  <w:pPr>
                    <w:adjustRightInd w:val="0"/>
                    <w:snapToGrid w:val="0"/>
                    <w:jc w:val="center"/>
                    <w:rPr>
                      <w:rFonts w:hint="eastAsia"/>
                      <w:color w:val="auto"/>
                      <w:szCs w:val="21"/>
                    </w:rPr>
                  </w:pPr>
                </w:p>
              </w:tc>
              <w:tc>
                <w:tcPr>
                  <w:tcW w:w="547" w:type="pct"/>
                  <w:vMerge w:val="continue"/>
                  <w:noWrap w:val="0"/>
                  <w:vAlign w:val="center"/>
                </w:tcPr>
                <w:p w14:paraId="302B76B8">
                  <w:pPr>
                    <w:adjustRightInd w:val="0"/>
                    <w:snapToGrid w:val="0"/>
                    <w:jc w:val="center"/>
                    <w:rPr>
                      <w:rFonts w:hint="eastAsia"/>
                      <w:color w:val="auto"/>
                      <w:szCs w:val="21"/>
                    </w:rPr>
                  </w:pPr>
                </w:p>
              </w:tc>
            </w:tr>
          </w:tbl>
          <w:p w14:paraId="7EEDB69D">
            <w:pPr>
              <w:spacing w:before="120" w:beforeLines="50" w:line="360" w:lineRule="auto"/>
              <w:ind w:firstLine="480" w:firstLineChars="200"/>
              <w:rPr>
                <w:rFonts w:hint="default" w:eastAsia="宋体"/>
                <w:color w:val="auto"/>
                <w:sz w:val="24"/>
                <w:lang w:val="en-US" w:eastAsia="zh-CN"/>
              </w:rPr>
            </w:pPr>
            <w:r>
              <w:rPr>
                <w:rFonts w:hint="eastAsia"/>
                <w:color w:val="auto"/>
                <w:sz w:val="24"/>
              </w:rPr>
              <w:t>由表</w:t>
            </w:r>
            <w:r>
              <w:rPr>
                <w:rFonts w:hint="eastAsia"/>
                <w:color w:val="auto"/>
                <w:sz w:val="24"/>
                <w:lang w:val="en-US" w:eastAsia="zh-CN"/>
              </w:rPr>
              <w:t>4-8</w:t>
            </w:r>
            <w:r>
              <w:rPr>
                <w:rFonts w:hint="eastAsia"/>
                <w:color w:val="auto"/>
                <w:sz w:val="24"/>
              </w:rPr>
              <w:t>可知，非正常工况下</w:t>
            </w:r>
            <w:r>
              <w:rPr>
                <w:rFonts w:hint="eastAsia"/>
                <w:color w:val="auto"/>
                <w:sz w:val="24"/>
                <w:lang w:val="en-US" w:eastAsia="zh-CN"/>
              </w:rPr>
              <w:t>焊接、打磨工序、抛丸工序</w:t>
            </w:r>
            <w:r>
              <w:rPr>
                <w:rFonts w:hint="eastAsia"/>
                <w:color w:val="auto"/>
                <w:sz w:val="24"/>
              </w:rPr>
              <w:t>有组织废气颗粒物、</w:t>
            </w:r>
            <w:r>
              <w:rPr>
                <w:rFonts w:hint="eastAsia"/>
                <w:color w:val="auto"/>
                <w:sz w:val="24"/>
                <w:lang w:val="en-US" w:eastAsia="zh-CN"/>
              </w:rPr>
              <w:t>涂装</w:t>
            </w:r>
            <w:r>
              <w:rPr>
                <w:rFonts w:hint="eastAsia"/>
                <w:color w:val="auto"/>
                <w:sz w:val="24"/>
              </w:rPr>
              <w:t>有组织废气非甲烷总烃排放浓度均超过《大气污染物综合排放标准》（GB16297-1996）表2新污染源大气污染物排放限值要求。</w:t>
            </w:r>
          </w:p>
          <w:p w14:paraId="51258602">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为防止大气污染物非正常排放，需加强废气处理设施的</w:t>
            </w:r>
            <w:r>
              <w:rPr>
                <w:rFonts w:hint="eastAsia" w:ascii="Times New Roman" w:hAnsi="Times New Roman" w:eastAsia="宋体" w:cs="Times New Roman"/>
                <w:color w:val="auto"/>
                <w:sz w:val="24"/>
                <w:lang w:val="en-US" w:eastAsia="zh-CN"/>
              </w:rPr>
              <w:t>运行</w:t>
            </w:r>
            <w:r>
              <w:rPr>
                <w:rFonts w:hint="eastAsia" w:ascii="Times New Roman" w:hAnsi="Times New Roman" w:eastAsia="宋体" w:cs="Times New Roman"/>
                <w:color w:val="auto"/>
                <w:sz w:val="24"/>
              </w:rPr>
              <w:t>管理，定期检修，确保设施正常运行，当废气处理设备停运或故障时，产生废气的各工序必须停产。为杜绝废气非正常排放，应采取以下措施确保废气达标排放：</w:t>
            </w:r>
          </w:p>
          <w:p w14:paraId="366287E3">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A.安排专人负责环保设备的日常巡查和管理，每个固定时间检查、汇报情况，及时发现废气处理</w:t>
            </w:r>
            <w:r>
              <w:rPr>
                <w:rFonts w:hint="eastAsia" w:ascii="Times New Roman" w:hAnsi="Times New Roman" w:eastAsia="宋体" w:cs="Times New Roman"/>
                <w:color w:val="auto"/>
                <w:sz w:val="24"/>
                <w:lang w:val="en-US" w:eastAsia="zh-CN"/>
              </w:rPr>
              <w:t>设备</w:t>
            </w:r>
            <w:r>
              <w:rPr>
                <w:rFonts w:hint="eastAsia" w:ascii="Times New Roman" w:hAnsi="Times New Roman" w:eastAsia="宋体" w:cs="Times New Roman"/>
                <w:color w:val="auto"/>
                <w:sz w:val="24"/>
              </w:rPr>
              <w:t>的隐患，确保废气处理系统正常运行；</w:t>
            </w:r>
          </w:p>
          <w:p w14:paraId="66B18B9F">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B.建立健全的环保管理机构，对环保管理人员和技术人员进行岗位培训，委托具有专业资质的环境检测单位对项目排放的各类污染物进行定期检测；</w:t>
            </w:r>
          </w:p>
          <w:p w14:paraId="41899BEB">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C.定期维护、检修废气处理</w:t>
            </w:r>
            <w:r>
              <w:rPr>
                <w:rFonts w:hint="eastAsia" w:cs="Times New Roman"/>
                <w:color w:val="auto"/>
                <w:sz w:val="24"/>
                <w:lang w:val="en-US" w:eastAsia="zh-CN"/>
              </w:rPr>
              <w:t>设施</w:t>
            </w:r>
            <w:r>
              <w:rPr>
                <w:rFonts w:hint="eastAsia" w:ascii="Times New Roman" w:hAnsi="Times New Roman" w:eastAsia="宋体" w:cs="Times New Roman"/>
                <w:color w:val="auto"/>
                <w:sz w:val="24"/>
              </w:rPr>
              <w:t>，以保证环保设备的处理能力。</w:t>
            </w:r>
          </w:p>
          <w:p w14:paraId="46E93D3D">
            <w:pPr>
              <w:keepNext w:val="0"/>
              <w:keepLines w:val="0"/>
              <w:pageBreakBefore w:val="0"/>
              <w:widowControl w:val="0"/>
              <w:kinsoku/>
              <w:wordWrap w:val="0"/>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（3）废气</w:t>
            </w:r>
            <w:r>
              <w:rPr>
                <w:rFonts w:hint="eastAsia" w:ascii="Times New Roman" w:hAnsi="Times New Roman" w:eastAsia="宋体" w:cs="Times New Roman"/>
                <w:color w:val="auto"/>
                <w:sz w:val="24"/>
                <w:lang w:val="en-US" w:eastAsia="zh-CN"/>
              </w:rPr>
              <w:t>处理</w:t>
            </w:r>
            <w:r>
              <w:rPr>
                <w:rFonts w:hint="eastAsia" w:ascii="Times New Roman" w:hAnsi="Times New Roman" w:eastAsia="宋体" w:cs="Times New Roman"/>
                <w:color w:val="auto"/>
                <w:sz w:val="24"/>
              </w:rPr>
              <w:t>措施</w:t>
            </w:r>
            <w:r>
              <w:rPr>
                <w:rFonts w:hint="eastAsia" w:ascii="Times New Roman" w:hAnsi="Times New Roman" w:eastAsia="宋体" w:cs="Times New Roman"/>
                <w:color w:val="auto"/>
                <w:sz w:val="24"/>
                <w:lang w:val="en-US" w:eastAsia="zh-CN"/>
              </w:rPr>
              <w:t>可行性</w:t>
            </w:r>
            <w:r>
              <w:rPr>
                <w:rFonts w:hint="eastAsia" w:ascii="Times New Roman" w:hAnsi="Times New Roman" w:eastAsia="宋体" w:cs="Times New Roman"/>
                <w:color w:val="auto"/>
                <w:sz w:val="24"/>
              </w:rPr>
              <w:t>分析</w:t>
            </w:r>
          </w:p>
          <w:p w14:paraId="1641510D">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①废气收集措施</w:t>
            </w:r>
            <w:r>
              <w:rPr>
                <w:rFonts w:hint="eastAsia" w:ascii="Times New Roman" w:hAnsi="Times New Roman" w:eastAsia="宋体" w:cs="Times New Roman"/>
                <w:color w:val="auto"/>
                <w:sz w:val="24"/>
                <w:lang w:val="en-US" w:eastAsia="zh-CN"/>
              </w:rPr>
              <w:t>可行性</w:t>
            </w:r>
            <w:r>
              <w:rPr>
                <w:rFonts w:hint="eastAsia" w:ascii="Times New Roman" w:hAnsi="Times New Roman" w:eastAsia="宋体" w:cs="Times New Roman"/>
                <w:color w:val="auto"/>
                <w:sz w:val="24"/>
              </w:rPr>
              <w:t>分析</w:t>
            </w:r>
          </w:p>
          <w:p w14:paraId="19C688AF">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参照《排污许可证申请与核发技术规范 金属铸造工业》（HJ1115-2020）</w:t>
            </w:r>
            <w:r>
              <w:rPr>
                <w:rFonts w:hint="eastAsia" w:ascii="Times New Roman" w:hAnsi="Times New Roman" w:eastAsia="宋体" w:cs="Times New Roman"/>
                <w:color w:val="auto"/>
                <w:sz w:val="24"/>
                <w:lang w:val="en-US" w:eastAsia="zh-CN"/>
              </w:rPr>
              <w:t>相关内容</w:t>
            </w:r>
            <w:r>
              <w:rPr>
                <w:rFonts w:hint="eastAsia" w:ascii="Times New Roman" w:hAnsi="Times New Roman" w:eastAsia="宋体" w:cs="Times New Roman"/>
                <w:color w:val="auto"/>
                <w:sz w:val="24"/>
              </w:rPr>
              <w:t>，</w:t>
            </w:r>
            <w:r>
              <w:rPr>
                <w:rFonts w:hint="eastAsia" w:ascii="Times New Roman" w:hAnsi="Times New Roman" w:eastAsia="宋体" w:cs="Times New Roman"/>
                <w:color w:val="auto"/>
                <w:sz w:val="24"/>
                <w:lang w:val="en-US" w:eastAsia="zh-CN"/>
              </w:rPr>
              <w:t>本</w:t>
            </w:r>
            <w:r>
              <w:rPr>
                <w:rFonts w:hint="eastAsia" w:ascii="Times New Roman" w:hAnsi="Times New Roman" w:eastAsia="宋体" w:cs="Times New Roman"/>
                <w:color w:val="auto"/>
                <w:sz w:val="24"/>
              </w:rPr>
              <w:t>项目为减少粉尘，抛丸机工作室为密闭状态，且进出口设有橡胶门帘，粉尘经抛丸机内部管道收集，仅进出料时会有少量粉尘逸散，粉尘收集效率可以达到99%；</w:t>
            </w:r>
            <w:r>
              <w:rPr>
                <w:rFonts w:hint="eastAsia" w:ascii="Times New Roman" w:hAnsi="Times New Roman" w:eastAsia="宋体" w:cs="Times New Roman"/>
                <w:color w:val="auto"/>
                <w:sz w:val="24"/>
                <w:lang w:val="en-US" w:eastAsia="zh-CN"/>
              </w:rPr>
              <w:t>涂装工序设密闭</w:t>
            </w:r>
            <w:r>
              <w:rPr>
                <w:rFonts w:hint="eastAsia" w:ascii="Times New Roman" w:hAnsi="Times New Roman" w:eastAsia="宋体" w:cs="Times New Roman"/>
                <w:color w:val="auto"/>
                <w:sz w:val="24"/>
              </w:rPr>
              <w:t>喷漆房，喷漆房工作时保持负压状态，废气收集系统的输送管道密闭、无破损，</w:t>
            </w:r>
            <w:r>
              <w:rPr>
                <w:rFonts w:hint="eastAsia" w:ascii="Times New Roman" w:hAnsi="Times New Roman" w:eastAsia="宋体" w:cs="Times New Roman"/>
                <w:color w:val="auto"/>
                <w:sz w:val="24"/>
                <w:lang w:val="en-US" w:eastAsia="zh-CN"/>
              </w:rPr>
              <w:t>涂装</w:t>
            </w:r>
            <w:r>
              <w:rPr>
                <w:rFonts w:hint="eastAsia" w:ascii="Times New Roman" w:hAnsi="Times New Roman" w:eastAsia="宋体" w:cs="Times New Roman"/>
                <w:color w:val="auto"/>
                <w:sz w:val="24"/>
              </w:rPr>
              <w:t>废气捕集率可以达到9</w:t>
            </w:r>
            <w:r>
              <w:rPr>
                <w:rFonts w:hint="eastAsia" w:ascii="Times New Roman" w:hAnsi="Times New Roman" w:eastAsia="宋体" w:cs="Times New Roman"/>
                <w:color w:val="auto"/>
                <w:sz w:val="24"/>
                <w:lang w:val="en-US" w:eastAsia="zh-CN"/>
              </w:rPr>
              <w:t>9</w:t>
            </w:r>
            <w:r>
              <w:rPr>
                <w:rFonts w:hint="eastAsia" w:ascii="Times New Roman" w:hAnsi="Times New Roman" w:eastAsia="宋体" w:cs="Times New Roman"/>
                <w:color w:val="auto"/>
                <w:sz w:val="24"/>
              </w:rPr>
              <w:t>%</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项目</w:t>
            </w:r>
            <w:r>
              <w:rPr>
                <w:rFonts w:hint="eastAsia" w:ascii="Times New Roman" w:hAnsi="Times New Roman" w:eastAsia="宋体" w:cs="Times New Roman"/>
                <w:color w:val="auto"/>
                <w:sz w:val="24"/>
                <w:lang w:val="en-US" w:eastAsia="zh-CN"/>
              </w:rPr>
              <w:t>在火焰切割机工位</w:t>
            </w:r>
            <w:r>
              <w:rPr>
                <w:rFonts w:hint="eastAsia" w:ascii="Times New Roman" w:hAnsi="Times New Roman" w:eastAsia="宋体" w:cs="Times New Roman"/>
                <w:color w:val="auto"/>
                <w:sz w:val="24"/>
              </w:rPr>
              <w:t>设置移动式</w:t>
            </w:r>
            <w:r>
              <w:rPr>
                <w:rFonts w:hint="eastAsia" w:ascii="Times New Roman" w:hAnsi="Times New Roman" w:eastAsia="宋体" w:cs="Times New Roman"/>
                <w:color w:val="auto"/>
                <w:sz w:val="24"/>
                <w:lang w:val="en-US" w:eastAsia="zh-CN"/>
              </w:rPr>
              <w:t>烟尘</w:t>
            </w:r>
            <w:r>
              <w:rPr>
                <w:rFonts w:hint="eastAsia" w:ascii="Times New Roman" w:hAnsi="Times New Roman" w:eastAsia="宋体" w:cs="Times New Roman"/>
                <w:color w:val="auto"/>
                <w:sz w:val="24"/>
              </w:rPr>
              <w:t>净化器，</w:t>
            </w:r>
            <w:r>
              <w:rPr>
                <w:rFonts w:hint="eastAsia" w:ascii="Times New Roman" w:hAnsi="Times New Roman" w:eastAsia="宋体" w:cs="Times New Roman"/>
                <w:color w:val="auto"/>
                <w:sz w:val="24"/>
                <w:lang w:val="en-US" w:eastAsia="zh-CN"/>
              </w:rPr>
              <w:t>火焰切割</w:t>
            </w:r>
            <w:r>
              <w:rPr>
                <w:rFonts w:hint="eastAsia" w:ascii="Times New Roman" w:hAnsi="Times New Roman" w:eastAsia="宋体" w:cs="Times New Roman"/>
                <w:color w:val="auto"/>
                <w:sz w:val="24"/>
              </w:rPr>
              <w:t>时同步开启</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采用高效吸气系统，吸气罩口风速控制在0.5～1.5m/s之间，形成稳定负压区，有效拦截烟尘逸散路径，烟尘净化器负压集气效率为90%</w:t>
            </w:r>
            <w:r>
              <w:rPr>
                <w:rFonts w:hint="eastAsia" w:ascii="Times New Roman" w:hAnsi="Times New Roman" w:eastAsia="宋体" w:cs="Times New Roman"/>
                <w:color w:val="auto"/>
                <w:sz w:val="24"/>
                <w:lang w:eastAsia="zh-CN"/>
              </w:rPr>
              <w:t>；焊接、打磨工作均在固定操作台上进行，操作台上</w:t>
            </w:r>
            <w:r>
              <w:rPr>
                <w:rFonts w:hint="eastAsia" w:ascii="Times New Roman" w:hAnsi="Times New Roman" w:eastAsia="宋体" w:cs="Times New Roman"/>
                <w:color w:val="auto"/>
                <w:sz w:val="24"/>
                <w:lang w:val="en-US" w:eastAsia="zh-CN"/>
              </w:rPr>
              <w:t>分别</w:t>
            </w:r>
            <w:r>
              <w:rPr>
                <w:rFonts w:hint="eastAsia" w:ascii="Times New Roman" w:hAnsi="Times New Roman" w:eastAsia="宋体" w:cs="Times New Roman"/>
                <w:color w:val="auto"/>
                <w:sz w:val="24"/>
                <w:lang w:eastAsia="zh-CN"/>
              </w:rPr>
              <w:t>设高效集气设施</w:t>
            </w:r>
            <w:r>
              <w:rPr>
                <w:rFonts w:hint="eastAsia" w:ascii="Times New Roman" w:hAnsi="Times New Roman" w:eastAsia="宋体" w:cs="Times New Roman"/>
                <w:color w:val="auto"/>
                <w:sz w:val="24"/>
              </w:rPr>
              <w:t>，</w:t>
            </w:r>
            <w:r>
              <w:rPr>
                <w:rFonts w:hint="eastAsia" w:ascii="Times New Roman" w:hAnsi="Times New Roman" w:eastAsia="宋体" w:cs="Times New Roman"/>
                <w:color w:val="auto"/>
                <w:sz w:val="24"/>
                <w:lang w:val="en-US" w:eastAsia="zh-CN"/>
              </w:rPr>
              <w:t>废气收集效率为95%。</w:t>
            </w:r>
          </w:p>
          <w:p w14:paraId="0FEB1EBC">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②废气处理措施可行性分析</w:t>
            </w:r>
          </w:p>
          <w:p w14:paraId="1879F1E8">
            <w:pPr>
              <w:spacing w:line="360" w:lineRule="auto"/>
              <w:ind w:firstLine="480" w:firstLineChars="20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A.</w:t>
            </w:r>
            <w:r>
              <w:rPr>
                <w:rFonts w:hint="eastAsia" w:ascii="Times New Roman" w:hAnsi="Times New Roman" w:eastAsia="宋体" w:cs="Times New Roman"/>
                <w:color w:val="auto"/>
                <w:sz w:val="24"/>
                <w:lang w:val="en-US" w:eastAsia="zh-CN"/>
              </w:rPr>
              <w:t>除尘措施</w:t>
            </w:r>
          </w:p>
          <w:p w14:paraId="6578AAB0">
            <w:pPr>
              <w:spacing w:line="360" w:lineRule="auto"/>
              <w:ind w:firstLine="480" w:firstLineChars="20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项目焊接、打磨工序、抛丸工序粉尘治理措施采用</w:t>
            </w:r>
            <w:r>
              <w:rPr>
                <w:rFonts w:hint="eastAsia" w:ascii="Times New Roman" w:hAnsi="Times New Roman" w:eastAsia="宋体" w:cs="Times New Roman"/>
                <w:color w:val="0000FF"/>
                <w:sz w:val="24"/>
                <w:lang w:val="en-US" w:eastAsia="zh-CN"/>
              </w:rPr>
              <w:t>气箱式脉冲袋式除尘器。气箱式脉冲袋式除尘器</w:t>
            </w:r>
            <w:r>
              <w:rPr>
                <w:rFonts w:hint="default" w:ascii="Times New Roman" w:hAnsi="Times New Roman" w:eastAsia="宋体" w:cs="Times New Roman"/>
                <w:color w:val="0000FF"/>
                <w:sz w:val="24"/>
                <w:lang w:val="en-US" w:eastAsia="zh-CN"/>
              </w:rPr>
              <w:t>是一种高效的工业大气污染治理除尘设备，</w:t>
            </w:r>
            <w:r>
              <w:rPr>
                <w:rFonts w:hint="default" w:ascii="Times New Roman" w:hAnsi="Times New Roman" w:eastAsia="宋体" w:cs="Times New Roman"/>
                <w:color w:val="auto"/>
                <w:sz w:val="24"/>
                <w:lang w:val="en-US" w:eastAsia="zh-CN"/>
              </w:rPr>
              <w:t>它适用于捕集细小、干燥、非纤维性粉尘</w:t>
            </w:r>
            <w:r>
              <w:rPr>
                <w:rFonts w:hint="eastAsia" w:cs="Times New Roman"/>
                <w:color w:val="auto"/>
                <w:sz w:val="24"/>
                <w:lang w:val="en-US" w:eastAsia="zh-CN"/>
              </w:rPr>
              <w:t>，</w:t>
            </w:r>
            <w:r>
              <w:rPr>
                <w:rFonts w:hint="eastAsia" w:cs="Times New Roman"/>
                <w:color w:val="0000FF"/>
                <w:sz w:val="24"/>
                <w:lang w:val="en-US" w:eastAsia="zh-CN"/>
              </w:rPr>
              <w:t>其</w:t>
            </w:r>
            <w:r>
              <w:rPr>
                <w:rFonts w:hint="default" w:ascii="Times New Roman" w:hAnsi="Times New Roman" w:eastAsia="宋体" w:cs="Times New Roman"/>
                <w:color w:val="0000FF"/>
                <w:sz w:val="24"/>
                <w:lang w:val="en-US" w:eastAsia="zh-CN"/>
              </w:rPr>
              <w:t>核心工作原理</w:t>
            </w:r>
            <w:r>
              <w:rPr>
                <w:rFonts w:hint="eastAsia" w:cs="Times New Roman"/>
                <w:color w:val="0000FF"/>
                <w:sz w:val="24"/>
                <w:lang w:val="en-US" w:eastAsia="zh-CN"/>
              </w:rPr>
              <w:t>为“</w:t>
            </w:r>
            <w:r>
              <w:rPr>
                <w:rFonts w:hint="default" w:ascii="Times New Roman" w:hAnsi="Times New Roman" w:eastAsia="宋体" w:cs="Times New Roman"/>
                <w:color w:val="0000FF"/>
                <w:sz w:val="24"/>
                <w:lang w:val="en-US" w:eastAsia="zh-CN"/>
              </w:rPr>
              <w:t>分室过滤+离线脉冲清灰</w:t>
            </w:r>
            <w:r>
              <w:rPr>
                <w:rFonts w:hint="eastAsia" w:cs="Times New Roman"/>
                <w:color w:val="0000FF"/>
                <w:sz w:val="24"/>
                <w:lang w:val="en-US" w:eastAsia="zh-CN"/>
              </w:rPr>
              <w:t>”</w:t>
            </w:r>
            <w:r>
              <w:rPr>
                <w:rFonts w:hint="default" w:ascii="Times New Roman" w:hAnsi="Times New Roman" w:eastAsia="宋体" w:cs="Times New Roman"/>
                <w:color w:val="0000FF"/>
                <w:sz w:val="24"/>
                <w:lang w:val="en-US" w:eastAsia="zh-CN"/>
              </w:rPr>
              <w:t>连续循环作业‌，通过物理拦截实现气固分离，同时保障设备长期稳定运行。含尘气体从进风口进入后，气流速度骤降，较粗的粉尘颗粒在重力作用下直接落入底部灰斗，完成预除尘</w:t>
            </w:r>
            <w:r>
              <w:rPr>
                <w:rFonts w:hint="eastAsia" w:cs="Times New Roman"/>
                <w:color w:val="0000FF"/>
                <w:sz w:val="24"/>
                <w:lang w:val="en-US" w:eastAsia="zh-CN"/>
              </w:rPr>
              <w:t>；细微粉尘随气流上升进入袋室，被拦截吸附在滤袋外表面，净化后的气体透过滤袋进入上部净气室；洁净气体在净气室汇集后，经出风口由风机直接排入大气，除尘效率可达99.9%以上</w:t>
            </w:r>
            <w:r>
              <w:rPr>
                <w:rFonts w:hint="default" w:ascii="Times New Roman" w:hAnsi="Times New Roman" w:eastAsia="宋体" w:cs="Times New Roman"/>
                <w:color w:val="0000FF"/>
                <w:sz w:val="24"/>
                <w:lang w:val="en-US" w:eastAsia="zh-CN"/>
              </w:rPr>
              <w:t>。</w:t>
            </w:r>
            <w:r>
              <w:rPr>
                <w:rFonts w:hint="eastAsia" w:ascii="Times New Roman" w:hAnsi="Times New Roman" w:eastAsia="宋体" w:cs="Times New Roman"/>
                <w:color w:val="0000FF"/>
                <w:sz w:val="24"/>
                <w:lang w:val="en-US" w:eastAsia="zh-CN"/>
              </w:rPr>
              <w:t>《环境保护产品技术要求脉冲喷吹类袋式除尘器》（HJ/T 328-2006）表1脉冲喷吹类袋式除尘器的主要技术性能指标，除尘效率＞99.5%，项目设计除尘效率9</w:t>
            </w:r>
            <w:r>
              <w:rPr>
                <w:rFonts w:hint="eastAsia" w:cs="Times New Roman"/>
                <w:color w:val="0000FF"/>
                <w:sz w:val="24"/>
                <w:lang w:val="en-US" w:eastAsia="zh-CN"/>
              </w:rPr>
              <w:t>9</w:t>
            </w:r>
            <w:r>
              <w:rPr>
                <w:rFonts w:hint="eastAsia" w:ascii="Times New Roman" w:hAnsi="Times New Roman" w:eastAsia="宋体" w:cs="Times New Roman"/>
                <w:color w:val="0000FF"/>
                <w:sz w:val="24"/>
                <w:lang w:val="en-US" w:eastAsia="zh-CN"/>
              </w:rPr>
              <w:t>%可以达到，为《排污许可证申请与核发技术规范 金属铸造工业》（HJ 1115-2020）附录A中表A.1废气防治可行技术。</w:t>
            </w:r>
          </w:p>
          <w:p w14:paraId="044369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本项目在火焰切割机工位设置移动式烟尘净化器净化粉尘，移动式烟尘净化器是主要针对工业废气烟雾、烟尘设计的高效空气净化设备，它广泛应</w:t>
            </w:r>
          </w:p>
          <w:p w14:paraId="0AB26C38">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用于各种焊接、抛光打磨、化学品生产等作业场所。</w:t>
            </w:r>
            <w:r>
              <w:rPr>
                <w:rFonts w:hint="eastAsia" w:cs="Times New Roman"/>
                <w:color w:val="auto"/>
                <w:sz w:val="24"/>
                <w:lang w:val="en-US" w:eastAsia="zh-CN"/>
              </w:rPr>
              <w:t>根据建设单位提供的设备说明书，本项目采用高效吸气系统，吸气罩口风速控制在0.5</w:t>
            </w:r>
            <w:r>
              <w:rPr>
                <w:rFonts w:hint="eastAsia" w:ascii="宋体" w:hAnsi="宋体" w:eastAsia="宋体" w:cs="宋体"/>
                <w:color w:val="auto"/>
                <w:sz w:val="24"/>
                <w:lang w:val="en-US" w:eastAsia="zh-CN"/>
              </w:rPr>
              <w:t>～</w:t>
            </w:r>
            <w:r>
              <w:rPr>
                <w:rFonts w:hint="eastAsia" w:cs="Times New Roman"/>
                <w:color w:val="auto"/>
                <w:sz w:val="24"/>
                <w:lang w:val="en-US" w:eastAsia="zh-CN"/>
              </w:rPr>
              <w:t>1.5m/s之间，形成稳定负压区，有效拦截烟尘逸散路径</w:t>
            </w:r>
            <w:r>
              <w:rPr>
                <w:rFonts w:hint="eastAsia" w:ascii="Arial" w:hAnsi="Arial" w:eastAsia="宋体" w:cs="Arial"/>
                <w:i w:val="0"/>
                <w:iCs w:val="0"/>
                <w:caps w:val="0"/>
                <w:color w:val="auto"/>
                <w:spacing w:val="0"/>
                <w:sz w:val="24"/>
                <w:szCs w:val="24"/>
                <w:shd w:val="clear" w:fill="FFFFFF"/>
                <w:lang w:eastAsia="zh-CN"/>
              </w:rPr>
              <w:t>，</w:t>
            </w:r>
            <w:r>
              <w:rPr>
                <w:rFonts w:hint="eastAsia" w:ascii="Times New Roman" w:hAnsi="Times New Roman" w:eastAsia="宋体" w:cs="Times New Roman"/>
                <w:color w:val="auto"/>
                <w:sz w:val="24"/>
                <w:lang w:val="en-US" w:eastAsia="zh-CN"/>
              </w:rPr>
              <w:t>烟尘净化器负压集气效率为90%</w:t>
            </w:r>
            <w:r>
              <w:rPr>
                <w:rFonts w:hint="eastAsia" w:cs="Times New Roman"/>
                <w:color w:val="auto"/>
                <w:sz w:val="24"/>
                <w:lang w:val="en-US" w:eastAsia="zh-CN"/>
              </w:rPr>
              <w:t>。</w:t>
            </w:r>
            <w:r>
              <w:rPr>
                <w:rFonts w:hint="eastAsia" w:ascii="Times New Roman" w:hAnsi="Times New Roman" w:eastAsia="宋体" w:cs="Times New Roman"/>
                <w:color w:val="auto"/>
                <w:sz w:val="24"/>
                <w:lang w:val="en-US" w:eastAsia="zh-CN"/>
              </w:rPr>
              <w:t>未沉降的火焰切割颗粒物在负压的作用下由</w:t>
            </w:r>
            <w:r>
              <w:rPr>
                <w:rFonts w:hint="eastAsia" w:cs="Times New Roman"/>
                <w:color w:val="auto"/>
                <w:sz w:val="24"/>
                <w:lang w:val="en-US" w:eastAsia="zh-CN"/>
              </w:rPr>
              <w:t>吸气罩</w:t>
            </w:r>
            <w:r>
              <w:rPr>
                <w:rFonts w:hint="eastAsia" w:ascii="Times New Roman" w:hAnsi="Times New Roman" w:eastAsia="宋体" w:cs="Times New Roman"/>
                <w:color w:val="auto"/>
                <w:sz w:val="24"/>
                <w:lang w:val="en-US" w:eastAsia="zh-CN"/>
              </w:rPr>
              <w:t>进入移动式烟尘净化器设备主体，进风口处阻火器阻留切割火花，烟尘气体进入移动式烟尘净化器设备主体净化室，高效阻燃过滤滤芯将微小烟雾粉尘颗粒过滤在移动式烟尘净化器设备净化室内，洁净气体经滤芯过滤净化后可以直接在车间内循环排放。在额定处理风量下，移动式烟尘净化器对0.3μm以上颗粒物的过滤效率可达99.9%，</w:t>
            </w:r>
            <w:r>
              <w:rPr>
                <w:rFonts w:hint="eastAsia" w:cs="Times New Roman"/>
                <w:color w:val="auto"/>
                <w:sz w:val="24"/>
                <w:lang w:val="en-US" w:eastAsia="zh-CN"/>
              </w:rPr>
              <w:t>本</w:t>
            </w:r>
            <w:r>
              <w:rPr>
                <w:rFonts w:hint="eastAsia" w:ascii="Times New Roman" w:hAnsi="Times New Roman" w:eastAsia="宋体" w:cs="Times New Roman"/>
                <w:color w:val="auto"/>
                <w:sz w:val="24"/>
                <w:lang w:val="en-US" w:eastAsia="zh-CN"/>
              </w:rPr>
              <w:t>项目设计烟尘净化效率95%可以达到。</w:t>
            </w:r>
          </w:p>
          <w:p w14:paraId="4FA87678">
            <w:pPr>
              <w:spacing w:line="360" w:lineRule="auto"/>
              <w:ind w:firstLine="480" w:firstLineChars="20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B.有机废气治理措施</w:t>
            </w:r>
          </w:p>
          <w:p w14:paraId="6DE62B24">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项目设密闭喷漆房，调漆、喷漆、晾干均在喷漆房内进行。涂装工序产生的污染物主要为漆雾（颗粒物）和挥发性有机物（以非甲烷总烃计）。</w:t>
            </w:r>
          </w:p>
          <w:p w14:paraId="1EA9F5C5">
            <w:pPr>
              <w:spacing w:line="360" w:lineRule="auto"/>
              <w:ind w:firstLine="480" w:firstLineChars="20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漆雾主要为颗粒物，涂料中未附着于钢构件表面30%的固体份，本项目采用干式漆雾过滤模组处理漆雾。在排风机的作用下，含有漆雾的空气在一定气流组织的作用下首先与漆雾纤维过滤吸附毡撞击，其中的部分粘性物质被截留于第一层纤维过滤吸附毡上，剩余漆雾经过第二层纤维过滤吸附毡时再次进行过滤，经过二级过滤后进一步去除有机废气。干式漆雾过滤模组二级过滤结构设计合理，运行稳定，是催化燃烧法工业有机废气治理工程技术工艺流程的一部分，为催化燃烧工艺流程中的预处理工序，使得进入燃烧室中的废气颗粒物小于10mg/m³，符合《催化燃烧法工业有机废气治理工程技术规范》（HJ 2027-2013）要求规定，项目设计漆雾净化效率9</w:t>
            </w:r>
            <w:r>
              <w:rPr>
                <w:rFonts w:hint="eastAsia" w:cs="Times New Roman"/>
                <w:color w:val="auto"/>
                <w:sz w:val="24"/>
                <w:lang w:val="en-US" w:eastAsia="zh-CN"/>
              </w:rPr>
              <w:t>5</w:t>
            </w:r>
            <w:r>
              <w:rPr>
                <w:rFonts w:hint="eastAsia" w:ascii="Times New Roman" w:hAnsi="Times New Roman" w:eastAsia="宋体" w:cs="Times New Roman"/>
                <w:color w:val="auto"/>
                <w:sz w:val="24"/>
                <w:lang w:val="en-US" w:eastAsia="zh-CN"/>
              </w:rPr>
              <w:t>%可以达到。</w:t>
            </w:r>
          </w:p>
          <w:p w14:paraId="5C0B9B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color w:val="0000FF"/>
                <w:sz w:val="24"/>
                <w:highlight w:val="none"/>
                <w:lang w:val="en-US" w:eastAsia="zh-CN"/>
              </w:rPr>
            </w:pPr>
            <w:r>
              <w:rPr>
                <w:rFonts w:hint="eastAsia" w:ascii="Times New Roman" w:hAnsi="Times New Roman" w:eastAsia="宋体" w:cs="Times New Roman"/>
                <w:color w:val="0000FF"/>
                <w:sz w:val="24"/>
                <w:highlight w:val="none"/>
                <w:lang w:val="en-US" w:eastAsia="zh-CN"/>
              </w:rPr>
              <w:t>活性炭吸附-脱附-催化燃烧装置</w:t>
            </w:r>
            <w:r>
              <w:rPr>
                <w:rFonts w:hint="eastAsia" w:cs="Times New Roman"/>
                <w:color w:val="0000FF"/>
                <w:sz w:val="24"/>
                <w:highlight w:val="none"/>
                <w:lang w:val="en-US" w:eastAsia="zh-CN"/>
              </w:rPr>
              <w:t>工艺流程为预处理-吸附浓缩-解吸脱附-催化燃烧。</w:t>
            </w:r>
            <w:r>
              <w:rPr>
                <w:rFonts w:hint="eastAsia" w:cs="Times New Roman"/>
                <w:color w:val="0000FF"/>
                <w:spacing w:val="-6"/>
                <w:sz w:val="24"/>
                <w:highlight w:val="none"/>
                <w:lang w:val="en-US" w:eastAsia="zh-CN"/>
              </w:rPr>
              <w:t>有机废气先进入预处理器过滤废气中的粉尘和杂质，</w:t>
            </w:r>
            <w:r>
              <w:rPr>
                <w:rFonts w:hint="eastAsia" w:cs="Times New Roman"/>
                <w:color w:val="0000FF"/>
                <w:sz w:val="24"/>
                <w:highlight w:val="none"/>
                <w:lang w:val="en-US" w:eastAsia="zh-CN"/>
              </w:rPr>
              <w:t>以防止活性炭空隙堵塞或催化剂中毒。预处理后的废气进入催化燃烧设备的活性炭吸附床，有机分子被活性炭微孔物理吸附，净化后的洁净空气经排风管高空排放。活性炭脱附方式为在线脱附，当活性炭吸附接近饱和时，系统将自动切换到备用活性炭吸附床（此时饱和活性炭吸附床停止吸附操作），然后用热气流对</w:t>
            </w:r>
          </w:p>
          <w:p w14:paraId="74229867">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cs="Times New Roman"/>
                <w:color w:val="0000FF"/>
                <w:sz w:val="24"/>
                <w:highlight w:val="none"/>
                <w:lang w:val="en-US" w:eastAsia="zh-CN"/>
              </w:rPr>
            </w:pPr>
            <w:r>
              <w:rPr>
                <w:rFonts w:hint="eastAsia" w:cs="Times New Roman"/>
                <w:color w:val="0000FF"/>
                <w:sz w:val="24"/>
                <w:highlight w:val="none"/>
                <w:lang w:val="en-US" w:eastAsia="zh-CN"/>
              </w:rPr>
              <w:t>饱和活性炭吸附床进行解吸脱附，将有机物从活性炭上脱附下来。在脱附过程中，有机废气已被浓缩，浓缩后的浓度提高至原浓度的几十倍，可达到2000mg/m³以上。浓缩后的有机废气送至催化燃烧装</w:t>
            </w:r>
            <w:r>
              <w:rPr>
                <w:rFonts w:hint="eastAsia" w:ascii="Times New Roman" w:hAnsi="Times New Roman" w:eastAsia="宋体" w:cs="Times New Roman"/>
                <w:color w:val="0000FF"/>
                <w:sz w:val="24"/>
                <w:highlight w:val="none"/>
                <w:lang w:val="en-US" w:eastAsia="zh-CN"/>
              </w:rPr>
              <w:t>置，经加热管加热到300～400℃，通过催</w:t>
            </w:r>
            <w:r>
              <w:rPr>
                <w:rFonts w:hint="eastAsia" w:cs="Times New Roman"/>
                <w:color w:val="0000FF"/>
                <w:sz w:val="24"/>
                <w:highlight w:val="none"/>
                <w:lang w:val="en-US" w:eastAsia="zh-CN"/>
              </w:rPr>
              <w:t>化燃烧床时，碳氢化合物的分子和混合气体中的氧分子分别被吸附在催化剂的表面，由于表面吸附降低了反应的活化能，碳氢化合物与氧分子在较低的温度下迅速氧化，最后被分解成CO</w:t>
            </w:r>
            <w:r>
              <w:rPr>
                <w:rFonts w:hint="eastAsia" w:cs="Times New Roman"/>
                <w:color w:val="0000FF"/>
                <w:sz w:val="24"/>
                <w:highlight w:val="none"/>
                <w:vertAlign w:val="subscript"/>
                <w:lang w:val="en-US" w:eastAsia="zh-CN"/>
              </w:rPr>
              <w:t>2</w:t>
            </w:r>
            <w:r>
              <w:rPr>
                <w:rFonts w:hint="eastAsia" w:cs="Times New Roman"/>
                <w:color w:val="0000FF"/>
                <w:sz w:val="24"/>
                <w:highlight w:val="none"/>
                <w:lang w:val="en-US" w:eastAsia="zh-CN"/>
              </w:rPr>
              <w:t>与H</w:t>
            </w:r>
            <w:r>
              <w:rPr>
                <w:rFonts w:hint="eastAsia" w:cs="Times New Roman"/>
                <w:color w:val="0000FF"/>
                <w:sz w:val="24"/>
                <w:highlight w:val="none"/>
                <w:vertAlign w:val="subscript"/>
                <w:lang w:val="en-US" w:eastAsia="zh-CN"/>
              </w:rPr>
              <w:t>2</w:t>
            </w:r>
            <w:r>
              <w:rPr>
                <w:rFonts w:hint="eastAsia" w:cs="Times New Roman"/>
                <w:color w:val="0000FF"/>
                <w:sz w:val="24"/>
                <w:highlight w:val="none"/>
                <w:lang w:val="en-US" w:eastAsia="zh-CN"/>
              </w:rPr>
              <w:t>O。完成解吸脱附后，活性炭吸附床进入待用状态，待其他活性炭吸附床接近饱和时，系统再自动切换回来，同时对饱和活性炭吸附床进行解吸脱附，如此循环工作，最后净化后的洁净气体排入大气中，</w:t>
            </w:r>
            <w:r>
              <w:rPr>
                <w:rFonts w:hint="eastAsia" w:ascii="Times New Roman" w:hAnsi="Times New Roman" w:eastAsia="宋体" w:cs="Times New Roman"/>
                <w:color w:val="0000FF"/>
                <w:sz w:val="24"/>
                <w:highlight w:val="none"/>
                <w:lang w:val="en-US" w:eastAsia="zh-CN"/>
              </w:rPr>
              <w:t>工艺流程见图4-1。</w:t>
            </w:r>
          </w:p>
          <w:p w14:paraId="540C4A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FF"/>
                <w:sz w:val="24"/>
                <w:highlight w:val="none"/>
                <w:lang w:val="en-US" w:eastAsia="zh-CN"/>
              </w:rPr>
            </w:pPr>
            <w:r>
              <w:rPr>
                <w:rFonts w:hint="eastAsia" w:ascii="Times New Roman" w:hAnsi="Times New Roman" w:eastAsia="宋体" w:cs="Times New Roman"/>
                <w:color w:val="0000FF"/>
                <w:sz w:val="24"/>
                <w:highlight w:val="none"/>
                <w:lang w:val="en-US" w:eastAsia="zh-CN"/>
              </w:rPr>
              <w:t>本项目催化燃烧装置不补充燃料，使用电加热，反应温度为300～400℃（远低于热力型NO</w:t>
            </w:r>
            <w:r>
              <w:rPr>
                <w:rFonts w:hint="eastAsia" w:ascii="Times New Roman" w:hAnsi="Times New Roman" w:eastAsia="宋体" w:cs="Times New Roman"/>
                <w:color w:val="0000FF"/>
                <w:sz w:val="24"/>
                <w:highlight w:val="none"/>
                <w:vertAlign w:val="subscript"/>
                <w:lang w:val="en-US" w:eastAsia="zh-CN"/>
              </w:rPr>
              <w:t>X</w:t>
            </w:r>
            <w:r>
              <w:rPr>
                <w:rFonts w:hint="eastAsia" w:ascii="Times New Roman" w:hAnsi="Times New Roman" w:eastAsia="宋体" w:cs="Times New Roman"/>
                <w:color w:val="0000FF"/>
                <w:sz w:val="24"/>
                <w:highlight w:val="none"/>
                <w:lang w:val="en-US" w:eastAsia="zh-CN"/>
              </w:rPr>
              <w:t>生成阈值1000℃），根据各液体物料MSDS/检测报告，催化燃烧的有机废气不含硫、氮、氯，故不对本项目催化燃烧装置排放烟气中的二氧化硫、氮氧化物和二噁英类进行控制。</w:t>
            </w:r>
          </w:p>
          <w:p w14:paraId="465233F7">
            <w:pPr>
              <w:keepNext w:val="0"/>
              <w:keepLines w:val="0"/>
              <w:pageBreakBefore w:val="0"/>
              <w:widowControl w:val="0"/>
              <w:kinsoku/>
              <w:wordWrap/>
              <w:overflowPunct/>
              <w:topLinePunct w:val="0"/>
              <w:autoSpaceDE/>
              <w:autoSpaceDN/>
              <w:bidi w:val="0"/>
              <w:adjustRightInd w:val="0"/>
              <w:snapToGrid w:val="0"/>
              <w:spacing w:before="157" w:beforeLines="50" w:line="360" w:lineRule="auto"/>
              <w:jc w:val="center"/>
              <w:textAlignment w:val="auto"/>
              <w:rPr>
                <w:color w:val="auto"/>
                <w:kern w:val="0"/>
                <w:sz w:val="24"/>
                <w:szCs w:val="20"/>
                <w:highlight w:val="none"/>
              </w:rPr>
            </w:pPr>
            <w:r>
              <w:rPr>
                <w:color w:val="auto"/>
                <w:kern w:val="0"/>
                <w:sz w:val="24"/>
                <w:szCs w:val="20"/>
                <w:highlight w:val="none"/>
              </w:rPr>
              <w:drawing>
                <wp:inline distT="0" distB="0" distL="114300" distR="114300">
                  <wp:extent cx="4014470" cy="3783965"/>
                  <wp:effectExtent l="0" t="0" r="5080" b="6985"/>
                  <wp:docPr id="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
                          <pic:cNvPicPr>
                            <a:picLocks noChangeAspect="1"/>
                          </pic:cNvPicPr>
                        </pic:nvPicPr>
                        <pic:blipFill>
                          <a:blip r:embed="rId20"/>
                          <a:srcRect b="6146"/>
                          <a:stretch>
                            <a:fillRect/>
                          </a:stretch>
                        </pic:blipFill>
                        <pic:spPr>
                          <a:xfrm>
                            <a:off x="0" y="0"/>
                            <a:ext cx="4014470" cy="3783965"/>
                          </a:xfrm>
                          <a:prstGeom prst="rect">
                            <a:avLst/>
                          </a:prstGeom>
                          <a:noFill/>
                          <a:ln>
                            <a:noFill/>
                          </a:ln>
                        </pic:spPr>
                      </pic:pic>
                    </a:graphicData>
                  </a:graphic>
                </wp:inline>
              </w:drawing>
            </w:r>
          </w:p>
          <w:p w14:paraId="78E1F3E1">
            <w:pPr>
              <w:pStyle w:val="5"/>
              <w:keepNext/>
              <w:keepLines/>
              <w:pageBreakBefore w:val="0"/>
              <w:widowControl w:val="0"/>
              <w:tabs>
                <w:tab w:val="center" w:pos="4038"/>
                <w:tab w:val="left" w:pos="6812"/>
              </w:tabs>
              <w:kinsoku/>
              <w:wordWrap/>
              <w:overflowPunct/>
              <w:topLinePunct w:val="0"/>
              <w:autoSpaceDE/>
              <w:autoSpaceDN/>
              <w:bidi w:val="0"/>
              <w:adjustRightInd/>
              <w:snapToGrid/>
              <w:spacing w:beforeLines="0" w:afterLines="0"/>
              <w:jc w:val="center"/>
              <w:textAlignment w:val="auto"/>
              <w:rPr>
                <w:rFonts w:hint="default" w:ascii="Times New Roman" w:hAnsi="Times New Roman" w:eastAsia="宋体" w:cs="Times New Roman"/>
                <w:color w:val="0000FF"/>
                <w:spacing w:val="-6"/>
                <w:highlight w:val="none"/>
                <w:lang w:val="en-US" w:eastAsia="zh-CN"/>
              </w:rPr>
            </w:pPr>
            <w:r>
              <w:rPr>
                <w:rFonts w:hint="default" w:ascii="Times New Roman" w:hAnsi="Times New Roman" w:eastAsia="宋体" w:cs="Times New Roman"/>
                <w:color w:val="0000FF"/>
                <w:spacing w:val="-6"/>
                <w:highlight w:val="none"/>
                <w:lang w:val="en-US" w:eastAsia="zh-CN"/>
              </w:rPr>
              <w:t>图4-1</w:t>
            </w:r>
            <w:r>
              <w:rPr>
                <w:rFonts w:hint="eastAsia" w:ascii="Times New Roman" w:hAnsi="Times New Roman" w:eastAsia="宋体" w:cs="Times New Roman"/>
                <w:color w:val="0000FF"/>
                <w:spacing w:val="-6"/>
                <w:highlight w:val="none"/>
                <w:lang w:val="en-US" w:eastAsia="zh-CN"/>
              </w:rPr>
              <w:t xml:space="preserve"> </w:t>
            </w:r>
            <w:r>
              <w:rPr>
                <w:rFonts w:hint="default" w:ascii="Times New Roman" w:hAnsi="Times New Roman" w:eastAsia="宋体" w:cs="Times New Roman"/>
                <w:color w:val="0000FF"/>
                <w:spacing w:val="-6"/>
                <w:highlight w:val="none"/>
                <w:lang w:val="en-US" w:eastAsia="zh-CN"/>
              </w:rPr>
              <w:t>活性炭吸附-脱附-催化燃烧工艺</w:t>
            </w:r>
            <w:r>
              <w:rPr>
                <w:rFonts w:hint="eastAsia" w:ascii="Times New Roman" w:hAnsi="Times New Roman" w:eastAsia="宋体" w:cs="Times New Roman"/>
                <w:color w:val="0000FF"/>
                <w:spacing w:val="-6"/>
                <w:highlight w:val="none"/>
                <w:lang w:val="en-US" w:eastAsia="zh-CN"/>
              </w:rPr>
              <w:t>流程</w:t>
            </w:r>
            <w:r>
              <w:rPr>
                <w:rFonts w:hint="default" w:ascii="Times New Roman" w:hAnsi="Times New Roman" w:eastAsia="宋体" w:cs="Times New Roman"/>
                <w:color w:val="0000FF"/>
                <w:spacing w:val="-6"/>
                <w:highlight w:val="none"/>
                <w:lang w:val="en-US" w:eastAsia="zh-CN"/>
              </w:rPr>
              <w:t>图</w:t>
            </w:r>
          </w:p>
          <w:p w14:paraId="0B57A1D6">
            <w:pPr>
              <w:keepNext w:val="0"/>
              <w:keepLines w:val="0"/>
              <w:pageBreakBefore w:val="0"/>
              <w:widowControl w:val="0"/>
              <w:kinsoku/>
              <w:wordWrap/>
              <w:overflowPunct/>
              <w:topLinePunct w:val="0"/>
              <w:autoSpaceDE/>
              <w:autoSpaceDN/>
              <w:bidi w:val="0"/>
              <w:adjustRightInd/>
              <w:snapToGrid/>
              <w:spacing w:before="157" w:beforeLines="50" w:line="348" w:lineRule="auto"/>
              <w:ind w:firstLine="480" w:firstLineChars="200"/>
              <w:textAlignment w:val="auto"/>
              <w:rPr>
                <w:rFonts w:hint="default" w:ascii="Times New Roman" w:hAnsi="Times New Roman" w:eastAsia="宋体" w:cs="Times New Roman"/>
                <w:color w:val="auto"/>
                <w:w w:val="100"/>
                <w:sz w:val="24"/>
                <w:lang w:val="en-US" w:eastAsia="zh-CN"/>
              </w:rPr>
            </w:pPr>
            <w:r>
              <w:rPr>
                <w:rFonts w:hint="eastAsia" w:ascii="Times New Roman" w:hAnsi="Times New Roman" w:eastAsia="宋体" w:cs="Times New Roman"/>
                <w:color w:val="0000FF"/>
                <w:sz w:val="24"/>
                <w:highlight w:val="none"/>
                <w:lang w:val="en-US" w:eastAsia="zh-CN"/>
              </w:rPr>
              <w:t>对于大气量、低浓度有机废气的处理，目前主流工艺为“吸附浓缩+脱附处理”，吸附浓缩是通过沸石分子筛、活性炭等多孔介质对污染物进行吸附，活性炭碘值大于等于800mg/g，吸附效率可达85%</w:t>
            </w:r>
            <w:r>
              <w:rPr>
                <w:rFonts w:hint="eastAsia" w:ascii="宋体" w:hAnsi="宋体" w:eastAsia="宋体" w:cs="宋体"/>
                <w:color w:val="0000FF"/>
                <w:sz w:val="24"/>
                <w:highlight w:val="none"/>
                <w:lang w:val="en-US" w:eastAsia="zh-CN"/>
              </w:rPr>
              <w:t>～</w:t>
            </w:r>
            <w:r>
              <w:rPr>
                <w:rFonts w:hint="eastAsia" w:ascii="Times New Roman" w:hAnsi="Times New Roman" w:eastAsia="宋体" w:cs="Times New Roman"/>
                <w:color w:val="0000FF"/>
                <w:sz w:val="24"/>
                <w:highlight w:val="none"/>
                <w:lang w:val="en-US" w:eastAsia="zh-CN"/>
              </w:rPr>
              <w:t>95%。</w:t>
            </w:r>
            <w:r>
              <w:rPr>
                <w:rFonts w:hint="eastAsia" w:cs="Times New Roman"/>
                <w:color w:val="0000FF"/>
                <w:sz w:val="24"/>
                <w:highlight w:val="none"/>
                <w:lang w:val="en-US" w:eastAsia="zh-CN"/>
              </w:rPr>
              <w:t>项目</w:t>
            </w:r>
            <w:r>
              <w:rPr>
                <w:rFonts w:hint="eastAsia" w:ascii="Times New Roman" w:hAnsi="Times New Roman" w:eastAsia="宋体" w:cs="Times New Roman"/>
                <w:color w:val="0000FF"/>
                <w:sz w:val="24"/>
                <w:highlight w:val="none"/>
                <w:lang w:val="en-US" w:eastAsia="zh-CN"/>
              </w:rPr>
              <w:t>活性炭吸附设计符合《吸附法工业有机废气治理工程技术规范的要求》（HJ2026-2013）。常见的脱附后的处理方式有催化燃烧、焚烧处理、</w:t>
            </w:r>
            <w:r>
              <w:rPr>
                <w:rFonts w:hint="eastAsia" w:ascii="Times New Roman" w:hAnsi="Times New Roman" w:eastAsia="宋体" w:cs="Times New Roman"/>
                <w:color w:val="0000FF"/>
                <w:w w:val="100"/>
                <w:sz w:val="24"/>
                <w:highlight w:val="none"/>
                <w:lang w:val="en-US" w:eastAsia="zh-CN"/>
              </w:rPr>
              <w:t>冷凝回收等，催化燃烧装置的有机废气处理效率在最适温度（350℃）下可达9</w:t>
            </w:r>
            <w:r>
              <w:rPr>
                <w:rFonts w:hint="eastAsia" w:cs="Times New Roman"/>
                <w:color w:val="0000FF"/>
                <w:w w:val="100"/>
                <w:sz w:val="24"/>
                <w:highlight w:val="none"/>
                <w:lang w:val="en-US" w:eastAsia="zh-CN"/>
              </w:rPr>
              <w:t>7</w:t>
            </w:r>
            <w:r>
              <w:rPr>
                <w:rFonts w:hint="eastAsia" w:ascii="Times New Roman" w:hAnsi="Times New Roman" w:eastAsia="宋体" w:cs="Times New Roman"/>
                <w:color w:val="0000FF"/>
                <w:w w:val="100"/>
                <w:sz w:val="24"/>
                <w:highlight w:val="none"/>
                <w:lang w:val="en-US" w:eastAsia="zh-CN"/>
              </w:rPr>
              <w:t>%以上。活性炭吸附容量大、价格低廉，催化燃烧低温高效，综合处理效率可以达到95%</w:t>
            </w:r>
            <w:r>
              <w:rPr>
                <w:rFonts w:hint="eastAsia" w:cs="Times New Roman"/>
                <w:color w:val="0000FF"/>
                <w:w w:val="100"/>
                <w:sz w:val="24"/>
                <w:highlight w:val="none"/>
                <w:lang w:val="en-US" w:eastAsia="zh-CN"/>
              </w:rPr>
              <w:t>，项目设计有机废气处理效率效率90%可以达到</w:t>
            </w:r>
            <w:r>
              <w:rPr>
                <w:rFonts w:hint="eastAsia" w:ascii="Times New Roman" w:hAnsi="Times New Roman" w:eastAsia="宋体" w:cs="Times New Roman"/>
                <w:color w:val="0000FF"/>
                <w:w w:val="100"/>
                <w:sz w:val="24"/>
                <w:highlight w:val="none"/>
                <w:lang w:val="en-US" w:eastAsia="zh-CN"/>
              </w:rPr>
              <w:t>。</w:t>
            </w:r>
            <w:r>
              <w:rPr>
                <w:rFonts w:hint="eastAsia" w:ascii="Times New Roman" w:hAnsi="Times New Roman" w:eastAsia="宋体" w:cs="Times New Roman"/>
                <w:color w:val="0000FF"/>
                <w:w w:val="100"/>
                <w:sz w:val="24"/>
              </w:rPr>
              <w:t>项目</w:t>
            </w:r>
            <w:r>
              <w:rPr>
                <w:rFonts w:hint="eastAsia" w:ascii="Times New Roman" w:hAnsi="Times New Roman" w:eastAsia="宋体" w:cs="Times New Roman"/>
                <w:color w:val="0000FF"/>
                <w:w w:val="100"/>
                <w:sz w:val="24"/>
                <w:lang w:val="en-US" w:eastAsia="zh-CN"/>
              </w:rPr>
              <w:t>喷漆房</w:t>
            </w:r>
            <w:r>
              <w:rPr>
                <w:rFonts w:hint="eastAsia" w:ascii="Times New Roman" w:hAnsi="Times New Roman" w:eastAsia="宋体" w:cs="Times New Roman"/>
                <w:color w:val="0000FF"/>
                <w:w w:val="100"/>
                <w:sz w:val="24"/>
              </w:rPr>
              <w:t>采用</w:t>
            </w:r>
            <w:r>
              <w:rPr>
                <w:rFonts w:hint="eastAsia" w:ascii="Times New Roman" w:hAnsi="Times New Roman" w:eastAsia="宋体" w:cs="Times New Roman"/>
                <w:color w:val="0000FF"/>
                <w:w w:val="100"/>
                <w:sz w:val="24"/>
                <w:lang w:val="en-US" w:eastAsia="zh-CN"/>
              </w:rPr>
              <w:t>催化燃烧</w:t>
            </w:r>
            <w:r>
              <w:rPr>
                <w:rFonts w:hint="eastAsia" w:ascii="Times New Roman" w:hAnsi="Times New Roman" w:eastAsia="宋体" w:cs="Times New Roman"/>
                <w:color w:val="0000FF"/>
                <w:w w:val="100"/>
                <w:sz w:val="24"/>
              </w:rPr>
              <w:t>为《排污许可证申请与核发技术规范 金属铸造工业》（HJ 1115-2020）附录A中表A.1废气防治可行技术。</w:t>
            </w:r>
          </w:p>
          <w:p w14:paraId="3985B369">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表4-9 废气处理措施可行性一览表</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40"/>
              <w:gridCol w:w="968"/>
              <w:gridCol w:w="2263"/>
              <w:gridCol w:w="2237"/>
              <w:gridCol w:w="1526"/>
            </w:tblGrid>
            <w:tr w14:paraId="45D0FC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2" w:type="pct"/>
                  <w:tcBorders>
                    <w:bottom w:val="single" w:color="auto" w:sz="12" w:space="0"/>
                  </w:tcBorders>
                  <w:noWrap w:val="0"/>
                  <w:vAlign w:val="center"/>
                </w:tcPr>
                <w:p w14:paraId="233EE482">
                  <w:pPr>
                    <w:adjustRightInd w:val="0"/>
                    <w:snapToGrid w:val="0"/>
                    <w:jc w:val="center"/>
                    <w:rPr>
                      <w:b/>
                      <w:bCs/>
                      <w:color w:val="auto"/>
                      <w:sz w:val="18"/>
                      <w:szCs w:val="18"/>
                    </w:rPr>
                  </w:pPr>
                  <w:r>
                    <w:rPr>
                      <w:rFonts w:hint="eastAsia"/>
                      <w:b/>
                      <w:bCs/>
                      <w:color w:val="auto"/>
                      <w:sz w:val="18"/>
                      <w:szCs w:val="18"/>
                    </w:rPr>
                    <w:t>产污设施</w:t>
                  </w:r>
                </w:p>
              </w:tc>
              <w:tc>
                <w:tcPr>
                  <w:tcW w:w="610" w:type="pct"/>
                  <w:tcBorders>
                    <w:bottom w:val="single" w:color="auto" w:sz="12" w:space="0"/>
                  </w:tcBorders>
                  <w:noWrap w:val="0"/>
                  <w:vAlign w:val="center"/>
                </w:tcPr>
                <w:p w14:paraId="49FC9923">
                  <w:pPr>
                    <w:adjustRightInd w:val="0"/>
                    <w:snapToGrid w:val="0"/>
                    <w:jc w:val="center"/>
                    <w:rPr>
                      <w:b/>
                      <w:bCs/>
                      <w:color w:val="auto"/>
                      <w:sz w:val="18"/>
                      <w:szCs w:val="18"/>
                    </w:rPr>
                  </w:pPr>
                  <w:r>
                    <w:rPr>
                      <w:rFonts w:hint="eastAsia"/>
                      <w:b/>
                      <w:bCs/>
                      <w:color w:val="auto"/>
                      <w:sz w:val="18"/>
                      <w:szCs w:val="18"/>
                    </w:rPr>
                    <w:t>产污环节</w:t>
                  </w:r>
                </w:p>
              </w:tc>
              <w:tc>
                <w:tcPr>
                  <w:tcW w:w="1426" w:type="pct"/>
                  <w:tcBorders>
                    <w:bottom w:val="single" w:color="auto" w:sz="12" w:space="0"/>
                  </w:tcBorders>
                  <w:noWrap w:val="0"/>
                  <w:vAlign w:val="center"/>
                </w:tcPr>
                <w:p w14:paraId="595CA8FC">
                  <w:pPr>
                    <w:adjustRightInd w:val="0"/>
                    <w:snapToGrid w:val="0"/>
                    <w:jc w:val="center"/>
                    <w:rPr>
                      <w:b/>
                      <w:bCs/>
                      <w:color w:val="auto"/>
                      <w:sz w:val="18"/>
                      <w:szCs w:val="18"/>
                    </w:rPr>
                  </w:pPr>
                  <w:r>
                    <w:rPr>
                      <w:rFonts w:hint="eastAsia"/>
                      <w:b/>
                      <w:bCs/>
                      <w:color w:val="auto"/>
                      <w:sz w:val="18"/>
                      <w:szCs w:val="18"/>
                    </w:rPr>
                    <w:t>污染物</w:t>
                  </w:r>
                </w:p>
              </w:tc>
              <w:tc>
                <w:tcPr>
                  <w:tcW w:w="1409" w:type="pct"/>
                  <w:tcBorders>
                    <w:bottom w:val="single" w:color="auto" w:sz="12" w:space="0"/>
                  </w:tcBorders>
                  <w:noWrap w:val="0"/>
                  <w:vAlign w:val="center"/>
                </w:tcPr>
                <w:p w14:paraId="50EC4DAF">
                  <w:pPr>
                    <w:adjustRightInd w:val="0"/>
                    <w:snapToGrid w:val="0"/>
                    <w:jc w:val="center"/>
                    <w:rPr>
                      <w:b/>
                      <w:bCs/>
                      <w:color w:val="auto"/>
                      <w:sz w:val="18"/>
                      <w:szCs w:val="18"/>
                    </w:rPr>
                  </w:pPr>
                  <w:r>
                    <w:rPr>
                      <w:rFonts w:hint="eastAsia"/>
                      <w:b/>
                      <w:bCs/>
                      <w:color w:val="auto"/>
                      <w:sz w:val="18"/>
                      <w:szCs w:val="18"/>
                    </w:rPr>
                    <w:t>本项目治理措施</w:t>
                  </w:r>
                </w:p>
              </w:tc>
              <w:tc>
                <w:tcPr>
                  <w:tcW w:w="961" w:type="pct"/>
                  <w:tcBorders>
                    <w:bottom w:val="single" w:color="auto" w:sz="12" w:space="0"/>
                  </w:tcBorders>
                  <w:noWrap w:val="0"/>
                  <w:vAlign w:val="center"/>
                </w:tcPr>
                <w:p w14:paraId="2D63E782">
                  <w:pPr>
                    <w:adjustRightInd w:val="0"/>
                    <w:snapToGrid w:val="0"/>
                    <w:jc w:val="center"/>
                    <w:rPr>
                      <w:rFonts w:hint="eastAsia"/>
                      <w:b/>
                      <w:bCs/>
                      <w:color w:val="auto"/>
                      <w:sz w:val="18"/>
                      <w:szCs w:val="18"/>
                    </w:rPr>
                  </w:pPr>
                  <w:r>
                    <w:rPr>
                      <w:rFonts w:hint="eastAsia"/>
                      <w:b/>
                      <w:bCs/>
                      <w:color w:val="auto"/>
                      <w:sz w:val="18"/>
                      <w:szCs w:val="18"/>
                    </w:rPr>
                    <w:t>是否为可行技术</w:t>
                  </w:r>
                </w:p>
              </w:tc>
            </w:tr>
            <w:tr w14:paraId="14DA44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592" w:type="pct"/>
                  <w:tcBorders>
                    <w:top w:val="single" w:color="auto" w:sz="12" w:space="0"/>
                  </w:tcBorders>
                  <w:noWrap w:val="0"/>
                  <w:vAlign w:val="center"/>
                </w:tcPr>
                <w:p w14:paraId="4463AF41">
                  <w:pPr>
                    <w:adjustRightInd w:val="0"/>
                    <w:snapToGrid w:val="0"/>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切割机</w:t>
                  </w:r>
                </w:p>
              </w:tc>
              <w:tc>
                <w:tcPr>
                  <w:tcW w:w="610" w:type="pct"/>
                  <w:tcBorders>
                    <w:top w:val="single" w:color="auto" w:sz="12" w:space="0"/>
                  </w:tcBorders>
                  <w:noWrap w:val="0"/>
                  <w:vAlign w:val="center"/>
                </w:tcPr>
                <w:p w14:paraId="7C1DA889">
                  <w:pPr>
                    <w:adjustRightInd w:val="0"/>
                    <w:snapToGrid w:val="0"/>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切割</w:t>
                  </w:r>
                </w:p>
              </w:tc>
              <w:tc>
                <w:tcPr>
                  <w:tcW w:w="1426" w:type="pct"/>
                  <w:tcBorders>
                    <w:top w:val="single" w:color="auto" w:sz="12" w:space="0"/>
                  </w:tcBorders>
                  <w:noWrap w:val="0"/>
                  <w:vAlign w:val="center"/>
                </w:tcPr>
                <w:p w14:paraId="44444DD6">
                  <w:pPr>
                    <w:adjustRightInd w:val="0"/>
                    <w:snapToGrid w:val="0"/>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颗粒物</w:t>
                  </w:r>
                </w:p>
              </w:tc>
              <w:tc>
                <w:tcPr>
                  <w:tcW w:w="1409" w:type="pct"/>
                  <w:tcBorders>
                    <w:top w:val="single" w:color="auto" w:sz="12" w:space="0"/>
                  </w:tcBorders>
                  <w:noWrap w:val="0"/>
                  <w:vAlign w:val="center"/>
                </w:tcPr>
                <w:p w14:paraId="3C88A09B">
                  <w:pPr>
                    <w:adjustRightInd w:val="0"/>
                    <w:snapToGrid w:val="0"/>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激光切割机自带</w:t>
                  </w:r>
                  <w:r>
                    <w:rPr>
                      <w:rFonts w:hint="eastAsia" w:cs="Times New Roman"/>
                      <w:color w:val="auto"/>
                      <w:sz w:val="18"/>
                      <w:szCs w:val="18"/>
                      <w:lang w:val="en-US" w:eastAsia="zh-CN"/>
                    </w:rPr>
                    <w:t>袋</w:t>
                  </w:r>
                  <w:r>
                    <w:rPr>
                      <w:rFonts w:hint="eastAsia" w:ascii="Times New Roman" w:hAnsi="Times New Roman" w:eastAsia="宋体" w:cs="Times New Roman"/>
                      <w:color w:val="auto"/>
                      <w:sz w:val="18"/>
                      <w:szCs w:val="18"/>
                      <w:lang w:val="en-US" w:eastAsia="zh-CN"/>
                    </w:rPr>
                    <w:t>式除尘器；火焰切割机设移动式烟尘净化器</w:t>
                  </w:r>
                </w:p>
              </w:tc>
              <w:tc>
                <w:tcPr>
                  <w:tcW w:w="961" w:type="pct"/>
                  <w:tcBorders>
                    <w:top w:val="single" w:color="auto" w:sz="12" w:space="0"/>
                  </w:tcBorders>
                  <w:noWrap w:val="0"/>
                  <w:vAlign w:val="center"/>
                </w:tcPr>
                <w:p w14:paraId="3674666B">
                  <w:pPr>
                    <w:adjustRightInd w:val="0"/>
                    <w:snapToGrid w:val="0"/>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是</w:t>
                  </w:r>
                </w:p>
              </w:tc>
            </w:tr>
            <w:tr w14:paraId="1C4656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592" w:type="pct"/>
                  <w:shd w:val="clear" w:color="auto" w:fill="auto"/>
                  <w:noWrap w:val="0"/>
                  <w:vAlign w:val="center"/>
                </w:tcPr>
                <w:p w14:paraId="6FBA5D2F">
                  <w:pPr>
                    <w:adjustRightInd w:val="0"/>
                    <w:snapToGrid w:val="0"/>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焊接</w:t>
                  </w:r>
                </w:p>
                <w:p w14:paraId="1B831067">
                  <w:pPr>
                    <w:adjustRightInd w:val="0"/>
                    <w:snapToGrid w:val="0"/>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打磨机</w:t>
                  </w:r>
                </w:p>
              </w:tc>
              <w:tc>
                <w:tcPr>
                  <w:tcW w:w="610" w:type="pct"/>
                  <w:shd w:val="clear" w:color="auto" w:fill="auto"/>
                  <w:noWrap w:val="0"/>
                  <w:vAlign w:val="center"/>
                </w:tcPr>
                <w:p w14:paraId="2AE819C1">
                  <w:pPr>
                    <w:adjustRightInd w:val="0"/>
                    <w:snapToGrid w:val="0"/>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焊接</w:t>
                  </w:r>
                </w:p>
                <w:p w14:paraId="620A98B8">
                  <w:pPr>
                    <w:adjustRightInd w:val="0"/>
                    <w:snapToGrid w:val="0"/>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打磨</w:t>
                  </w:r>
                </w:p>
              </w:tc>
              <w:tc>
                <w:tcPr>
                  <w:tcW w:w="1426" w:type="pct"/>
                  <w:shd w:val="clear" w:color="auto" w:fill="auto"/>
                  <w:noWrap w:val="0"/>
                  <w:vAlign w:val="center"/>
                </w:tcPr>
                <w:p w14:paraId="09DB76A5">
                  <w:pPr>
                    <w:adjustRightInd w:val="0"/>
                    <w:snapToGrid w:val="0"/>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颗粒物</w:t>
                  </w:r>
                </w:p>
              </w:tc>
              <w:tc>
                <w:tcPr>
                  <w:tcW w:w="1409" w:type="pct"/>
                  <w:shd w:val="clear" w:color="auto" w:fill="auto"/>
                  <w:noWrap w:val="0"/>
                  <w:vAlign w:val="center"/>
                </w:tcPr>
                <w:p w14:paraId="6DCAE9E6">
                  <w:pPr>
                    <w:adjustRightInd w:val="0"/>
                    <w:snapToGrid w:val="0"/>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高效集气设施+</w:t>
                  </w:r>
                  <w:r>
                    <w:rPr>
                      <w:rFonts w:hint="eastAsia" w:ascii="Times New Roman" w:hAnsi="Times New Roman" w:eastAsia="宋体" w:cs="Times New Roman"/>
                      <w:color w:val="0000FF"/>
                      <w:sz w:val="18"/>
                      <w:szCs w:val="18"/>
                      <w:lang w:val="en-US" w:eastAsia="zh-CN"/>
                    </w:rPr>
                    <w:t>气箱式脉冲袋式除尘器</w:t>
                  </w:r>
                </w:p>
              </w:tc>
              <w:tc>
                <w:tcPr>
                  <w:tcW w:w="961" w:type="pct"/>
                  <w:shd w:val="clear" w:color="auto" w:fill="auto"/>
                  <w:noWrap w:val="0"/>
                  <w:vAlign w:val="center"/>
                </w:tcPr>
                <w:p w14:paraId="6F154A6A">
                  <w:pPr>
                    <w:adjustRightInd w:val="0"/>
                    <w:snapToGrid w:val="0"/>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是</w:t>
                  </w:r>
                </w:p>
              </w:tc>
            </w:tr>
            <w:tr w14:paraId="729EB1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592" w:type="pct"/>
                  <w:shd w:val="clear" w:color="auto" w:fill="auto"/>
                  <w:noWrap w:val="0"/>
                  <w:vAlign w:val="center"/>
                </w:tcPr>
                <w:p w14:paraId="46AA2940">
                  <w:pPr>
                    <w:adjustRightInd w:val="0"/>
                    <w:snapToGrid w:val="0"/>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抛丸机</w:t>
                  </w:r>
                </w:p>
              </w:tc>
              <w:tc>
                <w:tcPr>
                  <w:tcW w:w="610" w:type="pct"/>
                  <w:shd w:val="clear" w:color="auto" w:fill="auto"/>
                  <w:noWrap w:val="0"/>
                  <w:vAlign w:val="center"/>
                </w:tcPr>
                <w:p w14:paraId="566BE6DB">
                  <w:pPr>
                    <w:adjustRightInd w:val="0"/>
                    <w:snapToGrid w:val="0"/>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抛丸</w:t>
                  </w:r>
                </w:p>
              </w:tc>
              <w:tc>
                <w:tcPr>
                  <w:tcW w:w="1426" w:type="pct"/>
                  <w:shd w:val="clear" w:color="auto" w:fill="auto"/>
                  <w:noWrap w:val="0"/>
                  <w:vAlign w:val="center"/>
                </w:tcPr>
                <w:p w14:paraId="6899126B">
                  <w:pPr>
                    <w:adjustRightInd w:val="0"/>
                    <w:snapToGrid w:val="0"/>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颗粒物</w:t>
                  </w:r>
                </w:p>
              </w:tc>
              <w:tc>
                <w:tcPr>
                  <w:tcW w:w="1409" w:type="pct"/>
                  <w:shd w:val="clear" w:color="auto" w:fill="auto"/>
                  <w:noWrap w:val="0"/>
                  <w:vAlign w:val="center"/>
                </w:tcPr>
                <w:p w14:paraId="0BF5073F">
                  <w:pPr>
                    <w:adjustRightInd w:val="0"/>
                    <w:snapToGrid w:val="0"/>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密闭负压+</w:t>
                  </w:r>
                  <w:r>
                    <w:rPr>
                      <w:rFonts w:hint="eastAsia" w:ascii="Times New Roman" w:hAnsi="Times New Roman" w:eastAsia="宋体" w:cs="Times New Roman"/>
                      <w:color w:val="0000FF"/>
                      <w:sz w:val="18"/>
                      <w:szCs w:val="18"/>
                      <w:lang w:val="en-US" w:eastAsia="zh-CN"/>
                    </w:rPr>
                    <w:t>气箱式脉冲袋式除尘器</w:t>
                  </w:r>
                </w:p>
              </w:tc>
              <w:tc>
                <w:tcPr>
                  <w:tcW w:w="961" w:type="pct"/>
                  <w:shd w:val="clear" w:color="auto" w:fill="auto"/>
                  <w:noWrap w:val="0"/>
                  <w:vAlign w:val="center"/>
                </w:tcPr>
                <w:p w14:paraId="2586C024">
                  <w:pPr>
                    <w:adjustRightInd w:val="0"/>
                    <w:snapToGrid w:val="0"/>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是</w:t>
                  </w:r>
                </w:p>
              </w:tc>
            </w:tr>
            <w:tr w14:paraId="62A673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592" w:type="pct"/>
                  <w:noWrap w:val="0"/>
                  <w:vAlign w:val="center"/>
                </w:tcPr>
                <w:p w14:paraId="5CF1A6BD">
                  <w:pPr>
                    <w:adjustRightInd w:val="0"/>
                    <w:snapToGrid w:val="0"/>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涂装</w:t>
                  </w:r>
                </w:p>
              </w:tc>
              <w:tc>
                <w:tcPr>
                  <w:tcW w:w="610" w:type="pct"/>
                  <w:noWrap w:val="0"/>
                  <w:vAlign w:val="center"/>
                </w:tcPr>
                <w:p w14:paraId="010FB82A">
                  <w:pPr>
                    <w:adjustRightInd w:val="0"/>
                    <w:snapToGrid w:val="0"/>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调漆</w:t>
                  </w:r>
                </w:p>
                <w:p w14:paraId="475F10AF">
                  <w:pPr>
                    <w:adjustRightInd w:val="0"/>
                    <w:snapToGrid w:val="0"/>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喷漆</w:t>
                  </w:r>
                </w:p>
                <w:p w14:paraId="4035D8CE">
                  <w:pPr>
                    <w:adjustRightInd w:val="0"/>
                    <w:snapToGrid w:val="0"/>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晾干</w:t>
                  </w:r>
                </w:p>
              </w:tc>
              <w:tc>
                <w:tcPr>
                  <w:tcW w:w="1426" w:type="pct"/>
                  <w:noWrap w:val="0"/>
                  <w:vAlign w:val="center"/>
                </w:tcPr>
                <w:p w14:paraId="47E08CC1">
                  <w:pPr>
                    <w:adjustRightInd w:val="0"/>
                    <w:snapToGrid w:val="0"/>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漆雾（颗粒物）、挥发性有机物（非甲烷总烃计）</w:t>
                  </w:r>
                </w:p>
              </w:tc>
              <w:tc>
                <w:tcPr>
                  <w:tcW w:w="1409" w:type="pct"/>
                  <w:noWrap w:val="0"/>
                  <w:vAlign w:val="center"/>
                </w:tcPr>
                <w:p w14:paraId="4FDE8232">
                  <w:pPr>
                    <w:adjustRightInd w:val="0"/>
                    <w:snapToGrid w:val="0"/>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密闭负压+干式漆雾过滤模组+活性炭吸附-脱附+催化燃烧装置</w:t>
                  </w:r>
                </w:p>
              </w:tc>
              <w:tc>
                <w:tcPr>
                  <w:tcW w:w="961" w:type="pct"/>
                  <w:noWrap w:val="0"/>
                  <w:vAlign w:val="center"/>
                </w:tcPr>
                <w:p w14:paraId="7A741C9E">
                  <w:pPr>
                    <w:adjustRightInd w:val="0"/>
                    <w:snapToGrid w:val="0"/>
                    <w:jc w:val="center"/>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是</w:t>
                  </w:r>
                </w:p>
              </w:tc>
            </w:tr>
          </w:tbl>
          <w:p w14:paraId="64C65E95">
            <w:pPr>
              <w:keepNext w:val="0"/>
              <w:keepLines w:val="0"/>
              <w:pageBreakBefore w:val="0"/>
              <w:widowControl w:val="0"/>
              <w:kinsoku/>
              <w:wordWrap/>
              <w:overflowPunct/>
              <w:topLinePunct w:val="0"/>
              <w:autoSpaceDE/>
              <w:autoSpaceDN/>
              <w:bidi w:val="0"/>
              <w:adjustRightInd/>
              <w:snapToGrid/>
              <w:spacing w:before="157" w:beforeLines="50" w:line="348"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fldChar w:fldCharType="begin"/>
            </w:r>
            <w:r>
              <w:rPr>
                <w:rFonts w:hint="eastAsia" w:ascii="Times New Roman" w:hAnsi="Times New Roman" w:eastAsia="宋体" w:cs="Times New Roman"/>
                <w:color w:val="auto"/>
                <w:sz w:val="24"/>
              </w:rPr>
              <w:instrText xml:space="preserve"> = 3 \* GB3 \* MERGEFORMAT </w:instrText>
            </w:r>
            <w:r>
              <w:rPr>
                <w:rFonts w:hint="eastAsia" w:ascii="Times New Roman" w:hAnsi="Times New Roman" w:eastAsia="宋体" w:cs="Times New Roman"/>
                <w:color w:val="auto"/>
                <w:sz w:val="24"/>
              </w:rPr>
              <w:fldChar w:fldCharType="separate"/>
            </w:r>
            <w:r>
              <w:rPr>
                <w:rFonts w:hint="eastAsia" w:ascii="Times New Roman" w:hAnsi="Times New Roman" w:eastAsia="宋体" w:cs="Times New Roman"/>
                <w:color w:val="auto"/>
                <w:sz w:val="24"/>
              </w:rPr>
              <w:t>③</w:t>
            </w:r>
            <w:r>
              <w:rPr>
                <w:rFonts w:hint="eastAsia" w:ascii="Times New Roman" w:hAnsi="Times New Roman" w:eastAsia="宋体" w:cs="Times New Roman"/>
                <w:color w:val="auto"/>
                <w:sz w:val="24"/>
              </w:rPr>
              <w:fldChar w:fldCharType="end"/>
            </w:r>
            <w:r>
              <w:rPr>
                <w:rFonts w:hint="eastAsia" w:ascii="Times New Roman" w:hAnsi="Times New Roman" w:eastAsia="宋体" w:cs="Times New Roman"/>
                <w:color w:val="auto"/>
                <w:sz w:val="24"/>
              </w:rPr>
              <w:t>无组织废气</w:t>
            </w:r>
            <w:r>
              <w:rPr>
                <w:rFonts w:hint="eastAsia" w:ascii="Times New Roman" w:hAnsi="Times New Roman" w:eastAsia="宋体" w:cs="Times New Roman"/>
                <w:color w:val="auto"/>
                <w:sz w:val="24"/>
                <w:lang w:val="en-US" w:eastAsia="zh-CN"/>
              </w:rPr>
              <w:t>污染</w:t>
            </w:r>
            <w:r>
              <w:rPr>
                <w:rFonts w:hint="eastAsia" w:ascii="Times New Roman" w:hAnsi="Times New Roman" w:eastAsia="宋体" w:cs="Times New Roman"/>
                <w:color w:val="auto"/>
                <w:sz w:val="24"/>
              </w:rPr>
              <w:t>防治措施</w:t>
            </w:r>
          </w:p>
          <w:p w14:paraId="20411394">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为进一步降低本项目无组织废气的影响，本次评价提出无组织废气</w:t>
            </w:r>
            <w:r>
              <w:rPr>
                <w:rFonts w:hint="eastAsia" w:ascii="Times New Roman" w:hAnsi="Times New Roman" w:eastAsia="宋体" w:cs="Times New Roman"/>
                <w:color w:val="auto"/>
                <w:sz w:val="24"/>
                <w:lang w:val="en-US" w:eastAsia="zh-CN"/>
              </w:rPr>
              <w:t>污染</w:t>
            </w:r>
            <w:r>
              <w:rPr>
                <w:rFonts w:hint="eastAsia" w:ascii="Times New Roman" w:hAnsi="Times New Roman" w:eastAsia="宋体" w:cs="Times New Roman"/>
                <w:color w:val="auto"/>
                <w:sz w:val="24"/>
              </w:rPr>
              <w:t>防治措施如下：</w:t>
            </w:r>
          </w:p>
          <w:p w14:paraId="6B76FD93">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A.</w:t>
            </w:r>
            <w:r>
              <w:rPr>
                <w:rFonts w:hint="eastAsia" w:cs="Times New Roman"/>
                <w:color w:val="auto"/>
                <w:sz w:val="24"/>
                <w:lang w:val="en-US" w:eastAsia="zh-CN"/>
              </w:rPr>
              <w:t>使用低VOC</w:t>
            </w:r>
            <w:r>
              <w:rPr>
                <w:rFonts w:hint="eastAsia" w:cs="Times New Roman"/>
                <w:color w:val="auto"/>
                <w:sz w:val="24"/>
                <w:vertAlign w:val="subscript"/>
                <w:lang w:val="en-US" w:eastAsia="zh-CN"/>
              </w:rPr>
              <w:t>S</w:t>
            </w:r>
            <w:r>
              <w:rPr>
                <w:rFonts w:hint="eastAsia" w:cs="Times New Roman"/>
                <w:color w:val="auto"/>
                <w:sz w:val="24"/>
                <w:lang w:val="en-US" w:eastAsia="zh-CN"/>
              </w:rPr>
              <w:t>含量的涂料，采用静电喷涂高效率的涂装</w:t>
            </w:r>
            <w:r>
              <w:rPr>
                <w:rFonts w:hint="eastAsia" w:eastAsia="宋体" w:cs="Times New Roman"/>
                <w:color w:val="auto"/>
                <w:sz w:val="24"/>
                <w:lang w:val="en-US" w:eastAsia="zh-CN"/>
              </w:rPr>
              <w:t>工艺，涂装工序（调漆、喷漆、晾干）均在密闭喷漆房内进行。</w:t>
            </w:r>
          </w:p>
          <w:p w14:paraId="3DAE27D1">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eastAsia="宋体" w:cs="Times New Roman"/>
                <w:color w:val="auto"/>
                <w:sz w:val="24"/>
                <w:lang w:eastAsia="zh-CN"/>
              </w:rPr>
            </w:pPr>
            <w:r>
              <w:rPr>
                <w:rFonts w:hint="eastAsia" w:eastAsia="宋体" w:cs="Times New Roman"/>
                <w:color w:val="auto"/>
                <w:sz w:val="24"/>
                <w:lang w:val="en-US" w:eastAsia="zh-CN"/>
              </w:rPr>
              <w:t>B.</w:t>
            </w:r>
            <w:r>
              <w:rPr>
                <w:rFonts w:hint="eastAsia" w:ascii="Times New Roman" w:hAnsi="Times New Roman" w:eastAsia="宋体" w:cs="Times New Roman"/>
                <w:color w:val="auto"/>
                <w:sz w:val="24"/>
              </w:rPr>
              <w:t>本项目使用的涂料采用密封桶装在油漆库内储存，VOC</w:t>
            </w:r>
            <w:r>
              <w:rPr>
                <w:rFonts w:hint="eastAsia" w:ascii="Times New Roman" w:hAnsi="Times New Roman" w:eastAsia="宋体" w:cs="Times New Roman"/>
                <w:color w:val="auto"/>
                <w:sz w:val="24"/>
                <w:vertAlign w:val="subscript"/>
              </w:rPr>
              <w:t>S</w:t>
            </w:r>
            <w:r>
              <w:rPr>
                <w:rFonts w:hint="eastAsia" w:ascii="Times New Roman" w:hAnsi="Times New Roman" w:eastAsia="宋体" w:cs="Times New Roman"/>
                <w:color w:val="auto"/>
                <w:sz w:val="24"/>
              </w:rPr>
              <w:t>收集、处理系统均为密闭装置</w:t>
            </w:r>
            <w:r>
              <w:rPr>
                <w:rFonts w:hint="eastAsia" w:eastAsia="宋体" w:cs="Times New Roman"/>
                <w:color w:val="auto"/>
                <w:sz w:val="24"/>
                <w:lang w:eastAsia="zh-CN"/>
              </w:rPr>
              <w:t>。</w:t>
            </w:r>
          </w:p>
          <w:p w14:paraId="09A0EED5">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C</w:t>
            </w:r>
            <w:r>
              <w:rPr>
                <w:rFonts w:hint="eastAsia" w:ascii="Times New Roman" w:hAnsi="Times New Roman" w:eastAsia="宋体" w:cs="Times New Roman"/>
                <w:color w:val="auto"/>
                <w:sz w:val="24"/>
              </w:rPr>
              <w:t>.</w:t>
            </w:r>
            <w:r>
              <w:rPr>
                <w:rFonts w:hint="eastAsia" w:eastAsia="宋体" w:cs="Times New Roman"/>
                <w:color w:val="auto"/>
                <w:sz w:val="24"/>
                <w:lang w:val="en-US" w:eastAsia="zh-CN"/>
              </w:rPr>
              <w:t>喷漆房工作时保持负压状态，涂装废气密闭负压收集，减少废气的无组织排放与逸散，并对收集的废气进行处理后达标排放。</w:t>
            </w:r>
          </w:p>
          <w:p w14:paraId="781BF712">
            <w:pPr>
              <w:keepNext w:val="0"/>
              <w:keepLines w:val="0"/>
              <w:pageBreakBefore w:val="0"/>
              <w:widowControl w:val="0"/>
              <w:kinsoku/>
              <w:wordWrap/>
              <w:overflowPunct/>
              <w:topLinePunct w:val="0"/>
              <w:autoSpaceDE/>
              <w:autoSpaceDN/>
              <w:bidi w:val="0"/>
              <w:adjustRightInd/>
              <w:snapToGrid/>
              <w:spacing w:before="157" w:beforeLines="50" w:line="348" w:lineRule="auto"/>
              <w:ind w:firstLine="480" w:firstLineChars="200"/>
              <w:textAlignment w:val="auto"/>
              <w:rPr>
                <w:rFonts w:hint="eastAsia" w:ascii="Times New Roman" w:hAnsi="Times New Roman" w:eastAsia="宋体" w:cs="Times New Roman"/>
                <w:color w:val="auto"/>
                <w:sz w:val="24"/>
              </w:rPr>
            </w:pPr>
            <w:r>
              <w:rPr>
                <w:rFonts w:hint="eastAsia" w:cs="Times New Roman"/>
                <w:color w:val="auto"/>
                <w:sz w:val="24"/>
                <w:lang w:val="en-US" w:eastAsia="zh-CN"/>
              </w:rPr>
              <w:t>D.</w:t>
            </w:r>
            <w:r>
              <w:rPr>
                <w:rFonts w:hint="eastAsia" w:ascii="Times New Roman" w:hAnsi="Times New Roman" w:eastAsia="宋体" w:cs="Times New Roman"/>
                <w:color w:val="auto"/>
                <w:sz w:val="24"/>
                <w:lang w:val="en-US" w:eastAsia="zh-CN"/>
              </w:rPr>
              <w:t>切割、</w:t>
            </w:r>
            <w:r>
              <w:rPr>
                <w:rFonts w:hint="eastAsia" w:ascii="Times New Roman" w:hAnsi="Times New Roman" w:eastAsia="宋体" w:cs="Times New Roman"/>
                <w:color w:val="auto"/>
                <w:sz w:val="24"/>
              </w:rPr>
              <w:t>焊接</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打磨、</w:t>
            </w:r>
            <w:r>
              <w:rPr>
                <w:rFonts w:hint="eastAsia" w:ascii="Times New Roman" w:hAnsi="Times New Roman" w:eastAsia="宋体" w:cs="Times New Roman"/>
                <w:color w:val="auto"/>
                <w:sz w:val="24"/>
              </w:rPr>
              <w:t>抛丸</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涂装</w:t>
            </w:r>
            <w:r>
              <w:rPr>
                <w:rFonts w:hint="eastAsia" w:ascii="Times New Roman" w:hAnsi="Times New Roman" w:eastAsia="宋体" w:cs="Times New Roman"/>
                <w:color w:val="auto"/>
                <w:sz w:val="24"/>
              </w:rPr>
              <w:t>等产生含颗粒物</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有机废气</w:t>
            </w:r>
            <w:r>
              <w:rPr>
                <w:rFonts w:hint="eastAsia" w:ascii="Times New Roman" w:hAnsi="Times New Roman" w:eastAsia="宋体" w:cs="Times New Roman"/>
                <w:color w:val="auto"/>
                <w:sz w:val="24"/>
              </w:rPr>
              <w:t>的工序，应采用密闭设备或者在密闭空间内操作，废气</w:t>
            </w:r>
            <w:r>
              <w:rPr>
                <w:rFonts w:hint="eastAsia" w:ascii="Times New Roman" w:hAnsi="Times New Roman" w:eastAsia="宋体" w:cs="Times New Roman"/>
                <w:color w:val="auto"/>
                <w:sz w:val="24"/>
                <w:lang w:val="en-US" w:eastAsia="zh-CN"/>
              </w:rPr>
              <w:t>进入到</w:t>
            </w:r>
            <w:r>
              <w:rPr>
                <w:rFonts w:hint="eastAsia" w:ascii="Times New Roman" w:hAnsi="Times New Roman" w:eastAsia="宋体" w:cs="Times New Roman"/>
                <w:color w:val="auto"/>
                <w:sz w:val="24"/>
              </w:rPr>
              <w:t>废气处理系统；无法密闭的，应安装废气收集设施</w:t>
            </w:r>
            <w:r>
              <w:rPr>
                <w:rFonts w:hint="eastAsia" w:ascii="Times New Roman" w:hAnsi="Times New Roman" w:eastAsia="宋体" w:cs="Times New Roman"/>
                <w:color w:val="auto"/>
                <w:sz w:val="24"/>
                <w:lang w:val="en-US" w:eastAsia="zh-CN"/>
              </w:rPr>
              <w:t>进入到</w:t>
            </w:r>
            <w:r>
              <w:rPr>
                <w:rFonts w:hint="eastAsia" w:ascii="Times New Roman" w:hAnsi="Times New Roman" w:eastAsia="宋体" w:cs="Times New Roman"/>
                <w:color w:val="auto"/>
                <w:sz w:val="24"/>
              </w:rPr>
              <w:t>废气处理系统。</w:t>
            </w:r>
          </w:p>
          <w:p w14:paraId="76FF2726">
            <w:pPr>
              <w:keepNext w:val="0"/>
              <w:keepLines w:val="0"/>
              <w:pageBreakBefore w:val="0"/>
              <w:widowControl w:val="0"/>
              <w:kinsoku/>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rPr>
            </w:pPr>
            <w:r>
              <w:rPr>
                <w:rFonts w:hint="eastAsia" w:cs="Times New Roman"/>
                <w:color w:val="auto"/>
                <w:sz w:val="24"/>
                <w:lang w:val="en-US" w:eastAsia="zh-CN"/>
              </w:rPr>
              <w:t>E.</w:t>
            </w:r>
            <w:r>
              <w:rPr>
                <w:rFonts w:hint="eastAsia" w:ascii="Times New Roman" w:hAnsi="Times New Roman" w:eastAsia="宋体" w:cs="Times New Roman"/>
                <w:color w:val="auto"/>
                <w:sz w:val="24"/>
              </w:rPr>
              <w:t>通风生产设备、操作工位、车间厂房等应在符合安全生产、职业卫生相关规定的前提下，根据行业作业规程与标准、工业建筑及洁净厂房通风设计规范等要求，采用合理的通风量。</w:t>
            </w:r>
          </w:p>
          <w:p w14:paraId="398D4C3E">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F.</w:t>
            </w:r>
            <w:r>
              <w:rPr>
                <w:rFonts w:hint="eastAsia" w:ascii="Times New Roman" w:hAnsi="Times New Roman" w:eastAsia="宋体" w:cs="Times New Roman"/>
                <w:color w:val="auto"/>
                <w:sz w:val="24"/>
              </w:rPr>
              <w:t>除尘器布袋卸灰不应直接卸落到地面，卸灰口应采取密闭</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除尘灰采取密闭措施收集、存放和运输。</w:t>
            </w:r>
          </w:p>
          <w:p w14:paraId="49DEE2B3">
            <w:pPr>
              <w:keepNext w:val="0"/>
              <w:keepLines w:val="0"/>
              <w:pageBreakBefore w:val="0"/>
              <w:widowControl w:val="0"/>
              <w:kinsoku/>
              <w:overflowPunct/>
              <w:topLinePunct w:val="0"/>
              <w:autoSpaceDE/>
              <w:autoSpaceDN/>
              <w:bidi w:val="0"/>
              <w:adjustRightInd/>
              <w:snapToGrid/>
              <w:spacing w:line="348" w:lineRule="auto"/>
              <w:ind w:firstLine="456" w:firstLineChars="200"/>
              <w:textAlignment w:val="auto"/>
              <w:rPr>
                <w:rFonts w:hint="eastAsia" w:ascii="Times New Roman" w:hAnsi="Times New Roman" w:eastAsia="宋体" w:cs="Times New Roman"/>
                <w:color w:val="auto"/>
                <w:spacing w:val="-6"/>
                <w:sz w:val="24"/>
              </w:rPr>
            </w:pPr>
            <w:r>
              <w:rPr>
                <w:rFonts w:hint="eastAsia" w:ascii="Times New Roman" w:hAnsi="Times New Roman" w:eastAsia="宋体" w:cs="Times New Roman"/>
                <w:color w:val="auto"/>
                <w:spacing w:val="-6"/>
                <w:sz w:val="24"/>
              </w:rPr>
              <w:t>通过采取上述措施后，有组织排放污染物颗粒物、非甲烷总烃</w:t>
            </w:r>
            <w:r>
              <w:rPr>
                <w:rFonts w:hint="eastAsia" w:ascii="Times New Roman" w:hAnsi="Times New Roman" w:eastAsia="宋体" w:cs="Times New Roman"/>
                <w:color w:val="auto"/>
                <w:spacing w:val="-6"/>
                <w:sz w:val="24"/>
                <w:lang w:eastAsia="zh-CN"/>
              </w:rPr>
              <w:t>、</w:t>
            </w:r>
            <w:r>
              <w:rPr>
                <w:rFonts w:hint="eastAsia" w:ascii="Times New Roman" w:hAnsi="Times New Roman" w:eastAsia="宋体" w:cs="Times New Roman"/>
                <w:color w:val="auto"/>
                <w:spacing w:val="-6"/>
                <w:sz w:val="24"/>
              </w:rPr>
              <w:t>甲苯及二甲苯</w:t>
            </w:r>
            <w:r>
              <w:rPr>
                <w:rFonts w:hint="eastAsia" w:ascii="Times New Roman" w:hAnsi="Times New Roman" w:eastAsia="宋体" w:cs="Times New Roman"/>
                <w:color w:val="auto"/>
                <w:spacing w:val="-6"/>
                <w:sz w:val="24"/>
                <w:lang w:val="en-US" w:eastAsia="zh-CN"/>
              </w:rPr>
              <w:t>浓度</w:t>
            </w:r>
            <w:r>
              <w:rPr>
                <w:rFonts w:hint="eastAsia" w:ascii="Times New Roman" w:hAnsi="Times New Roman" w:eastAsia="宋体" w:cs="Times New Roman"/>
                <w:color w:val="auto"/>
                <w:spacing w:val="-6"/>
                <w:sz w:val="24"/>
              </w:rPr>
              <w:t>满足《大气污染物综合排放标准》（GB16297-1996）</w:t>
            </w:r>
            <w:r>
              <w:rPr>
                <w:rFonts w:hint="eastAsia" w:ascii="Times New Roman" w:hAnsi="Times New Roman" w:eastAsia="宋体" w:cs="Times New Roman"/>
                <w:color w:val="auto"/>
                <w:spacing w:val="-6"/>
                <w:sz w:val="24"/>
                <w:lang w:val="en-US" w:eastAsia="zh-CN"/>
              </w:rPr>
              <w:t>表2</w:t>
            </w:r>
            <w:r>
              <w:rPr>
                <w:rFonts w:hint="eastAsia" w:ascii="Times New Roman" w:hAnsi="Times New Roman" w:eastAsia="宋体" w:cs="Times New Roman"/>
                <w:color w:val="auto"/>
                <w:spacing w:val="-6"/>
                <w:sz w:val="24"/>
              </w:rPr>
              <w:t>新污染源大气污染物二级排放限值</w:t>
            </w:r>
            <w:r>
              <w:rPr>
                <w:rFonts w:hint="eastAsia" w:cs="Times New Roman"/>
                <w:color w:val="auto"/>
                <w:spacing w:val="-6"/>
                <w:sz w:val="24"/>
                <w:lang w:val="en-US" w:eastAsia="zh-CN"/>
              </w:rPr>
              <w:t>要求</w:t>
            </w:r>
            <w:r>
              <w:rPr>
                <w:rFonts w:hint="eastAsia" w:ascii="Times New Roman" w:hAnsi="Times New Roman" w:eastAsia="宋体" w:cs="Times New Roman"/>
                <w:color w:val="auto"/>
                <w:spacing w:val="-6"/>
                <w:sz w:val="24"/>
              </w:rPr>
              <w:t>，厂界无组织排放颗粒物、非甲烷总烃</w:t>
            </w:r>
            <w:r>
              <w:rPr>
                <w:rFonts w:hint="eastAsia" w:ascii="Times New Roman" w:hAnsi="Times New Roman" w:eastAsia="宋体" w:cs="Times New Roman"/>
                <w:color w:val="auto"/>
                <w:spacing w:val="-6"/>
                <w:sz w:val="24"/>
                <w:lang w:eastAsia="zh-CN"/>
              </w:rPr>
              <w:t>、</w:t>
            </w:r>
            <w:r>
              <w:rPr>
                <w:rFonts w:hint="eastAsia" w:ascii="Times New Roman" w:hAnsi="Times New Roman" w:eastAsia="宋体" w:cs="Times New Roman"/>
                <w:color w:val="auto"/>
                <w:spacing w:val="-6"/>
                <w:sz w:val="24"/>
              </w:rPr>
              <w:t>甲苯及二甲苯</w:t>
            </w:r>
            <w:r>
              <w:rPr>
                <w:rFonts w:hint="eastAsia" w:ascii="Times New Roman" w:hAnsi="Times New Roman" w:eastAsia="宋体" w:cs="Times New Roman"/>
                <w:color w:val="auto"/>
                <w:spacing w:val="-6"/>
                <w:sz w:val="24"/>
                <w:lang w:val="en-US" w:eastAsia="zh-CN"/>
              </w:rPr>
              <w:t>浓度</w:t>
            </w:r>
            <w:r>
              <w:rPr>
                <w:rFonts w:hint="eastAsia" w:ascii="Times New Roman" w:hAnsi="Times New Roman" w:eastAsia="宋体" w:cs="Times New Roman"/>
                <w:color w:val="auto"/>
                <w:spacing w:val="-6"/>
                <w:sz w:val="24"/>
              </w:rPr>
              <w:t>满足《大气污染物综合排放标准》（GB16297-1996）表2无组织排放监控浓度限值</w:t>
            </w:r>
            <w:r>
              <w:rPr>
                <w:rFonts w:hint="eastAsia" w:cs="Times New Roman"/>
                <w:color w:val="auto"/>
                <w:spacing w:val="-6"/>
                <w:sz w:val="24"/>
                <w:lang w:val="en-US" w:eastAsia="zh-CN"/>
              </w:rPr>
              <w:t>要求</w:t>
            </w:r>
            <w:r>
              <w:rPr>
                <w:rFonts w:hint="eastAsia" w:ascii="Times New Roman" w:hAnsi="Times New Roman" w:eastAsia="宋体" w:cs="Times New Roman"/>
                <w:color w:val="auto"/>
                <w:spacing w:val="-6"/>
                <w:sz w:val="24"/>
              </w:rPr>
              <w:t>，</w:t>
            </w:r>
            <w:r>
              <w:rPr>
                <w:rFonts w:hint="eastAsia" w:ascii="Times New Roman" w:hAnsi="Times New Roman" w:eastAsia="宋体" w:cs="Times New Roman"/>
                <w:color w:val="auto"/>
                <w:spacing w:val="-6"/>
                <w:sz w:val="24"/>
                <w:lang w:val="en-US" w:eastAsia="zh-CN"/>
              </w:rPr>
              <w:t>厂区内</w:t>
            </w:r>
            <w:r>
              <w:rPr>
                <w:rFonts w:hint="eastAsia" w:ascii="Times New Roman" w:hAnsi="Times New Roman" w:eastAsia="宋体" w:cs="Times New Roman"/>
                <w:color w:val="auto"/>
                <w:spacing w:val="-6"/>
                <w:sz w:val="24"/>
              </w:rPr>
              <w:t>VOC</w:t>
            </w:r>
            <w:r>
              <w:rPr>
                <w:rFonts w:hint="eastAsia" w:ascii="Times New Roman" w:hAnsi="Times New Roman" w:eastAsia="宋体" w:cs="Times New Roman"/>
                <w:color w:val="auto"/>
                <w:spacing w:val="-6"/>
                <w:sz w:val="24"/>
                <w:vertAlign w:val="subscript"/>
              </w:rPr>
              <w:t>S</w:t>
            </w:r>
            <w:r>
              <w:rPr>
                <w:rFonts w:hint="eastAsia" w:ascii="Times New Roman" w:hAnsi="Times New Roman" w:eastAsia="宋体" w:cs="Times New Roman"/>
                <w:color w:val="auto"/>
                <w:spacing w:val="-6"/>
                <w:sz w:val="24"/>
              </w:rPr>
              <w:t>无组织排放满足《挥发性有机物无组织排放控制标准》（GB37822-2019）</w:t>
            </w:r>
            <w:r>
              <w:rPr>
                <w:rFonts w:hint="eastAsia" w:cs="Times New Roman"/>
                <w:color w:val="auto"/>
                <w:spacing w:val="-6"/>
                <w:sz w:val="24"/>
                <w:lang w:val="en-US" w:eastAsia="zh-CN"/>
              </w:rPr>
              <w:t>附录A</w:t>
            </w:r>
            <w:r>
              <w:rPr>
                <w:rFonts w:hint="eastAsia" w:ascii="Times New Roman" w:hAnsi="Times New Roman" w:eastAsia="宋体" w:cs="Times New Roman"/>
                <w:color w:val="auto"/>
                <w:spacing w:val="-6"/>
                <w:sz w:val="24"/>
              </w:rPr>
              <w:t>表A.1厂区内</w:t>
            </w:r>
            <w:r>
              <w:rPr>
                <w:rFonts w:hint="eastAsia" w:cs="Times New Roman"/>
                <w:color w:val="auto"/>
                <w:spacing w:val="-6"/>
                <w:sz w:val="24"/>
                <w:lang w:val="en-US" w:eastAsia="zh-CN"/>
              </w:rPr>
              <w:t>VOC</w:t>
            </w:r>
            <w:r>
              <w:rPr>
                <w:rFonts w:hint="eastAsia" w:cs="Times New Roman"/>
                <w:color w:val="auto"/>
                <w:spacing w:val="-6"/>
                <w:sz w:val="24"/>
                <w:vertAlign w:val="subscript"/>
                <w:lang w:val="en-US" w:eastAsia="zh-CN"/>
              </w:rPr>
              <w:t>S</w:t>
            </w:r>
            <w:r>
              <w:rPr>
                <w:rFonts w:hint="eastAsia" w:ascii="Times New Roman" w:hAnsi="Times New Roman" w:eastAsia="宋体" w:cs="Times New Roman"/>
                <w:color w:val="auto"/>
                <w:spacing w:val="-6"/>
                <w:sz w:val="24"/>
              </w:rPr>
              <w:t>无组织特别排放限值要求。</w:t>
            </w:r>
          </w:p>
          <w:p w14:paraId="4F37C35E">
            <w:pPr>
              <w:keepNext w:val="0"/>
              <w:keepLines w:val="0"/>
              <w:pageBreakBefore w:val="0"/>
              <w:widowControl w:val="0"/>
              <w:kinsoku/>
              <w:wordWrap w:val="0"/>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（4）废气监测计划</w:t>
            </w:r>
          </w:p>
          <w:p w14:paraId="6C25A736">
            <w:pPr>
              <w:keepNext w:val="0"/>
              <w:keepLines w:val="0"/>
              <w:pageBreakBefore w:val="0"/>
              <w:widowControl w:val="0"/>
              <w:kinsoku/>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参照《排污单位自行监测技术指南 总则》（HJ819-2017）、《排污单位自行监测技术指南 涂装》（HJ 1086-2020）和《排污许可证申请与核发技术规范 金属铸造工业》（HJ 1115-2020）执行。本项目废气监测计划见表</w:t>
            </w:r>
            <w:r>
              <w:rPr>
                <w:rFonts w:hint="eastAsia" w:ascii="Times New Roman" w:hAnsi="Times New Roman" w:eastAsia="宋体" w:cs="Times New Roman"/>
                <w:color w:val="auto"/>
                <w:sz w:val="24"/>
                <w:lang w:val="en-US" w:eastAsia="zh-CN"/>
              </w:rPr>
              <w:t>4-10</w:t>
            </w:r>
            <w:r>
              <w:rPr>
                <w:rFonts w:hint="eastAsia" w:ascii="Times New Roman" w:hAnsi="Times New Roman" w:eastAsia="宋体" w:cs="Times New Roman"/>
                <w:color w:val="auto"/>
                <w:sz w:val="24"/>
              </w:rPr>
              <w:t>。</w:t>
            </w:r>
          </w:p>
          <w:p w14:paraId="2D41E8E1">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表4-10 项目运营期大气污染物监测计划</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74"/>
              <w:gridCol w:w="1235"/>
              <w:gridCol w:w="1189"/>
              <w:gridCol w:w="1514"/>
              <w:gridCol w:w="1472"/>
              <w:gridCol w:w="1150"/>
            </w:tblGrid>
            <w:tr w14:paraId="5A4DFB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65" w:type="pct"/>
                  <w:tcBorders>
                    <w:bottom w:val="single" w:color="auto" w:sz="12" w:space="0"/>
                  </w:tcBorders>
                  <w:noWrap w:val="0"/>
                  <w:vAlign w:val="center"/>
                </w:tcPr>
                <w:p w14:paraId="17913246">
                  <w:pPr>
                    <w:adjustRightInd w:val="0"/>
                    <w:snapToGrid w:val="0"/>
                    <w:jc w:val="center"/>
                    <w:rPr>
                      <w:rFonts w:hint="eastAsia" w:ascii="Times New Roman" w:hAnsi="Times New Roman" w:eastAsia="宋体" w:cs="Times New Roman"/>
                      <w:b/>
                      <w:bCs/>
                      <w:color w:val="auto"/>
                      <w:sz w:val="21"/>
                      <w:szCs w:val="24"/>
                    </w:rPr>
                  </w:pPr>
                  <w:r>
                    <w:rPr>
                      <w:rFonts w:hint="eastAsia" w:ascii="Times New Roman" w:hAnsi="Times New Roman" w:eastAsia="宋体" w:cs="Times New Roman"/>
                      <w:b/>
                      <w:bCs/>
                      <w:color w:val="auto"/>
                      <w:sz w:val="21"/>
                      <w:szCs w:val="24"/>
                    </w:rPr>
                    <w:t>类别</w:t>
                  </w:r>
                </w:p>
              </w:tc>
              <w:tc>
                <w:tcPr>
                  <w:tcW w:w="778" w:type="pct"/>
                  <w:tcBorders>
                    <w:bottom w:val="single" w:color="auto" w:sz="12" w:space="0"/>
                  </w:tcBorders>
                  <w:noWrap w:val="0"/>
                  <w:vAlign w:val="center"/>
                </w:tcPr>
                <w:p w14:paraId="2EBEE571">
                  <w:pPr>
                    <w:adjustRightInd w:val="0"/>
                    <w:snapToGrid w:val="0"/>
                    <w:jc w:val="center"/>
                    <w:rPr>
                      <w:rFonts w:hint="eastAsia" w:ascii="Times New Roman" w:hAnsi="Times New Roman" w:eastAsia="宋体" w:cs="Times New Roman"/>
                      <w:b/>
                      <w:bCs/>
                      <w:color w:val="auto"/>
                      <w:sz w:val="21"/>
                      <w:szCs w:val="24"/>
                      <w:lang w:eastAsia="zh-CN"/>
                    </w:rPr>
                  </w:pPr>
                  <w:r>
                    <w:rPr>
                      <w:rFonts w:hint="eastAsia" w:ascii="Times New Roman" w:hAnsi="Times New Roman" w:eastAsia="宋体" w:cs="Times New Roman"/>
                      <w:b/>
                      <w:bCs/>
                      <w:color w:val="auto"/>
                      <w:sz w:val="21"/>
                      <w:szCs w:val="24"/>
                    </w:rPr>
                    <w:t>监测</w:t>
                  </w:r>
                  <w:r>
                    <w:rPr>
                      <w:rFonts w:hint="eastAsia" w:ascii="Times New Roman" w:hAnsi="Times New Roman" w:eastAsia="宋体" w:cs="Times New Roman"/>
                      <w:b/>
                      <w:bCs/>
                      <w:color w:val="auto"/>
                      <w:sz w:val="21"/>
                      <w:szCs w:val="24"/>
                      <w:lang w:val="en-US" w:eastAsia="zh-CN"/>
                    </w:rPr>
                    <w:t>位置</w:t>
                  </w:r>
                </w:p>
              </w:tc>
              <w:tc>
                <w:tcPr>
                  <w:tcW w:w="749" w:type="pct"/>
                  <w:tcBorders>
                    <w:bottom w:val="single" w:color="auto" w:sz="12" w:space="0"/>
                  </w:tcBorders>
                  <w:noWrap w:val="0"/>
                  <w:vAlign w:val="center"/>
                </w:tcPr>
                <w:p w14:paraId="2881B0C2">
                  <w:pPr>
                    <w:adjustRightInd w:val="0"/>
                    <w:snapToGrid w:val="0"/>
                    <w:jc w:val="center"/>
                    <w:rPr>
                      <w:rFonts w:hint="eastAsia" w:ascii="Times New Roman" w:hAnsi="Times New Roman" w:eastAsia="宋体" w:cs="Times New Roman"/>
                      <w:b/>
                      <w:bCs/>
                      <w:color w:val="auto"/>
                      <w:sz w:val="21"/>
                      <w:szCs w:val="24"/>
                    </w:rPr>
                  </w:pPr>
                  <w:r>
                    <w:rPr>
                      <w:rFonts w:hint="eastAsia" w:ascii="Times New Roman" w:hAnsi="Times New Roman" w:eastAsia="宋体" w:cs="Times New Roman"/>
                      <w:b/>
                      <w:bCs/>
                      <w:color w:val="auto"/>
                      <w:sz w:val="21"/>
                      <w:szCs w:val="24"/>
                    </w:rPr>
                    <w:t>编号</w:t>
                  </w:r>
                </w:p>
              </w:tc>
              <w:tc>
                <w:tcPr>
                  <w:tcW w:w="954" w:type="pct"/>
                  <w:tcBorders>
                    <w:bottom w:val="single" w:color="auto" w:sz="12" w:space="0"/>
                  </w:tcBorders>
                  <w:noWrap w:val="0"/>
                  <w:vAlign w:val="center"/>
                </w:tcPr>
                <w:p w14:paraId="583B02B3">
                  <w:pPr>
                    <w:adjustRightInd w:val="0"/>
                    <w:snapToGrid w:val="0"/>
                    <w:jc w:val="center"/>
                    <w:rPr>
                      <w:rFonts w:hint="eastAsia" w:ascii="Times New Roman" w:hAnsi="Times New Roman" w:eastAsia="宋体" w:cs="Times New Roman"/>
                      <w:b/>
                      <w:bCs/>
                      <w:color w:val="auto"/>
                      <w:sz w:val="21"/>
                      <w:szCs w:val="24"/>
                    </w:rPr>
                  </w:pPr>
                  <w:r>
                    <w:rPr>
                      <w:rFonts w:hint="eastAsia" w:ascii="Times New Roman" w:hAnsi="Times New Roman" w:eastAsia="宋体" w:cs="Times New Roman"/>
                      <w:b/>
                      <w:bCs/>
                      <w:color w:val="auto"/>
                      <w:sz w:val="21"/>
                      <w:szCs w:val="24"/>
                    </w:rPr>
                    <w:t>监测项目</w:t>
                  </w:r>
                </w:p>
              </w:tc>
              <w:tc>
                <w:tcPr>
                  <w:tcW w:w="927" w:type="pct"/>
                  <w:tcBorders>
                    <w:bottom w:val="single" w:color="auto" w:sz="12" w:space="0"/>
                  </w:tcBorders>
                  <w:noWrap w:val="0"/>
                  <w:vAlign w:val="center"/>
                </w:tcPr>
                <w:p w14:paraId="418EACB6">
                  <w:pPr>
                    <w:adjustRightInd w:val="0"/>
                    <w:snapToGrid w:val="0"/>
                    <w:jc w:val="center"/>
                    <w:rPr>
                      <w:rFonts w:hint="eastAsia" w:ascii="Times New Roman" w:hAnsi="Times New Roman" w:eastAsia="宋体" w:cs="Times New Roman"/>
                      <w:b/>
                      <w:bCs/>
                      <w:color w:val="auto"/>
                      <w:sz w:val="21"/>
                      <w:szCs w:val="24"/>
                    </w:rPr>
                  </w:pPr>
                  <w:r>
                    <w:rPr>
                      <w:rFonts w:hint="eastAsia" w:ascii="Times New Roman" w:hAnsi="Times New Roman" w:eastAsia="宋体" w:cs="Times New Roman"/>
                      <w:b/>
                      <w:bCs/>
                      <w:color w:val="auto"/>
                      <w:sz w:val="21"/>
                      <w:szCs w:val="24"/>
                    </w:rPr>
                    <w:t>监测频次</w:t>
                  </w:r>
                </w:p>
              </w:tc>
              <w:tc>
                <w:tcPr>
                  <w:tcW w:w="724" w:type="pct"/>
                  <w:tcBorders>
                    <w:bottom w:val="single" w:color="auto" w:sz="12" w:space="0"/>
                  </w:tcBorders>
                  <w:noWrap w:val="0"/>
                  <w:vAlign w:val="center"/>
                </w:tcPr>
                <w:p w14:paraId="2534B19F">
                  <w:pPr>
                    <w:adjustRightInd w:val="0"/>
                    <w:snapToGrid w:val="0"/>
                    <w:jc w:val="center"/>
                    <w:rPr>
                      <w:rFonts w:hint="eastAsia" w:ascii="Times New Roman" w:hAnsi="Times New Roman" w:eastAsia="宋体" w:cs="Times New Roman"/>
                      <w:b/>
                      <w:bCs/>
                      <w:color w:val="auto"/>
                      <w:sz w:val="21"/>
                      <w:szCs w:val="24"/>
                    </w:rPr>
                  </w:pPr>
                  <w:r>
                    <w:rPr>
                      <w:rFonts w:hint="eastAsia" w:ascii="Times New Roman" w:hAnsi="Times New Roman" w:eastAsia="宋体" w:cs="Times New Roman"/>
                      <w:b/>
                      <w:bCs/>
                      <w:color w:val="auto"/>
                      <w:sz w:val="21"/>
                      <w:szCs w:val="24"/>
                    </w:rPr>
                    <w:t>实施单位</w:t>
                  </w:r>
                </w:p>
              </w:tc>
            </w:tr>
            <w:tr w14:paraId="109121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65" w:type="pct"/>
                  <w:vMerge w:val="restart"/>
                  <w:tcBorders>
                    <w:top w:val="single" w:color="auto" w:sz="12" w:space="0"/>
                  </w:tcBorders>
                  <w:noWrap w:val="0"/>
                  <w:vAlign w:val="center"/>
                </w:tcPr>
                <w:p w14:paraId="42362A65">
                  <w:pPr>
                    <w:adjustRightInd w:val="0"/>
                    <w:snapToGrid w:val="0"/>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有组织废气</w:t>
                  </w:r>
                </w:p>
              </w:tc>
              <w:tc>
                <w:tcPr>
                  <w:tcW w:w="778" w:type="pct"/>
                  <w:tcBorders>
                    <w:top w:val="single" w:color="auto" w:sz="12" w:space="0"/>
                  </w:tcBorders>
                  <w:shd w:val="clear" w:color="auto" w:fill="auto"/>
                  <w:noWrap w:val="0"/>
                  <w:vAlign w:val="center"/>
                </w:tcPr>
                <w:p w14:paraId="438CC707">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焊接、打磨废气排</w:t>
                  </w:r>
                  <w:r>
                    <w:rPr>
                      <w:rFonts w:hint="eastAsia" w:cs="Times New Roman"/>
                      <w:color w:val="auto"/>
                      <w:szCs w:val="21"/>
                      <w:lang w:val="en-US" w:eastAsia="zh-CN"/>
                    </w:rPr>
                    <w:t>口</w:t>
                  </w:r>
                </w:p>
              </w:tc>
              <w:tc>
                <w:tcPr>
                  <w:tcW w:w="749" w:type="pct"/>
                  <w:tcBorders>
                    <w:top w:val="single" w:color="auto" w:sz="12" w:space="0"/>
                  </w:tcBorders>
                  <w:noWrap w:val="0"/>
                  <w:vAlign w:val="center"/>
                </w:tcPr>
                <w:p w14:paraId="3F12DEAC">
                  <w:pPr>
                    <w:adjustRightInd w:val="0"/>
                    <w:snapToGrid w:val="0"/>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DA001</w:t>
                  </w:r>
                </w:p>
              </w:tc>
              <w:tc>
                <w:tcPr>
                  <w:tcW w:w="954" w:type="pct"/>
                  <w:tcBorders>
                    <w:top w:val="single" w:color="auto" w:sz="12" w:space="0"/>
                  </w:tcBorders>
                  <w:noWrap w:val="0"/>
                  <w:vAlign w:val="center"/>
                </w:tcPr>
                <w:p w14:paraId="2ED741C4">
                  <w:pPr>
                    <w:adjustRightInd w:val="0"/>
                    <w:snapToGrid w:val="0"/>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颗粒物</w:t>
                  </w:r>
                </w:p>
              </w:tc>
              <w:tc>
                <w:tcPr>
                  <w:tcW w:w="927" w:type="pct"/>
                  <w:tcBorders>
                    <w:top w:val="single" w:color="auto" w:sz="12" w:space="0"/>
                  </w:tcBorders>
                  <w:noWrap w:val="0"/>
                  <w:vAlign w:val="center"/>
                </w:tcPr>
                <w:p w14:paraId="652DAAEA">
                  <w:pPr>
                    <w:adjustRightInd w:val="0"/>
                    <w:snapToGrid w:val="0"/>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1次/</w:t>
                  </w:r>
                  <w:r>
                    <w:rPr>
                      <w:rFonts w:hint="eastAsia" w:ascii="Times New Roman" w:hAnsi="Times New Roman" w:eastAsia="宋体" w:cs="Times New Roman"/>
                      <w:color w:val="auto"/>
                      <w:szCs w:val="21"/>
                      <w:lang w:val="en-US" w:eastAsia="zh-CN"/>
                    </w:rPr>
                    <w:t>半</w:t>
                  </w:r>
                  <w:r>
                    <w:rPr>
                      <w:rFonts w:hint="eastAsia" w:ascii="Times New Roman" w:hAnsi="Times New Roman" w:eastAsia="宋体" w:cs="Times New Roman"/>
                      <w:color w:val="auto"/>
                      <w:szCs w:val="21"/>
                    </w:rPr>
                    <w:t>年</w:t>
                  </w:r>
                </w:p>
              </w:tc>
              <w:tc>
                <w:tcPr>
                  <w:tcW w:w="724" w:type="pct"/>
                  <w:vMerge w:val="restart"/>
                  <w:tcBorders>
                    <w:top w:val="single" w:color="auto" w:sz="12" w:space="0"/>
                  </w:tcBorders>
                  <w:noWrap w:val="0"/>
                  <w:vAlign w:val="center"/>
                </w:tcPr>
                <w:p w14:paraId="1A889861">
                  <w:pPr>
                    <w:adjustRightInd w:val="0"/>
                    <w:snapToGrid w:val="0"/>
                    <w:jc w:val="center"/>
                    <w:rPr>
                      <w:rFonts w:hint="eastAsia"/>
                      <w:color w:val="auto"/>
                      <w:szCs w:val="21"/>
                    </w:rPr>
                  </w:pPr>
                  <w:r>
                    <w:rPr>
                      <w:rFonts w:hint="eastAsia" w:ascii="Times New Roman" w:hAnsi="Times New Roman" w:eastAsia="宋体" w:cs="Times New Roman"/>
                      <w:color w:val="auto"/>
                      <w:szCs w:val="21"/>
                    </w:rPr>
                    <w:t>企业自行委托</w:t>
                  </w:r>
                </w:p>
              </w:tc>
            </w:tr>
            <w:tr w14:paraId="7762BD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65" w:type="pct"/>
                  <w:vMerge w:val="continue"/>
                  <w:tcBorders>
                    <w:bottom w:val="single" w:color="auto" w:sz="4" w:space="0"/>
                  </w:tcBorders>
                  <w:noWrap w:val="0"/>
                  <w:vAlign w:val="center"/>
                </w:tcPr>
                <w:p w14:paraId="5521F822">
                  <w:pPr>
                    <w:adjustRightInd w:val="0"/>
                    <w:snapToGrid w:val="0"/>
                    <w:jc w:val="center"/>
                    <w:rPr>
                      <w:rFonts w:hint="eastAsia" w:ascii="Times New Roman" w:hAnsi="Times New Roman" w:eastAsia="宋体" w:cs="Times New Roman"/>
                      <w:color w:val="auto"/>
                      <w:szCs w:val="21"/>
                    </w:rPr>
                  </w:pPr>
                </w:p>
              </w:tc>
              <w:tc>
                <w:tcPr>
                  <w:tcW w:w="778" w:type="pct"/>
                  <w:tcBorders>
                    <w:bottom w:val="single" w:color="auto" w:sz="4" w:space="0"/>
                  </w:tcBorders>
                  <w:shd w:val="clear" w:color="auto" w:fill="auto"/>
                  <w:noWrap w:val="0"/>
                  <w:vAlign w:val="center"/>
                </w:tcPr>
                <w:p w14:paraId="041735E9">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抛丸粉尘排</w:t>
                  </w:r>
                  <w:r>
                    <w:rPr>
                      <w:rFonts w:hint="eastAsia" w:cs="Times New Roman"/>
                      <w:color w:val="auto"/>
                      <w:szCs w:val="21"/>
                      <w:lang w:val="en-US" w:eastAsia="zh-CN"/>
                    </w:rPr>
                    <w:t>口</w:t>
                  </w:r>
                </w:p>
              </w:tc>
              <w:tc>
                <w:tcPr>
                  <w:tcW w:w="749" w:type="pct"/>
                  <w:tcBorders>
                    <w:bottom w:val="single" w:color="auto" w:sz="4" w:space="0"/>
                  </w:tcBorders>
                  <w:noWrap w:val="0"/>
                  <w:vAlign w:val="center"/>
                </w:tcPr>
                <w:p w14:paraId="5A98A27C">
                  <w:pPr>
                    <w:adjustRightInd w:val="0"/>
                    <w:snapToGrid w:val="0"/>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DA002</w:t>
                  </w:r>
                </w:p>
              </w:tc>
              <w:tc>
                <w:tcPr>
                  <w:tcW w:w="954" w:type="pct"/>
                  <w:tcBorders>
                    <w:bottom w:val="single" w:color="auto" w:sz="4" w:space="0"/>
                  </w:tcBorders>
                  <w:noWrap w:val="0"/>
                  <w:vAlign w:val="center"/>
                </w:tcPr>
                <w:p w14:paraId="1C2E054A">
                  <w:pPr>
                    <w:adjustRightInd w:val="0"/>
                    <w:snapToGrid w:val="0"/>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颗粒物</w:t>
                  </w:r>
                </w:p>
              </w:tc>
              <w:tc>
                <w:tcPr>
                  <w:tcW w:w="927" w:type="pct"/>
                  <w:tcBorders>
                    <w:bottom w:val="single" w:color="auto" w:sz="4" w:space="0"/>
                  </w:tcBorders>
                  <w:noWrap w:val="0"/>
                  <w:vAlign w:val="center"/>
                </w:tcPr>
                <w:p w14:paraId="5664C7CC">
                  <w:pPr>
                    <w:adjustRightInd w:val="0"/>
                    <w:snapToGrid w:val="0"/>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1次/</w:t>
                  </w:r>
                  <w:r>
                    <w:rPr>
                      <w:rFonts w:hint="eastAsia" w:ascii="Times New Roman" w:hAnsi="Times New Roman" w:eastAsia="宋体" w:cs="Times New Roman"/>
                      <w:color w:val="auto"/>
                      <w:szCs w:val="21"/>
                      <w:lang w:val="en-US" w:eastAsia="zh-CN"/>
                    </w:rPr>
                    <w:t>半</w:t>
                  </w:r>
                  <w:r>
                    <w:rPr>
                      <w:rFonts w:hint="eastAsia" w:ascii="Times New Roman" w:hAnsi="Times New Roman" w:eastAsia="宋体" w:cs="Times New Roman"/>
                      <w:color w:val="auto"/>
                      <w:szCs w:val="21"/>
                    </w:rPr>
                    <w:t>年</w:t>
                  </w:r>
                </w:p>
              </w:tc>
              <w:tc>
                <w:tcPr>
                  <w:tcW w:w="724" w:type="pct"/>
                  <w:vMerge w:val="continue"/>
                  <w:tcBorders>
                    <w:bottom w:val="single" w:color="auto" w:sz="4" w:space="0"/>
                  </w:tcBorders>
                  <w:noWrap w:val="0"/>
                  <w:vAlign w:val="center"/>
                </w:tcPr>
                <w:p w14:paraId="183B900B">
                  <w:pPr>
                    <w:adjustRightInd w:val="0"/>
                    <w:snapToGrid w:val="0"/>
                    <w:jc w:val="center"/>
                    <w:rPr>
                      <w:rFonts w:hint="eastAsia"/>
                      <w:color w:val="auto"/>
                      <w:szCs w:val="21"/>
                    </w:rPr>
                  </w:pPr>
                </w:p>
              </w:tc>
            </w:tr>
            <w:tr w14:paraId="3DDA86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865" w:type="pct"/>
                  <w:tcBorders>
                    <w:top w:val="single" w:color="auto" w:sz="4" w:space="0"/>
                  </w:tcBorders>
                  <w:noWrap w:val="0"/>
                  <w:vAlign w:val="center"/>
                </w:tcPr>
                <w:p w14:paraId="1C8C9599">
                  <w:pPr>
                    <w:adjustRightInd w:val="0"/>
                    <w:snapToGrid w:val="0"/>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有组织废气</w:t>
                  </w:r>
                </w:p>
              </w:tc>
              <w:tc>
                <w:tcPr>
                  <w:tcW w:w="778" w:type="pct"/>
                  <w:tcBorders>
                    <w:top w:val="single" w:color="auto" w:sz="4" w:space="0"/>
                  </w:tcBorders>
                  <w:shd w:val="clear" w:color="auto" w:fill="auto"/>
                  <w:noWrap w:val="0"/>
                  <w:vAlign w:val="center"/>
                </w:tcPr>
                <w:p w14:paraId="08728794">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涂装废气排</w:t>
                  </w:r>
                  <w:r>
                    <w:rPr>
                      <w:rFonts w:hint="eastAsia" w:cs="Times New Roman"/>
                      <w:color w:val="auto"/>
                      <w:kern w:val="2"/>
                      <w:sz w:val="21"/>
                      <w:szCs w:val="21"/>
                      <w:lang w:val="en-US" w:eastAsia="zh-CN" w:bidi="ar-SA"/>
                    </w:rPr>
                    <w:t>口</w:t>
                  </w:r>
                </w:p>
              </w:tc>
              <w:tc>
                <w:tcPr>
                  <w:tcW w:w="749" w:type="pct"/>
                  <w:tcBorders>
                    <w:top w:val="single" w:color="auto" w:sz="4" w:space="0"/>
                  </w:tcBorders>
                  <w:shd w:val="clear" w:color="auto" w:fill="auto"/>
                  <w:noWrap w:val="0"/>
                  <w:vAlign w:val="center"/>
                </w:tcPr>
                <w:p w14:paraId="7EDA2A07">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DA003</w:t>
                  </w:r>
                </w:p>
              </w:tc>
              <w:tc>
                <w:tcPr>
                  <w:tcW w:w="954" w:type="pct"/>
                  <w:tcBorders>
                    <w:top w:val="single" w:color="auto" w:sz="4" w:space="0"/>
                  </w:tcBorders>
                  <w:shd w:val="clear" w:color="auto" w:fill="auto"/>
                  <w:noWrap w:val="0"/>
                  <w:vAlign w:val="center"/>
                </w:tcPr>
                <w:p w14:paraId="75E84149">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rPr>
                    <w:t>颗粒物、非甲烷总烃</w:t>
                  </w:r>
                  <w:r>
                    <w:rPr>
                      <w:rFonts w:hint="eastAsia" w:ascii="Times New Roman" w:hAnsi="Times New Roman" w:eastAsia="宋体" w:cs="Times New Roman"/>
                      <w:color w:val="auto"/>
                      <w:szCs w:val="21"/>
                      <w:lang w:eastAsia="zh-CN"/>
                    </w:rPr>
                    <w:t>、</w:t>
                  </w:r>
                  <w:r>
                    <w:rPr>
                      <w:rFonts w:hint="eastAsia" w:ascii="Times New Roman" w:hAnsi="Times New Roman" w:eastAsia="宋体" w:cs="Times New Roman"/>
                      <w:color w:val="auto"/>
                      <w:szCs w:val="21"/>
                      <w:lang w:val="en-US" w:eastAsia="zh-CN"/>
                    </w:rPr>
                    <w:t>甲苯、二甲苯</w:t>
                  </w:r>
                </w:p>
              </w:tc>
              <w:tc>
                <w:tcPr>
                  <w:tcW w:w="927" w:type="pct"/>
                  <w:tcBorders>
                    <w:top w:val="single" w:color="auto" w:sz="4" w:space="0"/>
                  </w:tcBorders>
                  <w:shd w:val="clear" w:color="auto" w:fill="auto"/>
                  <w:noWrap w:val="0"/>
                  <w:vAlign w:val="center"/>
                </w:tcPr>
                <w:p w14:paraId="38201EAE">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rPr>
                    <w:t>1次/</w:t>
                  </w:r>
                  <w:r>
                    <w:rPr>
                      <w:rFonts w:hint="eastAsia" w:ascii="Times New Roman" w:hAnsi="Times New Roman" w:eastAsia="宋体" w:cs="Times New Roman"/>
                      <w:color w:val="auto"/>
                      <w:szCs w:val="21"/>
                      <w:lang w:val="en-US" w:eastAsia="zh-CN"/>
                    </w:rPr>
                    <w:t>半</w:t>
                  </w:r>
                  <w:r>
                    <w:rPr>
                      <w:rFonts w:hint="eastAsia" w:ascii="Times New Roman" w:hAnsi="Times New Roman" w:eastAsia="宋体" w:cs="Times New Roman"/>
                      <w:color w:val="auto"/>
                      <w:szCs w:val="21"/>
                    </w:rPr>
                    <w:t>年</w:t>
                  </w:r>
                </w:p>
              </w:tc>
              <w:tc>
                <w:tcPr>
                  <w:tcW w:w="724" w:type="pct"/>
                  <w:vMerge w:val="restart"/>
                  <w:tcBorders>
                    <w:top w:val="single" w:color="auto" w:sz="4" w:space="0"/>
                  </w:tcBorders>
                  <w:noWrap w:val="0"/>
                  <w:vAlign w:val="center"/>
                </w:tcPr>
                <w:p w14:paraId="75EF25E9">
                  <w:pPr>
                    <w:adjustRightInd w:val="0"/>
                    <w:snapToGrid w:val="0"/>
                    <w:jc w:val="center"/>
                    <w:rPr>
                      <w:rFonts w:hint="eastAsia"/>
                      <w:color w:val="auto"/>
                      <w:szCs w:val="21"/>
                    </w:rPr>
                  </w:pPr>
                  <w:r>
                    <w:rPr>
                      <w:rFonts w:hint="eastAsia" w:ascii="Times New Roman" w:hAnsi="Times New Roman" w:eastAsia="宋体" w:cs="Times New Roman"/>
                      <w:color w:val="auto"/>
                      <w:szCs w:val="21"/>
                    </w:rPr>
                    <w:t>企业自行委托</w:t>
                  </w:r>
                </w:p>
              </w:tc>
            </w:tr>
            <w:tr w14:paraId="3EFC8D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865" w:type="pct"/>
                  <w:vMerge w:val="restart"/>
                  <w:noWrap w:val="0"/>
                  <w:vAlign w:val="center"/>
                </w:tcPr>
                <w:p w14:paraId="42F37F73">
                  <w:pPr>
                    <w:adjustRightInd w:val="0"/>
                    <w:snapToGrid w:val="0"/>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无组织废气</w:t>
                  </w:r>
                </w:p>
              </w:tc>
              <w:tc>
                <w:tcPr>
                  <w:tcW w:w="778" w:type="pct"/>
                  <w:noWrap w:val="0"/>
                  <w:vAlign w:val="center"/>
                </w:tcPr>
                <w:p w14:paraId="5BD46F23">
                  <w:pPr>
                    <w:adjustRightInd w:val="0"/>
                    <w:snapToGrid w:val="0"/>
                    <w:jc w:val="center"/>
                    <w:rPr>
                      <w:rFonts w:hint="eastAsia" w:ascii="Times New Roman" w:hAnsi="Times New Roman" w:eastAsia="宋体" w:cs="Times New Roman"/>
                      <w:color w:val="auto"/>
                      <w:szCs w:val="21"/>
                    </w:rPr>
                  </w:pPr>
                  <w:r>
                    <w:rPr>
                      <w:color w:val="auto"/>
                      <w:highlight w:val="none"/>
                    </w:rPr>
                    <w:t>周界外浓度最高点</w:t>
                  </w:r>
                </w:p>
              </w:tc>
              <w:tc>
                <w:tcPr>
                  <w:tcW w:w="749" w:type="pct"/>
                  <w:noWrap w:val="0"/>
                  <w:vAlign w:val="center"/>
                </w:tcPr>
                <w:p w14:paraId="55D10374">
                  <w:pPr>
                    <w:adjustRightInd w:val="0"/>
                    <w:snapToGrid w:val="0"/>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w:t>
                  </w:r>
                </w:p>
              </w:tc>
              <w:tc>
                <w:tcPr>
                  <w:tcW w:w="954" w:type="pct"/>
                  <w:noWrap w:val="0"/>
                  <w:vAlign w:val="center"/>
                </w:tcPr>
                <w:p w14:paraId="40F9BB5F">
                  <w:pPr>
                    <w:adjustRightInd w:val="0"/>
                    <w:snapToGrid w:val="0"/>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颗粒物、非甲烷总烃</w:t>
                  </w:r>
                  <w:r>
                    <w:rPr>
                      <w:rFonts w:hint="eastAsia" w:ascii="Times New Roman" w:hAnsi="Times New Roman" w:eastAsia="宋体" w:cs="Times New Roman"/>
                      <w:color w:val="auto"/>
                      <w:szCs w:val="21"/>
                      <w:lang w:eastAsia="zh-CN"/>
                    </w:rPr>
                    <w:t>、</w:t>
                  </w:r>
                  <w:r>
                    <w:rPr>
                      <w:rFonts w:hint="eastAsia" w:ascii="Times New Roman" w:hAnsi="Times New Roman" w:eastAsia="宋体" w:cs="Times New Roman"/>
                      <w:color w:val="auto"/>
                      <w:szCs w:val="21"/>
                      <w:lang w:val="en-US" w:eastAsia="zh-CN"/>
                    </w:rPr>
                    <w:t>甲苯、二甲苯</w:t>
                  </w:r>
                </w:p>
              </w:tc>
              <w:tc>
                <w:tcPr>
                  <w:tcW w:w="927" w:type="pct"/>
                  <w:noWrap w:val="0"/>
                  <w:vAlign w:val="center"/>
                </w:tcPr>
                <w:p w14:paraId="1EA42E3A">
                  <w:pPr>
                    <w:adjustRightInd w:val="0"/>
                    <w:snapToGrid w:val="0"/>
                    <w:jc w:val="center"/>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rPr>
                    <w:t>1次/</w:t>
                  </w:r>
                  <w:r>
                    <w:rPr>
                      <w:rFonts w:hint="eastAsia" w:cs="Times New Roman"/>
                      <w:color w:val="auto"/>
                      <w:szCs w:val="21"/>
                      <w:lang w:val="en-US" w:eastAsia="zh-CN"/>
                    </w:rPr>
                    <w:t>半年</w:t>
                  </w:r>
                </w:p>
              </w:tc>
              <w:tc>
                <w:tcPr>
                  <w:tcW w:w="724" w:type="pct"/>
                  <w:vMerge w:val="continue"/>
                  <w:noWrap w:val="0"/>
                  <w:vAlign w:val="center"/>
                </w:tcPr>
                <w:p w14:paraId="765BA8E6">
                  <w:pPr>
                    <w:adjustRightInd w:val="0"/>
                    <w:snapToGrid w:val="0"/>
                    <w:rPr>
                      <w:rFonts w:hint="eastAsia"/>
                      <w:color w:val="auto"/>
                      <w:szCs w:val="21"/>
                    </w:rPr>
                  </w:pPr>
                </w:p>
              </w:tc>
            </w:tr>
            <w:tr w14:paraId="3325D5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5" w:type="pct"/>
                  <w:vMerge w:val="continue"/>
                  <w:noWrap w:val="0"/>
                  <w:vAlign w:val="center"/>
                </w:tcPr>
                <w:p w14:paraId="2FF1C73C">
                  <w:pPr>
                    <w:adjustRightInd w:val="0"/>
                    <w:snapToGrid w:val="0"/>
                    <w:jc w:val="center"/>
                    <w:rPr>
                      <w:rFonts w:hint="eastAsia" w:ascii="Times New Roman" w:hAnsi="Times New Roman" w:eastAsia="宋体" w:cs="Times New Roman"/>
                      <w:color w:val="auto"/>
                      <w:szCs w:val="21"/>
                    </w:rPr>
                  </w:pPr>
                </w:p>
              </w:tc>
              <w:tc>
                <w:tcPr>
                  <w:tcW w:w="778" w:type="pct"/>
                  <w:noWrap w:val="0"/>
                  <w:vAlign w:val="center"/>
                </w:tcPr>
                <w:p w14:paraId="1ACD2FCB">
                  <w:pPr>
                    <w:adjustRightInd w:val="0"/>
                    <w:snapToGrid w:val="0"/>
                    <w:jc w:val="center"/>
                    <w:rPr>
                      <w:rFonts w:hint="eastAsia" w:ascii="Times New Roman" w:hAnsi="Times New Roman" w:eastAsia="宋体" w:cs="Times New Roman"/>
                      <w:color w:val="auto"/>
                      <w:szCs w:val="21"/>
                    </w:rPr>
                  </w:pPr>
                  <w:r>
                    <w:rPr>
                      <w:rFonts w:hint="eastAsia"/>
                      <w:color w:val="auto"/>
                      <w:highlight w:val="none"/>
                      <w:lang w:eastAsia="zh-CN"/>
                    </w:rPr>
                    <w:t>厂区内</w:t>
                  </w:r>
                </w:p>
              </w:tc>
              <w:tc>
                <w:tcPr>
                  <w:tcW w:w="749" w:type="pct"/>
                  <w:noWrap w:val="0"/>
                  <w:vAlign w:val="center"/>
                </w:tcPr>
                <w:p w14:paraId="45DF9AA2">
                  <w:pPr>
                    <w:adjustRightInd w:val="0"/>
                    <w:snapToGrid w:val="0"/>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w:t>
                  </w:r>
                </w:p>
              </w:tc>
              <w:tc>
                <w:tcPr>
                  <w:tcW w:w="954" w:type="pct"/>
                  <w:noWrap w:val="0"/>
                  <w:vAlign w:val="center"/>
                </w:tcPr>
                <w:p w14:paraId="4D4938CB">
                  <w:pPr>
                    <w:adjustRightInd w:val="0"/>
                    <w:snapToGrid w:val="0"/>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非甲烷总烃</w:t>
                  </w:r>
                </w:p>
              </w:tc>
              <w:tc>
                <w:tcPr>
                  <w:tcW w:w="927" w:type="pct"/>
                  <w:noWrap w:val="0"/>
                  <w:vAlign w:val="center"/>
                </w:tcPr>
                <w:p w14:paraId="6465FF2C">
                  <w:pPr>
                    <w:adjustRightInd w:val="0"/>
                    <w:snapToGrid w:val="0"/>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1次/</w:t>
                  </w:r>
                  <w:r>
                    <w:rPr>
                      <w:rFonts w:hint="eastAsia" w:cs="Times New Roman"/>
                      <w:color w:val="auto"/>
                      <w:szCs w:val="21"/>
                      <w:lang w:val="en-US" w:eastAsia="zh-CN"/>
                    </w:rPr>
                    <w:t>半</w:t>
                  </w:r>
                  <w:r>
                    <w:rPr>
                      <w:rFonts w:hint="eastAsia" w:ascii="Times New Roman" w:hAnsi="Times New Roman" w:eastAsia="宋体" w:cs="Times New Roman"/>
                      <w:color w:val="auto"/>
                      <w:szCs w:val="21"/>
                    </w:rPr>
                    <w:t>年</w:t>
                  </w:r>
                </w:p>
              </w:tc>
              <w:tc>
                <w:tcPr>
                  <w:tcW w:w="724" w:type="pct"/>
                  <w:vMerge w:val="continue"/>
                  <w:noWrap w:val="0"/>
                  <w:vAlign w:val="center"/>
                </w:tcPr>
                <w:p w14:paraId="375E3AEE">
                  <w:pPr>
                    <w:adjustRightInd w:val="0"/>
                    <w:snapToGrid w:val="0"/>
                    <w:rPr>
                      <w:rFonts w:hint="eastAsia"/>
                      <w:color w:val="auto"/>
                      <w:szCs w:val="21"/>
                    </w:rPr>
                  </w:pPr>
                </w:p>
              </w:tc>
            </w:tr>
          </w:tbl>
          <w:p w14:paraId="1073FC29">
            <w:pPr>
              <w:adjustRightInd w:val="0"/>
              <w:snapToGrid w:val="0"/>
              <w:spacing w:before="120" w:beforeLines="50" w:line="360" w:lineRule="auto"/>
              <w:rPr>
                <w:rFonts w:hint="eastAsia" w:ascii="宋体" w:hAnsi="宋体" w:cs="宋体"/>
                <w:b/>
                <w:bCs/>
                <w:color w:val="auto"/>
                <w:sz w:val="24"/>
              </w:rPr>
            </w:pPr>
            <w:r>
              <w:rPr>
                <w:rFonts w:hint="eastAsia" w:ascii="宋体" w:hAnsi="宋体" w:cs="宋体"/>
                <w:b/>
                <w:bCs/>
                <w:color w:val="auto"/>
                <w:sz w:val="24"/>
              </w:rPr>
              <w:t xml:space="preserve">2.水环境影响及保护措施 </w:t>
            </w:r>
          </w:p>
          <w:p w14:paraId="6D121E69">
            <w:pPr>
              <w:spacing w:line="360" w:lineRule="auto"/>
              <w:ind w:firstLine="480" w:firstLineChars="200"/>
              <w:rPr>
                <w:rFonts w:hint="eastAsia"/>
                <w:color w:val="auto"/>
                <w:sz w:val="24"/>
              </w:rPr>
            </w:pPr>
            <w:r>
              <w:rPr>
                <w:rFonts w:hint="eastAsia"/>
                <w:color w:val="auto"/>
                <w:sz w:val="24"/>
              </w:rPr>
              <w:t>（1）废水产排情况</w:t>
            </w:r>
          </w:p>
          <w:p w14:paraId="280EF3D6">
            <w:pPr>
              <w:spacing w:line="360" w:lineRule="auto"/>
              <w:ind w:firstLine="480" w:firstLineChars="200"/>
              <w:rPr>
                <w:rFonts w:hint="eastAsia"/>
                <w:color w:val="auto"/>
                <w:sz w:val="24"/>
              </w:rPr>
            </w:pPr>
            <w:r>
              <w:rPr>
                <w:rFonts w:hint="eastAsia"/>
                <w:color w:val="auto"/>
                <w:sz w:val="24"/>
              </w:rPr>
              <w:t>项目</w:t>
            </w:r>
            <w:r>
              <w:rPr>
                <w:rFonts w:hint="eastAsia"/>
                <w:color w:val="auto"/>
                <w:sz w:val="24"/>
                <w:lang w:val="en-US" w:eastAsia="zh-CN"/>
              </w:rPr>
              <w:t>运营期</w:t>
            </w:r>
            <w:r>
              <w:rPr>
                <w:rFonts w:hint="eastAsia"/>
                <w:color w:val="auto"/>
                <w:sz w:val="24"/>
              </w:rPr>
              <w:t>无生产废水</w:t>
            </w:r>
            <w:r>
              <w:rPr>
                <w:rFonts w:hint="eastAsia"/>
                <w:color w:val="auto"/>
                <w:sz w:val="24"/>
                <w:lang w:val="en-US" w:eastAsia="zh-CN"/>
              </w:rPr>
              <w:t>产生</w:t>
            </w:r>
            <w:r>
              <w:rPr>
                <w:rFonts w:hint="eastAsia"/>
                <w:color w:val="auto"/>
                <w:sz w:val="24"/>
              </w:rPr>
              <w:t>，废水主要为生活污水。生活污水主要污染物为COD、</w:t>
            </w:r>
            <w:r>
              <w:rPr>
                <w:rFonts w:hint="eastAsia"/>
                <w:color w:val="auto"/>
                <w:sz w:val="24"/>
                <w:lang w:val="en-US" w:eastAsia="zh-CN"/>
              </w:rPr>
              <w:t>BOD</w:t>
            </w:r>
            <w:r>
              <w:rPr>
                <w:rFonts w:hint="eastAsia"/>
                <w:color w:val="auto"/>
                <w:sz w:val="24"/>
                <w:vertAlign w:val="subscript"/>
                <w:lang w:val="en-US" w:eastAsia="zh-CN"/>
              </w:rPr>
              <w:t>5</w:t>
            </w:r>
            <w:r>
              <w:rPr>
                <w:rFonts w:hint="eastAsia"/>
                <w:color w:val="auto"/>
                <w:sz w:val="24"/>
                <w:lang w:val="en-US" w:eastAsia="zh-CN"/>
              </w:rPr>
              <w:t>、</w:t>
            </w:r>
            <w:r>
              <w:rPr>
                <w:rFonts w:hint="eastAsia"/>
                <w:color w:val="auto"/>
                <w:sz w:val="24"/>
              </w:rPr>
              <w:t>SS、NH</w:t>
            </w:r>
            <w:r>
              <w:rPr>
                <w:rFonts w:hint="eastAsia"/>
                <w:color w:val="auto"/>
                <w:sz w:val="24"/>
                <w:vertAlign w:val="subscript"/>
              </w:rPr>
              <w:t>3</w:t>
            </w:r>
            <w:r>
              <w:rPr>
                <w:rFonts w:hint="eastAsia"/>
                <w:color w:val="auto"/>
                <w:sz w:val="24"/>
              </w:rPr>
              <w:t>-N等，生活污水排入园区污水管网，最终进入园区污水处理厂处理，对项目区周围水环境影响较小。</w:t>
            </w:r>
          </w:p>
          <w:p w14:paraId="2C02DA59">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（2）废水排放去向可行性分析</w:t>
            </w:r>
          </w:p>
          <w:p w14:paraId="4CB36DE7">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项目园区污水处理厂为</w:t>
            </w:r>
            <w:r>
              <w:rPr>
                <w:rFonts w:hint="eastAsia" w:ascii="Times New Roman" w:hAnsi="Times New Roman" w:eastAsia="宋体" w:cs="Times New Roman"/>
                <w:color w:val="auto"/>
                <w:sz w:val="24"/>
              </w:rPr>
              <w:t>昌吉高新海天污水处理厂</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位于昌吉高新技术产业开发区西北角</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201省道以南</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2013年11月投入使用，主要收集高新区企业及榆树沟镇等生产、生活污水，处理规模3万</w:t>
            </w:r>
            <w:r>
              <w:rPr>
                <w:rFonts w:hint="eastAsia" w:ascii="Times New Roman" w:hAnsi="Times New Roman" w:eastAsia="宋体" w:cs="Times New Roman"/>
                <w:color w:val="auto"/>
                <w:sz w:val="24"/>
                <w:lang w:val="en-US" w:eastAsia="zh-CN"/>
              </w:rPr>
              <w:t>m³</w:t>
            </w:r>
            <w:r>
              <w:rPr>
                <w:rFonts w:hint="eastAsia" w:ascii="Times New Roman" w:hAnsi="Times New Roman" w:eastAsia="宋体" w:cs="Times New Roman"/>
                <w:color w:val="auto"/>
                <w:sz w:val="24"/>
              </w:rPr>
              <w:t>/d，园区目前北区和南区废水均接通管网</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纳入昌吉高新区污水处理厂进行处理后达标排放。</w:t>
            </w:r>
          </w:p>
          <w:p w14:paraId="2932E155">
            <w:pPr>
              <w:spacing w:line="360" w:lineRule="auto"/>
              <w:ind w:firstLine="480" w:firstLineChars="200"/>
              <w:rPr>
                <w:rFonts w:hint="eastAsia"/>
                <w:color w:val="auto"/>
                <w:sz w:val="24"/>
              </w:rPr>
            </w:pPr>
            <w:r>
              <w:rPr>
                <w:rFonts w:hint="eastAsia"/>
                <w:color w:val="auto"/>
                <w:sz w:val="24"/>
              </w:rPr>
              <w:t>2018年该污水处理厂进行了提标改造，提标改造后污水处理厂工艺为</w:t>
            </w:r>
            <w:r>
              <w:rPr>
                <w:rFonts w:hint="eastAsia"/>
                <w:color w:val="auto"/>
                <w:sz w:val="24"/>
                <w:lang w:eastAsia="zh-CN"/>
              </w:rPr>
              <w:t>：</w:t>
            </w:r>
            <w:r>
              <w:rPr>
                <w:rFonts w:hint="eastAsia"/>
                <w:color w:val="auto"/>
                <w:sz w:val="24"/>
              </w:rPr>
              <w:t>污水→粗格栅及污水提升泵站→细格栅及曝气沉砂池→MB</w:t>
            </w:r>
            <w:r>
              <w:rPr>
                <w:rFonts w:hint="eastAsia"/>
                <w:color w:val="auto"/>
                <w:sz w:val="24"/>
                <w:lang w:val="en-US" w:eastAsia="zh-CN"/>
              </w:rPr>
              <w:t>B</w:t>
            </w:r>
            <w:r>
              <w:rPr>
                <w:rFonts w:hint="eastAsia"/>
                <w:color w:val="auto"/>
                <w:sz w:val="24"/>
              </w:rPr>
              <w:t>R池→二沉池→芬顿氧化池→絮凝沉淀池→纤维转盘滤池→紫外消毒渠→出水</w:t>
            </w:r>
            <w:r>
              <w:rPr>
                <w:rFonts w:hint="eastAsia"/>
                <w:color w:val="auto"/>
                <w:sz w:val="24"/>
                <w:lang w:eastAsia="zh-CN"/>
              </w:rPr>
              <w:t>。</w:t>
            </w:r>
            <w:r>
              <w:rPr>
                <w:rFonts w:hint="eastAsia"/>
                <w:color w:val="auto"/>
                <w:sz w:val="24"/>
              </w:rPr>
              <w:t>污水处理厂出水水质达到《城镇污水处理厂污染物排放标准》（GB18918-2002）中的一级A标准，夏季尾水排入污水处理厂西侧的高新区生态灌溉项目蓄水池中，用于高新区工业冷却水、绿化、洗车、浇洒道路、景观用水，冬季尾水排入园区中水库。</w:t>
            </w:r>
          </w:p>
          <w:p w14:paraId="2D390A5C">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昌吉高新海天污水处理厂的服务范围为园区内生活污水和食品加工、农产品加工废水</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目前处理水量约5480m³/d，尚有24520m³/d余量。</w:t>
            </w:r>
            <w:r>
              <w:rPr>
                <w:rFonts w:hint="eastAsia" w:ascii="Times New Roman" w:hAnsi="Times New Roman" w:eastAsia="宋体" w:cs="Times New Roman"/>
                <w:color w:val="auto"/>
                <w:sz w:val="24"/>
              </w:rPr>
              <w:t>本项目</w:t>
            </w:r>
            <w:r>
              <w:rPr>
                <w:rFonts w:hint="eastAsia" w:ascii="Times New Roman" w:hAnsi="Times New Roman" w:eastAsia="宋体" w:cs="Times New Roman"/>
                <w:color w:val="auto"/>
                <w:sz w:val="24"/>
                <w:lang w:val="en-US" w:eastAsia="zh-CN"/>
              </w:rPr>
              <w:t>生活污水排放</w:t>
            </w:r>
            <w:r>
              <w:rPr>
                <w:rFonts w:hint="eastAsia" w:ascii="Times New Roman" w:hAnsi="Times New Roman" w:eastAsia="宋体" w:cs="Times New Roman"/>
                <w:color w:val="auto"/>
                <w:sz w:val="24"/>
              </w:rPr>
              <w:t>量</w:t>
            </w:r>
            <w:r>
              <w:rPr>
                <w:rFonts w:hint="eastAsia" w:ascii="Times New Roman" w:hAnsi="Times New Roman" w:eastAsia="宋体" w:cs="Times New Roman"/>
                <w:color w:val="auto"/>
                <w:sz w:val="24"/>
                <w:lang w:val="en-US" w:eastAsia="zh-CN"/>
              </w:rPr>
              <w:t>为</w:t>
            </w:r>
            <w:r>
              <w:rPr>
                <w:rFonts w:hint="eastAsia" w:ascii="Times New Roman" w:hAnsi="Times New Roman" w:eastAsia="宋体" w:cs="Times New Roman"/>
                <w:color w:val="auto"/>
                <w:sz w:val="24"/>
              </w:rPr>
              <w:t>4m³/d，远小于昌吉高新海天污水处理厂处理余量。</w:t>
            </w:r>
            <w:r>
              <w:rPr>
                <w:rFonts w:hint="eastAsia" w:ascii="Times New Roman" w:hAnsi="Times New Roman" w:eastAsia="宋体" w:cs="Times New Roman"/>
                <w:color w:val="auto"/>
                <w:sz w:val="24"/>
                <w:lang w:val="en-US" w:eastAsia="zh-CN"/>
              </w:rPr>
              <w:t>本项目设计排入</w:t>
            </w:r>
            <w:r>
              <w:rPr>
                <w:rFonts w:hint="eastAsia" w:ascii="Times New Roman" w:hAnsi="Times New Roman" w:eastAsia="宋体" w:cs="Times New Roman"/>
                <w:color w:val="auto"/>
                <w:sz w:val="24"/>
              </w:rPr>
              <w:t>污水管网已与园区污水管网对接，项目废水经园区污水管网进入昌吉高新海天污水处理厂</w:t>
            </w:r>
            <w:r>
              <w:rPr>
                <w:rFonts w:hint="eastAsia" w:ascii="Times New Roman" w:hAnsi="Times New Roman" w:eastAsia="宋体" w:cs="Times New Roman"/>
                <w:color w:val="auto"/>
                <w:sz w:val="24"/>
                <w:lang w:val="en-US" w:eastAsia="zh-CN"/>
              </w:rPr>
              <w:t>处理依托</w:t>
            </w:r>
            <w:r>
              <w:rPr>
                <w:rFonts w:hint="eastAsia" w:ascii="Times New Roman" w:hAnsi="Times New Roman" w:eastAsia="宋体" w:cs="Times New Roman"/>
                <w:color w:val="auto"/>
                <w:sz w:val="24"/>
              </w:rPr>
              <w:t>可行。</w:t>
            </w:r>
          </w:p>
          <w:p w14:paraId="4D410EDB">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（3）废水排放监测计划</w:t>
            </w:r>
          </w:p>
          <w:p w14:paraId="6C622911">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根据《排污许可证申请与核发技术规范 总则》（HJ942-2018）对应单独排入城镇集中污水处理设施的生活污水仅说明排放去向，不计算许可排放量及浓度，也不进行监测。故本项目生活污水设置废水排放监测计划。</w:t>
            </w:r>
          </w:p>
          <w:p w14:paraId="08D4C53D">
            <w:pPr>
              <w:spacing w:line="360" w:lineRule="auto"/>
              <w:rPr>
                <w:rFonts w:hint="eastAsia"/>
                <w:b/>
                <w:bCs/>
                <w:color w:val="auto"/>
                <w:sz w:val="24"/>
              </w:rPr>
            </w:pPr>
          </w:p>
          <w:p w14:paraId="2062E751">
            <w:pPr>
              <w:keepNext w:val="0"/>
              <w:keepLines w:val="0"/>
              <w:pageBreakBefore w:val="0"/>
              <w:widowControl w:val="0"/>
              <w:kinsoku/>
              <w:wordWrap/>
              <w:overflowPunct/>
              <w:topLinePunct w:val="0"/>
              <w:autoSpaceDE/>
              <w:autoSpaceDN/>
              <w:bidi w:val="0"/>
              <w:adjustRightInd/>
              <w:snapToGrid/>
              <w:spacing w:before="157" w:beforeLines="50" w:line="348" w:lineRule="auto"/>
              <w:textAlignment w:val="auto"/>
              <w:rPr>
                <w:rFonts w:hint="eastAsia"/>
                <w:b/>
                <w:bCs/>
                <w:color w:val="auto"/>
                <w:sz w:val="24"/>
              </w:rPr>
            </w:pPr>
            <w:r>
              <w:rPr>
                <w:rFonts w:hint="eastAsia"/>
                <w:b/>
                <w:bCs/>
                <w:color w:val="auto"/>
                <w:sz w:val="24"/>
              </w:rPr>
              <w:t>3.噪声环境影响及保护措施</w:t>
            </w:r>
          </w:p>
          <w:p w14:paraId="2D13A80B">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（1）噪声源强</w:t>
            </w:r>
            <w:r>
              <w:rPr>
                <w:rFonts w:hint="eastAsia" w:cs="Times New Roman"/>
                <w:color w:val="auto"/>
                <w:sz w:val="24"/>
                <w:lang w:val="en-US" w:eastAsia="zh-CN"/>
              </w:rPr>
              <w:t>分析</w:t>
            </w:r>
          </w:p>
          <w:p w14:paraId="1A87FAD3">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本</w:t>
            </w:r>
            <w:r>
              <w:rPr>
                <w:rFonts w:hint="eastAsia" w:ascii="Times New Roman" w:hAnsi="Times New Roman" w:eastAsia="宋体" w:cs="Times New Roman"/>
                <w:color w:val="auto"/>
                <w:sz w:val="24"/>
              </w:rPr>
              <w:t>项目运营期主要噪声源为切割机、焊接机、</w:t>
            </w:r>
            <w:r>
              <w:rPr>
                <w:rFonts w:hint="eastAsia" w:ascii="Times New Roman" w:hAnsi="Times New Roman" w:eastAsia="宋体" w:cs="Times New Roman"/>
                <w:color w:val="auto"/>
                <w:sz w:val="24"/>
                <w:lang w:val="en-US" w:eastAsia="zh-CN"/>
              </w:rPr>
              <w:t>组立机、磨光机、</w:t>
            </w:r>
            <w:r>
              <w:rPr>
                <w:rFonts w:hint="eastAsia" w:ascii="Times New Roman" w:hAnsi="Times New Roman" w:eastAsia="宋体" w:cs="Times New Roman"/>
                <w:color w:val="auto"/>
                <w:sz w:val="24"/>
              </w:rPr>
              <w:t>抛丸机等机械设备，</w:t>
            </w:r>
            <w:r>
              <w:rPr>
                <w:rFonts w:hint="eastAsia" w:ascii="Times New Roman" w:hAnsi="Times New Roman" w:eastAsia="宋体" w:cs="Times New Roman"/>
                <w:color w:val="auto"/>
                <w:sz w:val="24"/>
                <w:lang w:val="en-US" w:eastAsia="zh-CN"/>
              </w:rPr>
              <w:t>设备噪声</w:t>
            </w:r>
            <w:r>
              <w:rPr>
                <w:rFonts w:hint="eastAsia" w:ascii="Times New Roman" w:hAnsi="Times New Roman" w:eastAsia="宋体" w:cs="Times New Roman"/>
                <w:color w:val="auto"/>
                <w:sz w:val="24"/>
              </w:rPr>
              <w:t>一般在7</w:t>
            </w:r>
            <w:r>
              <w:rPr>
                <w:rFonts w:hint="eastAsia" w:eastAsia="宋体" w:cs="Times New Roman"/>
                <w:color w:val="auto"/>
                <w:sz w:val="24"/>
                <w:lang w:val="en-US" w:eastAsia="zh-CN"/>
              </w:rPr>
              <w:t>5</w:t>
            </w:r>
            <w:r>
              <w:rPr>
                <w:rFonts w:hint="eastAsia" w:ascii="Times New Roman" w:hAnsi="Times New Roman" w:eastAsia="宋体" w:cs="Times New Roman"/>
                <w:color w:val="auto"/>
                <w:sz w:val="24"/>
                <w:lang w:val="en-US" w:eastAsia="zh-CN"/>
              </w:rPr>
              <w:t>～100</w:t>
            </w:r>
            <w:r>
              <w:rPr>
                <w:rFonts w:hint="eastAsia" w:ascii="Times New Roman" w:hAnsi="Times New Roman" w:eastAsia="宋体" w:cs="Times New Roman"/>
                <w:color w:val="auto"/>
                <w:sz w:val="24"/>
              </w:rPr>
              <w:t>dB（A）</w:t>
            </w:r>
            <w:r>
              <w:rPr>
                <w:rFonts w:hint="eastAsia" w:ascii="Times New Roman" w:hAnsi="Times New Roman" w:eastAsia="宋体" w:cs="Times New Roman"/>
                <w:color w:val="auto"/>
                <w:sz w:val="24"/>
                <w:lang w:eastAsia="zh-CN"/>
              </w:rPr>
              <w:t>。</w:t>
            </w:r>
            <w:r>
              <w:rPr>
                <w:rFonts w:hint="eastAsia" w:eastAsia="宋体" w:cs="Times New Roman"/>
                <w:color w:val="auto"/>
                <w:sz w:val="24"/>
                <w:lang w:val="en-US" w:eastAsia="zh-CN"/>
              </w:rPr>
              <w:t>通过</w:t>
            </w:r>
            <w:r>
              <w:rPr>
                <w:rFonts w:hint="eastAsia" w:ascii="Times New Roman" w:hAnsi="Times New Roman" w:eastAsia="宋体" w:cs="Times New Roman"/>
                <w:color w:val="auto"/>
                <w:sz w:val="24"/>
                <w:lang w:val="en-US" w:eastAsia="zh-CN"/>
              </w:rPr>
              <w:t>采取</w:t>
            </w:r>
            <w:r>
              <w:rPr>
                <w:rFonts w:hint="default" w:ascii="Times New Roman" w:hAnsi="Times New Roman" w:eastAsia="宋体" w:cs="Times New Roman"/>
                <w:color w:val="auto"/>
                <w:sz w:val="24"/>
                <w:lang w:val="en-US" w:eastAsia="zh-CN"/>
              </w:rPr>
              <w:t>基础减振</w:t>
            </w:r>
            <w:r>
              <w:rPr>
                <w:rFonts w:hint="eastAsia" w:ascii="Times New Roman" w:hAnsi="Times New Roman" w:eastAsia="宋体" w:cs="Times New Roman"/>
                <w:color w:val="auto"/>
                <w:sz w:val="24"/>
                <w:lang w:val="en-US" w:eastAsia="zh-CN"/>
              </w:rPr>
              <w:t>、厂房隔声</w:t>
            </w:r>
            <w:r>
              <w:rPr>
                <w:rFonts w:hint="eastAsia" w:eastAsia="宋体" w:cs="Times New Roman"/>
                <w:color w:val="auto"/>
                <w:sz w:val="24"/>
                <w:lang w:val="en-US" w:eastAsia="zh-CN"/>
              </w:rPr>
              <w:t>可降噪20</w:t>
            </w:r>
            <w:r>
              <w:rPr>
                <w:rFonts w:hint="eastAsia" w:ascii="Times New Roman" w:hAnsi="Times New Roman" w:eastAsia="宋体" w:cs="Times New Roman"/>
                <w:color w:val="auto"/>
                <w:sz w:val="24"/>
                <w:lang w:val="en-US" w:eastAsia="zh-CN"/>
              </w:rPr>
              <w:t>～</w:t>
            </w:r>
            <w:r>
              <w:rPr>
                <w:rFonts w:hint="eastAsia" w:eastAsia="宋体" w:cs="Times New Roman"/>
                <w:color w:val="auto"/>
                <w:sz w:val="24"/>
                <w:lang w:val="en-US" w:eastAsia="zh-CN"/>
              </w:rPr>
              <w:t>25</w:t>
            </w:r>
            <w:r>
              <w:rPr>
                <w:rFonts w:hint="eastAsia" w:ascii="Times New Roman" w:hAnsi="Times New Roman" w:eastAsia="宋体" w:cs="Times New Roman"/>
                <w:color w:val="auto"/>
                <w:sz w:val="24"/>
              </w:rPr>
              <w:t>dB（A）</w:t>
            </w:r>
            <w:r>
              <w:rPr>
                <w:rFonts w:hint="eastAsia" w:eastAsia="宋体" w:cs="Times New Roman"/>
                <w:color w:val="auto"/>
                <w:sz w:val="24"/>
                <w:lang w:eastAsia="zh-CN"/>
              </w:rPr>
              <w:t>，</w:t>
            </w:r>
            <w:r>
              <w:rPr>
                <w:rFonts w:hint="eastAsia" w:ascii="Times New Roman" w:hAnsi="Times New Roman" w:eastAsia="宋体" w:cs="Times New Roman"/>
                <w:color w:val="auto"/>
                <w:sz w:val="24"/>
              </w:rPr>
              <w:t>项目主要设备噪声源强及降噪措施见表</w:t>
            </w:r>
            <w:r>
              <w:rPr>
                <w:rFonts w:hint="eastAsia" w:ascii="Times New Roman" w:hAnsi="Times New Roman" w:eastAsia="宋体" w:cs="Times New Roman"/>
                <w:color w:val="auto"/>
                <w:sz w:val="24"/>
                <w:lang w:val="en-US" w:eastAsia="zh-CN"/>
              </w:rPr>
              <w:t>4-11</w:t>
            </w:r>
            <w:r>
              <w:rPr>
                <w:rFonts w:hint="eastAsia" w:ascii="Times New Roman" w:hAnsi="Times New Roman" w:eastAsia="宋体" w:cs="Times New Roman"/>
                <w:color w:val="auto"/>
                <w:sz w:val="24"/>
              </w:rPr>
              <w:t>。</w:t>
            </w:r>
          </w:p>
          <w:p w14:paraId="6E080539">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表4-11 主要设备噪声源强及降噪措施</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92"/>
              <w:gridCol w:w="1889"/>
              <w:gridCol w:w="894"/>
              <w:gridCol w:w="916"/>
              <w:gridCol w:w="681"/>
              <w:gridCol w:w="667"/>
              <w:gridCol w:w="569"/>
              <w:gridCol w:w="667"/>
              <w:gridCol w:w="1159"/>
            </w:tblGrid>
            <w:tr w14:paraId="0C2855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72" w:hRule="atLeast"/>
                <w:jc w:val="center"/>
              </w:trPr>
              <w:tc>
                <w:tcPr>
                  <w:tcW w:w="310" w:type="pct"/>
                  <w:vMerge w:val="restart"/>
                  <w:noWrap w:val="0"/>
                  <w:vAlign w:val="center"/>
                </w:tcPr>
                <w:p w14:paraId="4899CA3D">
                  <w:pPr>
                    <w:adjustRightInd w:val="0"/>
                    <w:snapToGrid w:val="0"/>
                    <w:jc w:val="center"/>
                    <w:rPr>
                      <w:rFonts w:hint="eastAsia" w:eastAsia="宋体" w:cs="Times New Roman"/>
                      <w:b/>
                      <w:bCs/>
                      <w:color w:val="auto"/>
                      <w:sz w:val="21"/>
                      <w:szCs w:val="24"/>
                      <w:lang w:val="en-US" w:eastAsia="zh-CN"/>
                    </w:rPr>
                  </w:pPr>
                  <w:r>
                    <w:rPr>
                      <w:rFonts w:hint="eastAsia" w:eastAsia="宋体" w:cs="Times New Roman"/>
                      <w:b/>
                      <w:bCs/>
                      <w:color w:val="auto"/>
                      <w:sz w:val="21"/>
                      <w:szCs w:val="24"/>
                      <w:lang w:val="en-US" w:eastAsia="zh-CN"/>
                    </w:rPr>
                    <w:t>序号</w:t>
                  </w:r>
                </w:p>
              </w:tc>
              <w:tc>
                <w:tcPr>
                  <w:tcW w:w="1190" w:type="pct"/>
                  <w:vMerge w:val="restart"/>
                  <w:noWrap w:val="0"/>
                  <w:vAlign w:val="center"/>
                </w:tcPr>
                <w:p w14:paraId="26C8894F">
                  <w:pPr>
                    <w:adjustRightInd w:val="0"/>
                    <w:snapToGrid w:val="0"/>
                    <w:jc w:val="center"/>
                    <w:rPr>
                      <w:rFonts w:hint="eastAsia" w:eastAsia="宋体" w:cs="Times New Roman"/>
                      <w:b/>
                      <w:bCs/>
                      <w:color w:val="auto"/>
                      <w:sz w:val="21"/>
                      <w:szCs w:val="24"/>
                      <w:lang w:val="en-US" w:eastAsia="zh-CN"/>
                    </w:rPr>
                  </w:pPr>
                  <w:r>
                    <w:rPr>
                      <w:rFonts w:hint="eastAsia" w:eastAsia="宋体" w:cs="Times New Roman"/>
                      <w:b/>
                      <w:bCs/>
                      <w:color w:val="auto"/>
                      <w:sz w:val="21"/>
                      <w:szCs w:val="24"/>
                      <w:lang w:val="en-US" w:eastAsia="zh-CN"/>
                    </w:rPr>
                    <w:t>声源名称</w:t>
                  </w:r>
                </w:p>
              </w:tc>
              <w:tc>
                <w:tcPr>
                  <w:tcW w:w="563" w:type="pct"/>
                  <w:vMerge w:val="restart"/>
                  <w:noWrap w:val="0"/>
                  <w:vAlign w:val="center"/>
                </w:tcPr>
                <w:p w14:paraId="49B9AE0C">
                  <w:pPr>
                    <w:adjustRightInd w:val="0"/>
                    <w:snapToGrid w:val="0"/>
                    <w:jc w:val="center"/>
                    <w:rPr>
                      <w:rFonts w:hint="eastAsia" w:eastAsia="宋体" w:cs="Times New Roman"/>
                      <w:b/>
                      <w:bCs/>
                      <w:color w:val="auto"/>
                      <w:sz w:val="21"/>
                      <w:szCs w:val="24"/>
                      <w:lang w:val="en-US" w:eastAsia="zh-CN"/>
                    </w:rPr>
                  </w:pPr>
                  <w:r>
                    <w:rPr>
                      <w:rFonts w:hint="eastAsia" w:eastAsia="宋体" w:cs="Times New Roman"/>
                      <w:b/>
                      <w:bCs/>
                      <w:color w:val="auto"/>
                      <w:sz w:val="21"/>
                      <w:szCs w:val="24"/>
                      <w:lang w:val="en-US" w:eastAsia="zh-CN"/>
                    </w:rPr>
                    <w:t>声功</w:t>
                  </w:r>
                </w:p>
                <w:p w14:paraId="3120208B">
                  <w:pPr>
                    <w:adjustRightInd w:val="0"/>
                    <w:snapToGrid w:val="0"/>
                    <w:jc w:val="center"/>
                    <w:rPr>
                      <w:rFonts w:hint="default" w:eastAsia="宋体" w:cs="Times New Roman"/>
                      <w:b/>
                      <w:bCs/>
                      <w:color w:val="auto"/>
                      <w:sz w:val="21"/>
                      <w:szCs w:val="24"/>
                      <w:lang w:val="en-US" w:eastAsia="zh-CN"/>
                    </w:rPr>
                  </w:pPr>
                  <w:r>
                    <w:rPr>
                      <w:rFonts w:hint="eastAsia" w:eastAsia="宋体" w:cs="Times New Roman"/>
                      <w:b/>
                      <w:bCs/>
                      <w:color w:val="auto"/>
                      <w:sz w:val="21"/>
                      <w:szCs w:val="24"/>
                      <w:lang w:val="en-US" w:eastAsia="zh-CN"/>
                    </w:rPr>
                    <w:t>率级</w:t>
                  </w:r>
                </w:p>
                <w:p w14:paraId="37DD6A6A">
                  <w:pPr>
                    <w:adjustRightInd w:val="0"/>
                    <w:snapToGrid w:val="0"/>
                    <w:jc w:val="center"/>
                    <w:rPr>
                      <w:rFonts w:hint="eastAsia" w:eastAsia="宋体" w:cs="Times New Roman"/>
                      <w:b/>
                      <w:bCs/>
                      <w:color w:val="auto"/>
                      <w:sz w:val="21"/>
                      <w:szCs w:val="24"/>
                      <w:lang w:val="en-US" w:eastAsia="zh-CN"/>
                    </w:rPr>
                  </w:pPr>
                  <w:r>
                    <w:rPr>
                      <w:rFonts w:hint="eastAsia" w:eastAsia="宋体" w:cs="Times New Roman"/>
                      <w:b/>
                      <w:bCs/>
                      <w:color w:val="auto"/>
                      <w:sz w:val="21"/>
                      <w:szCs w:val="24"/>
                      <w:lang w:val="en-US" w:eastAsia="zh-CN"/>
                    </w:rPr>
                    <w:t>dB（A）</w:t>
                  </w:r>
                </w:p>
              </w:tc>
              <w:tc>
                <w:tcPr>
                  <w:tcW w:w="577" w:type="pct"/>
                  <w:vMerge w:val="restart"/>
                  <w:shd w:val="clear" w:color="auto" w:fill="auto"/>
                  <w:noWrap w:val="0"/>
                  <w:vAlign w:val="center"/>
                </w:tcPr>
                <w:p w14:paraId="7B801D89">
                  <w:pPr>
                    <w:adjustRightInd w:val="0"/>
                    <w:snapToGrid w:val="0"/>
                    <w:jc w:val="center"/>
                    <w:rPr>
                      <w:rFonts w:hint="default" w:eastAsia="宋体" w:cs="Times New Roman"/>
                      <w:b/>
                      <w:bCs/>
                      <w:color w:val="auto"/>
                      <w:sz w:val="21"/>
                      <w:szCs w:val="24"/>
                      <w:lang w:val="en-US" w:eastAsia="zh-CN"/>
                    </w:rPr>
                  </w:pPr>
                  <w:r>
                    <w:rPr>
                      <w:rFonts w:hint="eastAsia" w:eastAsia="宋体" w:cs="Times New Roman"/>
                      <w:b/>
                      <w:bCs/>
                      <w:color w:val="auto"/>
                      <w:sz w:val="21"/>
                      <w:szCs w:val="24"/>
                      <w:lang w:val="en-US" w:eastAsia="zh-CN"/>
                    </w:rPr>
                    <w:t>声源控制措施</w:t>
                  </w:r>
                </w:p>
              </w:tc>
              <w:tc>
                <w:tcPr>
                  <w:tcW w:w="1208" w:type="pct"/>
                  <w:gridSpan w:val="3"/>
                  <w:noWrap w:val="0"/>
                  <w:vAlign w:val="center"/>
                </w:tcPr>
                <w:p w14:paraId="79F2C2D9">
                  <w:pPr>
                    <w:adjustRightInd w:val="0"/>
                    <w:snapToGrid w:val="0"/>
                    <w:jc w:val="center"/>
                    <w:rPr>
                      <w:rFonts w:hint="eastAsia" w:eastAsia="宋体" w:cs="Times New Roman"/>
                      <w:b/>
                      <w:bCs/>
                      <w:color w:val="auto"/>
                      <w:sz w:val="21"/>
                      <w:szCs w:val="24"/>
                      <w:lang w:val="en-US" w:eastAsia="zh-CN"/>
                    </w:rPr>
                  </w:pPr>
                  <w:r>
                    <w:rPr>
                      <w:rFonts w:hint="eastAsia" w:eastAsia="宋体" w:cs="Times New Roman"/>
                      <w:b/>
                      <w:bCs/>
                      <w:color w:val="auto"/>
                      <w:sz w:val="21"/>
                      <w:szCs w:val="24"/>
                      <w:lang w:val="en-US" w:eastAsia="zh-CN"/>
                    </w:rPr>
                    <w:t>空间相对位置/m</w:t>
                  </w:r>
                </w:p>
              </w:tc>
              <w:tc>
                <w:tcPr>
                  <w:tcW w:w="420" w:type="pct"/>
                  <w:vMerge w:val="restart"/>
                  <w:noWrap w:val="0"/>
                  <w:vAlign w:val="center"/>
                </w:tcPr>
                <w:p w14:paraId="3F287102">
                  <w:pPr>
                    <w:adjustRightInd w:val="0"/>
                    <w:snapToGrid w:val="0"/>
                    <w:jc w:val="center"/>
                    <w:rPr>
                      <w:rFonts w:hint="default" w:eastAsia="宋体" w:cs="Times New Roman"/>
                      <w:b/>
                      <w:bCs/>
                      <w:color w:val="auto"/>
                      <w:sz w:val="21"/>
                      <w:szCs w:val="24"/>
                      <w:lang w:val="en-US" w:eastAsia="zh-CN"/>
                    </w:rPr>
                  </w:pPr>
                  <w:r>
                    <w:rPr>
                      <w:rFonts w:hint="eastAsia" w:eastAsia="宋体" w:cs="Times New Roman"/>
                      <w:b/>
                      <w:bCs/>
                      <w:color w:val="auto"/>
                      <w:sz w:val="21"/>
                      <w:szCs w:val="24"/>
                      <w:lang w:val="en-US" w:eastAsia="zh-CN"/>
                    </w:rPr>
                    <w:t>运行时段</w:t>
                  </w:r>
                </w:p>
              </w:tc>
              <w:tc>
                <w:tcPr>
                  <w:tcW w:w="730" w:type="pct"/>
                  <w:vMerge w:val="restart"/>
                  <w:noWrap w:val="0"/>
                  <w:vAlign w:val="center"/>
                </w:tcPr>
                <w:p w14:paraId="209DE146">
                  <w:pPr>
                    <w:adjustRightInd w:val="0"/>
                    <w:snapToGrid w:val="0"/>
                    <w:jc w:val="center"/>
                    <w:rPr>
                      <w:rFonts w:hint="default" w:eastAsia="宋体" w:cs="Times New Roman"/>
                      <w:b/>
                      <w:bCs/>
                      <w:color w:val="auto"/>
                      <w:sz w:val="21"/>
                      <w:szCs w:val="24"/>
                      <w:lang w:val="en-US" w:eastAsia="zh-CN"/>
                    </w:rPr>
                  </w:pPr>
                  <w:r>
                    <w:rPr>
                      <w:rFonts w:hint="eastAsia" w:eastAsia="宋体" w:cs="Times New Roman"/>
                      <w:b/>
                      <w:bCs/>
                      <w:color w:val="auto"/>
                      <w:sz w:val="21"/>
                      <w:szCs w:val="24"/>
                      <w:lang w:val="en-US" w:eastAsia="zh-CN"/>
                    </w:rPr>
                    <w:t>厂房外噪声dB（A）</w:t>
                  </w:r>
                </w:p>
              </w:tc>
            </w:tr>
            <w:tr w14:paraId="66E1AB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310" w:type="pct"/>
                  <w:vMerge w:val="continue"/>
                  <w:noWrap w:val="0"/>
                  <w:vAlign w:val="center"/>
                </w:tcPr>
                <w:p w14:paraId="29D9DFB9">
                  <w:pPr>
                    <w:adjustRightInd w:val="0"/>
                    <w:snapToGrid w:val="0"/>
                    <w:jc w:val="center"/>
                    <w:rPr>
                      <w:color w:val="auto"/>
                    </w:rPr>
                  </w:pPr>
                </w:p>
              </w:tc>
              <w:tc>
                <w:tcPr>
                  <w:tcW w:w="1190" w:type="pct"/>
                  <w:vMerge w:val="continue"/>
                  <w:noWrap w:val="0"/>
                  <w:vAlign w:val="center"/>
                </w:tcPr>
                <w:p w14:paraId="6804E77E">
                  <w:pPr>
                    <w:adjustRightInd w:val="0"/>
                    <w:snapToGrid w:val="0"/>
                    <w:jc w:val="center"/>
                    <w:rPr>
                      <w:color w:val="auto"/>
                    </w:rPr>
                  </w:pPr>
                </w:p>
              </w:tc>
              <w:tc>
                <w:tcPr>
                  <w:tcW w:w="563" w:type="pct"/>
                  <w:vMerge w:val="continue"/>
                  <w:noWrap w:val="0"/>
                  <w:vAlign w:val="center"/>
                </w:tcPr>
                <w:p w14:paraId="5C46299D">
                  <w:pPr>
                    <w:adjustRightInd w:val="0"/>
                    <w:snapToGrid w:val="0"/>
                    <w:jc w:val="center"/>
                    <w:rPr>
                      <w:color w:val="auto"/>
                    </w:rPr>
                  </w:pPr>
                </w:p>
              </w:tc>
              <w:tc>
                <w:tcPr>
                  <w:tcW w:w="577" w:type="pct"/>
                  <w:vMerge w:val="continue"/>
                  <w:tcBorders>
                    <w:bottom w:val="single" w:color="auto" w:sz="12" w:space="0"/>
                  </w:tcBorders>
                  <w:shd w:val="clear" w:color="auto" w:fill="auto"/>
                  <w:noWrap w:val="0"/>
                  <w:vAlign w:val="center"/>
                </w:tcPr>
                <w:p w14:paraId="3DBE06F6">
                  <w:pPr>
                    <w:adjustRightInd w:val="0"/>
                    <w:snapToGrid w:val="0"/>
                    <w:jc w:val="center"/>
                    <w:rPr>
                      <w:color w:val="auto"/>
                    </w:rPr>
                  </w:pPr>
                </w:p>
              </w:tc>
              <w:tc>
                <w:tcPr>
                  <w:tcW w:w="429" w:type="pct"/>
                  <w:noWrap w:val="0"/>
                  <w:vAlign w:val="center"/>
                </w:tcPr>
                <w:p w14:paraId="07CDBDE6">
                  <w:pPr>
                    <w:adjustRightInd w:val="0"/>
                    <w:snapToGrid w:val="0"/>
                    <w:jc w:val="center"/>
                    <w:rPr>
                      <w:rFonts w:hint="default" w:eastAsia="宋体" w:cs="Times New Roman"/>
                      <w:b/>
                      <w:bCs/>
                      <w:color w:val="auto"/>
                      <w:sz w:val="21"/>
                      <w:szCs w:val="24"/>
                      <w:lang w:val="en-US" w:eastAsia="zh-CN"/>
                    </w:rPr>
                  </w:pPr>
                  <w:r>
                    <w:rPr>
                      <w:rFonts w:hint="eastAsia" w:eastAsia="宋体" w:cs="Times New Roman"/>
                      <w:b/>
                      <w:bCs/>
                      <w:color w:val="auto"/>
                      <w:sz w:val="21"/>
                      <w:szCs w:val="24"/>
                      <w:lang w:val="en-US" w:eastAsia="zh-CN"/>
                    </w:rPr>
                    <w:t>X</w:t>
                  </w:r>
                </w:p>
              </w:tc>
              <w:tc>
                <w:tcPr>
                  <w:tcW w:w="420" w:type="pct"/>
                  <w:noWrap w:val="0"/>
                  <w:vAlign w:val="center"/>
                </w:tcPr>
                <w:p w14:paraId="5A3DD2D1">
                  <w:pPr>
                    <w:adjustRightInd w:val="0"/>
                    <w:snapToGrid w:val="0"/>
                    <w:jc w:val="center"/>
                    <w:rPr>
                      <w:rFonts w:hint="default" w:eastAsia="宋体" w:cs="Times New Roman"/>
                      <w:b/>
                      <w:bCs/>
                      <w:color w:val="auto"/>
                      <w:sz w:val="21"/>
                      <w:szCs w:val="24"/>
                      <w:lang w:val="en-US" w:eastAsia="zh-CN"/>
                    </w:rPr>
                  </w:pPr>
                  <w:r>
                    <w:rPr>
                      <w:rFonts w:hint="eastAsia" w:eastAsia="宋体" w:cs="Times New Roman"/>
                      <w:b/>
                      <w:bCs/>
                      <w:color w:val="auto"/>
                      <w:sz w:val="21"/>
                      <w:szCs w:val="24"/>
                      <w:lang w:val="en-US" w:eastAsia="zh-CN"/>
                    </w:rPr>
                    <w:t>Y</w:t>
                  </w:r>
                </w:p>
              </w:tc>
              <w:tc>
                <w:tcPr>
                  <w:tcW w:w="358" w:type="pct"/>
                  <w:noWrap w:val="0"/>
                  <w:vAlign w:val="center"/>
                </w:tcPr>
                <w:p w14:paraId="2F912573">
                  <w:pPr>
                    <w:adjustRightInd w:val="0"/>
                    <w:snapToGrid w:val="0"/>
                    <w:jc w:val="center"/>
                    <w:rPr>
                      <w:rFonts w:hint="default" w:eastAsia="宋体" w:cs="Times New Roman"/>
                      <w:b/>
                      <w:bCs/>
                      <w:color w:val="auto"/>
                      <w:sz w:val="21"/>
                      <w:szCs w:val="24"/>
                      <w:lang w:val="en-US" w:eastAsia="zh-CN"/>
                    </w:rPr>
                  </w:pPr>
                  <w:r>
                    <w:rPr>
                      <w:rFonts w:hint="eastAsia" w:eastAsia="宋体" w:cs="Times New Roman"/>
                      <w:b/>
                      <w:bCs/>
                      <w:color w:val="auto"/>
                      <w:sz w:val="21"/>
                      <w:szCs w:val="24"/>
                      <w:lang w:val="en-US" w:eastAsia="zh-CN"/>
                    </w:rPr>
                    <w:t>Z</w:t>
                  </w:r>
                </w:p>
              </w:tc>
              <w:tc>
                <w:tcPr>
                  <w:tcW w:w="420" w:type="pct"/>
                  <w:vMerge w:val="continue"/>
                  <w:noWrap w:val="0"/>
                  <w:vAlign w:val="center"/>
                </w:tcPr>
                <w:p w14:paraId="7873B5AA">
                  <w:pPr>
                    <w:adjustRightInd w:val="0"/>
                    <w:snapToGrid w:val="0"/>
                    <w:jc w:val="center"/>
                    <w:rPr>
                      <w:rFonts w:hint="default" w:ascii="Times New Roman" w:hAnsi="Times New Roman" w:eastAsia="宋体" w:cs="Times New Roman"/>
                      <w:b/>
                      <w:bCs/>
                      <w:color w:val="auto"/>
                      <w:sz w:val="21"/>
                      <w:szCs w:val="24"/>
                      <w:lang w:val="en-US" w:eastAsia="zh-CN"/>
                    </w:rPr>
                  </w:pPr>
                </w:p>
              </w:tc>
              <w:tc>
                <w:tcPr>
                  <w:tcW w:w="730" w:type="pct"/>
                  <w:vMerge w:val="continue"/>
                  <w:noWrap w:val="0"/>
                  <w:vAlign w:val="center"/>
                </w:tcPr>
                <w:p w14:paraId="385A9688">
                  <w:pPr>
                    <w:adjustRightInd w:val="0"/>
                    <w:snapToGrid w:val="0"/>
                    <w:jc w:val="center"/>
                    <w:rPr>
                      <w:rFonts w:hint="default" w:ascii="Times New Roman" w:hAnsi="Times New Roman" w:eastAsia="宋体" w:cs="Times New Roman"/>
                      <w:b/>
                      <w:bCs/>
                      <w:color w:val="auto"/>
                      <w:sz w:val="21"/>
                      <w:szCs w:val="24"/>
                      <w:lang w:val="en-US" w:eastAsia="zh-CN"/>
                    </w:rPr>
                  </w:pPr>
                </w:p>
              </w:tc>
            </w:tr>
            <w:tr w14:paraId="5181AC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310" w:type="pct"/>
                  <w:tcBorders>
                    <w:top w:val="single" w:color="auto" w:sz="12" w:space="0"/>
                  </w:tcBorders>
                  <w:noWrap w:val="0"/>
                  <w:vAlign w:val="center"/>
                </w:tcPr>
                <w:p w14:paraId="7829383C">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p>
              </w:tc>
              <w:tc>
                <w:tcPr>
                  <w:tcW w:w="1190" w:type="pct"/>
                  <w:tcBorders>
                    <w:top w:val="single" w:color="auto" w:sz="12" w:space="0"/>
                  </w:tcBorders>
                  <w:shd w:val="clear" w:color="auto" w:fill="auto"/>
                  <w:noWrap w:val="0"/>
                  <w:vAlign w:val="center"/>
                </w:tcPr>
                <w:p w14:paraId="296A9A8C">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激光切割机</w:t>
                  </w:r>
                </w:p>
              </w:tc>
              <w:tc>
                <w:tcPr>
                  <w:tcW w:w="563" w:type="pct"/>
                  <w:tcBorders>
                    <w:top w:val="single" w:color="auto" w:sz="12" w:space="0"/>
                  </w:tcBorders>
                  <w:shd w:val="clear" w:color="auto" w:fill="auto"/>
                  <w:noWrap w:val="0"/>
                  <w:vAlign w:val="center"/>
                </w:tcPr>
                <w:p w14:paraId="7D3AE786">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100</w:t>
                  </w:r>
                </w:p>
              </w:tc>
              <w:tc>
                <w:tcPr>
                  <w:tcW w:w="577" w:type="pct"/>
                  <w:vMerge w:val="restart"/>
                  <w:tcBorders>
                    <w:top w:val="single" w:color="auto" w:sz="12" w:space="0"/>
                  </w:tcBorders>
                  <w:shd w:val="clear" w:color="auto" w:fill="auto"/>
                  <w:noWrap w:val="0"/>
                  <w:vAlign w:val="center"/>
                </w:tcPr>
                <w:p w14:paraId="2A749A4D">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基础减振</w:t>
                  </w:r>
                  <w:r>
                    <w:rPr>
                      <w:rFonts w:hint="eastAsia" w:ascii="Times New Roman" w:hAnsi="Times New Roman" w:eastAsia="宋体" w:cs="Times New Roman"/>
                      <w:color w:val="auto"/>
                      <w:lang w:val="en-US" w:eastAsia="zh-CN"/>
                    </w:rPr>
                    <w:t>、厂房隔声</w:t>
                  </w:r>
                </w:p>
              </w:tc>
              <w:tc>
                <w:tcPr>
                  <w:tcW w:w="429" w:type="pct"/>
                  <w:tcBorders>
                    <w:top w:val="single" w:color="auto" w:sz="12" w:space="0"/>
                  </w:tcBorders>
                  <w:shd w:val="clear" w:color="auto" w:fill="auto"/>
                  <w:noWrap w:val="0"/>
                  <w:vAlign w:val="center"/>
                </w:tcPr>
                <w:p w14:paraId="289FC18D">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-27.9</w:t>
                  </w:r>
                </w:p>
              </w:tc>
              <w:tc>
                <w:tcPr>
                  <w:tcW w:w="420" w:type="pct"/>
                  <w:tcBorders>
                    <w:top w:val="single" w:color="auto" w:sz="12" w:space="0"/>
                  </w:tcBorders>
                  <w:noWrap w:val="0"/>
                  <w:vAlign w:val="center"/>
                </w:tcPr>
                <w:p w14:paraId="0CF8984E">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26.2</w:t>
                  </w:r>
                </w:p>
              </w:tc>
              <w:tc>
                <w:tcPr>
                  <w:tcW w:w="358" w:type="pct"/>
                  <w:tcBorders>
                    <w:top w:val="single" w:color="auto" w:sz="12" w:space="0"/>
                  </w:tcBorders>
                  <w:noWrap w:val="0"/>
                  <w:vAlign w:val="center"/>
                </w:tcPr>
                <w:p w14:paraId="6B073235">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1.2</w:t>
                  </w:r>
                </w:p>
              </w:tc>
              <w:tc>
                <w:tcPr>
                  <w:tcW w:w="420" w:type="pct"/>
                  <w:vMerge w:val="restart"/>
                  <w:tcBorders>
                    <w:top w:val="single" w:color="auto" w:sz="12" w:space="0"/>
                  </w:tcBorders>
                  <w:noWrap w:val="0"/>
                  <w:vAlign w:val="center"/>
                </w:tcPr>
                <w:p w14:paraId="382CD969">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8h</w:t>
                  </w:r>
                </w:p>
              </w:tc>
              <w:tc>
                <w:tcPr>
                  <w:tcW w:w="730" w:type="pct"/>
                  <w:tcBorders>
                    <w:top w:val="single" w:color="auto" w:sz="12" w:space="0"/>
                  </w:tcBorders>
                  <w:noWrap w:val="0"/>
                  <w:vAlign w:val="center"/>
                </w:tcPr>
                <w:p w14:paraId="4D057599">
                  <w:pPr>
                    <w:adjustRightInd w:val="0"/>
                    <w:snapToGrid w:val="0"/>
                    <w:jc w:val="center"/>
                    <w:rPr>
                      <w:rFonts w:hint="default" w:ascii="Times New Roman" w:hAnsi="Times New Roman" w:eastAsia="宋体" w:cs="Times New Roman"/>
                      <w:color w:val="auto"/>
                      <w:lang w:val="en-US" w:eastAsia="zh-CN"/>
                    </w:rPr>
                  </w:pPr>
                  <w:r>
                    <w:rPr>
                      <w:rFonts w:hint="eastAsia" w:cs="Times New Roman"/>
                      <w:color w:val="auto"/>
                      <w:lang w:val="en-US" w:eastAsia="zh-CN"/>
                    </w:rPr>
                    <w:t>75</w:t>
                  </w:r>
                </w:p>
              </w:tc>
            </w:tr>
            <w:tr w14:paraId="7B1C57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0" w:type="pct"/>
                  <w:noWrap w:val="0"/>
                  <w:vAlign w:val="center"/>
                </w:tcPr>
                <w:p w14:paraId="69AA7F77">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w:t>
                  </w:r>
                </w:p>
              </w:tc>
              <w:tc>
                <w:tcPr>
                  <w:tcW w:w="1190" w:type="pct"/>
                  <w:shd w:val="clear" w:color="auto" w:fill="auto"/>
                  <w:noWrap w:val="0"/>
                  <w:vAlign w:val="center"/>
                </w:tcPr>
                <w:p w14:paraId="27DA50A1">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数控火焰切割机</w:t>
                  </w:r>
                </w:p>
              </w:tc>
              <w:tc>
                <w:tcPr>
                  <w:tcW w:w="563" w:type="pct"/>
                  <w:shd w:val="clear" w:color="auto" w:fill="auto"/>
                  <w:noWrap w:val="0"/>
                  <w:vAlign w:val="center"/>
                </w:tcPr>
                <w:p w14:paraId="616DB4B0">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100</w:t>
                  </w:r>
                </w:p>
              </w:tc>
              <w:tc>
                <w:tcPr>
                  <w:tcW w:w="577" w:type="pct"/>
                  <w:vMerge w:val="continue"/>
                  <w:shd w:val="clear" w:color="auto" w:fill="auto"/>
                  <w:noWrap w:val="0"/>
                  <w:vAlign w:val="center"/>
                </w:tcPr>
                <w:p w14:paraId="295BDABD">
                  <w:pPr>
                    <w:adjustRightInd w:val="0"/>
                    <w:snapToGrid w:val="0"/>
                    <w:jc w:val="center"/>
                    <w:rPr>
                      <w:rFonts w:hint="eastAsia" w:ascii="Times New Roman" w:hAnsi="Times New Roman" w:eastAsia="宋体" w:cs="Times New Roman"/>
                      <w:color w:val="auto"/>
                      <w:lang w:val="en-US" w:eastAsia="zh-CN"/>
                    </w:rPr>
                  </w:pPr>
                </w:p>
              </w:tc>
              <w:tc>
                <w:tcPr>
                  <w:tcW w:w="429" w:type="pct"/>
                  <w:shd w:val="clear" w:color="auto" w:fill="auto"/>
                  <w:noWrap w:val="0"/>
                  <w:vAlign w:val="center"/>
                </w:tcPr>
                <w:p w14:paraId="40DBC2AE">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w:t>
                  </w:r>
                  <w:r>
                    <w:rPr>
                      <w:rFonts w:hint="eastAsia" w:ascii="Times New Roman" w:hAnsi="Times New Roman" w:eastAsia="宋体" w:cs="Times New Roman"/>
                      <w:color w:val="auto"/>
                      <w:lang w:val="en-US" w:eastAsia="zh-CN"/>
                    </w:rPr>
                    <w:t>0.3</w:t>
                  </w:r>
                </w:p>
              </w:tc>
              <w:tc>
                <w:tcPr>
                  <w:tcW w:w="420" w:type="pct"/>
                  <w:noWrap w:val="0"/>
                  <w:vAlign w:val="center"/>
                </w:tcPr>
                <w:p w14:paraId="368E3026">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w:t>
                  </w:r>
                  <w:r>
                    <w:rPr>
                      <w:rFonts w:hint="eastAsia" w:ascii="Times New Roman" w:hAnsi="Times New Roman" w:eastAsia="宋体" w:cs="Times New Roman"/>
                      <w:color w:val="auto"/>
                      <w:lang w:val="en-US" w:eastAsia="zh-CN"/>
                    </w:rPr>
                    <w:t>1.6</w:t>
                  </w:r>
                </w:p>
              </w:tc>
              <w:tc>
                <w:tcPr>
                  <w:tcW w:w="358" w:type="pct"/>
                  <w:noWrap w:val="0"/>
                  <w:vAlign w:val="center"/>
                </w:tcPr>
                <w:p w14:paraId="4892DBC1">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1.2</w:t>
                  </w:r>
                </w:p>
              </w:tc>
              <w:tc>
                <w:tcPr>
                  <w:tcW w:w="420" w:type="pct"/>
                  <w:vMerge w:val="continue"/>
                  <w:noWrap w:val="0"/>
                  <w:vAlign w:val="center"/>
                </w:tcPr>
                <w:p w14:paraId="54E25D81">
                  <w:pPr>
                    <w:adjustRightInd w:val="0"/>
                    <w:snapToGrid w:val="0"/>
                    <w:jc w:val="center"/>
                    <w:rPr>
                      <w:rFonts w:hint="eastAsia" w:ascii="Times New Roman" w:hAnsi="Times New Roman" w:eastAsia="宋体" w:cs="Times New Roman"/>
                      <w:color w:val="auto"/>
                      <w:lang w:val="en-US" w:eastAsia="zh-CN"/>
                    </w:rPr>
                  </w:pPr>
                </w:p>
              </w:tc>
              <w:tc>
                <w:tcPr>
                  <w:tcW w:w="730" w:type="pct"/>
                  <w:noWrap w:val="0"/>
                  <w:vAlign w:val="center"/>
                </w:tcPr>
                <w:p w14:paraId="4E614476">
                  <w:pPr>
                    <w:adjustRightInd w:val="0"/>
                    <w:snapToGrid w:val="0"/>
                    <w:jc w:val="center"/>
                    <w:rPr>
                      <w:rFonts w:hint="default" w:ascii="Times New Roman" w:hAnsi="Times New Roman" w:eastAsia="宋体" w:cs="Times New Roman"/>
                      <w:color w:val="auto"/>
                      <w:lang w:val="en-US" w:eastAsia="zh-CN"/>
                    </w:rPr>
                  </w:pPr>
                  <w:r>
                    <w:rPr>
                      <w:rFonts w:hint="eastAsia" w:cs="Times New Roman"/>
                      <w:color w:val="auto"/>
                      <w:lang w:val="en-US" w:eastAsia="zh-CN"/>
                    </w:rPr>
                    <w:t>75</w:t>
                  </w:r>
                </w:p>
              </w:tc>
            </w:tr>
            <w:tr w14:paraId="59449A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0" w:type="pct"/>
                  <w:noWrap w:val="0"/>
                  <w:vAlign w:val="center"/>
                </w:tcPr>
                <w:p w14:paraId="21FA23C7">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w:t>
                  </w:r>
                </w:p>
              </w:tc>
              <w:tc>
                <w:tcPr>
                  <w:tcW w:w="1190" w:type="pct"/>
                  <w:shd w:val="clear" w:color="auto" w:fill="auto"/>
                  <w:noWrap w:val="0"/>
                  <w:vAlign w:val="center"/>
                </w:tcPr>
                <w:p w14:paraId="3C871CCC">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自动焊接机器人</w:t>
                  </w:r>
                </w:p>
              </w:tc>
              <w:tc>
                <w:tcPr>
                  <w:tcW w:w="563" w:type="pct"/>
                  <w:shd w:val="clear" w:color="auto" w:fill="auto"/>
                  <w:noWrap w:val="0"/>
                  <w:vAlign w:val="center"/>
                </w:tcPr>
                <w:p w14:paraId="72F63E6E">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95</w:t>
                  </w:r>
                </w:p>
              </w:tc>
              <w:tc>
                <w:tcPr>
                  <w:tcW w:w="577" w:type="pct"/>
                  <w:vMerge w:val="continue"/>
                  <w:shd w:val="clear" w:color="auto" w:fill="auto"/>
                  <w:noWrap w:val="0"/>
                  <w:vAlign w:val="center"/>
                </w:tcPr>
                <w:p w14:paraId="3D28129D">
                  <w:pPr>
                    <w:adjustRightInd w:val="0"/>
                    <w:snapToGrid w:val="0"/>
                    <w:jc w:val="center"/>
                    <w:rPr>
                      <w:rFonts w:hint="eastAsia" w:ascii="Times New Roman" w:hAnsi="Times New Roman" w:eastAsia="宋体" w:cs="Times New Roman"/>
                      <w:color w:val="auto"/>
                      <w:lang w:val="en-US" w:eastAsia="zh-CN"/>
                    </w:rPr>
                  </w:pPr>
                </w:p>
              </w:tc>
              <w:tc>
                <w:tcPr>
                  <w:tcW w:w="429" w:type="pct"/>
                  <w:shd w:val="clear" w:color="auto" w:fill="auto"/>
                  <w:noWrap w:val="0"/>
                  <w:vAlign w:val="center"/>
                </w:tcPr>
                <w:p w14:paraId="4F73559B">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16</w:t>
                  </w:r>
                </w:p>
              </w:tc>
              <w:tc>
                <w:tcPr>
                  <w:tcW w:w="420" w:type="pct"/>
                  <w:noWrap w:val="0"/>
                  <w:vAlign w:val="center"/>
                </w:tcPr>
                <w:p w14:paraId="51C88487">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24.2</w:t>
                  </w:r>
                </w:p>
              </w:tc>
              <w:tc>
                <w:tcPr>
                  <w:tcW w:w="358" w:type="pct"/>
                  <w:noWrap w:val="0"/>
                  <w:vAlign w:val="center"/>
                </w:tcPr>
                <w:p w14:paraId="457139BD">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1.2</w:t>
                  </w:r>
                </w:p>
              </w:tc>
              <w:tc>
                <w:tcPr>
                  <w:tcW w:w="420" w:type="pct"/>
                  <w:vMerge w:val="continue"/>
                  <w:noWrap w:val="0"/>
                  <w:vAlign w:val="center"/>
                </w:tcPr>
                <w:p w14:paraId="202DA349">
                  <w:pPr>
                    <w:adjustRightInd w:val="0"/>
                    <w:snapToGrid w:val="0"/>
                    <w:jc w:val="center"/>
                    <w:rPr>
                      <w:rFonts w:hint="eastAsia" w:ascii="Times New Roman" w:hAnsi="Times New Roman" w:eastAsia="宋体" w:cs="Times New Roman"/>
                      <w:color w:val="auto"/>
                      <w:lang w:val="en-US" w:eastAsia="zh-CN"/>
                    </w:rPr>
                  </w:pPr>
                </w:p>
              </w:tc>
              <w:tc>
                <w:tcPr>
                  <w:tcW w:w="730" w:type="pct"/>
                  <w:noWrap w:val="0"/>
                  <w:vAlign w:val="center"/>
                </w:tcPr>
                <w:p w14:paraId="386DE9D4">
                  <w:pPr>
                    <w:adjustRightInd w:val="0"/>
                    <w:snapToGrid w:val="0"/>
                    <w:jc w:val="center"/>
                    <w:rPr>
                      <w:rFonts w:hint="default" w:ascii="Times New Roman" w:hAnsi="Times New Roman" w:eastAsia="宋体" w:cs="Times New Roman"/>
                      <w:color w:val="auto"/>
                      <w:lang w:val="en-US" w:eastAsia="zh-CN"/>
                    </w:rPr>
                  </w:pPr>
                  <w:r>
                    <w:rPr>
                      <w:rFonts w:hint="eastAsia" w:cs="Times New Roman"/>
                      <w:color w:val="auto"/>
                      <w:lang w:val="en-US" w:eastAsia="zh-CN"/>
                    </w:rPr>
                    <w:t>75</w:t>
                  </w:r>
                </w:p>
              </w:tc>
            </w:tr>
            <w:tr w14:paraId="03D601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0" w:type="pct"/>
                  <w:noWrap w:val="0"/>
                  <w:vAlign w:val="center"/>
                </w:tcPr>
                <w:p w14:paraId="57D59755">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w:t>
                  </w:r>
                </w:p>
              </w:tc>
              <w:tc>
                <w:tcPr>
                  <w:tcW w:w="1190" w:type="pct"/>
                  <w:shd w:val="clear" w:color="auto" w:fill="auto"/>
                  <w:noWrap w:val="0"/>
                  <w:vAlign w:val="center"/>
                </w:tcPr>
                <w:p w14:paraId="1FECB75D">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抛丸除锈设备</w:t>
                  </w:r>
                </w:p>
              </w:tc>
              <w:tc>
                <w:tcPr>
                  <w:tcW w:w="563" w:type="pct"/>
                  <w:shd w:val="clear" w:color="auto" w:fill="auto"/>
                  <w:noWrap w:val="0"/>
                  <w:vAlign w:val="center"/>
                </w:tcPr>
                <w:p w14:paraId="173DE3F0">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100</w:t>
                  </w:r>
                </w:p>
              </w:tc>
              <w:tc>
                <w:tcPr>
                  <w:tcW w:w="577" w:type="pct"/>
                  <w:vMerge w:val="continue"/>
                  <w:shd w:val="clear" w:color="auto" w:fill="auto"/>
                  <w:noWrap w:val="0"/>
                  <w:vAlign w:val="center"/>
                </w:tcPr>
                <w:p w14:paraId="37E90709">
                  <w:pPr>
                    <w:adjustRightInd w:val="0"/>
                    <w:snapToGrid w:val="0"/>
                    <w:jc w:val="center"/>
                    <w:rPr>
                      <w:rFonts w:hint="eastAsia" w:ascii="Times New Roman" w:hAnsi="Times New Roman" w:eastAsia="宋体" w:cs="Times New Roman"/>
                      <w:color w:val="auto"/>
                      <w:lang w:val="en-US" w:eastAsia="zh-CN"/>
                    </w:rPr>
                  </w:pPr>
                </w:p>
              </w:tc>
              <w:tc>
                <w:tcPr>
                  <w:tcW w:w="429" w:type="pct"/>
                  <w:shd w:val="clear" w:color="auto" w:fill="auto"/>
                  <w:noWrap w:val="0"/>
                  <w:vAlign w:val="center"/>
                </w:tcPr>
                <w:p w14:paraId="15843EC6">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9.6</w:t>
                  </w:r>
                </w:p>
              </w:tc>
              <w:tc>
                <w:tcPr>
                  <w:tcW w:w="420" w:type="pct"/>
                  <w:noWrap w:val="0"/>
                  <w:vAlign w:val="center"/>
                </w:tcPr>
                <w:p w14:paraId="2360E58E">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19.7</w:t>
                  </w:r>
                </w:p>
              </w:tc>
              <w:tc>
                <w:tcPr>
                  <w:tcW w:w="358" w:type="pct"/>
                  <w:noWrap w:val="0"/>
                  <w:vAlign w:val="center"/>
                </w:tcPr>
                <w:p w14:paraId="59025422">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1.2</w:t>
                  </w:r>
                </w:p>
              </w:tc>
              <w:tc>
                <w:tcPr>
                  <w:tcW w:w="420" w:type="pct"/>
                  <w:vMerge w:val="continue"/>
                  <w:noWrap w:val="0"/>
                  <w:vAlign w:val="center"/>
                </w:tcPr>
                <w:p w14:paraId="5FBD0311">
                  <w:pPr>
                    <w:adjustRightInd w:val="0"/>
                    <w:snapToGrid w:val="0"/>
                    <w:jc w:val="center"/>
                    <w:rPr>
                      <w:rFonts w:hint="eastAsia" w:ascii="Times New Roman" w:hAnsi="Times New Roman" w:eastAsia="宋体" w:cs="Times New Roman"/>
                      <w:color w:val="auto"/>
                      <w:lang w:val="en-US" w:eastAsia="zh-CN"/>
                    </w:rPr>
                  </w:pPr>
                </w:p>
              </w:tc>
              <w:tc>
                <w:tcPr>
                  <w:tcW w:w="730" w:type="pct"/>
                  <w:noWrap w:val="0"/>
                  <w:vAlign w:val="center"/>
                </w:tcPr>
                <w:p w14:paraId="375712AE">
                  <w:pPr>
                    <w:adjustRightInd w:val="0"/>
                    <w:snapToGrid w:val="0"/>
                    <w:jc w:val="center"/>
                    <w:rPr>
                      <w:rFonts w:hint="default" w:ascii="Times New Roman" w:hAnsi="Times New Roman" w:eastAsia="宋体" w:cs="Times New Roman"/>
                      <w:color w:val="auto"/>
                      <w:lang w:val="en-US" w:eastAsia="zh-CN"/>
                    </w:rPr>
                  </w:pPr>
                  <w:r>
                    <w:rPr>
                      <w:rFonts w:hint="eastAsia" w:cs="Times New Roman"/>
                      <w:color w:val="auto"/>
                      <w:lang w:val="en-US" w:eastAsia="zh-CN"/>
                    </w:rPr>
                    <w:t>75</w:t>
                  </w:r>
                </w:p>
              </w:tc>
            </w:tr>
            <w:tr w14:paraId="10C156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0" w:type="pct"/>
                  <w:noWrap w:val="0"/>
                  <w:vAlign w:val="center"/>
                </w:tcPr>
                <w:p w14:paraId="674450EE">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w:t>
                  </w:r>
                </w:p>
              </w:tc>
              <w:tc>
                <w:tcPr>
                  <w:tcW w:w="1190" w:type="pct"/>
                  <w:shd w:val="clear" w:color="auto" w:fill="auto"/>
                  <w:noWrap w:val="0"/>
                  <w:vAlign w:val="center"/>
                </w:tcPr>
                <w:p w14:paraId="549942E1">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静电喷涂设备</w:t>
                  </w:r>
                </w:p>
              </w:tc>
              <w:tc>
                <w:tcPr>
                  <w:tcW w:w="563" w:type="pct"/>
                  <w:shd w:val="clear" w:color="auto" w:fill="auto"/>
                  <w:noWrap w:val="0"/>
                  <w:vAlign w:val="center"/>
                </w:tcPr>
                <w:p w14:paraId="150D0D3D">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85</w:t>
                  </w:r>
                </w:p>
              </w:tc>
              <w:tc>
                <w:tcPr>
                  <w:tcW w:w="577" w:type="pct"/>
                  <w:vMerge w:val="continue"/>
                  <w:shd w:val="clear" w:color="auto" w:fill="auto"/>
                  <w:noWrap w:val="0"/>
                  <w:vAlign w:val="center"/>
                </w:tcPr>
                <w:p w14:paraId="3D6E15D7">
                  <w:pPr>
                    <w:adjustRightInd w:val="0"/>
                    <w:snapToGrid w:val="0"/>
                    <w:jc w:val="center"/>
                    <w:rPr>
                      <w:rFonts w:hint="eastAsia" w:ascii="Times New Roman" w:hAnsi="Times New Roman" w:eastAsia="宋体" w:cs="Times New Roman"/>
                      <w:color w:val="auto"/>
                      <w:lang w:val="en-US" w:eastAsia="zh-CN"/>
                    </w:rPr>
                  </w:pPr>
                </w:p>
              </w:tc>
              <w:tc>
                <w:tcPr>
                  <w:tcW w:w="429" w:type="pct"/>
                  <w:shd w:val="clear" w:color="auto" w:fill="auto"/>
                  <w:noWrap w:val="0"/>
                  <w:vAlign w:val="center"/>
                </w:tcPr>
                <w:p w14:paraId="58B515F9">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w:t>
                  </w:r>
                  <w:r>
                    <w:rPr>
                      <w:rFonts w:hint="eastAsia" w:ascii="Times New Roman" w:hAnsi="Times New Roman" w:eastAsia="宋体" w:cs="Times New Roman"/>
                      <w:color w:val="auto"/>
                      <w:lang w:val="en-US" w:eastAsia="zh-CN"/>
                    </w:rPr>
                    <w:t>2.5</w:t>
                  </w:r>
                </w:p>
              </w:tc>
              <w:tc>
                <w:tcPr>
                  <w:tcW w:w="420" w:type="pct"/>
                  <w:noWrap w:val="0"/>
                  <w:vAlign w:val="center"/>
                </w:tcPr>
                <w:p w14:paraId="40710DDF">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7.5</w:t>
                  </w:r>
                </w:p>
              </w:tc>
              <w:tc>
                <w:tcPr>
                  <w:tcW w:w="358" w:type="pct"/>
                  <w:noWrap w:val="0"/>
                  <w:vAlign w:val="center"/>
                </w:tcPr>
                <w:p w14:paraId="7F2DE88B">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1.2</w:t>
                  </w:r>
                </w:p>
              </w:tc>
              <w:tc>
                <w:tcPr>
                  <w:tcW w:w="420" w:type="pct"/>
                  <w:vMerge w:val="continue"/>
                  <w:noWrap w:val="0"/>
                  <w:vAlign w:val="center"/>
                </w:tcPr>
                <w:p w14:paraId="01E08C71">
                  <w:pPr>
                    <w:adjustRightInd w:val="0"/>
                    <w:snapToGrid w:val="0"/>
                    <w:jc w:val="center"/>
                    <w:rPr>
                      <w:rFonts w:hint="eastAsia" w:ascii="Times New Roman" w:hAnsi="Times New Roman" w:eastAsia="宋体" w:cs="Times New Roman"/>
                      <w:color w:val="auto"/>
                      <w:lang w:val="en-US" w:eastAsia="zh-CN"/>
                    </w:rPr>
                  </w:pPr>
                </w:p>
              </w:tc>
              <w:tc>
                <w:tcPr>
                  <w:tcW w:w="730" w:type="pct"/>
                  <w:noWrap w:val="0"/>
                  <w:vAlign w:val="center"/>
                </w:tcPr>
                <w:p w14:paraId="1584B29A">
                  <w:pPr>
                    <w:adjustRightInd w:val="0"/>
                    <w:snapToGrid w:val="0"/>
                    <w:jc w:val="center"/>
                    <w:rPr>
                      <w:rFonts w:hint="default" w:ascii="Times New Roman" w:hAnsi="Times New Roman" w:eastAsia="宋体" w:cs="Times New Roman"/>
                      <w:color w:val="auto"/>
                      <w:lang w:val="en-US" w:eastAsia="zh-CN"/>
                    </w:rPr>
                  </w:pPr>
                  <w:r>
                    <w:rPr>
                      <w:rFonts w:hint="eastAsia" w:cs="Times New Roman"/>
                      <w:color w:val="auto"/>
                      <w:lang w:val="en-US" w:eastAsia="zh-CN"/>
                    </w:rPr>
                    <w:t>65</w:t>
                  </w:r>
                </w:p>
              </w:tc>
            </w:tr>
            <w:tr w14:paraId="5BE709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0" w:type="pct"/>
                  <w:noWrap w:val="0"/>
                  <w:vAlign w:val="center"/>
                </w:tcPr>
                <w:p w14:paraId="6225B968">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6</w:t>
                  </w:r>
                </w:p>
              </w:tc>
              <w:tc>
                <w:tcPr>
                  <w:tcW w:w="1190" w:type="pct"/>
                  <w:shd w:val="clear" w:color="auto" w:fill="auto"/>
                  <w:noWrap w:val="0"/>
                  <w:vAlign w:val="center"/>
                </w:tcPr>
                <w:p w14:paraId="6435E4FA">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H型钢自动组立机</w:t>
                  </w:r>
                </w:p>
              </w:tc>
              <w:tc>
                <w:tcPr>
                  <w:tcW w:w="563" w:type="pct"/>
                  <w:shd w:val="clear" w:color="auto" w:fill="auto"/>
                  <w:noWrap w:val="0"/>
                  <w:vAlign w:val="center"/>
                </w:tcPr>
                <w:p w14:paraId="088A2E72">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95</w:t>
                  </w:r>
                </w:p>
              </w:tc>
              <w:tc>
                <w:tcPr>
                  <w:tcW w:w="577" w:type="pct"/>
                  <w:vMerge w:val="continue"/>
                  <w:shd w:val="clear" w:color="auto" w:fill="auto"/>
                  <w:noWrap w:val="0"/>
                  <w:vAlign w:val="center"/>
                </w:tcPr>
                <w:p w14:paraId="7FB54EFF">
                  <w:pPr>
                    <w:adjustRightInd w:val="0"/>
                    <w:snapToGrid w:val="0"/>
                    <w:jc w:val="center"/>
                    <w:rPr>
                      <w:rFonts w:hint="eastAsia" w:ascii="Times New Roman" w:hAnsi="Times New Roman" w:eastAsia="宋体" w:cs="Times New Roman"/>
                      <w:color w:val="auto"/>
                      <w:lang w:val="en-US" w:eastAsia="zh-CN"/>
                    </w:rPr>
                  </w:pPr>
                </w:p>
              </w:tc>
              <w:tc>
                <w:tcPr>
                  <w:tcW w:w="429" w:type="pct"/>
                  <w:shd w:val="clear" w:color="auto" w:fill="auto"/>
                  <w:noWrap w:val="0"/>
                  <w:vAlign w:val="center"/>
                </w:tcPr>
                <w:p w14:paraId="2166B6A9">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-10.2</w:t>
                  </w:r>
                </w:p>
              </w:tc>
              <w:tc>
                <w:tcPr>
                  <w:tcW w:w="420" w:type="pct"/>
                  <w:noWrap w:val="0"/>
                  <w:vAlign w:val="center"/>
                </w:tcPr>
                <w:p w14:paraId="7AAB0A76">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4.1</w:t>
                  </w:r>
                </w:p>
              </w:tc>
              <w:tc>
                <w:tcPr>
                  <w:tcW w:w="358" w:type="pct"/>
                  <w:noWrap w:val="0"/>
                  <w:vAlign w:val="center"/>
                </w:tcPr>
                <w:p w14:paraId="1EA3D651">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1.2</w:t>
                  </w:r>
                </w:p>
              </w:tc>
              <w:tc>
                <w:tcPr>
                  <w:tcW w:w="420" w:type="pct"/>
                  <w:vMerge w:val="continue"/>
                  <w:noWrap w:val="0"/>
                  <w:vAlign w:val="center"/>
                </w:tcPr>
                <w:p w14:paraId="3FB48116">
                  <w:pPr>
                    <w:adjustRightInd w:val="0"/>
                    <w:snapToGrid w:val="0"/>
                    <w:jc w:val="center"/>
                    <w:rPr>
                      <w:rFonts w:hint="eastAsia" w:ascii="Times New Roman" w:hAnsi="Times New Roman" w:eastAsia="宋体" w:cs="Times New Roman"/>
                      <w:color w:val="auto"/>
                      <w:lang w:val="en-US" w:eastAsia="zh-CN"/>
                    </w:rPr>
                  </w:pPr>
                </w:p>
              </w:tc>
              <w:tc>
                <w:tcPr>
                  <w:tcW w:w="730" w:type="pct"/>
                  <w:noWrap w:val="0"/>
                  <w:vAlign w:val="center"/>
                </w:tcPr>
                <w:p w14:paraId="23AB0847">
                  <w:pPr>
                    <w:adjustRightInd w:val="0"/>
                    <w:snapToGrid w:val="0"/>
                    <w:jc w:val="center"/>
                    <w:rPr>
                      <w:rFonts w:hint="default" w:ascii="Times New Roman" w:hAnsi="Times New Roman" w:eastAsia="宋体" w:cs="Times New Roman"/>
                      <w:color w:val="auto"/>
                      <w:lang w:val="en-US" w:eastAsia="zh-CN"/>
                    </w:rPr>
                  </w:pPr>
                  <w:r>
                    <w:rPr>
                      <w:rFonts w:hint="eastAsia" w:cs="Times New Roman"/>
                      <w:color w:val="auto"/>
                      <w:lang w:val="en-US" w:eastAsia="zh-CN"/>
                    </w:rPr>
                    <w:t>75</w:t>
                  </w:r>
                </w:p>
              </w:tc>
            </w:tr>
            <w:tr w14:paraId="14D63E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310" w:type="pct"/>
                  <w:noWrap w:val="0"/>
                  <w:vAlign w:val="center"/>
                </w:tcPr>
                <w:p w14:paraId="163204A8">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190" w:type="pct"/>
                  <w:shd w:val="clear" w:color="auto" w:fill="auto"/>
                  <w:noWrap w:val="0"/>
                  <w:vAlign w:val="center"/>
                </w:tcPr>
                <w:p w14:paraId="7173077B">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二氧化碳气体保护焊机</w:t>
                  </w:r>
                </w:p>
              </w:tc>
              <w:tc>
                <w:tcPr>
                  <w:tcW w:w="563" w:type="pct"/>
                  <w:shd w:val="clear" w:color="auto" w:fill="auto"/>
                  <w:noWrap w:val="0"/>
                  <w:vAlign w:val="center"/>
                </w:tcPr>
                <w:p w14:paraId="47944980">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90</w:t>
                  </w:r>
                </w:p>
              </w:tc>
              <w:tc>
                <w:tcPr>
                  <w:tcW w:w="577" w:type="pct"/>
                  <w:vMerge w:val="continue"/>
                  <w:shd w:val="clear" w:color="auto" w:fill="auto"/>
                  <w:noWrap w:val="0"/>
                  <w:vAlign w:val="center"/>
                </w:tcPr>
                <w:p w14:paraId="1FA6872E">
                  <w:pPr>
                    <w:adjustRightInd w:val="0"/>
                    <w:snapToGrid w:val="0"/>
                    <w:jc w:val="center"/>
                    <w:rPr>
                      <w:rFonts w:hint="eastAsia" w:ascii="Times New Roman" w:hAnsi="Times New Roman" w:eastAsia="宋体" w:cs="Times New Roman"/>
                      <w:color w:val="auto"/>
                      <w:lang w:val="en-US" w:eastAsia="zh-CN"/>
                    </w:rPr>
                  </w:pPr>
                </w:p>
              </w:tc>
              <w:tc>
                <w:tcPr>
                  <w:tcW w:w="429" w:type="pct"/>
                  <w:shd w:val="clear" w:color="auto" w:fill="auto"/>
                  <w:noWrap w:val="0"/>
                  <w:vAlign w:val="center"/>
                </w:tcPr>
                <w:p w14:paraId="03DA9326">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8.5</w:t>
                  </w:r>
                </w:p>
              </w:tc>
              <w:tc>
                <w:tcPr>
                  <w:tcW w:w="420" w:type="pct"/>
                  <w:noWrap w:val="0"/>
                  <w:vAlign w:val="center"/>
                </w:tcPr>
                <w:p w14:paraId="7236C9D9">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24.6</w:t>
                  </w:r>
                </w:p>
              </w:tc>
              <w:tc>
                <w:tcPr>
                  <w:tcW w:w="358" w:type="pct"/>
                  <w:noWrap w:val="0"/>
                  <w:vAlign w:val="center"/>
                </w:tcPr>
                <w:p w14:paraId="6AF8823B">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1.2</w:t>
                  </w:r>
                </w:p>
              </w:tc>
              <w:tc>
                <w:tcPr>
                  <w:tcW w:w="420" w:type="pct"/>
                  <w:vMerge w:val="continue"/>
                  <w:noWrap w:val="0"/>
                  <w:vAlign w:val="center"/>
                </w:tcPr>
                <w:p w14:paraId="6C8AAEA6">
                  <w:pPr>
                    <w:adjustRightInd w:val="0"/>
                    <w:snapToGrid w:val="0"/>
                    <w:jc w:val="center"/>
                    <w:rPr>
                      <w:rFonts w:hint="eastAsia" w:ascii="Times New Roman" w:hAnsi="Times New Roman" w:eastAsia="宋体" w:cs="Times New Roman"/>
                      <w:color w:val="auto"/>
                      <w:lang w:val="en-US" w:eastAsia="zh-CN"/>
                    </w:rPr>
                  </w:pPr>
                </w:p>
              </w:tc>
              <w:tc>
                <w:tcPr>
                  <w:tcW w:w="730" w:type="pct"/>
                  <w:noWrap w:val="0"/>
                  <w:vAlign w:val="center"/>
                </w:tcPr>
                <w:p w14:paraId="29A186E9">
                  <w:pPr>
                    <w:adjustRightInd w:val="0"/>
                    <w:snapToGrid w:val="0"/>
                    <w:jc w:val="center"/>
                    <w:rPr>
                      <w:rFonts w:hint="default" w:ascii="Times New Roman" w:hAnsi="Times New Roman" w:eastAsia="宋体" w:cs="Times New Roman"/>
                      <w:color w:val="auto"/>
                      <w:lang w:val="en-US" w:eastAsia="zh-CN"/>
                    </w:rPr>
                  </w:pPr>
                  <w:r>
                    <w:rPr>
                      <w:rFonts w:hint="eastAsia" w:cs="Times New Roman"/>
                      <w:color w:val="auto"/>
                      <w:lang w:val="en-US" w:eastAsia="zh-CN"/>
                    </w:rPr>
                    <w:t>70</w:t>
                  </w:r>
                </w:p>
              </w:tc>
            </w:tr>
            <w:tr w14:paraId="4300AC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0" w:type="pct"/>
                  <w:noWrap w:val="0"/>
                  <w:vAlign w:val="center"/>
                </w:tcPr>
                <w:p w14:paraId="3360D34D">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190" w:type="pct"/>
                  <w:shd w:val="clear" w:color="auto" w:fill="auto"/>
                  <w:noWrap w:val="0"/>
                  <w:vAlign w:val="center"/>
                </w:tcPr>
                <w:p w14:paraId="07A17099">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自动埋弧焊机</w:t>
                  </w:r>
                </w:p>
              </w:tc>
              <w:tc>
                <w:tcPr>
                  <w:tcW w:w="563" w:type="pct"/>
                  <w:shd w:val="clear" w:color="auto" w:fill="auto"/>
                  <w:noWrap w:val="0"/>
                  <w:vAlign w:val="center"/>
                </w:tcPr>
                <w:p w14:paraId="2CC36578">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85</w:t>
                  </w:r>
                </w:p>
              </w:tc>
              <w:tc>
                <w:tcPr>
                  <w:tcW w:w="577" w:type="pct"/>
                  <w:vMerge w:val="continue"/>
                  <w:shd w:val="clear" w:color="auto" w:fill="auto"/>
                  <w:noWrap w:val="0"/>
                  <w:vAlign w:val="center"/>
                </w:tcPr>
                <w:p w14:paraId="23D4EB3E">
                  <w:pPr>
                    <w:adjustRightInd w:val="0"/>
                    <w:snapToGrid w:val="0"/>
                    <w:jc w:val="center"/>
                    <w:rPr>
                      <w:rFonts w:hint="eastAsia" w:ascii="Times New Roman" w:hAnsi="Times New Roman" w:eastAsia="宋体" w:cs="Times New Roman"/>
                      <w:color w:val="auto"/>
                      <w:lang w:val="en-US" w:eastAsia="zh-CN"/>
                    </w:rPr>
                  </w:pPr>
                </w:p>
              </w:tc>
              <w:tc>
                <w:tcPr>
                  <w:tcW w:w="429" w:type="pct"/>
                  <w:shd w:val="clear" w:color="auto" w:fill="auto"/>
                  <w:noWrap w:val="0"/>
                  <w:vAlign w:val="center"/>
                </w:tcPr>
                <w:p w14:paraId="47F55DBB">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-8.2</w:t>
                  </w:r>
                </w:p>
              </w:tc>
              <w:tc>
                <w:tcPr>
                  <w:tcW w:w="420" w:type="pct"/>
                  <w:noWrap w:val="0"/>
                  <w:vAlign w:val="center"/>
                </w:tcPr>
                <w:p w14:paraId="7720FC69">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23.8</w:t>
                  </w:r>
                </w:p>
              </w:tc>
              <w:tc>
                <w:tcPr>
                  <w:tcW w:w="358" w:type="pct"/>
                  <w:noWrap w:val="0"/>
                  <w:vAlign w:val="center"/>
                </w:tcPr>
                <w:p w14:paraId="6D626B89">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1.2</w:t>
                  </w:r>
                </w:p>
              </w:tc>
              <w:tc>
                <w:tcPr>
                  <w:tcW w:w="420" w:type="pct"/>
                  <w:vMerge w:val="continue"/>
                  <w:noWrap w:val="0"/>
                  <w:vAlign w:val="center"/>
                </w:tcPr>
                <w:p w14:paraId="6AC7DA39">
                  <w:pPr>
                    <w:adjustRightInd w:val="0"/>
                    <w:snapToGrid w:val="0"/>
                    <w:jc w:val="center"/>
                    <w:rPr>
                      <w:rFonts w:hint="eastAsia" w:ascii="Times New Roman" w:hAnsi="Times New Roman" w:eastAsia="宋体" w:cs="Times New Roman"/>
                      <w:color w:val="auto"/>
                      <w:lang w:val="en-US" w:eastAsia="zh-CN"/>
                    </w:rPr>
                  </w:pPr>
                </w:p>
              </w:tc>
              <w:tc>
                <w:tcPr>
                  <w:tcW w:w="730" w:type="pct"/>
                  <w:noWrap w:val="0"/>
                  <w:vAlign w:val="center"/>
                </w:tcPr>
                <w:p w14:paraId="178B5820">
                  <w:pPr>
                    <w:adjustRightInd w:val="0"/>
                    <w:snapToGrid w:val="0"/>
                    <w:jc w:val="center"/>
                    <w:rPr>
                      <w:rFonts w:hint="default" w:ascii="Times New Roman" w:hAnsi="Times New Roman" w:eastAsia="宋体" w:cs="Times New Roman"/>
                      <w:color w:val="auto"/>
                      <w:lang w:val="en-US" w:eastAsia="zh-CN"/>
                    </w:rPr>
                  </w:pPr>
                  <w:r>
                    <w:rPr>
                      <w:rFonts w:hint="eastAsia" w:cs="Times New Roman"/>
                      <w:color w:val="auto"/>
                      <w:lang w:val="en-US" w:eastAsia="zh-CN"/>
                    </w:rPr>
                    <w:t>65</w:t>
                  </w:r>
                </w:p>
              </w:tc>
            </w:tr>
            <w:tr w14:paraId="78318A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0" w:type="pct"/>
                  <w:noWrap w:val="0"/>
                  <w:vAlign w:val="center"/>
                </w:tcPr>
                <w:p w14:paraId="02D341CB">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9</w:t>
                  </w:r>
                </w:p>
              </w:tc>
              <w:tc>
                <w:tcPr>
                  <w:tcW w:w="1190" w:type="pct"/>
                  <w:shd w:val="clear" w:color="auto" w:fill="auto"/>
                  <w:noWrap w:val="0"/>
                  <w:vAlign w:val="center"/>
                </w:tcPr>
                <w:p w14:paraId="2088C0D7">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液压矫正机</w:t>
                  </w:r>
                </w:p>
              </w:tc>
              <w:tc>
                <w:tcPr>
                  <w:tcW w:w="563" w:type="pct"/>
                  <w:shd w:val="clear" w:color="auto" w:fill="auto"/>
                  <w:noWrap w:val="0"/>
                  <w:vAlign w:val="center"/>
                </w:tcPr>
                <w:p w14:paraId="0C78B6B4">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90</w:t>
                  </w:r>
                </w:p>
              </w:tc>
              <w:tc>
                <w:tcPr>
                  <w:tcW w:w="577" w:type="pct"/>
                  <w:vMerge w:val="continue"/>
                  <w:shd w:val="clear" w:color="auto" w:fill="auto"/>
                  <w:noWrap w:val="0"/>
                  <w:vAlign w:val="center"/>
                </w:tcPr>
                <w:p w14:paraId="2CB07532">
                  <w:pPr>
                    <w:adjustRightInd w:val="0"/>
                    <w:snapToGrid w:val="0"/>
                    <w:jc w:val="center"/>
                    <w:rPr>
                      <w:rFonts w:hint="eastAsia" w:ascii="Times New Roman" w:hAnsi="Times New Roman" w:eastAsia="宋体" w:cs="Times New Roman"/>
                      <w:color w:val="auto"/>
                      <w:lang w:val="en-US" w:eastAsia="zh-CN"/>
                    </w:rPr>
                  </w:pPr>
                </w:p>
              </w:tc>
              <w:tc>
                <w:tcPr>
                  <w:tcW w:w="429" w:type="pct"/>
                  <w:shd w:val="clear" w:color="auto" w:fill="auto"/>
                  <w:noWrap w:val="0"/>
                  <w:vAlign w:val="center"/>
                </w:tcPr>
                <w:p w14:paraId="17CF27B5">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-37.3</w:t>
                  </w:r>
                </w:p>
              </w:tc>
              <w:tc>
                <w:tcPr>
                  <w:tcW w:w="420" w:type="pct"/>
                  <w:noWrap w:val="0"/>
                  <w:vAlign w:val="center"/>
                </w:tcPr>
                <w:p w14:paraId="7FCF97F9">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-19.3</w:t>
                  </w:r>
                </w:p>
              </w:tc>
              <w:tc>
                <w:tcPr>
                  <w:tcW w:w="358" w:type="pct"/>
                  <w:noWrap w:val="0"/>
                  <w:vAlign w:val="center"/>
                </w:tcPr>
                <w:p w14:paraId="737AC2DB">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1.2</w:t>
                  </w:r>
                </w:p>
              </w:tc>
              <w:tc>
                <w:tcPr>
                  <w:tcW w:w="420" w:type="pct"/>
                  <w:vMerge w:val="continue"/>
                  <w:noWrap w:val="0"/>
                  <w:vAlign w:val="center"/>
                </w:tcPr>
                <w:p w14:paraId="7A2E3627">
                  <w:pPr>
                    <w:adjustRightInd w:val="0"/>
                    <w:snapToGrid w:val="0"/>
                    <w:jc w:val="center"/>
                    <w:rPr>
                      <w:rFonts w:hint="eastAsia" w:ascii="Times New Roman" w:hAnsi="Times New Roman" w:eastAsia="宋体" w:cs="Times New Roman"/>
                      <w:color w:val="auto"/>
                      <w:lang w:val="en-US" w:eastAsia="zh-CN"/>
                    </w:rPr>
                  </w:pPr>
                </w:p>
              </w:tc>
              <w:tc>
                <w:tcPr>
                  <w:tcW w:w="730" w:type="pct"/>
                  <w:noWrap w:val="0"/>
                  <w:vAlign w:val="center"/>
                </w:tcPr>
                <w:p w14:paraId="628CBE94">
                  <w:pPr>
                    <w:adjustRightInd w:val="0"/>
                    <w:snapToGrid w:val="0"/>
                    <w:jc w:val="center"/>
                    <w:rPr>
                      <w:rFonts w:hint="default" w:ascii="Times New Roman" w:hAnsi="Times New Roman" w:eastAsia="宋体" w:cs="Times New Roman"/>
                      <w:color w:val="auto"/>
                      <w:lang w:val="en-US" w:eastAsia="zh-CN"/>
                    </w:rPr>
                  </w:pPr>
                  <w:r>
                    <w:rPr>
                      <w:rFonts w:hint="eastAsia" w:cs="Times New Roman"/>
                      <w:color w:val="auto"/>
                      <w:lang w:val="en-US" w:eastAsia="zh-CN"/>
                    </w:rPr>
                    <w:t>70</w:t>
                  </w:r>
                </w:p>
              </w:tc>
            </w:tr>
            <w:tr w14:paraId="129F0A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0" w:type="pct"/>
                  <w:noWrap w:val="0"/>
                  <w:vAlign w:val="center"/>
                </w:tcPr>
                <w:p w14:paraId="559840AC">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10</w:t>
                  </w:r>
                </w:p>
              </w:tc>
              <w:tc>
                <w:tcPr>
                  <w:tcW w:w="1190" w:type="pct"/>
                  <w:shd w:val="clear" w:color="auto" w:fill="auto"/>
                  <w:noWrap w:val="0"/>
                  <w:vAlign w:val="center"/>
                </w:tcPr>
                <w:p w14:paraId="3817698B">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大型卷板机</w:t>
                  </w:r>
                </w:p>
              </w:tc>
              <w:tc>
                <w:tcPr>
                  <w:tcW w:w="563" w:type="pct"/>
                  <w:shd w:val="clear" w:color="auto" w:fill="auto"/>
                  <w:noWrap w:val="0"/>
                  <w:vAlign w:val="center"/>
                </w:tcPr>
                <w:p w14:paraId="11AE4D47">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r>
                    <w:rPr>
                      <w:rFonts w:hint="eastAsia" w:eastAsia="宋体" w:cs="Times New Roman"/>
                      <w:color w:val="auto"/>
                      <w:lang w:val="en-US" w:eastAsia="zh-CN"/>
                    </w:rPr>
                    <w:t>5</w:t>
                  </w:r>
                </w:p>
              </w:tc>
              <w:tc>
                <w:tcPr>
                  <w:tcW w:w="577" w:type="pct"/>
                  <w:vMerge w:val="continue"/>
                  <w:shd w:val="clear" w:color="auto" w:fill="auto"/>
                  <w:noWrap w:val="0"/>
                  <w:vAlign w:val="center"/>
                </w:tcPr>
                <w:p w14:paraId="51F6D0DC">
                  <w:pPr>
                    <w:adjustRightInd w:val="0"/>
                    <w:snapToGrid w:val="0"/>
                    <w:jc w:val="center"/>
                    <w:rPr>
                      <w:rFonts w:hint="eastAsia" w:ascii="Times New Roman" w:hAnsi="Times New Roman" w:eastAsia="宋体" w:cs="Times New Roman"/>
                      <w:color w:val="auto"/>
                      <w:lang w:val="en-US" w:eastAsia="zh-CN"/>
                    </w:rPr>
                  </w:pPr>
                </w:p>
              </w:tc>
              <w:tc>
                <w:tcPr>
                  <w:tcW w:w="429" w:type="pct"/>
                  <w:shd w:val="clear" w:color="auto" w:fill="auto"/>
                  <w:noWrap w:val="0"/>
                  <w:vAlign w:val="center"/>
                </w:tcPr>
                <w:p w14:paraId="34D8FD97">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25.8</w:t>
                  </w:r>
                </w:p>
              </w:tc>
              <w:tc>
                <w:tcPr>
                  <w:tcW w:w="420" w:type="pct"/>
                  <w:noWrap w:val="0"/>
                  <w:vAlign w:val="center"/>
                </w:tcPr>
                <w:p w14:paraId="00E4A632">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-6.6</w:t>
                  </w:r>
                </w:p>
              </w:tc>
              <w:tc>
                <w:tcPr>
                  <w:tcW w:w="358" w:type="pct"/>
                  <w:noWrap w:val="0"/>
                  <w:vAlign w:val="center"/>
                </w:tcPr>
                <w:p w14:paraId="09DEC4F2">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1.2</w:t>
                  </w:r>
                </w:p>
              </w:tc>
              <w:tc>
                <w:tcPr>
                  <w:tcW w:w="420" w:type="pct"/>
                  <w:vMerge w:val="continue"/>
                  <w:noWrap w:val="0"/>
                  <w:vAlign w:val="center"/>
                </w:tcPr>
                <w:p w14:paraId="5B700517">
                  <w:pPr>
                    <w:adjustRightInd w:val="0"/>
                    <w:snapToGrid w:val="0"/>
                    <w:jc w:val="center"/>
                    <w:rPr>
                      <w:rFonts w:hint="eastAsia" w:ascii="Times New Roman" w:hAnsi="Times New Roman" w:eastAsia="宋体" w:cs="Times New Roman"/>
                      <w:color w:val="auto"/>
                      <w:lang w:val="en-US" w:eastAsia="zh-CN"/>
                    </w:rPr>
                  </w:pPr>
                </w:p>
              </w:tc>
              <w:tc>
                <w:tcPr>
                  <w:tcW w:w="730" w:type="pct"/>
                  <w:noWrap w:val="0"/>
                  <w:vAlign w:val="center"/>
                </w:tcPr>
                <w:p w14:paraId="16F41B75">
                  <w:pPr>
                    <w:adjustRightInd w:val="0"/>
                    <w:snapToGrid w:val="0"/>
                    <w:jc w:val="center"/>
                    <w:rPr>
                      <w:rFonts w:hint="default" w:ascii="Times New Roman" w:hAnsi="Times New Roman" w:eastAsia="宋体" w:cs="Times New Roman"/>
                      <w:color w:val="auto"/>
                      <w:lang w:val="en-US" w:eastAsia="zh-CN"/>
                    </w:rPr>
                  </w:pPr>
                  <w:r>
                    <w:rPr>
                      <w:rFonts w:hint="eastAsia" w:cs="Times New Roman"/>
                      <w:color w:val="auto"/>
                      <w:lang w:val="en-US" w:eastAsia="zh-CN"/>
                    </w:rPr>
                    <w:t>55</w:t>
                  </w:r>
                </w:p>
              </w:tc>
            </w:tr>
            <w:tr w14:paraId="63183A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0" w:type="pct"/>
                  <w:noWrap w:val="0"/>
                  <w:vAlign w:val="center"/>
                </w:tcPr>
                <w:p w14:paraId="17C61426">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11</w:t>
                  </w:r>
                </w:p>
              </w:tc>
              <w:tc>
                <w:tcPr>
                  <w:tcW w:w="1190" w:type="pct"/>
                  <w:shd w:val="clear" w:color="auto" w:fill="auto"/>
                  <w:noWrap w:val="0"/>
                  <w:vAlign w:val="center"/>
                </w:tcPr>
                <w:p w14:paraId="0D4A2AFA">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剪板机</w:t>
                  </w:r>
                </w:p>
              </w:tc>
              <w:tc>
                <w:tcPr>
                  <w:tcW w:w="563" w:type="pct"/>
                  <w:shd w:val="clear" w:color="auto" w:fill="auto"/>
                  <w:noWrap w:val="0"/>
                  <w:vAlign w:val="center"/>
                </w:tcPr>
                <w:p w14:paraId="63076D1E">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90</w:t>
                  </w:r>
                </w:p>
              </w:tc>
              <w:tc>
                <w:tcPr>
                  <w:tcW w:w="577" w:type="pct"/>
                  <w:vMerge w:val="continue"/>
                  <w:noWrap w:val="0"/>
                  <w:vAlign w:val="center"/>
                </w:tcPr>
                <w:p w14:paraId="5362937A">
                  <w:pPr>
                    <w:adjustRightInd w:val="0"/>
                    <w:snapToGrid w:val="0"/>
                    <w:jc w:val="center"/>
                    <w:rPr>
                      <w:rFonts w:hint="eastAsia" w:ascii="Times New Roman" w:hAnsi="Times New Roman" w:eastAsia="宋体" w:cs="Times New Roman"/>
                      <w:color w:val="auto"/>
                      <w:lang w:val="en-US" w:eastAsia="zh-CN"/>
                    </w:rPr>
                  </w:pPr>
                </w:p>
              </w:tc>
              <w:tc>
                <w:tcPr>
                  <w:tcW w:w="429" w:type="pct"/>
                  <w:noWrap w:val="0"/>
                  <w:vAlign w:val="center"/>
                </w:tcPr>
                <w:p w14:paraId="562F337A">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-30.1</w:t>
                  </w:r>
                </w:p>
              </w:tc>
              <w:tc>
                <w:tcPr>
                  <w:tcW w:w="420" w:type="pct"/>
                  <w:noWrap w:val="0"/>
                  <w:vAlign w:val="center"/>
                </w:tcPr>
                <w:p w14:paraId="4420EAB7">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-12.5</w:t>
                  </w:r>
                </w:p>
              </w:tc>
              <w:tc>
                <w:tcPr>
                  <w:tcW w:w="358" w:type="pct"/>
                  <w:noWrap w:val="0"/>
                  <w:vAlign w:val="center"/>
                </w:tcPr>
                <w:p w14:paraId="33309F3F">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1.2</w:t>
                  </w:r>
                </w:p>
              </w:tc>
              <w:tc>
                <w:tcPr>
                  <w:tcW w:w="420" w:type="pct"/>
                  <w:vMerge w:val="continue"/>
                  <w:noWrap w:val="0"/>
                  <w:vAlign w:val="center"/>
                </w:tcPr>
                <w:p w14:paraId="22E19757">
                  <w:pPr>
                    <w:adjustRightInd w:val="0"/>
                    <w:snapToGrid w:val="0"/>
                    <w:jc w:val="center"/>
                    <w:rPr>
                      <w:rFonts w:hint="eastAsia" w:ascii="Times New Roman" w:hAnsi="Times New Roman" w:eastAsia="宋体" w:cs="Times New Roman"/>
                      <w:color w:val="auto"/>
                      <w:lang w:val="en-US" w:eastAsia="zh-CN"/>
                    </w:rPr>
                  </w:pPr>
                </w:p>
              </w:tc>
              <w:tc>
                <w:tcPr>
                  <w:tcW w:w="730" w:type="pct"/>
                  <w:noWrap w:val="0"/>
                  <w:vAlign w:val="center"/>
                </w:tcPr>
                <w:p w14:paraId="0A12A933">
                  <w:pPr>
                    <w:adjustRightInd w:val="0"/>
                    <w:snapToGrid w:val="0"/>
                    <w:jc w:val="center"/>
                    <w:rPr>
                      <w:rFonts w:hint="default" w:ascii="Times New Roman" w:hAnsi="Times New Roman" w:eastAsia="宋体" w:cs="Times New Roman"/>
                      <w:color w:val="auto"/>
                      <w:lang w:val="en-US" w:eastAsia="zh-CN"/>
                    </w:rPr>
                  </w:pPr>
                  <w:r>
                    <w:rPr>
                      <w:rFonts w:hint="eastAsia" w:cs="Times New Roman"/>
                      <w:color w:val="auto"/>
                      <w:lang w:val="en-US" w:eastAsia="zh-CN"/>
                    </w:rPr>
                    <w:t>70</w:t>
                  </w:r>
                </w:p>
              </w:tc>
            </w:tr>
            <w:tr w14:paraId="658621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0" w:type="pct"/>
                  <w:noWrap w:val="0"/>
                  <w:vAlign w:val="center"/>
                </w:tcPr>
                <w:p w14:paraId="73FFD22E">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12</w:t>
                  </w:r>
                </w:p>
              </w:tc>
              <w:tc>
                <w:tcPr>
                  <w:tcW w:w="1190" w:type="pct"/>
                  <w:shd w:val="clear" w:color="auto" w:fill="auto"/>
                  <w:noWrap w:val="0"/>
                  <w:vAlign w:val="center"/>
                </w:tcPr>
                <w:p w14:paraId="397A30A7">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磨光机</w:t>
                  </w:r>
                </w:p>
              </w:tc>
              <w:tc>
                <w:tcPr>
                  <w:tcW w:w="563" w:type="pct"/>
                  <w:shd w:val="clear" w:color="auto" w:fill="auto"/>
                  <w:noWrap w:val="0"/>
                  <w:vAlign w:val="center"/>
                </w:tcPr>
                <w:p w14:paraId="72577445">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100</w:t>
                  </w:r>
                </w:p>
              </w:tc>
              <w:tc>
                <w:tcPr>
                  <w:tcW w:w="577" w:type="pct"/>
                  <w:vMerge w:val="continue"/>
                  <w:noWrap w:val="0"/>
                  <w:vAlign w:val="center"/>
                </w:tcPr>
                <w:p w14:paraId="19C83B1F">
                  <w:pPr>
                    <w:adjustRightInd w:val="0"/>
                    <w:snapToGrid w:val="0"/>
                    <w:jc w:val="center"/>
                    <w:rPr>
                      <w:rFonts w:hint="eastAsia" w:ascii="Times New Roman" w:hAnsi="Times New Roman" w:eastAsia="宋体" w:cs="Times New Roman"/>
                      <w:color w:val="auto"/>
                      <w:lang w:val="en-US" w:eastAsia="zh-CN"/>
                    </w:rPr>
                  </w:pPr>
                </w:p>
              </w:tc>
              <w:tc>
                <w:tcPr>
                  <w:tcW w:w="429" w:type="pct"/>
                  <w:noWrap w:val="0"/>
                  <w:vAlign w:val="center"/>
                </w:tcPr>
                <w:p w14:paraId="5F250D2B">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-33.7</w:t>
                  </w:r>
                </w:p>
              </w:tc>
              <w:tc>
                <w:tcPr>
                  <w:tcW w:w="420" w:type="pct"/>
                  <w:noWrap w:val="0"/>
                  <w:vAlign w:val="center"/>
                </w:tcPr>
                <w:p w14:paraId="63196557">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-14</w:t>
                  </w:r>
                </w:p>
              </w:tc>
              <w:tc>
                <w:tcPr>
                  <w:tcW w:w="358" w:type="pct"/>
                  <w:noWrap w:val="0"/>
                  <w:vAlign w:val="center"/>
                </w:tcPr>
                <w:p w14:paraId="04A4EB57">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1.2</w:t>
                  </w:r>
                </w:p>
              </w:tc>
              <w:tc>
                <w:tcPr>
                  <w:tcW w:w="420" w:type="pct"/>
                  <w:vMerge w:val="continue"/>
                  <w:noWrap w:val="0"/>
                  <w:vAlign w:val="center"/>
                </w:tcPr>
                <w:p w14:paraId="552C7166">
                  <w:pPr>
                    <w:adjustRightInd w:val="0"/>
                    <w:snapToGrid w:val="0"/>
                    <w:jc w:val="center"/>
                    <w:rPr>
                      <w:rFonts w:hint="eastAsia" w:ascii="Times New Roman" w:hAnsi="Times New Roman" w:eastAsia="宋体" w:cs="Times New Roman"/>
                      <w:color w:val="auto"/>
                      <w:lang w:val="en-US" w:eastAsia="zh-CN"/>
                    </w:rPr>
                  </w:pPr>
                </w:p>
              </w:tc>
              <w:tc>
                <w:tcPr>
                  <w:tcW w:w="730" w:type="pct"/>
                  <w:noWrap w:val="0"/>
                  <w:vAlign w:val="center"/>
                </w:tcPr>
                <w:p w14:paraId="10E2F91C">
                  <w:pPr>
                    <w:adjustRightInd w:val="0"/>
                    <w:snapToGrid w:val="0"/>
                    <w:jc w:val="center"/>
                    <w:rPr>
                      <w:rFonts w:hint="default" w:ascii="Times New Roman" w:hAnsi="Times New Roman" w:eastAsia="宋体" w:cs="Times New Roman"/>
                      <w:color w:val="auto"/>
                      <w:lang w:val="en-US" w:eastAsia="zh-CN"/>
                    </w:rPr>
                  </w:pPr>
                  <w:r>
                    <w:rPr>
                      <w:rFonts w:hint="eastAsia" w:cs="Times New Roman"/>
                      <w:color w:val="auto"/>
                      <w:lang w:val="en-US" w:eastAsia="zh-CN"/>
                    </w:rPr>
                    <w:t>75</w:t>
                  </w:r>
                </w:p>
              </w:tc>
            </w:tr>
            <w:tr w14:paraId="36EB3C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0" w:type="pct"/>
                  <w:noWrap w:val="0"/>
                  <w:vAlign w:val="center"/>
                </w:tcPr>
                <w:p w14:paraId="55B759A8">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13</w:t>
                  </w:r>
                </w:p>
              </w:tc>
              <w:tc>
                <w:tcPr>
                  <w:tcW w:w="1190" w:type="pct"/>
                  <w:shd w:val="clear" w:color="auto" w:fill="auto"/>
                  <w:noWrap w:val="0"/>
                  <w:vAlign w:val="center"/>
                </w:tcPr>
                <w:p w14:paraId="5FF450A7">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桥式起重机</w:t>
                  </w:r>
                </w:p>
              </w:tc>
              <w:tc>
                <w:tcPr>
                  <w:tcW w:w="563" w:type="pct"/>
                  <w:shd w:val="clear" w:color="auto" w:fill="auto"/>
                  <w:noWrap w:val="0"/>
                  <w:vAlign w:val="center"/>
                </w:tcPr>
                <w:p w14:paraId="0D16CAA1">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90</w:t>
                  </w:r>
                </w:p>
              </w:tc>
              <w:tc>
                <w:tcPr>
                  <w:tcW w:w="577" w:type="pct"/>
                  <w:vMerge w:val="continue"/>
                  <w:noWrap w:val="0"/>
                  <w:vAlign w:val="center"/>
                </w:tcPr>
                <w:p w14:paraId="64FA6509">
                  <w:pPr>
                    <w:adjustRightInd w:val="0"/>
                    <w:snapToGrid w:val="0"/>
                    <w:jc w:val="center"/>
                    <w:rPr>
                      <w:rFonts w:hint="eastAsia" w:ascii="Times New Roman" w:hAnsi="Times New Roman" w:eastAsia="宋体" w:cs="Times New Roman"/>
                      <w:color w:val="auto"/>
                      <w:lang w:val="en-US" w:eastAsia="zh-CN"/>
                    </w:rPr>
                  </w:pPr>
                </w:p>
              </w:tc>
              <w:tc>
                <w:tcPr>
                  <w:tcW w:w="429" w:type="pct"/>
                  <w:noWrap w:val="0"/>
                  <w:vAlign w:val="center"/>
                </w:tcPr>
                <w:p w14:paraId="08B79C0C">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8.2</w:t>
                  </w:r>
                </w:p>
              </w:tc>
              <w:tc>
                <w:tcPr>
                  <w:tcW w:w="420" w:type="pct"/>
                  <w:noWrap w:val="0"/>
                  <w:vAlign w:val="center"/>
                </w:tcPr>
                <w:p w14:paraId="7E4E5043">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27.8</w:t>
                  </w:r>
                </w:p>
              </w:tc>
              <w:tc>
                <w:tcPr>
                  <w:tcW w:w="358" w:type="pct"/>
                  <w:noWrap w:val="0"/>
                  <w:vAlign w:val="center"/>
                </w:tcPr>
                <w:p w14:paraId="2F08B933">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1.2</w:t>
                  </w:r>
                </w:p>
              </w:tc>
              <w:tc>
                <w:tcPr>
                  <w:tcW w:w="420" w:type="pct"/>
                  <w:vMerge w:val="continue"/>
                  <w:noWrap w:val="0"/>
                  <w:vAlign w:val="center"/>
                </w:tcPr>
                <w:p w14:paraId="0B9061D4">
                  <w:pPr>
                    <w:adjustRightInd w:val="0"/>
                    <w:snapToGrid w:val="0"/>
                    <w:jc w:val="center"/>
                    <w:rPr>
                      <w:rFonts w:hint="eastAsia" w:ascii="Times New Roman" w:hAnsi="Times New Roman" w:eastAsia="宋体" w:cs="Times New Roman"/>
                      <w:color w:val="auto"/>
                      <w:lang w:val="en-US" w:eastAsia="zh-CN"/>
                    </w:rPr>
                  </w:pPr>
                </w:p>
              </w:tc>
              <w:tc>
                <w:tcPr>
                  <w:tcW w:w="730" w:type="pct"/>
                  <w:noWrap w:val="0"/>
                  <w:vAlign w:val="center"/>
                </w:tcPr>
                <w:p w14:paraId="4F300687">
                  <w:pPr>
                    <w:adjustRightInd w:val="0"/>
                    <w:snapToGrid w:val="0"/>
                    <w:jc w:val="center"/>
                    <w:rPr>
                      <w:rFonts w:hint="default" w:ascii="Times New Roman" w:hAnsi="Times New Roman" w:eastAsia="宋体" w:cs="Times New Roman"/>
                      <w:color w:val="auto"/>
                      <w:lang w:val="en-US" w:eastAsia="zh-CN"/>
                    </w:rPr>
                  </w:pPr>
                  <w:r>
                    <w:rPr>
                      <w:rFonts w:hint="eastAsia" w:cs="Times New Roman"/>
                      <w:color w:val="auto"/>
                      <w:lang w:val="en-US" w:eastAsia="zh-CN"/>
                    </w:rPr>
                    <w:t>70</w:t>
                  </w:r>
                </w:p>
              </w:tc>
            </w:tr>
            <w:tr w14:paraId="59FAEC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0" w:type="pct"/>
                  <w:noWrap w:val="0"/>
                  <w:vAlign w:val="center"/>
                </w:tcPr>
                <w:p w14:paraId="20800805">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14</w:t>
                  </w:r>
                </w:p>
              </w:tc>
              <w:tc>
                <w:tcPr>
                  <w:tcW w:w="1190" w:type="pct"/>
                  <w:shd w:val="clear" w:color="auto" w:fill="auto"/>
                  <w:noWrap w:val="0"/>
                  <w:vAlign w:val="center"/>
                </w:tcPr>
                <w:p w14:paraId="69940704">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门式起重机</w:t>
                  </w:r>
                </w:p>
              </w:tc>
              <w:tc>
                <w:tcPr>
                  <w:tcW w:w="563" w:type="pct"/>
                  <w:shd w:val="clear" w:color="auto" w:fill="auto"/>
                  <w:noWrap w:val="0"/>
                  <w:vAlign w:val="center"/>
                </w:tcPr>
                <w:p w14:paraId="33ED1A83">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90</w:t>
                  </w:r>
                </w:p>
              </w:tc>
              <w:tc>
                <w:tcPr>
                  <w:tcW w:w="577" w:type="pct"/>
                  <w:vMerge w:val="continue"/>
                  <w:noWrap w:val="0"/>
                  <w:vAlign w:val="center"/>
                </w:tcPr>
                <w:p w14:paraId="7C85F882">
                  <w:pPr>
                    <w:adjustRightInd w:val="0"/>
                    <w:snapToGrid w:val="0"/>
                    <w:jc w:val="center"/>
                    <w:rPr>
                      <w:rFonts w:hint="eastAsia" w:ascii="Times New Roman" w:hAnsi="Times New Roman" w:eastAsia="宋体" w:cs="Times New Roman"/>
                      <w:color w:val="auto"/>
                      <w:lang w:val="en-US" w:eastAsia="zh-CN"/>
                    </w:rPr>
                  </w:pPr>
                </w:p>
              </w:tc>
              <w:tc>
                <w:tcPr>
                  <w:tcW w:w="429" w:type="pct"/>
                  <w:noWrap w:val="0"/>
                  <w:vAlign w:val="center"/>
                </w:tcPr>
                <w:p w14:paraId="6E0AFBF8">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11.1</w:t>
                  </w:r>
                </w:p>
              </w:tc>
              <w:tc>
                <w:tcPr>
                  <w:tcW w:w="420" w:type="pct"/>
                  <w:noWrap w:val="0"/>
                  <w:vAlign w:val="center"/>
                </w:tcPr>
                <w:p w14:paraId="196FD93F">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19.6</w:t>
                  </w:r>
                </w:p>
              </w:tc>
              <w:tc>
                <w:tcPr>
                  <w:tcW w:w="358" w:type="pct"/>
                  <w:noWrap w:val="0"/>
                  <w:vAlign w:val="center"/>
                </w:tcPr>
                <w:p w14:paraId="53C5A40F">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1.2</w:t>
                  </w:r>
                </w:p>
              </w:tc>
              <w:tc>
                <w:tcPr>
                  <w:tcW w:w="420" w:type="pct"/>
                  <w:vMerge w:val="continue"/>
                  <w:noWrap w:val="0"/>
                  <w:vAlign w:val="center"/>
                </w:tcPr>
                <w:p w14:paraId="0FFC5C1F">
                  <w:pPr>
                    <w:adjustRightInd w:val="0"/>
                    <w:snapToGrid w:val="0"/>
                    <w:jc w:val="center"/>
                    <w:rPr>
                      <w:rFonts w:hint="eastAsia" w:ascii="Times New Roman" w:hAnsi="Times New Roman" w:eastAsia="宋体" w:cs="Times New Roman"/>
                      <w:color w:val="auto"/>
                      <w:lang w:val="en-US" w:eastAsia="zh-CN"/>
                    </w:rPr>
                  </w:pPr>
                </w:p>
              </w:tc>
              <w:tc>
                <w:tcPr>
                  <w:tcW w:w="730" w:type="pct"/>
                  <w:noWrap w:val="0"/>
                  <w:vAlign w:val="center"/>
                </w:tcPr>
                <w:p w14:paraId="216415A7">
                  <w:pPr>
                    <w:adjustRightInd w:val="0"/>
                    <w:snapToGrid w:val="0"/>
                    <w:jc w:val="center"/>
                    <w:rPr>
                      <w:rFonts w:hint="default" w:ascii="Times New Roman" w:hAnsi="Times New Roman" w:eastAsia="宋体" w:cs="Times New Roman"/>
                      <w:color w:val="auto"/>
                      <w:lang w:val="en-US" w:eastAsia="zh-CN"/>
                    </w:rPr>
                  </w:pPr>
                  <w:r>
                    <w:rPr>
                      <w:rFonts w:hint="eastAsia" w:cs="Times New Roman"/>
                      <w:color w:val="auto"/>
                      <w:lang w:val="en-US" w:eastAsia="zh-CN"/>
                    </w:rPr>
                    <w:t>70</w:t>
                  </w:r>
                </w:p>
              </w:tc>
            </w:tr>
          </w:tbl>
          <w:p w14:paraId="002909AA">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2</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声环境影响预测与评价</w:t>
            </w:r>
          </w:p>
          <w:p w14:paraId="7B38820E">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fldChar w:fldCharType="begin"/>
            </w:r>
            <w:r>
              <w:rPr>
                <w:rFonts w:hint="eastAsia" w:ascii="Times New Roman" w:hAnsi="Times New Roman" w:eastAsia="宋体" w:cs="Times New Roman"/>
                <w:color w:val="auto"/>
                <w:sz w:val="24"/>
              </w:rPr>
              <w:instrText xml:space="preserve"> = 1 \* GB3 \* MERGEFORMAT </w:instrText>
            </w:r>
            <w:r>
              <w:rPr>
                <w:rFonts w:hint="eastAsia" w:ascii="Times New Roman" w:hAnsi="Times New Roman" w:eastAsia="宋体" w:cs="Times New Roman"/>
                <w:color w:val="auto"/>
                <w:sz w:val="24"/>
              </w:rPr>
              <w:fldChar w:fldCharType="separate"/>
            </w:r>
            <w:r>
              <w:rPr>
                <w:rFonts w:hint="eastAsia" w:ascii="Times New Roman" w:hAnsi="Times New Roman" w:eastAsia="宋体" w:cs="Times New Roman"/>
                <w:color w:val="auto"/>
                <w:sz w:val="24"/>
              </w:rPr>
              <w:t>①</w:t>
            </w:r>
            <w:r>
              <w:rPr>
                <w:rFonts w:hint="eastAsia" w:ascii="Times New Roman" w:hAnsi="Times New Roman" w:eastAsia="宋体" w:cs="Times New Roman"/>
                <w:color w:val="auto"/>
                <w:sz w:val="24"/>
              </w:rPr>
              <w:fldChar w:fldCharType="end"/>
            </w:r>
            <w:r>
              <w:rPr>
                <w:rFonts w:hint="eastAsia" w:ascii="Times New Roman" w:hAnsi="Times New Roman" w:eastAsia="宋体" w:cs="Times New Roman"/>
                <w:color w:val="auto"/>
                <w:sz w:val="24"/>
              </w:rPr>
              <w:t>预测模型</w:t>
            </w:r>
          </w:p>
          <w:p w14:paraId="1FE42101">
            <w:pPr>
              <w:spacing w:line="360" w:lineRule="auto"/>
              <w:ind w:firstLine="456"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pacing w:val="-6"/>
                <w:sz w:val="24"/>
              </w:rPr>
              <w:t>项目声环境影响预测采用的模型为《环境影响评价技术导则 声环境》</w:t>
            </w:r>
            <w:r>
              <w:rPr>
                <w:rFonts w:hint="eastAsia" w:cs="Times New Roman"/>
                <w:color w:val="auto"/>
                <w:spacing w:val="-6"/>
                <w:sz w:val="24"/>
                <w:lang w:eastAsia="zh-CN"/>
              </w:rPr>
              <w:t>（</w:t>
            </w:r>
            <w:r>
              <w:rPr>
                <w:rFonts w:hint="eastAsia" w:ascii="Times New Roman" w:hAnsi="Times New Roman" w:eastAsia="宋体" w:cs="Times New Roman"/>
                <w:color w:val="auto"/>
                <w:spacing w:val="-6"/>
                <w:sz w:val="24"/>
              </w:rPr>
              <w:t>HJ2.4-2021</w:t>
            </w:r>
            <w:r>
              <w:rPr>
                <w:rFonts w:hint="eastAsia" w:cs="Times New Roman"/>
                <w:color w:val="auto"/>
                <w:spacing w:val="-6"/>
                <w:sz w:val="24"/>
                <w:lang w:eastAsia="zh-CN"/>
              </w:rPr>
              <w:t>）</w:t>
            </w:r>
            <w:r>
              <w:rPr>
                <w:rFonts w:hint="eastAsia" w:ascii="Times New Roman" w:hAnsi="Times New Roman" w:eastAsia="宋体" w:cs="Times New Roman"/>
                <w:color w:val="auto"/>
                <w:spacing w:val="-6"/>
                <w:sz w:val="24"/>
              </w:rPr>
              <w:t>附录A（规范性附录）户外声传播的衰减和附录B（规范性附录）中“B.1工业噪声预测计算模型”。</w:t>
            </w:r>
          </w:p>
          <w:p w14:paraId="6F85A6F0">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fldChar w:fldCharType="begin"/>
            </w:r>
            <w:r>
              <w:rPr>
                <w:rFonts w:hint="eastAsia" w:ascii="Times New Roman" w:hAnsi="Times New Roman" w:eastAsia="宋体" w:cs="Times New Roman"/>
                <w:color w:val="auto"/>
                <w:sz w:val="24"/>
              </w:rPr>
              <w:instrText xml:space="preserve"> = 2 \* GB3 \* MERGEFORMAT </w:instrText>
            </w:r>
            <w:r>
              <w:rPr>
                <w:rFonts w:hint="eastAsia" w:ascii="Times New Roman" w:hAnsi="Times New Roman" w:eastAsia="宋体" w:cs="Times New Roman"/>
                <w:color w:val="auto"/>
                <w:sz w:val="24"/>
              </w:rPr>
              <w:fldChar w:fldCharType="separate"/>
            </w:r>
            <w:r>
              <w:rPr>
                <w:rFonts w:hint="eastAsia" w:ascii="Times New Roman" w:hAnsi="Times New Roman" w:eastAsia="宋体" w:cs="Times New Roman"/>
                <w:color w:val="auto"/>
                <w:sz w:val="24"/>
              </w:rPr>
              <w:t>②</w:t>
            </w:r>
            <w:r>
              <w:rPr>
                <w:rFonts w:hint="eastAsia" w:ascii="Times New Roman" w:hAnsi="Times New Roman" w:eastAsia="宋体" w:cs="Times New Roman"/>
                <w:color w:val="auto"/>
                <w:sz w:val="24"/>
              </w:rPr>
              <w:fldChar w:fldCharType="end"/>
            </w:r>
            <w:r>
              <w:rPr>
                <w:rFonts w:hint="eastAsia" w:ascii="Times New Roman" w:hAnsi="Times New Roman" w:eastAsia="宋体" w:cs="Times New Roman"/>
                <w:color w:val="auto"/>
                <w:sz w:val="24"/>
                <w:lang w:val="en-US" w:eastAsia="zh-CN"/>
              </w:rPr>
              <w:t>预测结果及评价</w:t>
            </w:r>
          </w:p>
          <w:p w14:paraId="23A36986">
            <w:pPr>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通过预测模型计算，项目厂界噪声预测结果与达标分析见表4-</w:t>
            </w:r>
            <w:r>
              <w:rPr>
                <w:rFonts w:hint="eastAsia" w:ascii="Times New Roman" w:hAnsi="Times New Roman" w:eastAsia="宋体" w:cs="Times New Roman"/>
                <w:color w:val="auto"/>
                <w:sz w:val="24"/>
                <w:lang w:val="en-US" w:eastAsia="zh-CN"/>
              </w:rPr>
              <w:t>1</w:t>
            </w:r>
            <w:r>
              <w:rPr>
                <w:rFonts w:hint="eastAsia" w:eastAsia="宋体" w:cs="Times New Roman"/>
                <w:color w:val="auto"/>
                <w:sz w:val="24"/>
                <w:lang w:val="en-US" w:eastAsia="zh-CN"/>
              </w:rPr>
              <w:t>2</w:t>
            </w:r>
            <w:r>
              <w:rPr>
                <w:rFonts w:hint="eastAsia" w:ascii="Times New Roman" w:hAnsi="Times New Roman" w:eastAsia="宋体" w:cs="Times New Roman"/>
                <w:color w:val="auto"/>
                <w:sz w:val="24"/>
                <w:lang w:val="en-US" w:eastAsia="zh-CN"/>
              </w:rPr>
              <w:t>。</w:t>
            </w:r>
          </w:p>
          <w:p w14:paraId="17441B1F">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表</w:t>
            </w:r>
            <w:r>
              <w:rPr>
                <w:rFonts w:hint="eastAsia" w:ascii="Times New Roman" w:hAnsi="Times New Roman" w:eastAsia="宋体" w:cs="Times New Roman"/>
                <w:b/>
                <w:bCs/>
                <w:color w:val="auto"/>
                <w:lang w:val="en-US" w:eastAsia="zh-CN"/>
              </w:rPr>
              <w:t>4-1</w:t>
            </w:r>
            <w:r>
              <w:rPr>
                <w:rFonts w:hint="eastAsia" w:cs="Times New Roman"/>
                <w:b/>
                <w:bCs/>
                <w:color w:val="auto"/>
                <w:lang w:val="en-US" w:eastAsia="zh-CN"/>
              </w:rPr>
              <w:t>2</w:t>
            </w:r>
            <w:r>
              <w:rPr>
                <w:rFonts w:hint="eastAsia" w:ascii="Times New Roman" w:hAnsi="Times New Roman" w:eastAsia="宋体" w:cs="Times New Roman"/>
                <w:b/>
                <w:bCs/>
                <w:color w:val="auto"/>
                <w:lang w:val="en-US" w:eastAsia="zh-CN"/>
              </w:rPr>
              <w:t xml:space="preserve"> </w:t>
            </w:r>
            <w:r>
              <w:rPr>
                <w:rFonts w:hint="default" w:ascii="Times New Roman" w:hAnsi="Times New Roman" w:eastAsia="宋体" w:cs="Times New Roman"/>
                <w:b/>
                <w:bCs/>
                <w:color w:val="auto"/>
                <w:lang w:val="en-US" w:eastAsia="zh-CN"/>
              </w:rPr>
              <w:t>厂界噪声</w:t>
            </w:r>
            <w:r>
              <w:rPr>
                <w:rFonts w:hint="eastAsia" w:ascii="Times New Roman" w:hAnsi="Times New Roman" w:eastAsia="宋体" w:cs="Times New Roman"/>
                <w:b/>
                <w:bCs/>
                <w:color w:val="auto"/>
                <w:lang w:val="en-US" w:eastAsia="zh-CN"/>
              </w:rPr>
              <w:t>影响预测结果</w:t>
            </w:r>
          </w:p>
          <w:tbl>
            <w:tblPr>
              <w:tblStyle w:val="26"/>
              <w:tblW w:w="4989" w:type="pct"/>
              <w:tblInd w:w="17"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120"/>
              <w:gridCol w:w="1075"/>
              <w:gridCol w:w="1075"/>
              <w:gridCol w:w="1075"/>
              <w:gridCol w:w="1595"/>
              <w:gridCol w:w="1135"/>
              <w:gridCol w:w="845"/>
            </w:tblGrid>
            <w:tr w14:paraId="66FA0B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707" w:type="pct"/>
                  <w:vMerge w:val="restart"/>
                  <w:noWrap w:val="0"/>
                  <w:vAlign w:val="center"/>
                </w:tcPr>
                <w:p w14:paraId="1FA3CF57">
                  <w:pPr>
                    <w:adjustRightInd w:val="0"/>
                    <w:snapToGrid w:val="0"/>
                    <w:jc w:val="center"/>
                    <w:rPr>
                      <w:rFonts w:hint="default" w:ascii="Times New Roman" w:hAnsi="Times New Roman" w:eastAsia="宋体" w:cs="Times New Roman"/>
                      <w:b/>
                      <w:bCs/>
                      <w:color w:val="auto"/>
                      <w:lang w:val="en-US" w:eastAsia="zh-CN"/>
                    </w:rPr>
                  </w:pPr>
                  <w:r>
                    <w:rPr>
                      <w:rFonts w:hint="eastAsia" w:cs="Times New Roman"/>
                      <w:b/>
                      <w:bCs/>
                      <w:color w:val="auto"/>
                      <w:lang w:val="en-US" w:eastAsia="zh-CN"/>
                    </w:rPr>
                    <w:t>预测方位</w:t>
                  </w:r>
                </w:p>
              </w:tc>
              <w:tc>
                <w:tcPr>
                  <w:tcW w:w="2035" w:type="pct"/>
                  <w:gridSpan w:val="3"/>
                  <w:tcBorders>
                    <w:bottom w:val="single" w:color="000000" w:sz="8" w:space="0"/>
                  </w:tcBorders>
                  <w:noWrap w:val="0"/>
                  <w:vAlign w:val="center"/>
                </w:tcPr>
                <w:p w14:paraId="72576102">
                  <w:pPr>
                    <w:adjustRightInd w:val="0"/>
                    <w:snapToGrid w:val="0"/>
                    <w:jc w:val="center"/>
                    <w:rPr>
                      <w:rFonts w:hint="default" w:ascii="Times New Roman" w:hAnsi="Times New Roman" w:eastAsia="宋体" w:cs="Times New Roman"/>
                      <w:b/>
                      <w:bCs/>
                      <w:color w:val="auto"/>
                      <w:lang w:val="en-US" w:eastAsia="zh-CN"/>
                    </w:rPr>
                  </w:pPr>
                  <w:r>
                    <w:rPr>
                      <w:rFonts w:hint="eastAsia" w:cs="Times New Roman"/>
                      <w:b/>
                      <w:bCs/>
                      <w:color w:val="auto"/>
                      <w:lang w:val="en-US" w:eastAsia="zh-CN"/>
                    </w:rPr>
                    <w:t>空间相对位置/m</w:t>
                  </w:r>
                </w:p>
              </w:tc>
              <w:tc>
                <w:tcPr>
                  <w:tcW w:w="1006" w:type="pct"/>
                  <w:vMerge w:val="restart"/>
                  <w:noWrap w:val="0"/>
                  <w:vAlign w:val="center"/>
                </w:tcPr>
                <w:p w14:paraId="3989BAF3">
                  <w:pPr>
                    <w:adjustRightInd w:val="0"/>
                    <w:snapToGrid w:val="0"/>
                    <w:jc w:val="center"/>
                    <w:rPr>
                      <w:rFonts w:hint="default" w:ascii="Times New Roman" w:hAnsi="Times New Roman" w:eastAsia="宋体" w:cs="Times New Roman"/>
                      <w:b/>
                      <w:bCs/>
                      <w:color w:val="auto"/>
                      <w:lang w:val="en-US" w:eastAsia="zh-CN"/>
                    </w:rPr>
                  </w:pPr>
                  <w:r>
                    <w:rPr>
                      <w:rFonts w:hint="eastAsia" w:cs="Times New Roman"/>
                      <w:b/>
                      <w:bCs/>
                      <w:color w:val="auto"/>
                      <w:lang w:val="en-US" w:eastAsia="zh-CN"/>
                    </w:rPr>
                    <w:t>最大</w:t>
                  </w:r>
                  <w:r>
                    <w:rPr>
                      <w:rFonts w:hint="eastAsia" w:ascii="Times New Roman" w:hAnsi="Times New Roman" w:eastAsia="宋体" w:cs="Times New Roman"/>
                      <w:b/>
                      <w:bCs/>
                      <w:color w:val="auto"/>
                      <w:lang w:val="en-US" w:eastAsia="zh-CN"/>
                    </w:rPr>
                    <w:t>贡献值</w:t>
                  </w:r>
                  <w:r>
                    <w:rPr>
                      <w:rFonts w:hint="default" w:ascii="Times New Roman" w:hAnsi="Times New Roman" w:eastAsia="宋体" w:cs="Times New Roman"/>
                      <w:b/>
                      <w:bCs/>
                      <w:color w:val="auto"/>
                      <w:lang w:val="en-US" w:eastAsia="zh-CN"/>
                    </w:rPr>
                    <w:t>dB（A）</w:t>
                  </w:r>
                </w:p>
              </w:tc>
              <w:tc>
                <w:tcPr>
                  <w:tcW w:w="716" w:type="pct"/>
                  <w:vMerge w:val="restart"/>
                  <w:noWrap w:val="0"/>
                  <w:vAlign w:val="center"/>
                </w:tcPr>
                <w:p w14:paraId="5F7254D7">
                  <w:pPr>
                    <w:adjustRightInd w:val="0"/>
                    <w:snapToGrid w:val="0"/>
                    <w:jc w:val="center"/>
                    <w:rPr>
                      <w:rFonts w:hint="eastAsia"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标准限值dB（A）</w:t>
                  </w:r>
                </w:p>
              </w:tc>
              <w:tc>
                <w:tcPr>
                  <w:tcW w:w="533" w:type="pct"/>
                  <w:vMerge w:val="restart"/>
                  <w:noWrap w:val="0"/>
                  <w:vAlign w:val="center"/>
                </w:tcPr>
                <w:p w14:paraId="04FE0E92">
                  <w:pPr>
                    <w:adjustRightInd w:val="0"/>
                    <w:snapToGrid w:val="0"/>
                    <w:jc w:val="center"/>
                    <w:rPr>
                      <w:rFonts w:hint="default" w:ascii="Times New Roman" w:hAnsi="Times New Roman" w:eastAsia="宋体" w:cs="Times New Roman"/>
                      <w:b/>
                      <w:bCs/>
                      <w:color w:val="auto"/>
                      <w:lang w:val="en-US" w:eastAsia="zh-CN"/>
                    </w:rPr>
                  </w:pPr>
                  <w:r>
                    <w:rPr>
                      <w:rFonts w:hint="eastAsia" w:cs="Times New Roman"/>
                      <w:b/>
                      <w:bCs/>
                      <w:color w:val="auto"/>
                      <w:lang w:val="en-US" w:eastAsia="zh-CN"/>
                    </w:rPr>
                    <w:t>达标情况</w:t>
                  </w:r>
                </w:p>
              </w:tc>
            </w:tr>
            <w:tr w14:paraId="22DFF3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707" w:type="pct"/>
                  <w:vMerge w:val="continue"/>
                  <w:tcBorders>
                    <w:bottom w:val="single" w:color="000000" w:sz="12" w:space="0"/>
                  </w:tcBorders>
                  <w:noWrap w:val="0"/>
                  <w:vAlign w:val="center"/>
                </w:tcPr>
                <w:p w14:paraId="683BB4BC">
                  <w:pPr>
                    <w:adjustRightInd w:val="0"/>
                    <w:snapToGrid w:val="0"/>
                    <w:jc w:val="center"/>
                    <w:rPr>
                      <w:rFonts w:hint="eastAsia" w:cs="Times New Roman"/>
                      <w:b/>
                      <w:bCs/>
                      <w:color w:val="auto"/>
                      <w:lang w:val="en-US" w:eastAsia="zh-CN"/>
                    </w:rPr>
                  </w:pPr>
                </w:p>
              </w:tc>
              <w:tc>
                <w:tcPr>
                  <w:tcW w:w="678" w:type="pct"/>
                  <w:tcBorders>
                    <w:top w:val="single" w:color="000000" w:sz="8" w:space="0"/>
                    <w:bottom w:val="single" w:color="000000" w:sz="12" w:space="0"/>
                  </w:tcBorders>
                  <w:shd w:val="clear" w:color="auto" w:fill="auto"/>
                  <w:noWrap w:val="0"/>
                  <w:vAlign w:val="center"/>
                </w:tcPr>
                <w:p w14:paraId="214AD16C">
                  <w:pPr>
                    <w:adjustRightInd w:val="0"/>
                    <w:snapToGrid w:val="0"/>
                    <w:jc w:val="center"/>
                    <w:rPr>
                      <w:rFonts w:hint="eastAsia" w:ascii="Times New Roman" w:hAnsi="Times New Roman" w:eastAsia="宋体" w:cs="Times New Roman"/>
                      <w:b/>
                      <w:bCs/>
                      <w:color w:val="auto"/>
                      <w:kern w:val="2"/>
                      <w:sz w:val="21"/>
                      <w:szCs w:val="24"/>
                      <w:lang w:val="en-US" w:eastAsia="zh-CN" w:bidi="ar-SA"/>
                    </w:rPr>
                  </w:pPr>
                  <w:r>
                    <w:rPr>
                      <w:rFonts w:hint="eastAsia" w:cs="Times New Roman"/>
                      <w:b/>
                      <w:bCs/>
                      <w:color w:val="auto"/>
                      <w:lang w:val="en-US" w:eastAsia="zh-CN"/>
                    </w:rPr>
                    <w:t>X</w:t>
                  </w:r>
                </w:p>
              </w:tc>
              <w:tc>
                <w:tcPr>
                  <w:tcW w:w="678" w:type="pct"/>
                  <w:tcBorders>
                    <w:top w:val="single" w:color="000000" w:sz="8" w:space="0"/>
                    <w:bottom w:val="single" w:color="000000" w:sz="12" w:space="0"/>
                  </w:tcBorders>
                  <w:shd w:val="clear" w:color="auto" w:fill="auto"/>
                  <w:noWrap w:val="0"/>
                  <w:vAlign w:val="center"/>
                </w:tcPr>
                <w:p w14:paraId="2CE8D7A6">
                  <w:pPr>
                    <w:adjustRightInd w:val="0"/>
                    <w:snapToGrid w:val="0"/>
                    <w:jc w:val="center"/>
                    <w:rPr>
                      <w:rFonts w:hint="eastAsia" w:ascii="Times New Roman" w:hAnsi="Times New Roman" w:eastAsia="宋体" w:cs="Times New Roman"/>
                      <w:b/>
                      <w:bCs/>
                      <w:color w:val="auto"/>
                      <w:kern w:val="2"/>
                      <w:sz w:val="21"/>
                      <w:szCs w:val="24"/>
                      <w:lang w:val="en-US" w:eastAsia="zh-CN" w:bidi="ar-SA"/>
                    </w:rPr>
                  </w:pPr>
                  <w:r>
                    <w:rPr>
                      <w:rFonts w:hint="eastAsia" w:cs="Times New Roman"/>
                      <w:b/>
                      <w:bCs/>
                      <w:color w:val="auto"/>
                      <w:lang w:val="en-US" w:eastAsia="zh-CN"/>
                    </w:rPr>
                    <w:t>Y</w:t>
                  </w:r>
                </w:p>
              </w:tc>
              <w:tc>
                <w:tcPr>
                  <w:tcW w:w="678" w:type="pct"/>
                  <w:tcBorders>
                    <w:top w:val="single" w:color="000000" w:sz="8" w:space="0"/>
                    <w:bottom w:val="single" w:color="000000" w:sz="12" w:space="0"/>
                  </w:tcBorders>
                  <w:shd w:val="clear" w:color="auto" w:fill="auto"/>
                  <w:noWrap w:val="0"/>
                  <w:vAlign w:val="center"/>
                </w:tcPr>
                <w:p w14:paraId="35B6887A">
                  <w:pPr>
                    <w:adjustRightInd w:val="0"/>
                    <w:snapToGrid w:val="0"/>
                    <w:jc w:val="center"/>
                    <w:rPr>
                      <w:rFonts w:hint="eastAsia" w:ascii="Times New Roman" w:hAnsi="Times New Roman" w:eastAsia="宋体" w:cs="Times New Roman"/>
                      <w:b/>
                      <w:bCs/>
                      <w:color w:val="auto"/>
                      <w:kern w:val="2"/>
                      <w:sz w:val="21"/>
                      <w:szCs w:val="24"/>
                      <w:lang w:val="en-US" w:eastAsia="zh-CN" w:bidi="ar-SA"/>
                    </w:rPr>
                  </w:pPr>
                  <w:r>
                    <w:rPr>
                      <w:rFonts w:hint="eastAsia" w:cs="Times New Roman"/>
                      <w:b/>
                      <w:bCs/>
                      <w:color w:val="auto"/>
                      <w:lang w:val="en-US" w:eastAsia="zh-CN"/>
                    </w:rPr>
                    <w:t>Z</w:t>
                  </w:r>
                </w:p>
              </w:tc>
              <w:tc>
                <w:tcPr>
                  <w:tcW w:w="1006" w:type="pct"/>
                  <w:vMerge w:val="continue"/>
                  <w:tcBorders>
                    <w:bottom w:val="single" w:color="000000" w:sz="12" w:space="0"/>
                  </w:tcBorders>
                  <w:noWrap w:val="0"/>
                  <w:vAlign w:val="center"/>
                </w:tcPr>
                <w:p w14:paraId="5DB54F72">
                  <w:pPr>
                    <w:adjustRightInd w:val="0"/>
                    <w:snapToGrid w:val="0"/>
                    <w:jc w:val="center"/>
                    <w:rPr>
                      <w:rFonts w:hint="eastAsia" w:ascii="Times New Roman" w:hAnsi="Times New Roman" w:eastAsia="宋体" w:cs="Times New Roman"/>
                      <w:b/>
                      <w:bCs/>
                      <w:color w:val="auto"/>
                      <w:lang w:val="en-US" w:eastAsia="zh-CN"/>
                    </w:rPr>
                  </w:pPr>
                </w:p>
              </w:tc>
              <w:tc>
                <w:tcPr>
                  <w:tcW w:w="716" w:type="pct"/>
                  <w:vMerge w:val="continue"/>
                  <w:tcBorders>
                    <w:bottom w:val="single" w:color="000000" w:sz="12" w:space="0"/>
                  </w:tcBorders>
                  <w:noWrap w:val="0"/>
                  <w:vAlign w:val="center"/>
                </w:tcPr>
                <w:p w14:paraId="5819FDA1">
                  <w:pPr>
                    <w:adjustRightInd w:val="0"/>
                    <w:snapToGrid w:val="0"/>
                    <w:jc w:val="center"/>
                    <w:rPr>
                      <w:rFonts w:hint="default" w:ascii="Times New Roman" w:hAnsi="Times New Roman" w:eastAsia="宋体" w:cs="Times New Roman"/>
                      <w:b/>
                      <w:bCs/>
                      <w:color w:val="auto"/>
                      <w:lang w:val="en-US" w:eastAsia="zh-CN"/>
                    </w:rPr>
                  </w:pPr>
                </w:p>
              </w:tc>
              <w:tc>
                <w:tcPr>
                  <w:tcW w:w="533" w:type="pct"/>
                  <w:vMerge w:val="continue"/>
                  <w:tcBorders>
                    <w:bottom w:val="single" w:color="000000" w:sz="12" w:space="0"/>
                  </w:tcBorders>
                  <w:noWrap w:val="0"/>
                  <w:vAlign w:val="center"/>
                </w:tcPr>
                <w:p w14:paraId="718503AA">
                  <w:pPr>
                    <w:adjustRightInd w:val="0"/>
                    <w:snapToGrid w:val="0"/>
                    <w:jc w:val="center"/>
                    <w:rPr>
                      <w:rFonts w:hint="eastAsia" w:cs="Times New Roman"/>
                      <w:b/>
                      <w:bCs/>
                      <w:color w:val="auto"/>
                      <w:lang w:val="en-US" w:eastAsia="zh-CN"/>
                    </w:rPr>
                  </w:pPr>
                </w:p>
              </w:tc>
            </w:tr>
            <w:tr w14:paraId="2D5CD6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707" w:type="pct"/>
                  <w:tcBorders>
                    <w:top w:val="single" w:color="000000" w:sz="12" w:space="0"/>
                  </w:tcBorders>
                  <w:noWrap w:val="0"/>
                  <w:vAlign w:val="center"/>
                </w:tcPr>
                <w:p w14:paraId="3DF2C34F">
                  <w:pPr>
                    <w:ind w:left="-105" w:leftChars="-50" w:right="-105" w:rightChars="-50"/>
                    <w:jc w:val="center"/>
                    <w:rPr>
                      <w:rFonts w:hint="default" w:ascii="Times New Roman" w:hAnsi="Times New Roman" w:eastAsia="宋体" w:cs="Times New Roman"/>
                      <w:snapToGrid w:val="0"/>
                      <w:color w:val="auto"/>
                      <w:kern w:val="0"/>
                      <w:szCs w:val="21"/>
                      <w:highlight w:val="none"/>
                      <w:lang w:val="en-US" w:eastAsia="zh-CN"/>
                    </w:rPr>
                  </w:pPr>
                  <w:r>
                    <w:rPr>
                      <w:rFonts w:hint="eastAsia" w:ascii="Times New Roman" w:hAnsi="Times New Roman" w:eastAsia="宋体" w:cs="Times New Roman"/>
                      <w:snapToGrid w:val="0"/>
                      <w:color w:val="auto"/>
                      <w:kern w:val="0"/>
                      <w:szCs w:val="21"/>
                      <w:highlight w:val="none"/>
                      <w:lang w:val="en-US" w:eastAsia="zh-CN"/>
                    </w:rPr>
                    <w:t>东侧</w:t>
                  </w:r>
                </w:p>
              </w:tc>
              <w:tc>
                <w:tcPr>
                  <w:tcW w:w="1075" w:type="dxa"/>
                  <w:tcBorders>
                    <w:top w:val="single" w:color="000000" w:sz="12" w:space="0"/>
                  </w:tcBorders>
                  <w:noWrap w:val="0"/>
                  <w:vAlign w:val="center"/>
                </w:tcPr>
                <w:p w14:paraId="4486E228">
                  <w:pPr>
                    <w:ind w:left="-105" w:leftChars="-50" w:right="-105" w:rightChars="-50"/>
                    <w:jc w:val="center"/>
                    <w:rPr>
                      <w:rFonts w:hint="default" w:ascii="Times New Roman" w:hAnsi="Times New Roman" w:eastAsia="宋体" w:cs="Times New Roman"/>
                      <w:snapToGrid w:val="0"/>
                      <w:color w:val="auto"/>
                      <w:kern w:val="0"/>
                      <w:szCs w:val="21"/>
                      <w:highlight w:val="none"/>
                      <w:lang w:val="en-US" w:eastAsia="zh-CN"/>
                    </w:rPr>
                  </w:pPr>
                  <w:r>
                    <w:rPr>
                      <w:rFonts w:hint="default" w:ascii="Times New Roman" w:hAnsi="Times New Roman" w:eastAsia="宋体" w:cs="Times New Roman"/>
                      <w:snapToGrid w:val="0"/>
                      <w:color w:val="auto"/>
                      <w:kern w:val="0"/>
                      <w:szCs w:val="21"/>
                      <w:highlight w:val="none"/>
                      <w:lang w:val="en-US" w:eastAsia="zh-CN"/>
                    </w:rPr>
                    <w:t>57.3</w:t>
                  </w:r>
                </w:p>
              </w:tc>
              <w:tc>
                <w:tcPr>
                  <w:tcW w:w="1075" w:type="dxa"/>
                  <w:tcBorders>
                    <w:top w:val="single" w:color="000000" w:sz="12" w:space="0"/>
                  </w:tcBorders>
                  <w:noWrap w:val="0"/>
                  <w:vAlign w:val="center"/>
                </w:tcPr>
                <w:p w14:paraId="2DC5A0CF">
                  <w:pPr>
                    <w:ind w:left="-105" w:leftChars="-50" w:right="-105" w:rightChars="-50"/>
                    <w:jc w:val="center"/>
                    <w:rPr>
                      <w:rFonts w:hint="default" w:ascii="Times New Roman" w:hAnsi="Times New Roman" w:eastAsia="宋体" w:cs="Times New Roman"/>
                      <w:snapToGrid w:val="0"/>
                      <w:color w:val="auto"/>
                      <w:kern w:val="0"/>
                      <w:szCs w:val="21"/>
                      <w:highlight w:val="none"/>
                      <w:lang w:val="en-US" w:eastAsia="zh-CN"/>
                    </w:rPr>
                  </w:pPr>
                  <w:r>
                    <w:rPr>
                      <w:rFonts w:hint="default" w:ascii="Times New Roman" w:hAnsi="Times New Roman" w:eastAsia="宋体" w:cs="Times New Roman"/>
                      <w:snapToGrid w:val="0"/>
                      <w:color w:val="auto"/>
                      <w:kern w:val="0"/>
                      <w:szCs w:val="21"/>
                      <w:highlight w:val="none"/>
                      <w:lang w:val="en-US" w:eastAsia="zh-CN"/>
                    </w:rPr>
                    <w:t>-13.3</w:t>
                  </w:r>
                </w:p>
              </w:tc>
              <w:tc>
                <w:tcPr>
                  <w:tcW w:w="1075" w:type="dxa"/>
                  <w:tcBorders>
                    <w:top w:val="single" w:color="000000" w:sz="12" w:space="0"/>
                  </w:tcBorders>
                  <w:noWrap w:val="0"/>
                  <w:vAlign w:val="center"/>
                </w:tcPr>
                <w:p w14:paraId="312C4977">
                  <w:pPr>
                    <w:ind w:left="-105" w:leftChars="-50" w:right="-105" w:rightChars="-50"/>
                    <w:jc w:val="center"/>
                    <w:rPr>
                      <w:rFonts w:hint="default" w:ascii="Times New Roman" w:hAnsi="Times New Roman" w:eastAsia="宋体" w:cs="Times New Roman"/>
                      <w:snapToGrid w:val="0"/>
                      <w:color w:val="auto"/>
                      <w:kern w:val="0"/>
                      <w:szCs w:val="21"/>
                      <w:highlight w:val="none"/>
                      <w:lang w:val="en-US" w:eastAsia="zh-CN"/>
                    </w:rPr>
                  </w:pPr>
                  <w:r>
                    <w:rPr>
                      <w:rFonts w:hint="default" w:ascii="Times New Roman" w:hAnsi="Times New Roman" w:eastAsia="宋体" w:cs="Times New Roman"/>
                      <w:snapToGrid w:val="0"/>
                      <w:color w:val="auto"/>
                      <w:kern w:val="0"/>
                      <w:szCs w:val="21"/>
                      <w:highlight w:val="none"/>
                      <w:lang w:val="en-US" w:eastAsia="zh-CN"/>
                    </w:rPr>
                    <w:t>1.2</w:t>
                  </w:r>
                </w:p>
              </w:tc>
              <w:tc>
                <w:tcPr>
                  <w:tcW w:w="1006" w:type="pct"/>
                  <w:tcBorders>
                    <w:top w:val="single" w:color="000000" w:sz="12" w:space="0"/>
                  </w:tcBorders>
                  <w:noWrap w:val="0"/>
                  <w:vAlign w:val="center"/>
                </w:tcPr>
                <w:p w14:paraId="6FCA8BAE">
                  <w:pPr>
                    <w:ind w:left="-105" w:leftChars="-50" w:right="-105" w:rightChars="-50"/>
                    <w:jc w:val="center"/>
                    <w:rPr>
                      <w:rFonts w:hint="default" w:ascii="Times New Roman" w:hAnsi="Times New Roman" w:eastAsia="宋体" w:cs="Times New Roman"/>
                      <w:snapToGrid w:val="0"/>
                      <w:color w:val="auto"/>
                      <w:kern w:val="0"/>
                      <w:szCs w:val="21"/>
                      <w:highlight w:val="none"/>
                      <w:lang w:val="en-US" w:eastAsia="zh-CN"/>
                    </w:rPr>
                  </w:pPr>
                  <w:r>
                    <w:rPr>
                      <w:rFonts w:hint="eastAsia" w:ascii="Times New Roman" w:hAnsi="Times New Roman" w:eastAsia="宋体" w:cs="Times New Roman"/>
                      <w:snapToGrid w:val="0"/>
                      <w:color w:val="auto"/>
                      <w:kern w:val="0"/>
                      <w:szCs w:val="21"/>
                      <w:highlight w:val="none"/>
                      <w:lang w:val="en-US" w:eastAsia="zh-CN"/>
                    </w:rPr>
                    <w:t>48.1</w:t>
                  </w:r>
                </w:p>
              </w:tc>
              <w:tc>
                <w:tcPr>
                  <w:tcW w:w="716" w:type="pct"/>
                  <w:vMerge w:val="restart"/>
                  <w:tcBorders>
                    <w:top w:val="single" w:color="000000" w:sz="12" w:space="0"/>
                  </w:tcBorders>
                  <w:noWrap w:val="0"/>
                  <w:vAlign w:val="center"/>
                </w:tcPr>
                <w:p w14:paraId="3C3B1CD4">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
                    </w:rPr>
                  </w:pPr>
                  <w:r>
                    <w:rPr>
                      <w:rFonts w:hint="eastAsia"/>
                      <w:color w:val="auto"/>
                      <w:lang w:eastAsia="zh-CN"/>
                    </w:rPr>
                    <w:t>昼间：</w:t>
                  </w:r>
                  <w:r>
                    <w:rPr>
                      <w:rFonts w:hint="eastAsia" w:ascii="Times New Roman" w:hAnsi="Times New Roman" w:eastAsia="宋体" w:cs="Times New Roman"/>
                      <w:color w:val="auto"/>
                      <w:kern w:val="2"/>
                      <w:sz w:val="21"/>
                      <w:szCs w:val="21"/>
                      <w:highlight w:val="none"/>
                      <w:lang w:val="en-US" w:eastAsia="zh-CN" w:bidi="ar"/>
                    </w:rPr>
                    <w:t>65</w:t>
                  </w:r>
                </w:p>
              </w:tc>
              <w:tc>
                <w:tcPr>
                  <w:tcW w:w="533" w:type="pct"/>
                  <w:vMerge w:val="restart"/>
                  <w:tcBorders>
                    <w:top w:val="single" w:color="000000" w:sz="12" w:space="0"/>
                  </w:tcBorders>
                  <w:noWrap w:val="0"/>
                  <w:vAlign w:val="center"/>
                </w:tcPr>
                <w:p w14:paraId="50FEDB4F">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right="0"/>
                    <w:jc w:val="center"/>
                    <w:rPr>
                      <w:rFonts w:hint="default"/>
                      <w:color w:val="auto"/>
                      <w:lang w:val="en-US" w:eastAsia="zh-CN"/>
                    </w:rPr>
                  </w:pPr>
                  <w:r>
                    <w:rPr>
                      <w:rFonts w:hint="eastAsia"/>
                      <w:color w:val="auto"/>
                      <w:lang w:val="en-US" w:eastAsia="zh-CN"/>
                    </w:rPr>
                    <w:t>达标</w:t>
                  </w:r>
                </w:p>
              </w:tc>
            </w:tr>
            <w:tr w14:paraId="14CC9B9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707" w:type="pct"/>
                  <w:noWrap w:val="0"/>
                  <w:vAlign w:val="center"/>
                </w:tcPr>
                <w:p w14:paraId="1EC33CBB">
                  <w:pPr>
                    <w:ind w:left="-105" w:leftChars="-50" w:right="-105" w:rightChars="-50"/>
                    <w:jc w:val="center"/>
                    <w:rPr>
                      <w:rFonts w:hint="default" w:ascii="Times New Roman" w:hAnsi="Times New Roman" w:eastAsia="宋体" w:cs="Times New Roman"/>
                      <w:snapToGrid w:val="0"/>
                      <w:color w:val="auto"/>
                      <w:kern w:val="0"/>
                      <w:szCs w:val="21"/>
                      <w:highlight w:val="none"/>
                      <w:lang w:val="en-US" w:eastAsia="zh-CN"/>
                    </w:rPr>
                  </w:pPr>
                  <w:r>
                    <w:rPr>
                      <w:rFonts w:hint="eastAsia" w:ascii="Times New Roman" w:hAnsi="Times New Roman" w:eastAsia="宋体" w:cs="Times New Roman"/>
                      <w:snapToGrid w:val="0"/>
                      <w:color w:val="auto"/>
                      <w:kern w:val="0"/>
                      <w:szCs w:val="21"/>
                      <w:highlight w:val="none"/>
                      <w:lang w:val="en-US" w:eastAsia="zh-CN"/>
                    </w:rPr>
                    <w:t>南侧</w:t>
                  </w:r>
                </w:p>
              </w:tc>
              <w:tc>
                <w:tcPr>
                  <w:tcW w:w="1075" w:type="dxa"/>
                  <w:noWrap w:val="0"/>
                  <w:vAlign w:val="center"/>
                </w:tcPr>
                <w:p w14:paraId="54924356">
                  <w:pPr>
                    <w:ind w:left="-105" w:leftChars="-50" w:right="-105" w:rightChars="-50"/>
                    <w:jc w:val="center"/>
                    <w:rPr>
                      <w:rFonts w:hint="default" w:ascii="Times New Roman" w:hAnsi="Times New Roman" w:eastAsia="宋体" w:cs="Times New Roman"/>
                      <w:snapToGrid w:val="0"/>
                      <w:color w:val="auto"/>
                      <w:kern w:val="0"/>
                      <w:szCs w:val="21"/>
                      <w:highlight w:val="none"/>
                      <w:lang w:val="en-US" w:eastAsia="zh-CN"/>
                    </w:rPr>
                  </w:pPr>
                  <w:r>
                    <w:rPr>
                      <w:rFonts w:hint="default" w:ascii="Times New Roman" w:hAnsi="Times New Roman" w:eastAsia="宋体" w:cs="Times New Roman"/>
                      <w:snapToGrid w:val="0"/>
                      <w:color w:val="auto"/>
                      <w:kern w:val="0"/>
                      <w:szCs w:val="21"/>
                      <w:highlight w:val="none"/>
                      <w:lang w:val="en-US" w:eastAsia="zh-CN"/>
                    </w:rPr>
                    <w:t>-43.8</w:t>
                  </w:r>
                </w:p>
              </w:tc>
              <w:tc>
                <w:tcPr>
                  <w:tcW w:w="1075" w:type="dxa"/>
                  <w:noWrap w:val="0"/>
                  <w:vAlign w:val="center"/>
                </w:tcPr>
                <w:p w14:paraId="60424605">
                  <w:pPr>
                    <w:ind w:left="-105" w:leftChars="-50" w:right="-105" w:rightChars="-50"/>
                    <w:jc w:val="center"/>
                    <w:rPr>
                      <w:rFonts w:hint="default" w:ascii="Times New Roman" w:hAnsi="Times New Roman" w:eastAsia="宋体" w:cs="Times New Roman"/>
                      <w:snapToGrid w:val="0"/>
                      <w:color w:val="auto"/>
                      <w:kern w:val="0"/>
                      <w:szCs w:val="21"/>
                      <w:highlight w:val="none"/>
                      <w:lang w:val="en-US" w:eastAsia="zh-CN"/>
                    </w:rPr>
                  </w:pPr>
                  <w:r>
                    <w:rPr>
                      <w:rFonts w:hint="default" w:ascii="Times New Roman" w:hAnsi="Times New Roman" w:eastAsia="宋体" w:cs="Times New Roman"/>
                      <w:snapToGrid w:val="0"/>
                      <w:color w:val="auto"/>
                      <w:kern w:val="0"/>
                      <w:szCs w:val="21"/>
                      <w:highlight w:val="none"/>
                      <w:lang w:val="en-US" w:eastAsia="zh-CN"/>
                    </w:rPr>
                    <w:t>-54.6</w:t>
                  </w:r>
                </w:p>
              </w:tc>
              <w:tc>
                <w:tcPr>
                  <w:tcW w:w="1075" w:type="dxa"/>
                  <w:noWrap w:val="0"/>
                  <w:vAlign w:val="center"/>
                </w:tcPr>
                <w:p w14:paraId="4968170C">
                  <w:pPr>
                    <w:ind w:left="-105" w:leftChars="-50" w:right="-105" w:rightChars="-50"/>
                    <w:jc w:val="center"/>
                    <w:rPr>
                      <w:rFonts w:hint="default" w:ascii="Times New Roman" w:hAnsi="Times New Roman" w:eastAsia="宋体" w:cs="Times New Roman"/>
                      <w:snapToGrid w:val="0"/>
                      <w:color w:val="auto"/>
                      <w:kern w:val="0"/>
                      <w:szCs w:val="21"/>
                      <w:highlight w:val="none"/>
                      <w:lang w:val="en-US" w:eastAsia="zh-CN"/>
                    </w:rPr>
                  </w:pPr>
                  <w:r>
                    <w:rPr>
                      <w:rFonts w:hint="default" w:ascii="Times New Roman" w:hAnsi="Times New Roman" w:eastAsia="宋体" w:cs="Times New Roman"/>
                      <w:snapToGrid w:val="0"/>
                      <w:color w:val="auto"/>
                      <w:kern w:val="0"/>
                      <w:szCs w:val="21"/>
                      <w:highlight w:val="none"/>
                      <w:lang w:val="en-US" w:eastAsia="zh-CN"/>
                    </w:rPr>
                    <w:t>1.2</w:t>
                  </w:r>
                </w:p>
              </w:tc>
              <w:tc>
                <w:tcPr>
                  <w:tcW w:w="1006" w:type="pct"/>
                  <w:noWrap w:val="0"/>
                  <w:vAlign w:val="center"/>
                </w:tcPr>
                <w:p w14:paraId="74DE3D67">
                  <w:pPr>
                    <w:ind w:left="-105" w:leftChars="-50" w:right="-105" w:rightChars="-50"/>
                    <w:jc w:val="center"/>
                    <w:rPr>
                      <w:rFonts w:hint="default" w:ascii="Times New Roman" w:hAnsi="Times New Roman" w:eastAsia="宋体" w:cs="Times New Roman"/>
                      <w:snapToGrid w:val="0"/>
                      <w:color w:val="auto"/>
                      <w:kern w:val="0"/>
                      <w:szCs w:val="21"/>
                      <w:highlight w:val="none"/>
                      <w:lang w:val="en-US" w:eastAsia="zh-CN"/>
                    </w:rPr>
                  </w:pPr>
                  <w:r>
                    <w:rPr>
                      <w:rFonts w:hint="eastAsia" w:ascii="Times New Roman" w:hAnsi="Times New Roman" w:eastAsia="宋体" w:cs="Times New Roman"/>
                      <w:snapToGrid w:val="0"/>
                      <w:color w:val="auto"/>
                      <w:kern w:val="0"/>
                      <w:szCs w:val="21"/>
                      <w:highlight w:val="none"/>
                      <w:lang w:val="en-US" w:eastAsia="zh-CN"/>
                    </w:rPr>
                    <w:t>49</w:t>
                  </w:r>
                </w:p>
              </w:tc>
              <w:tc>
                <w:tcPr>
                  <w:tcW w:w="716" w:type="pct"/>
                  <w:vMerge w:val="continue"/>
                  <w:noWrap w:val="0"/>
                  <w:vAlign w:val="center"/>
                </w:tcPr>
                <w:p w14:paraId="554E1203">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right="0"/>
                    <w:jc w:val="center"/>
                    <w:rPr>
                      <w:rFonts w:hint="eastAsia" w:ascii="Times New Roman" w:hAnsi="Times New Roman" w:eastAsia="宋体" w:cs="Times New Roman"/>
                      <w:color w:val="auto"/>
                      <w:kern w:val="2"/>
                      <w:sz w:val="21"/>
                      <w:szCs w:val="21"/>
                      <w:highlight w:val="none"/>
                      <w:lang w:val="en-US" w:eastAsia="zh-CN" w:bidi="ar"/>
                    </w:rPr>
                  </w:pPr>
                </w:p>
              </w:tc>
              <w:tc>
                <w:tcPr>
                  <w:tcW w:w="533" w:type="pct"/>
                  <w:vMerge w:val="continue"/>
                  <w:noWrap w:val="0"/>
                  <w:vAlign w:val="center"/>
                </w:tcPr>
                <w:p w14:paraId="56DC5A6E">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right="0"/>
                    <w:jc w:val="center"/>
                    <w:rPr>
                      <w:rFonts w:hint="eastAsia" w:ascii="Times New Roman" w:hAnsi="Times New Roman" w:eastAsia="宋体" w:cs="Times New Roman"/>
                      <w:color w:val="auto"/>
                      <w:kern w:val="2"/>
                      <w:sz w:val="21"/>
                      <w:szCs w:val="21"/>
                      <w:highlight w:val="none"/>
                      <w:lang w:val="en-US" w:eastAsia="zh-CN" w:bidi="ar"/>
                    </w:rPr>
                  </w:pPr>
                </w:p>
              </w:tc>
            </w:tr>
            <w:tr w14:paraId="7E0F0EE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707" w:type="pct"/>
                  <w:noWrap w:val="0"/>
                  <w:vAlign w:val="center"/>
                </w:tcPr>
                <w:p w14:paraId="0DB432D2">
                  <w:pPr>
                    <w:ind w:left="-105" w:leftChars="-50" w:right="-105" w:rightChars="-50"/>
                    <w:jc w:val="center"/>
                    <w:rPr>
                      <w:rFonts w:hint="default" w:ascii="Times New Roman" w:hAnsi="Times New Roman" w:eastAsia="宋体" w:cs="Times New Roman"/>
                      <w:snapToGrid w:val="0"/>
                      <w:color w:val="auto"/>
                      <w:kern w:val="0"/>
                      <w:szCs w:val="21"/>
                      <w:highlight w:val="none"/>
                      <w:lang w:val="en-US" w:eastAsia="zh-CN"/>
                    </w:rPr>
                  </w:pPr>
                  <w:r>
                    <w:rPr>
                      <w:rFonts w:hint="eastAsia" w:ascii="Times New Roman" w:hAnsi="Times New Roman" w:eastAsia="宋体" w:cs="Times New Roman"/>
                      <w:snapToGrid w:val="0"/>
                      <w:color w:val="auto"/>
                      <w:kern w:val="0"/>
                      <w:szCs w:val="21"/>
                      <w:highlight w:val="none"/>
                      <w:lang w:val="en-US" w:eastAsia="zh-CN"/>
                    </w:rPr>
                    <w:t>西侧</w:t>
                  </w:r>
                </w:p>
              </w:tc>
              <w:tc>
                <w:tcPr>
                  <w:tcW w:w="1075" w:type="dxa"/>
                  <w:noWrap w:val="0"/>
                  <w:vAlign w:val="center"/>
                </w:tcPr>
                <w:p w14:paraId="5470D5E0">
                  <w:pPr>
                    <w:ind w:left="-105" w:leftChars="-50" w:right="-105" w:rightChars="-50"/>
                    <w:jc w:val="center"/>
                    <w:rPr>
                      <w:rFonts w:hint="default" w:ascii="Times New Roman" w:hAnsi="Times New Roman" w:eastAsia="宋体" w:cs="Times New Roman"/>
                      <w:snapToGrid w:val="0"/>
                      <w:color w:val="auto"/>
                      <w:kern w:val="0"/>
                      <w:szCs w:val="21"/>
                      <w:highlight w:val="none"/>
                      <w:lang w:val="en-US" w:eastAsia="zh-CN"/>
                    </w:rPr>
                  </w:pPr>
                  <w:r>
                    <w:rPr>
                      <w:rFonts w:hint="default" w:ascii="Times New Roman" w:hAnsi="Times New Roman" w:eastAsia="宋体" w:cs="Times New Roman"/>
                      <w:snapToGrid w:val="0"/>
                      <w:color w:val="auto"/>
                      <w:kern w:val="0"/>
                      <w:szCs w:val="21"/>
                      <w:highlight w:val="none"/>
                      <w:lang w:val="en-US" w:eastAsia="zh-CN"/>
                    </w:rPr>
                    <w:t>-61.9</w:t>
                  </w:r>
                </w:p>
              </w:tc>
              <w:tc>
                <w:tcPr>
                  <w:tcW w:w="1075" w:type="dxa"/>
                  <w:noWrap w:val="0"/>
                  <w:vAlign w:val="center"/>
                </w:tcPr>
                <w:p w14:paraId="55021BB6">
                  <w:pPr>
                    <w:ind w:left="-105" w:leftChars="-50" w:right="-105" w:rightChars="-50"/>
                    <w:jc w:val="center"/>
                    <w:rPr>
                      <w:rFonts w:hint="default" w:ascii="Times New Roman" w:hAnsi="Times New Roman" w:eastAsia="宋体" w:cs="Times New Roman"/>
                      <w:snapToGrid w:val="0"/>
                      <w:color w:val="auto"/>
                      <w:kern w:val="0"/>
                      <w:szCs w:val="21"/>
                      <w:highlight w:val="none"/>
                      <w:lang w:val="en-US" w:eastAsia="zh-CN"/>
                    </w:rPr>
                  </w:pPr>
                  <w:r>
                    <w:rPr>
                      <w:rFonts w:hint="default" w:ascii="Times New Roman" w:hAnsi="Times New Roman" w:eastAsia="宋体" w:cs="Times New Roman"/>
                      <w:snapToGrid w:val="0"/>
                      <w:color w:val="auto"/>
                      <w:kern w:val="0"/>
                      <w:szCs w:val="21"/>
                      <w:highlight w:val="none"/>
                      <w:lang w:val="en-US" w:eastAsia="zh-CN"/>
                    </w:rPr>
                    <w:t>-13</w:t>
                  </w:r>
                </w:p>
              </w:tc>
              <w:tc>
                <w:tcPr>
                  <w:tcW w:w="1075" w:type="dxa"/>
                  <w:noWrap w:val="0"/>
                  <w:vAlign w:val="center"/>
                </w:tcPr>
                <w:p w14:paraId="7113191C">
                  <w:pPr>
                    <w:ind w:left="-105" w:leftChars="-50" w:right="-105" w:rightChars="-50"/>
                    <w:jc w:val="center"/>
                    <w:rPr>
                      <w:rFonts w:hint="default" w:ascii="Times New Roman" w:hAnsi="Times New Roman" w:eastAsia="宋体" w:cs="Times New Roman"/>
                      <w:snapToGrid w:val="0"/>
                      <w:color w:val="auto"/>
                      <w:kern w:val="0"/>
                      <w:szCs w:val="21"/>
                      <w:highlight w:val="none"/>
                      <w:lang w:val="en-US" w:eastAsia="zh-CN"/>
                    </w:rPr>
                  </w:pPr>
                  <w:r>
                    <w:rPr>
                      <w:rFonts w:hint="default" w:ascii="Times New Roman" w:hAnsi="Times New Roman" w:eastAsia="宋体" w:cs="Times New Roman"/>
                      <w:snapToGrid w:val="0"/>
                      <w:color w:val="auto"/>
                      <w:kern w:val="0"/>
                      <w:szCs w:val="21"/>
                      <w:highlight w:val="none"/>
                      <w:lang w:val="en-US" w:eastAsia="zh-CN"/>
                    </w:rPr>
                    <w:t>1.2</w:t>
                  </w:r>
                </w:p>
              </w:tc>
              <w:tc>
                <w:tcPr>
                  <w:tcW w:w="1006" w:type="pct"/>
                  <w:noWrap w:val="0"/>
                  <w:vAlign w:val="center"/>
                </w:tcPr>
                <w:p w14:paraId="1A747A32">
                  <w:pPr>
                    <w:ind w:left="-105" w:leftChars="-50" w:right="-105" w:rightChars="-50"/>
                    <w:jc w:val="center"/>
                    <w:rPr>
                      <w:rFonts w:hint="default" w:ascii="Times New Roman" w:hAnsi="Times New Roman" w:eastAsia="宋体" w:cs="Times New Roman"/>
                      <w:snapToGrid w:val="0"/>
                      <w:color w:val="auto"/>
                      <w:kern w:val="0"/>
                      <w:szCs w:val="21"/>
                      <w:highlight w:val="none"/>
                      <w:lang w:val="en-US" w:eastAsia="zh-CN"/>
                    </w:rPr>
                  </w:pPr>
                  <w:r>
                    <w:rPr>
                      <w:rFonts w:hint="eastAsia" w:cs="Times New Roman"/>
                      <w:snapToGrid w:val="0"/>
                      <w:color w:val="auto"/>
                      <w:kern w:val="0"/>
                      <w:szCs w:val="21"/>
                      <w:highlight w:val="none"/>
                      <w:lang w:val="en-US" w:eastAsia="zh-CN"/>
                    </w:rPr>
                    <w:t>50</w:t>
                  </w:r>
                  <w:r>
                    <w:rPr>
                      <w:rFonts w:hint="eastAsia" w:ascii="Times New Roman" w:hAnsi="Times New Roman" w:eastAsia="宋体" w:cs="Times New Roman"/>
                      <w:snapToGrid w:val="0"/>
                      <w:color w:val="auto"/>
                      <w:kern w:val="0"/>
                      <w:szCs w:val="21"/>
                      <w:highlight w:val="none"/>
                      <w:lang w:val="en-US" w:eastAsia="zh-CN"/>
                    </w:rPr>
                    <w:t>.5</w:t>
                  </w:r>
                </w:p>
              </w:tc>
              <w:tc>
                <w:tcPr>
                  <w:tcW w:w="716" w:type="pct"/>
                  <w:vMerge w:val="continue"/>
                  <w:noWrap w:val="0"/>
                  <w:vAlign w:val="center"/>
                </w:tcPr>
                <w:p w14:paraId="7CA6DC18">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right="0"/>
                    <w:jc w:val="center"/>
                    <w:rPr>
                      <w:rFonts w:hint="eastAsia" w:ascii="Times New Roman" w:hAnsi="Times New Roman" w:eastAsia="宋体" w:cs="Times New Roman"/>
                      <w:color w:val="auto"/>
                      <w:kern w:val="2"/>
                      <w:sz w:val="21"/>
                      <w:szCs w:val="21"/>
                      <w:highlight w:val="none"/>
                      <w:lang w:val="en-US" w:eastAsia="zh-CN" w:bidi="ar"/>
                    </w:rPr>
                  </w:pPr>
                </w:p>
              </w:tc>
              <w:tc>
                <w:tcPr>
                  <w:tcW w:w="533" w:type="pct"/>
                  <w:vMerge w:val="continue"/>
                  <w:noWrap w:val="0"/>
                  <w:vAlign w:val="center"/>
                </w:tcPr>
                <w:p w14:paraId="3450DAEF">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right="0"/>
                    <w:jc w:val="center"/>
                    <w:rPr>
                      <w:rFonts w:hint="eastAsia" w:ascii="Times New Roman" w:hAnsi="Times New Roman" w:eastAsia="宋体" w:cs="Times New Roman"/>
                      <w:color w:val="auto"/>
                      <w:kern w:val="2"/>
                      <w:sz w:val="21"/>
                      <w:szCs w:val="21"/>
                      <w:highlight w:val="none"/>
                      <w:lang w:val="en-US" w:eastAsia="zh-CN" w:bidi="ar"/>
                    </w:rPr>
                  </w:pPr>
                </w:p>
              </w:tc>
            </w:tr>
            <w:tr w14:paraId="2C26E8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707" w:type="pct"/>
                  <w:noWrap w:val="0"/>
                  <w:vAlign w:val="center"/>
                </w:tcPr>
                <w:p w14:paraId="06EE6FCE">
                  <w:pPr>
                    <w:ind w:left="-105" w:leftChars="-50" w:right="-105" w:rightChars="-50"/>
                    <w:jc w:val="center"/>
                    <w:rPr>
                      <w:rFonts w:hint="default" w:ascii="Times New Roman" w:hAnsi="Times New Roman" w:eastAsia="宋体" w:cs="Times New Roman"/>
                      <w:snapToGrid w:val="0"/>
                      <w:color w:val="auto"/>
                      <w:kern w:val="0"/>
                      <w:szCs w:val="21"/>
                      <w:highlight w:val="none"/>
                      <w:lang w:val="en-US" w:eastAsia="zh-CN"/>
                    </w:rPr>
                  </w:pPr>
                  <w:r>
                    <w:rPr>
                      <w:rFonts w:hint="eastAsia" w:ascii="Times New Roman" w:hAnsi="Times New Roman" w:eastAsia="宋体" w:cs="Times New Roman"/>
                      <w:snapToGrid w:val="0"/>
                      <w:color w:val="auto"/>
                      <w:kern w:val="0"/>
                      <w:szCs w:val="21"/>
                      <w:highlight w:val="none"/>
                      <w:lang w:val="en-US" w:eastAsia="zh-CN"/>
                    </w:rPr>
                    <w:t>北侧</w:t>
                  </w:r>
                </w:p>
              </w:tc>
              <w:tc>
                <w:tcPr>
                  <w:tcW w:w="1075" w:type="dxa"/>
                  <w:noWrap w:val="0"/>
                  <w:vAlign w:val="center"/>
                </w:tcPr>
                <w:p w14:paraId="08562ED8">
                  <w:pPr>
                    <w:ind w:left="-105" w:leftChars="-50" w:right="-105" w:rightChars="-50"/>
                    <w:jc w:val="center"/>
                    <w:rPr>
                      <w:rFonts w:hint="default" w:ascii="Times New Roman" w:hAnsi="Times New Roman" w:eastAsia="宋体" w:cs="Times New Roman"/>
                      <w:snapToGrid w:val="0"/>
                      <w:color w:val="auto"/>
                      <w:kern w:val="0"/>
                      <w:szCs w:val="21"/>
                      <w:highlight w:val="none"/>
                      <w:lang w:val="en-US" w:eastAsia="zh-CN"/>
                    </w:rPr>
                  </w:pPr>
                  <w:r>
                    <w:rPr>
                      <w:rFonts w:hint="default" w:ascii="Times New Roman" w:hAnsi="Times New Roman" w:eastAsia="宋体" w:cs="Times New Roman"/>
                      <w:snapToGrid w:val="0"/>
                      <w:color w:val="auto"/>
                      <w:kern w:val="0"/>
                      <w:szCs w:val="21"/>
                      <w:highlight w:val="none"/>
                      <w:lang w:val="en-US" w:eastAsia="zh-CN"/>
                    </w:rPr>
                    <w:t>-53.8</w:t>
                  </w:r>
                </w:p>
              </w:tc>
              <w:tc>
                <w:tcPr>
                  <w:tcW w:w="1075" w:type="dxa"/>
                  <w:noWrap w:val="0"/>
                  <w:vAlign w:val="center"/>
                </w:tcPr>
                <w:p w14:paraId="7F76DA2A">
                  <w:pPr>
                    <w:ind w:left="-105" w:leftChars="-50" w:right="-105" w:rightChars="-50"/>
                    <w:jc w:val="center"/>
                    <w:rPr>
                      <w:rFonts w:hint="default" w:ascii="Times New Roman" w:hAnsi="Times New Roman" w:eastAsia="宋体" w:cs="Times New Roman"/>
                      <w:snapToGrid w:val="0"/>
                      <w:color w:val="auto"/>
                      <w:kern w:val="0"/>
                      <w:szCs w:val="21"/>
                      <w:highlight w:val="none"/>
                      <w:lang w:val="en-US" w:eastAsia="zh-CN"/>
                    </w:rPr>
                  </w:pPr>
                  <w:r>
                    <w:rPr>
                      <w:rFonts w:hint="default" w:ascii="Times New Roman" w:hAnsi="Times New Roman" w:eastAsia="宋体" w:cs="Times New Roman"/>
                      <w:snapToGrid w:val="0"/>
                      <w:color w:val="auto"/>
                      <w:kern w:val="0"/>
                      <w:szCs w:val="21"/>
                      <w:highlight w:val="none"/>
                      <w:lang w:val="en-US" w:eastAsia="zh-CN"/>
                    </w:rPr>
                    <w:t>34.4</w:t>
                  </w:r>
                </w:p>
              </w:tc>
              <w:tc>
                <w:tcPr>
                  <w:tcW w:w="1075" w:type="dxa"/>
                  <w:noWrap w:val="0"/>
                  <w:vAlign w:val="center"/>
                </w:tcPr>
                <w:p w14:paraId="615C6ACF">
                  <w:pPr>
                    <w:ind w:left="-105" w:leftChars="-50" w:right="-105" w:rightChars="-50"/>
                    <w:jc w:val="center"/>
                    <w:rPr>
                      <w:rFonts w:hint="default" w:ascii="Times New Roman" w:hAnsi="Times New Roman" w:eastAsia="宋体" w:cs="Times New Roman"/>
                      <w:snapToGrid w:val="0"/>
                      <w:color w:val="auto"/>
                      <w:kern w:val="0"/>
                      <w:szCs w:val="21"/>
                      <w:highlight w:val="none"/>
                      <w:lang w:val="en-US" w:eastAsia="zh-CN"/>
                    </w:rPr>
                  </w:pPr>
                  <w:r>
                    <w:rPr>
                      <w:rFonts w:hint="default" w:ascii="Times New Roman" w:hAnsi="Times New Roman" w:eastAsia="宋体" w:cs="Times New Roman"/>
                      <w:snapToGrid w:val="0"/>
                      <w:color w:val="auto"/>
                      <w:kern w:val="0"/>
                      <w:szCs w:val="21"/>
                      <w:highlight w:val="none"/>
                      <w:lang w:val="en-US" w:eastAsia="zh-CN"/>
                    </w:rPr>
                    <w:t>1.2</w:t>
                  </w:r>
                </w:p>
              </w:tc>
              <w:tc>
                <w:tcPr>
                  <w:tcW w:w="1006" w:type="pct"/>
                  <w:noWrap w:val="0"/>
                  <w:vAlign w:val="center"/>
                </w:tcPr>
                <w:p w14:paraId="0514D645">
                  <w:pPr>
                    <w:ind w:left="-105" w:leftChars="-50" w:right="-105" w:rightChars="-50"/>
                    <w:jc w:val="center"/>
                    <w:rPr>
                      <w:rFonts w:hint="default" w:ascii="Times New Roman" w:hAnsi="Times New Roman" w:eastAsia="宋体" w:cs="Times New Roman"/>
                      <w:snapToGrid w:val="0"/>
                      <w:color w:val="auto"/>
                      <w:kern w:val="0"/>
                      <w:szCs w:val="21"/>
                      <w:highlight w:val="none"/>
                      <w:lang w:val="en-US" w:eastAsia="zh-CN"/>
                    </w:rPr>
                  </w:pPr>
                  <w:r>
                    <w:rPr>
                      <w:rFonts w:hint="eastAsia" w:ascii="Times New Roman" w:hAnsi="Times New Roman" w:eastAsia="宋体" w:cs="Times New Roman"/>
                      <w:snapToGrid w:val="0"/>
                      <w:color w:val="auto"/>
                      <w:kern w:val="0"/>
                      <w:szCs w:val="21"/>
                      <w:highlight w:val="none"/>
                      <w:lang w:val="en-US" w:eastAsia="zh-CN"/>
                    </w:rPr>
                    <w:t>52.5</w:t>
                  </w:r>
                </w:p>
              </w:tc>
              <w:tc>
                <w:tcPr>
                  <w:tcW w:w="716" w:type="pct"/>
                  <w:vMerge w:val="continue"/>
                  <w:noWrap w:val="0"/>
                  <w:vAlign w:val="center"/>
                </w:tcPr>
                <w:p w14:paraId="753550B2">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right="0"/>
                    <w:jc w:val="center"/>
                    <w:rPr>
                      <w:rFonts w:hint="eastAsia" w:ascii="Times New Roman" w:hAnsi="Times New Roman" w:eastAsia="宋体" w:cs="Times New Roman"/>
                      <w:color w:val="auto"/>
                      <w:kern w:val="2"/>
                      <w:sz w:val="21"/>
                      <w:szCs w:val="21"/>
                      <w:highlight w:val="none"/>
                      <w:lang w:val="en-US" w:eastAsia="zh-CN" w:bidi="ar"/>
                    </w:rPr>
                  </w:pPr>
                </w:p>
              </w:tc>
              <w:tc>
                <w:tcPr>
                  <w:tcW w:w="533" w:type="pct"/>
                  <w:vMerge w:val="continue"/>
                  <w:noWrap w:val="0"/>
                  <w:vAlign w:val="center"/>
                </w:tcPr>
                <w:p w14:paraId="29256CB8">
                  <w:pPr>
                    <w:keepNext w:val="0"/>
                    <w:keepLines w:val="0"/>
                    <w:pageBreakBefore w:val="0"/>
                    <w:widowControl w:val="0"/>
                    <w:suppressLineNumbers w:val="0"/>
                    <w:kinsoku/>
                    <w:wordWrap/>
                    <w:overflowPunct/>
                    <w:topLinePunct w:val="0"/>
                    <w:autoSpaceDE/>
                    <w:autoSpaceDN/>
                    <w:bidi w:val="0"/>
                    <w:spacing w:beforeAutospacing="0" w:afterAutospacing="0" w:line="240" w:lineRule="auto"/>
                    <w:ind w:left="0" w:right="0"/>
                    <w:jc w:val="center"/>
                    <w:rPr>
                      <w:rFonts w:hint="eastAsia" w:ascii="Times New Roman" w:hAnsi="Times New Roman" w:eastAsia="宋体" w:cs="Times New Roman"/>
                      <w:color w:val="auto"/>
                      <w:kern w:val="2"/>
                      <w:sz w:val="21"/>
                      <w:szCs w:val="21"/>
                      <w:highlight w:val="none"/>
                      <w:lang w:val="en-US" w:eastAsia="zh-CN" w:bidi="ar"/>
                    </w:rPr>
                  </w:pPr>
                </w:p>
              </w:tc>
            </w:tr>
          </w:tbl>
          <w:p w14:paraId="2D364B56">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eastAsia="宋体" w:cs="Times New Roman"/>
                <w:color w:val="auto"/>
                <w:spacing w:val="0"/>
                <w:sz w:val="24"/>
                <w:lang w:val="en-US" w:eastAsia="zh-CN"/>
              </w:rPr>
            </w:pPr>
            <w:r>
              <w:rPr>
                <w:rFonts w:hint="default" w:ascii="Times New Roman" w:hAnsi="Times New Roman" w:eastAsia="宋体" w:cs="Times New Roman"/>
                <w:color w:val="auto"/>
                <w:spacing w:val="0"/>
                <w:sz w:val="24"/>
                <w:lang w:val="en-US" w:eastAsia="zh-CN"/>
              </w:rPr>
              <w:t>根据表4-</w:t>
            </w:r>
            <w:r>
              <w:rPr>
                <w:rFonts w:hint="eastAsia" w:ascii="Times New Roman" w:hAnsi="Times New Roman" w:eastAsia="宋体" w:cs="Times New Roman"/>
                <w:color w:val="auto"/>
                <w:spacing w:val="0"/>
                <w:sz w:val="24"/>
                <w:lang w:val="en-US" w:eastAsia="zh-CN"/>
              </w:rPr>
              <w:t>1</w:t>
            </w:r>
            <w:r>
              <w:rPr>
                <w:rFonts w:hint="eastAsia" w:cs="Times New Roman"/>
                <w:color w:val="auto"/>
                <w:spacing w:val="0"/>
                <w:sz w:val="24"/>
                <w:lang w:val="en-US" w:eastAsia="zh-CN"/>
              </w:rPr>
              <w:t>2</w:t>
            </w:r>
            <w:r>
              <w:rPr>
                <w:rFonts w:hint="default" w:ascii="Times New Roman" w:hAnsi="Times New Roman" w:eastAsia="宋体" w:cs="Times New Roman"/>
                <w:color w:val="auto"/>
                <w:spacing w:val="0"/>
                <w:sz w:val="24"/>
                <w:lang w:val="en-US" w:eastAsia="zh-CN"/>
              </w:rPr>
              <w:t>预测结果可以看出，本项目</w:t>
            </w:r>
            <w:r>
              <w:rPr>
                <w:rFonts w:hint="eastAsia" w:ascii="Times New Roman" w:hAnsi="Times New Roman" w:eastAsia="宋体" w:cs="Times New Roman"/>
                <w:color w:val="auto"/>
                <w:spacing w:val="0"/>
                <w:sz w:val="24"/>
                <w:lang w:val="en-US" w:eastAsia="zh-CN"/>
              </w:rPr>
              <w:t>选用</w:t>
            </w:r>
            <w:r>
              <w:rPr>
                <w:rFonts w:hint="default" w:ascii="Times New Roman" w:hAnsi="Times New Roman" w:eastAsia="宋体" w:cs="Times New Roman"/>
                <w:color w:val="auto"/>
                <w:spacing w:val="0"/>
                <w:sz w:val="24"/>
                <w:lang w:val="en-US" w:eastAsia="zh-CN"/>
              </w:rPr>
              <w:t>低噪声设备，设备噪声经过基础减振、</w:t>
            </w:r>
            <w:r>
              <w:rPr>
                <w:rFonts w:hint="eastAsia" w:ascii="Times New Roman" w:hAnsi="Times New Roman" w:eastAsia="宋体" w:cs="Times New Roman"/>
                <w:color w:val="auto"/>
                <w:spacing w:val="0"/>
                <w:sz w:val="24"/>
                <w:lang w:val="en-US" w:eastAsia="zh-CN"/>
              </w:rPr>
              <w:t>厂房隔声</w:t>
            </w:r>
            <w:r>
              <w:rPr>
                <w:rFonts w:hint="default" w:ascii="Times New Roman" w:hAnsi="Times New Roman" w:eastAsia="宋体" w:cs="Times New Roman"/>
                <w:color w:val="auto"/>
                <w:spacing w:val="0"/>
                <w:sz w:val="24"/>
                <w:lang w:val="en-US" w:eastAsia="zh-CN"/>
              </w:rPr>
              <w:t>等措施后，厂界昼间贡献值噪声均能达到《工业企业厂界环境噪声排放标准》（GB12348-2008）3类声环境功能区噪声排放限值。</w:t>
            </w:r>
          </w:p>
          <w:p w14:paraId="510A5460">
            <w:pPr>
              <w:spacing w:line="360" w:lineRule="auto"/>
              <w:ind w:firstLine="480" w:firstLineChars="200"/>
              <w:rPr>
                <w:rFonts w:hint="eastAsia" w:ascii="Times New Roman" w:hAnsi="Times New Roman" w:eastAsia="宋体" w:cs="Times New Roman"/>
                <w:color w:val="auto"/>
                <w:sz w:val="24"/>
                <w:lang w:eastAsia="zh-CN"/>
              </w:rPr>
            </w:pPr>
            <w:r>
              <w:rPr>
                <w:rFonts w:hint="eastAsia" w:ascii="Times New Roman" w:hAnsi="Times New Roman" w:eastAsia="宋体" w:cs="Times New Roman"/>
                <w:color w:val="auto"/>
                <w:sz w:val="24"/>
              </w:rPr>
              <w:t>（</w:t>
            </w:r>
            <w:r>
              <w:rPr>
                <w:rFonts w:hint="eastAsia" w:ascii="Times New Roman" w:hAnsi="Times New Roman" w:eastAsia="宋体" w:cs="Times New Roman"/>
                <w:color w:val="auto"/>
                <w:sz w:val="24"/>
                <w:lang w:val="en-US" w:eastAsia="zh-CN"/>
              </w:rPr>
              <w:t>3</w:t>
            </w:r>
            <w:r>
              <w:rPr>
                <w:rFonts w:hint="eastAsia" w:ascii="Times New Roman" w:hAnsi="Times New Roman" w:eastAsia="宋体" w:cs="Times New Roman"/>
                <w:color w:val="auto"/>
                <w:sz w:val="24"/>
              </w:rPr>
              <w:t>）噪声</w:t>
            </w:r>
            <w:r>
              <w:rPr>
                <w:rFonts w:hint="eastAsia" w:ascii="Times New Roman" w:hAnsi="Times New Roman" w:eastAsia="宋体" w:cs="Times New Roman"/>
                <w:color w:val="auto"/>
                <w:sz w:val="24"/>
                <w:lang w:val="en-US" w:eastAsia="zh-CN"/>
              </w:rPr>
              <w:t>治理措施</w:t>
            </w:r>
          </w:p>
          <w:p w14:paraId="57B475F5">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本次环评建议采取的噪声减缓措施如下：</w:t>
            </w:r>
          </w:p>
          <w:p w14:paraId="782FA9CF">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①合理进行厂区总平面布置，高噪声设备远离办公生活区布设。</w:t>
            </w:r>
            <w:r>
              <w:rPr>
                <w:rFonts w:hint="eastAsia" w:ascii="Times New Roman" w:hAnsi="Times New Roman" w:eastAsia="宋体" w:cs="Times New Roman"/>
                <w:color w:val="auto"/>
                <w:sz w:val="24"/>
                <w:lang w:val="en-US" w:eastAsia="zh-CN"/>
              </w:rPr>
              <w:t>主要噪声源</w:t>
            </w:r>
            <w:r>
              <w:rPr>
                <w:rFonts w:hint="eastAsia" w:ascii="Times New Roman" w:hAnsi="Times New Roman" w:eastAsia="宋体" w:cs="Times New Roman"/>
                <w:color w:val="auto"/>
                <w:sz w:val="24"/>
              </w:rPr>
              <w:t>设置于厂房中心。</w:t>
            </w:r>
          </w:p>
          <w:p w14:paraId="17FFEA8B">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②设备选型时，除考虑满足生产工艺技术要求外，选型还必须考虑选用国内技术先进的低噪声设备。</w:t>
            </w:r>
          </w:p>
          <w:p w14:paraId="35CE85D2">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③</w:t>
            </w:r>
            <w:r>
              <w:rPr>
                <w:rFonts w:hint="eastAsia" w:ascii="Times New Roman" w:hAnsi="Times New Roman" w:eastAsia="宋体" w:cs="Times New Roman"/>
                <w:color w:val="auto"/>
                <w:sz w:val="24"/>
                <w:lang w:val="en-US" w:eastAsia="zh-CN"/>
              </w:rPr>
              <w:t>对切割机、焊接机、磨光机、抛丸机等机械设备</w:t>
            </w:r>
            <w:r>
              <w:rPr>
                <w:rFonts w:hint="eastAsia" w:ascii="Times New Roman" w:hAnsi="Times New Roman" w:eastAsia="宋体" w:cs="Times New Roman"/>
                <w:color w:val="auto"/>
                <w:sz w:val="24"/>
              </w:rPr>
              <w:t>采取基础减振措施，在设备基座与基础之间设橡胶隔振垫，同时安装防震垫。</w:t>
            </w:r>
          </w:p>
          <w:p w14:paraId="5A47FD1F">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④定期检查、及时对设备维修和保养，对不符合要求的设备及时更换，以防止设备故障形成的非正常生产噪声。</w:t>
            </w:r>
          </w:p>
          <w:p w14:paraId="281281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⑤制定行车管理制度，进出厂区严禁鸣笛，低速行驶，最大限度减少流动噪声源。</w:t>
            </w:r>
          </w:p>
          <w:p w14:paraId="4FCE686A">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fldChar w:fldCharType="begin"/>
            </w:r>
            <w:r>
              <w:rPr>
                <w:rFonts w:hint="eastAsia" w:ascii="Times New Roman" w:hAnsi="Times New Roman" w:eastAsia="宋体" w:cs="Times New Roman"/>
                <w:color w:val="auto"/>
                <w:sz w:val="24"/>
              </w:rPr>
              <w:instrText xml:space="preserve"> = 6 \* GB3 \* MERGEFORMAT </w:instrText>
            </w:r>
            <w:r>
              <w:rPr>
                <w:rFonts w:hint="eastAsia" w:ascii="Times New Roman" w:hAnsi="Times New Roman" w:eastAsia="宋体" w:cs="Times New Roman"/>
                <w:color w:val="auto"/>
                <w:sz w:val="24"/>
              </w:rPr>
              <w:fldChar w:fldCharType="separate"/>
            </w:r>
            <w:r>
              <w:rPr>
                <w:rFonts w:hint="eastAsia" w:ascii="Times New Roman" w:hAnsi="Times New Roman" w:eastAsia="宋体" w:cs="Times New Roman"/>
                <w:color w:val="auto"/>
                <w:sz w:val="24"/>
              </w:rPr>
              <w:t>⑥</w:t>
            </w:r>
            <w:r>
              <w:rPr>
                <w:rFonts w:hint="eastAsia" w:ascii="Times New Roman" w:hAnsi="Times New Roman" w:eastAsia="宋体" w:cs="Times New Roman"/>
                <w:color w:val="auto"/>
                <w:sz w:val="24"/>
              </w:rPr>
              <w:fldChar w:fldCharType="end"/>
            </w:r>
            <w:r>
              <w:rPr>
                <w:rFonts w:hint="eastAsia" w:ascii="Times New Roman" w:hAnsi="Times New Roman" w:eastAsia="宋体" w:cs="Times New Roman"/>
                <w:color w:val="auto"/>
                <w:sz w:val="24"/>
              </w:rPr>
              <w:t>加强职工环保意识教育，提倡文明生产，防止人为噪声。</w:t>
            </w:r>
          </w:p>
          <w:p w14:paraId="2239B176">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通过采取上述措施后，项目产生的噪声对周围环境影响较小。</w:t>
            </w:r>
          </w:p>
          <w:p w14:paraId="5295C01D">
            <w:pPr>
              <w:spacing w:line="360" w:lineRule="auto"/>
              <w:ind w:firstLine="480" w:firstLineChars="200"/>
              <w:rPr>
                <w:rFonts w:hint="eastAsia" w:ascii="Times New Roman" w:hAnsi="Times New Roman" w:eastAsia="宋体" w:cs="Times New Roman"/>
                <w:color w:val="auto"/>
                <w:sz w:val="24"/>
              </w:rPr>
            </w:pPr>
          </w:p>
          <w:p w14:paraId="4AA1B4EF">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（4）噪声监测计划</w:t>
            </w:r>
          </w:p>
          <w:p w14:paraId="202049D9">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项目运营期环境噪声监测计划见表</w:t>
            </w:r>
            <w:r>
              <w:rPr>
                <w:rFonts w:hint="eastAsia" w:ascii="Times New Roman" w:hAnsi="Times New Roman" w:eastAsia="宋体" w:cs="Times New Roman"/>
                <w:color w:val="auto"/>
                <w:sz w:val="24"/>
                <w:lang w:val="en-US" w:eastAsia="zh-CN"/>
              </w:rPr>
              <w:t>4-1</w:t>
            </w:r>
            <w:r>
              <w:rPr>
                <w:rFonts w:hint="eastAsia" w:cs="Times New Roman"/>
                <w:color w:val="auto"/>
                <w:sz w:val="24"/>
                <w:lang w:val="en-US" w:eastAsia="zh-CN"/>
              </w:rPr>
              <w:t>3</w:t>
            </w:r>
            <w:r>
              <w:rPr>
                <w:rFonts w:hint="eastAsia" w:ascii="Times New Roman" w:hAnsi="Times New Roman" w:eastAsia="宋体" w:cs="Times New Roman"/>
                <w:color w:val="auto"/>
                <w:sz w:val="24"/>
              </w:rPr>
              <w:t>。</w:t>
            </w:r>
          </w:p>
          <w:p w14:paraId="7195820E">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表</w:t>
            </w:r>
            <w:r>
              <w:rPr>
                <w:rFonts w:hint="eastAsia" w:ascii="Times New Roman" w:hAnsi="Times New Roman" w:eastAsia="宋体" w:cs="Times New Roman"/>
                <w:b/>
                <w:bCs/>
                <w:color w:val="auto"/>
                <w:lang w:val="en-US" w:eastAsia="zh-CN"/>
              </w:rPr>
              <w:t>4-1</w:t>
            </w:r>
            <w:r>
              <w:rPr>
                <w:rFonts w:hint="eastAsia" w:cs="Times New Roman"/>
                <w:b/>
                <w:bCs/>
                <w:color w:val="auto"/>
                <w:lang w:val="en-US" w:eastAsia="zh-CN"/>
              </w:rPr>
              <w:t>3</w:t>
            </w:r>
            <w:r>
              <w:rPr>
                <w:rFonts w:hint="eastAsia" w:ascii="Times New Roman" w:hAnsi="Times New Roman" w:eastAsia="宋体" w:cs="Times New Roman"/>
                <w:b/>
                <w:bCs/>
                <w:color w:val="auto"/>
                <w:lang w:val="en-US" w:eastAsia="zh-CN"/>
              </w:rPr>
              <w:t xml:space="preserve"> </w:t>
            </w:r>
            <w:r>
              <w:rPr>
                <w:rFonts w:hint="default" w:ascii="Times New Roman" w:hAnsi="Times New Roman" w:eastAsia="宋体" w:cs="Times New Roman"/>
                <w:b/>
                <w:bCs/>
                <w:color w:val="auto"/>
                <w:lang w:val="en-US" w:eastAsia="zh-CN"/>
              </w:rPr>
              <w:t>项目运营期噪声监测计划</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42"/>
              <w:gridCol w:w="1903"/>
              <w:gridCol w:w="2569"/>
              <w:gridCol w:w="1139"/>
              <w:gridCol w:w="1481"/>
            </w:tblGrid>
            <w:tr w14:paraId="6F98E0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0" w:type="pct"/>
                  <w:tcBorders>
                    <w:bottom w:val="single" w:color="auto" w:sz="12" w:space="0"/>
                  </w:tcBorders>
                  <w:noWrap w:val="0"/>
                  <w:vAlign w:val="center"/>
                </w:tcPr>
                <w:p w14:paraId="1C1768E7">
                  <w:pPr>
                    <w:adjustRightInd w:val="0"/>
                    <w:snapToGrid w:val="0"/>
                    <w:jc w:val="center"/>
                    <w:rPr>
                      <w:rFonts w:hint="eastAsia" w:ascii="宋体" w:hAnsi="宋体" w:eastAsia="宋体" w:cs="宋体"/>
                      <w:b/>
                      <w:bCs/>
                      <w:color w:val="auto"/>
                      <w:lang w:eastAsia="zh-CN"/>
                    </w:rPr>
                  </w:pPr>
                  <w:r>
                    <w:rPr>
                      <w:rFonts w:hint="eastAsia" w:ascii="宋体" w:hAnsi="宋体" w:cs="宋体"/>
                      <w:b/>
                      <w:bCs/>
                      <w:color w:val="auto"/>
                      <w:lang w:val="en-US" w:eastAsia="zh-CN"/>
                    </w:rPr>
                    <w:t>类别</w:t>
                  </w:r>
                </w:p>
              </w:tc>
              <w:tc>
                <w:tcPr>
                  <w:tcW w:w="1199" w:type="pct"/>
                  <w:tcBorders>
                    <w:bottom w:val="single" w:color="auto" w:sz="12" w:space="0"/>
                  </w:tcBorders>
                  <w:noWrap w:val="0"/>
                  <w:vAlign w:val="center"/>
                </w:tcPr>
                <w:p w14:paraId="6E912D31">
                  <w:pPr>
                    <w:adjustRightInd w:val="0"/>
                    <w:snapToGrid w:val="0"/>
                    <w:jc w:val="center"/>
                    <w:rPr>
                      <w:rFonts w:hint="default" w:ascii="宋体" w:hAnsi="宋体" w:eastAsia="宋体" w:cs="宋体"/>
                      <w:b/>
                      <w:bCs/>
                      <w:color w:val="auto"/>
                      <w:lang w:val="en-US" w:eastAsia="zh-CN"/>
                    </w:rPr>
                  </w:pPr>
                  <w:r>
                    <w:rPr>
                      <w:rFonts w:hint="eastAsia" w:ascii="宋体" w:hAnsi="宋体" w:cs="宋体"/>
                      <w:b/>
                      <w:bCs/>
                      <w:color w:val="auto"/>
                      <w:lang w:val="en-US" w:eastAsia="zh-CN"/>
                    </w:rPr>
                    <w:t>监测点位</w:t>
                  </w:r>
                </w:p>
              </w:tc>
              <w:tc>
                <w:tcPr>
                  <w:tcW w:w="1618" w:type="pct"/>
                  <w:tcBorders>
                    <w:bottom w:val="single" w:color="auto" w:sz="12" w:space="0"/>
                  </w:tcBorders>
                  <w:noWrap w:val="0"/>
                  <w:vAlign w:val="center"/>
                </w:tcPr>
                <w:p w14:paraId="7EAFC133">
                  <w:pPr>
                    <w:adjustRightInd w:val="0"/>
                    <w:snapToGrid w:val="0"/>
                    <w:jc w:val="center"/>
                    <w:rPr>
                      <w:rFonts w:hint="eastAsia" w:ascii="宋体" w:hAnsi="宋体" w:cs="宋体"/>
                      <w:b/>
                      <w:bCs/>
                      <w:color w:val="auto"/>
                    </w:rPr>
                  </w:pPr>
                  <w:r>
                    <w:rPr>
                      <w:rFonts w:hint="eastAsia" w:ascii="宋体" w:hAnsi="宋体" w:cs="宋体"/>
                      <w:b/>
                      <w:bCs/>
                      <w:color w:val="auto"/>
                    </w:rPr>
                    <w:t>监测项目</w:t>
                  </w:r>
                </w:p>
              </w:tc>
              <w:tc>
                <w:tcPr>
                  <w:tcW w:w="717" w:type="pct"/>
                  <w:tcBorders>
                    <w:bottom w:val="single" w:color="auto" w:sz="12" w:space="0"/>
                  </w:tcBorders>
                  <w:noWrap w:val="0"/>
                  <w:vAlign w:val="center"/>
                </w:tcPr>
                <w:p w14:paraId="348DFAEF">
                  <w:pPr>
                    <w:adjustRightInd w:val="0"/>
                    <w:snapToGrid w:val="0"/>
                    <w:jc w:val="center"/>
                    <w:rPr>
                      <w:rFonts w:hint="eastAsia" w:ascii="宋体" w:hAnsi="宋体" w:cs="宋体"/>
                      <w:b/>
                      <w:bCs/>
                      <w:color w:val="auto"/>
                    </w:rPr>
                  </w:pPr>
                  <w:r>
                    <w:rPr>
                      <w:rFonts w:hint="eastAsia" w:ascii="宋体" w:hAnsi="宋体" w:cs="宋体"/>
                      <w:b/>
                      <w:bCs/>
                      <w:color w:val="auto"/>
                    </w:rPr>
                    <w:t>监测频率</w:t>
                  </w:r>
                </w:p>
              </w:tc>
              <w:tc>
                <w:tcPr>
                  <w:tcW w:w="933" w:type="pct"/>
                  <w:tcBorders>
                    <w:bottom w:val="single" w:color="auto" w:sz="12" w:space="0"/>
                  </w:tcBorders>
                  <w:noWrap w:val="0"/>
                  <w:vAlign w:val="center"/>
                </w:tcPr>
                <w:p w14:paraId="6B90D1A5">
                  <w:pPr>
                    <w:adjustRightInd w:val="0"/>
                    <w:snapToGrid w:val="0"/>
                    <w:jc w:val="center"/>
                    <w:rPr>
                      <w:rFonts w:hint="eastAsia" w:ascii="宋体" w:hAnsi="宋体" w:cs="宋体"/>
                      <w:b/>
                      <w:bCs/>
                      <w:color w:val="auto"/>
                    </w:rPr>
                  </w:pPr>
                  <w:r>
                    <w:rPr>
                      <w:rFonts w:hint="eastAsia" w:ascii="宋体" w:hAnsi="宋体" w:cs="宋体"/>
                      <w:b/>
                      <w:bCs/>
                      <w:color w:val="auto"/>
                    </w:rPr>
                    <w:t>实施单位</w:t>
                  </w:r>
                </w:p>
              </w:tc>
            </w:tr>
            <w:tr w14:paraId="61C9B2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0" w:type="pct"/>
                  <w:tcBorders>
                    <w:top w:val="single" w:color="auto" w:sz="12" w:space="0"/>
                  </w:tcBorders>
                  <w:noWrap w:val="0"/>
                  <w:vAlign w:val="center"/>
                </w:tcPr>
                <w:p w14:paraId="3FC38925">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噪声</w:t>
                  </w:r>
                </w:p>
              </w:tc>
              <w:tc>
                <w:tcPr>
                  <w:tcW w:w="1199" w:type="pct"/>
                  <w:tcBorders>
                    <w:top w:val="single" w:color="auto" w:sz="12" w:space="0"/>
                  </w:tcBorders>
                  <w:noWrap w:val="0"/>
                  <w:vAlign w:val="center"/>
                </w:tcPr>
                <w:p w14:paraId="2F7C0D72">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厂界四周外1m处</w:t>
                  </w:r>
                </w:p>
              </w:tc>
              <w:tc>
                <w:tcPr>
                  <w:tcW w:w="1618" w:type="pct"/>
                  <w:tcBorders>
                    <w:top w:val="single" w:color="auto" w:sz="12" w:space="0"/>
                  </w:tcBorders>
                  <w:noWrap w:val="0"/>
                  <w:vAlign w:val="center"/>
                </w:tcPr>
                <w:p w14:paraId="59492097">
                  <w:pPr>
                    <w:adjustRightInd w:val="0"/>
                    <w:snapToGrid w:val="0"/>
                    <w:jc w:val="center"/>
                    <w:rPr>
                      <w:color w:val="auto"/>
                      <w:szCs w:val="21"/>
                    </w:rPr>
                  </w:pPr>
                  <w:r>
                    <w:rPr>
                      <w:color w:val="auto"/>
                      <w:szCs w:val="21"/>
                    </w:rPr>
                    <w:t>等效连续 A 声级（LeqA）</w:t>
                  </w:r>
                </w:p>
              </w:tc>
              <w:tc>
                <w:tcPr>
                  <w:tcW w:w="717" w:type="pct"/>
                  <w:tcBorders>
                    <w:top w:val="single" w:color="auto" w:sz="12" w:space="0"/>
                  </w:tcBorders>
                  <w:noWrap w:val="0"/>
                  <w:vAlign w:val="center"/>
                </w:tcPr>
                <w:p w14:paraId="4E157488">
                  <w:pPr>
                    <w:adjustRightInd w:val="0"/>
                    <w:snapToGrid w:val="0"/>
                    <w:jc w:val="center"/>
                    <w:rPr>
                      <w:rFonts w:hint="eastAsia"/>
                      <w:color w:val="auto"/>
                      <w:szCs w:val="21"/>
                    </w:rPr>
                  </w:pPr>
                  <w:r>
                    <w:rPr>
                      <w:color w:val="auto"/>
                    </w:rPr>
                    <w:t>1次</w:t>
                  </w:r>
                  <w:r>
                    <w:rPr>
                      <w:rFonts w:hint="eastAsia"/>
                      <w:color w:val="auto"/>
                    </w:rPr>
                    <w:t>/季度</w:t>
                  </w:r>
                </w:p>
              </w:tc>
              <w:tc>
                <w:tcPr>
                  <w:tcW w:w="933" w:type="pct"/>
                  <w:tcBorders>
                    <w:top w:val="single" w:color="auto" w:sz="12" w:space="0"/>
                  </w:tcBorders>
                  <w:noWrap w:val="0"/>
                  <w:vAlign w:val="center"/>
                </w:tcPr>
                <w:p w14:paraId="2E2D6198">
                  <w:pPr>
                    <w:adjustRightInd w:val="0"/>
                    <w:snapToGrid w:val="0"/>
                    <w:jc w:val="center"/>
                    <w:rPr>
                      <w:rFonts w:hint="eastAsia"/>
                      <w:color w:val="auto"/>
                      <w:szCs w:val="21"/>
                    </w:rPr>
                  </w:pPr>
                  <w:r>
                    <w:rPr>
                      <w:rFonts w:hint="eastAsia"/>
                      <w:color w:val="auto"/>
                      <w:szCs w:val="21"/>
                    </w:rPr>
                    <w:t>企业自行委托</w:t>
                  </w:r>
                </w:p>
              </w:tc>
            </w:tr>
          </w:tbl>
          <w:p w14:paraId="38D39760">
            <w:pPr>
              <w:spacing w:before="120" w:beforeLines="50" w:line="360" w:lineRule="auto"/>
              <w:rPr>
                <w:rFonts w:hint="eastAsia"/>
                <w:b/>
                <w:bCs/>
                <w:color w:val="auto"/>
                <w:sz w:val="24"/>
              </w:rPr>
            </w:pPr>
            <w:r>
              <w:rPr>
                <w:rFonts w:hint="eastAsia"/>
                <w:b/>
                <w:bCs/>
                <w:color w:val="auto"/>
                <w:sz w:val="24"/>
              </w:rPr>
              <w:t>4.固体废物环境影响及保护措施</w:t>
            </w:r>
          </w:p>
          <w:p w14:paraId="3DD1F4F7">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（1）固体废物产生情况</w:t>
            </w:r>
          </w:p>
          <w:p w14:paraId="21D0DDD0">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根据《固体废物鉴别标准 通则》（GB 34330-2017）、《危险废物鉴别标准</w:t>
            </w:r>
            <w:r>
              <w:rPr>
                <w:rFonts w:hint="eastAsia" w:cs="Times New Roman"/>
                <w:color w:val="auto"/>
                <w:sz w:val="24"/>
                <w:lang w:val="en-US" w:eastAsia="zh-CN"/>
              </w:rPr>
              <w:t xml:space="preserve"> </w:t>
            </w:r>
            <w:r>
              <w:rPr>
                <w:rFonts w:hint="eastAsia" w:ascii="Times New Roman" w:hAnsi="Times New Roman" w:eastAsia="宋体" w:cs="Times New Roman"/>
                <w:color w:val="auto"/>
                <w:sz w:val="24"/>
              </w:rPr>
              <w:t>通则》（GB 5085.7-2019）和《国家危险废物名录（2025版）》等相关要求，</w:t>
            </w:r>
            <w:r>
              <w:rPr>
                <w:rFonts w:hint="eastAsia" w:ascii="Times New Roman" w:hAnsi="Times New Roman" w:eastAsia="宋体" w:cs="Times New Roman"/>
                <w:color w:val="auto"/>
                <w:spacing w:val="6"/>
                <w:sz w:val="24"/>
              </w:rPr>
              <w:t>对项目产生固体废物进行分析，本项目运营期产生的固体废物</w:t>
            </w:r>
            <w:r>
              <w:rPr>
                <w:rFonts w:hint="eastAsia" w:cs="Times New Roman"/>
                <w:color w:val="auto"/>
                <w:spacing w:val="6"/>
                <w:sz w:val="24"/>
                <w:lang w:val="en-US" w:eastAsia="zh-CN"/>
              </w:rPr>
              <w:t>包括</w:t>
            </w:r>
            <w:r>
              <w:rPr>
                <w:rFonts w:hint="eastAsia" w:ascii="Times New Roman" w:hAnsi="Times New Roman" w:eastAsia="宋体" w:cs="Times New Roman"/>
                <w:color w:val="auto"/>
                <w:sz w:val="24"/>
              </w:rPr>
              <w:t>金属屑</w:t>
            </w:r>
            <w:r>
              <w:rPr>
                <w:rFonts w:hint="eastAsia" w:ascii="Times New Roman" w:hAnsi="Times New Roman" w:eastAsia="宋体" w:cs="Times New Roman"/>
                <w:color w:val="auto"/>
                <w:sz w:val="24"/>
                <w:lang w:val="en-US" w:eastAsia="zh-CN"/>
              </w:rPr>
              <w:t>及</w:t>
            </w:r>
            <w:r>
              <w:rPr>
                <w:rFonts w:hint="eastAsia" w:ascii="Times New Roman" w:hAnsi="Times New Roman" w:eastAsia="宋体" w:cs="Times New Roman"/>
                <w:color w:val="auto"/>
                <w:sz w:val="24"/>
              </w:rPr>
              <w:t>废边角料、焊渣、</w:t>
            </w:r>
            <w:r>
              <w:rPr>
                <w:rFonts w:hint="eastAsia" w:cs="Times New Roman"/>
                <w:color w:val="auto"/>
                <w:sz w:val="24"/>
                <w:lang w:val="en-US" w:eastAsia="zh-CN"/>
              </w:rPr>
              <w:t>金属磨屑</w:t>
            </w:r>
            <w:r>
              <w:rPr>
                <w:rFonts w:hint="eastAsia" w:cs="Times New Roman"/>
                <w:color w:val="auto"/>
                <w:sz w:val="24"/>
                <w:lang w:eastAsia="zh-CN"/>
              </w:rPr>
              <w:t>、</w:t>
            </w:r>
            <w:r>
              <w:rPr>
                <w:rFonts w:hint="eastAsia" w:cs="Times New Roman"/>
                <w:color w:val="auto"/>
                <w:sz w:val="24"/>
                <w:lang w:val="en-US" w:eastAsia="zh-CN"/>
              </w:rPr>
              <w:t>铁锈渣、</w:t>
            </w:r>
            <w:r>
              <w:rPr>
                <w:rFonts w:hint="eastAsia" w:ascii="Times New Roman" w:hAnsi="Times New Roman" w:eastAsia="宋体" w:cs="Times New Roman"/>
                <w:color w:val="auto"/>
                <w:sz w:val="24"/>
              </w:rPr>
              <w:t>除尘</w:t>
            </w:r>
            <w:r>
              <w:rPr>
                <w:rFonts w:hint="eastAsia" w:cs="Times New Roman"/>
                <w:color w:val="auto"/>
                <w:sz w:val="24"/>
                <w:lang w:val="en-US" w:eastAsia="zh-CN"/>
              </w:rPr>
              <w:t>设备</w:t>
            </w:r>
            <w:r>
              <w:rPr>
                <w:rFonts w:hint="eastAsia" w:ascii="Times New Roman" w:hAnsi="Times New Roman" w:eastAsia="宋体" w:cs="Times New Roman"/>
                <w:color w:val="auto"/>
                <w:sz w:val="24"/>
              </w:rPr>
              <w:t>收集尘、废布袋</w:t>
            </w:r>
            <w:r>
              <w:rPr>
                <w:rFonts w:hint="eastAsia" w:cs="Times New Roman"/>
                <w:color w:val="auto"/>
                <w:sz w:val="24"/>
                <w:lang w:val="en-US" w:eastAsia="zh-CN"/>
              </w:rPr>
              <w:t>等一般固体废物，</w:t>
            </w:r>
            <w:r>
              <w:rPr>
                <w:rFonts w:hint="eastAsia" w:ascii="Times New Roman" w:hAnsi="Times New Roman" w:eastAsia="宋体" w:cs="Times New Roman"/>
                <w:color w:val="auto"/>
                <w:sz w:val="24"/>
                <w:lang w:val="en-US" w:eastAsia="zh-CN"/>
              </w:rPr>
              <w:t>漆渣及废过滤棉、废包装桶、废活性炭、废催化剂、废</w:t>
            </w:r>
            <w:r>
              <w:rPr>
                <w:rFonts w:hint="eastAsia" w:cs="Times New Roman"/>
                <w:color w:val="auto"/>
                <w:sz w:val="24"/>
                <w:lang w:val="en-US" w:eastAsia="zh-CN"/>
              </w:rPr>
              <w:t>润滑</w:t>
            </w:r>
            <w:r>
              <w:rPr>
                <w:rFonts w:hint="eastAsia" w:ascii="Times New Roman" w:hAnsi="Times New Roman" w:eastAsia="宋体" w:cs="Times New Roman"/>
                <w:color w:val="auto"/>
                <w:sz w:val="24"/>
                <w:lang w:val="en-US" w:eastAsia="zh-CN"/>
              </w:rPr>
              <w:t>油、废液压油</w:t>
            </w:r>
            <w:r>
              <w:rPr>
                <w:rFonts w:hint="eastAsia" w:cs="Times New Roman"/>
                <w:color w:val="auto"/>
                <w:sz w:val="24"/>
                <w:lang w:val="en-US" w:eastAsia="zh-CN"/>
              </w:rPr>
              <w:t>等危险废物以及生活垃圾</w:t>
            </w:r>
            <w:r>
              <w:rPr>
                <w:rFonts w:hint="eastAsia" w:ascii="Times New Roman" w:hAnsi="Times New Roman" w:eastAsia="宋体" w:cs="Times New Roman"/>
                <w:color w:val="auto"/>
                <w:sz w:val="24"/>
              </w:rPr>
              <w:t>。</w:t>
            </w:r>
          </w:p>
          <w:p w14:paraId="4B0479E5">
            <w:pPr>
              <w:spacing w:line="360" w:lineRule="auto"/>
              <w:ind w:firstLine="480" w:firstLineChars="200"/>
              <w:rPr>
                <w:rFonts w:hint="default"/>
                <w:color w:val="auto"/>
                <w:sz w:val="24"/>
                <w:lang w:val="en-US" w:eastAsia="zh-CN"/>
              </w:rPr>
            </w:pPr>
            <w:r>
              <w:rPr>
                <w:rFonts w:hint="eastAsia"/>
                <w:color w:val="auto"/>
                <w:sz w:val="24"/>
                <w:lang w:val="en-US" w:eastAsia="zh-CN"/>
              </w:rPr>
              <w:fldChar w:fldCharType="begin"/>
            </w:r>
            <w:r>
              <w:rPr>
                <w:rFonts w:hint="eastAsia"/>
                <w:color w:val="auto"/>
                <w:sz w:val="24"/>
                <w:lang w:val="en-US" w:eastAsia="zh-CN"/>
              </w:rPr>
              <w:instrText xml:space="preserve"> = 1 \* GB3 \* MERGEFORMAT </w:instrText>
            </w:r>
            <w:r>
              <w:rPr>
                <w:rFonts w:hint="eastAsia"/>
                <w:color w:val="auto"/>
                <w:sz w:val="24"/>
                <w:lang w:val="en-US" w:eastAsia="zh-CN"/>
              </w:rPr>
              <w:fldChar w:fldCharType="separate"/>
            </w:r>
            <w:r>
              <w:rPr>
                <w:rFonts w:hint="eastAsia"/>
                <w:color w:val="auto"/>
                <w:sz w:val="24"/>
                <w:lang w:val="en-US" w:eastAsia="zh-CN"/>
              </w:rPr>
              <w:t>①</w:t>
            </w:r>
            <w:r>
              <w:rPr>
                <w:rFonts w:hint="eastAsia"/>
                <w:color w:val="auto"/>
                <w:sz w:val="24"/>
                <w:lang w:val="en-US" w:eastAsia="zh-CN"/>
              </w:rPr>
              <w:fldChar w:fldCharType="end"/>
            </w:r>
            <w:r>
              <w:rPr>
                <w:rFonts w:hint="eastAsia"/>
                <w:color w:val="auto"/>
                <w:sz w:val="24"/>
                <w:lang w:val="en-US" w:eastAsia="zh-CN"/>
              </w:rPr>
              <w:t>一般固体废物</w:t>
            </w:r>
          </w:p>
          <w:p w14:paraId="69085AE0">
            <w:pPr>
              <w:spacing w:line="360" w:lineRule="auto"/>
              <w:ind w:firstLine="480" w:firstLineChars="200"/>
              <w:rPr>
                <w:rFonts w:hint="eastAsia"/>
                <w:color w:val="auto"/>
                <w:sz w:val="24"/>
                <w:lang w:val="en-US" w:eastAsia="zh-CN"/>
              </w:rPr>
            </w:pPr>
            <w:r>
              <w:rPr>
                <w:rFonts w:hint="eastAsia"/>
                <w:color w:val="auto"/>
                <w:sz w:val="24"/>
                <w:lang w:val="en-US" w:eastAsia="zh-CN"/>
              </w:rPr>
              <w:t>A.金属屑及废边角料（S</w:t>
            </w:r>
            <w:r>
              <w:rPr>
                <w:rFonts w:hint="eastAsia"/>
                <w:color w:val="auto"/>
                <w:sz w:val="24"/>
                <w:vertAlign w:val="subscript"/>
                <w:lang w:val="en-US" w:eastAsia="zh-CN"/>
              </w:rPr>
              <w:t>1</w:t>
            </w:r>
            <w:r>
              <w:rPr>
                <w:rFonts w:hint="eastAsia"/>
                <w:color w:val="auto"/>
                <w:sz w:val="24"/>
                <w:lang w:val="en-US" w:eastAsia="zh-CN"/>
              </w:rPr>
              <w:t>）</w:t>
            </w:r>
          </w:p>
          <w:p w14:paraId="6463563B">
            <w:pPr>
              <w:spacing w:line="360" w:lineRule="auto"/>
              <w:ind w:firstLine="480" w:firstLineChars="200"/>
              <w:rPr>
                <w:rFonts w:hint="eastAsia"/>
                <w:color w:val="auto"/>
                <w:sz w:val="24"/>
                <w:lang w:val="en-US" w:eastAsia="zh-CN"/>
              </w:rPr>
            </w:pPr>
            <w:r>
              <w:rPr>
                <w:rFonts w:hint="eastAsia"/>
                <w:color w:val="auto"/>
                <w:sz w:val="24"/>
                <w:lang w:val="en-US" w:eastAsia="zh-CN"/>
              </w:rPr>
              <w:t>本项目钢材切割下料过程中会产生金属屑及废边角料，火焰切割金属屑沉降量为13.5t/a，废边角料约占切割钢材总量的0.5%，项目切割钢材总量为20000t/a，则废边角料的产生量为100t/a，项目金属屑及废边角料总产生量为113.5t/a。根据《固体废物分类与代码目录》，废物种类为SW17可再生类废物，废物代码为900-001-S17，收集暂存于一般固废暂存区，外售综合利用。</w:t>
            </w:r>
          </w:p>
          <w:p w14:paraId="029D3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lang w:val="en-US" w:eastAsia="zh-CN"/>
              </w:rPr>
            </w:pPr>
            <w:r>
              <w:rPr>
                <w:rFonts w:hint="eastAsia"/>
                <w:color w:val="auto"/>
                <w:sz w:val="24"/>
                <w:lang w:val="en-US" w:eastAsia="zh-CN"/>
              </w:rPr>
              <w:t>B.焊渣（S</w:t>
            </w:r>
            <w:r>
              <w:rPr>
                <w:rFonts w:hint="eastAsia"/>
                <w:color w:val="auto"/>
                <w:sz w:val="24"/>
                <w:vertAlign w:val="subscript"/>
                <w:lang w:val="en-US" w:eastAsia="zh-CN"/>
              </w:rPr>
              <w:t>2</w:t>
            </w:r>
            <w:r>
              <w:rPr>
                <w:rFonts w:hint="eastAsia"/>
                <w:color w:val="auto"/>
                <w:sz w:val="24"/>
                <w:lang w:val="en-US" w:eastAsia="zh-CN"/>
              </w:rPr>
              <w:t>）</w:t>
            </w:r>
          </w:p>
          <w:p w14:paraId="6AFC4D68">
            <w:pPr>
              <w:spacing w:line="360" w:lineRule="auto"/>
              <w:ind w:firstLine="480" w:firstLineChars="200"/>
              <w:rPr>
                <w:rFonts w:hint="eastAsia"/>
                <w:color w:val="auto"/>
                <w:sz w:val="24"/>
                <w:lang w:val="en-US" w:eastAsia="zh-CN"/>
              </w:rPr>
            </w:pPr>
            <w:r>
              <w:rPr>
                <w:rFonts w:hint="eastAsia"/>
                <w:color w:val="auto"/>
                <w:sz w:val="24"/>
                <w:lang w:val="en-US" w:eastAsia="zh-CN"/>
              </w:rPr>
              <w:t>本项目焊接工序会产生焊渣，根据《机加工行业环境影响评价中常见污染物源强估算及污染治理》（许海萍等）中的经验公式“焊渣=焊条使用量×（1/11+4%）”，项目焊接材料使用量为65t/a，则焊渣产生量为8.51t/a，根据《固体废物分类与代码目录》，废物种类为SW59其他工业固体废物，废物代码为900-099-S59，收集暂存于一般固废暂存区，外售综合利用。</w:t>
            </w:r>
          </w:p>
          <w:p w14:paraId="7A9820D9">
            <w:pPr>
              <w:spacing w:line="360" w:lineRule="auto"/>
              <w:ind w:firstLine="480" w:firstLineChars="200"/>
              <w:rPr>
                <w:rFonts w:hint="eastAsia" w:eastAsia="宋体"/>
                <w:color w:val="auto"/>
                <w:sz w:val="24"/>
                <w:lang w:val="en-US" w:eastAsia="zh-CN"/>
              </w:rPr>
            </w:pPr>
          </w:p>
          <w:p w14:paraId="17763CFB">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eastAsia="宋体"/>
                <w:color w:val="auto"/>
                <w:sz w:val="24"/>
                <w:lang w:val="en-US" w:eastAsia="zh-CN"/>
              </w:rPr>
            </w:pPr>
            <w:r>
              <w:rPr>
                <w:rFonts w:hint="eastAsia" w:eastAsia="宋体"/>
                <w:color w:val="auto"/>
                <w:sz w:val="24"/>
                <w:lang w:val="en-US" w:eastAsia="zh-CN"/>
              </w:rPr>
              <w:t>C.</w:t>
            </w:r>
            <w:r>
              <w:rPr>
                <w:rFonts w:hint="eastAsia"/>
                <w:color w:val="auto"/>
                <w:sz w:val="24"/>
                <w:lang w:val="en-US" w:eastAsia="zh-CN"/>
              </w:rPr>
              <w:t>金属磨屑（S</w:t>
            </w:r>
            <w:r>
              <w:rPr>
                <w:rFonts w:hint="eastAsia"/>
                <w:color w:val="auto"/>
                <w:sz w:val="24"/>
                <w:vertAlign w:val="subscript"/>
                <w:lang w:val="en-US" w:eastAsia="zh-CN"/>
              </w:rPr>
              <w:t>3</w:t>
            </w:r>
            <w:r>
              <w:rPr>
                <w:rFonts w:hint="eastAsia"/>
                <w:color w:val="auto"/>
                <w:sz w:val="24"/>
                <w:lang w:val="en-US" w:eastAsia="zh-CN"/>
              </w:rPr>
              <w:t>）</w:t>
            </w:r>
          </w:p>
          <w:p w14:paraId="20D7608F">
            <w:pPr>
              <w:spacing w:line="360" w:lineRule="auto"/>
              <w:ind w:firstLine="480" w:firstLineChars="200"/>
              <w:rPr>
                <w:rFonts w:hint="eastAsia" w:eastAsia="宋体"/>
                <w:color w:val="auto"/>
                <w:sz w:val="24"/>
                <w:lang w:val="en-US" w:eastAsia="zh-CN"/>
              </w:rPr>
            </w:pPr>
            <w:r>
              <w:rPr>
                <w:rFonts w:hint="eastAsia" w:eastAsia="宋体"/>
                <w:color w:val="auto"/>
                <w:sz w:val="24"/>
                <w:lang w:val="en-US" w:eastAsia="zh-CN"/>
              </w:rPr>
              <w:t>本项目在打磨工序中会产生金属磨屑，类别同类项目，焊接后钢结构打磨去除量约为打磨工件总量的0.1%～0.5%，本项目按最大0.5%计，焊接后需进行打磨的工件约</w:t>
            </w:r>
            <w:r>
              <w:rPr>
                <w:rFonts w:hint="eastAsia"/>
                <w:color w:val="0000FF"/>
                <w:sz w:val="24"/>
                <w:lang w:val="en-US" w:eastAsia="zh-CN"/>
              </w:rPr>
              <w:t>2</w:t>
            </w:r>
            <w:r>
              <w:rPr>
                <w:rFonts w:hint="eastAsia" w:eastAsia="宋体"/>
                <w:color w:val="0000FF"/>
                <w:sz w:val="24"/>
                <w:lang w:val="en-US" w:eastAsia="zh-CN"/>
              </w:rPr>
              <w:t>000t/a</w:t>
            </w:r>
            <w:r>
              <w:rPr>
                <w:rFonts w:hint="eastAsia" w:eastAsia="宋体"/>
                <w:color w:val="auto"/>
                <w:sz w:val="24"/>
                <w:lang w:val="en-US" w:eastAsia="zh-CN"/>
              </w:rPr>
              <w:t>，则打磨去除量为</w:t>
            </w:r>
            <w:r>
              <w:rPr>
                <w:rFonts w:hint="eastAsia"/>
                <w:color w:val="0000FF"/>
                <w:sz w:val="24"/>
                <w:lang w:val="en-US" w:eastAsia="zh-CN"/>
              </w:rPr>
              <w:t>1</w:t>
            </w:r>
            <w:r>
              <w:rPr>
                <w:rFonts w:hint="eastAsia" w:eastAsia="宋体"/>
                <w:color w:val="0000FF"/>
                <w:sz w:val="24"/>
                <w:lang w:val="en-US" w:eastAsia="zh-CN"/>
              </w:rPr>
              <w:t>0t/a</w:t>
            </w:r>
            <w:r>
              <w:rPr>
                <w:rFonts w:hint="eastAsia" w:eastAsia="宋体"/>
                <w:color w:val="auto"/>
                <w:sz w:val="24"/>
                <w:lang w:val="en-US" w:eastAsia="zh-CN"/>
              </w:rPr>
              <w:t>，其中打磨工序产生的颗粒物为</w:t>
            </w:r>
            <w:r>
              <w:rPr>
                <w:rFonts w:hint="eastAsia"/>
                <w:color w:val="0000FF"/>
                <w:sz w:val="24"/>
                <w:lang w:val="en-US" w:eastAsia="zh-CN"/>
              </w:rPr>
              <w:t>4.38</w:t>
            </w:r>
            <w:r>
              <w:rPr>
                <w:rFonts w:hint="eastAsia" w:eastAsia="宋体"/>
                <w:color w:val="0000FF"/>
                <w:sz w:val="24"/>
                <w:lang w:val="en-US" w:eastAsia="zh-CN"/>
              </w:rPr>
              <w:t>t/a</w:t>
            </w:r>
            <w:r>
              <w:rPr>
                <w:rFonts w:hint="eastAsia" w:eastAsia="宋体"/>
                <w:color w:val="auto"/>
                <w:sz w:val="24"/>
                <w:lang w:val="en-US" w:eastAsia="zh-CN"/>
              </w:rPr>
              <w:t>，则金属磨屑的产生量为</w:t>
            </w:r>
            <w:r>
              <w:rPr>
                <w:rFonts w:hint="eastAsia"/>
                <w:color w:val="0000FF"/>
                <w:sz w:val="24"/>
                <w:lang w:val="en-US" w:eastAsia="zh-CN"/>
              </w:rPr>
              <w:t>5.62</w:t>
            </w:r>
            <w:r>
              <w:rPr>
                <w:rFonts w:hint="eastAsia" w:eastAsia="宋体"/>
                <w:color w:val="0000FF"/>
                <w:sz w:val="24"/>
                <w:lang w:val="en-US" w:eastAsia="zh-CN"/>
              </w:rPr>
              <w:t>t/a</w:t>
            </w:r>
            <w:r>
              <w:rPr>
                <w:rFonts w:hint="eastAsia" w:eastAsia="宋体"/>
                <w:color w:val="auto"/>
                <w:sz w:val="24"/>
                <w:lang w:val="en-US" w:eastAsia="zh-CN"/>
              </w:rPr>
              <w:t>，根据《固体废物分类与代码目录》，废物种类为SW59其他工业固体废物，废物代码为900-099-S59，收集暂存于一般固废暂存区，外售综合利用。</w:t>
            </w:r>
          </w:p>
          <w:p w14:paraId="69E3AC06">
            <w:pPr>
              <w:spacing w:line="360" w:lineRule="auto"/>
              <w:ind w:firstLine="480" w:firstLineChars="200"/>
              <w:rPr>
                <w:rFonts w:hint="eastAsia" w:eastAsia="宋体"/>
                <w:color w:val="auto"/>
                <w:sz w:val="24"/>
                <w:lang w:val="en-US" w:eastAsia="zh-CN"/>
              </w:rPr>
            </w:pPr>
            <w:r>
              <w:rPr>
                <w:rFonts w:hint="eastAsia" w:eastAsia="宋体"/>
                <w:color w:val="auto"/>
                <w:sz w:val="24"/>
                <w:lang w:val="en-US" w:eastAsia="zh-CN"/>
              </w:rPr>
              <w:t>D.铁锈渣（</w:t>
            </w:r>
            <w:r>
              <w:rPr>
                <w:rFonts w:hint="eastAsia"/>
                <w:color w:val="auto"/>
                <w:sz w:val="24"/>
                <w:lang w:val="en-US" w:eastAsia="zh-CN"/>
              </w:rPr>
              <w:t>S</w:t>
            </w:r>
            <w:r>
              <w:rPr>
                <w:rFonts w:hint="eastAsia"/>
                <w:color w:val="auto"/>
                <w:sz w:val="24"/>
                <w:vertAlign w:val="subscript"/>
                <w:lang w:val="en-US" w:eastAsia="zh-CN"/>
              </w:rPr>
              <w:t>4</w:t>
            </w:r>
            <w:r>
              <w:rPr>
                <w:rFonts w:hint="eastAsia" w:eastAsia="宋体"/>
                <w:color w:val="auto"/>
                <w:sz w:val="24"/>
                <w:lang w:val="en-US" w:eastAsia="zh-CN"/>
              </w:rPr>
              <w:t>）</w:t>
            </w:r>
          </w:p>
          <w:p w14:paraId="07E818BF">
            <w:pPr>
              <w:spacing w:line="360" w:lineRule="auto"/>
              <w:ind w:firstLine="480" w:firstLineChars="200"/>
              <w:rPr>
                <w:rFonts w:hint="eastAsia" w:eastAsia="宋体"/>
                <w:color w:val="auto"/>
                <w:sz w:val="24"/>
                <w:lang w:val="en-US" w:eastAsia="zh-CN"/>
              </w:rPr>
            </w:pPr>
            <w:r>
              <w:rPr>
                <w:rFonts w:hint="eastAsia" w:eastAsia="宋体"/>
                <w:color w:val="auto"/>
                <w:sz w:val="24"/>
                <w:lang w:val="en-US" w:eastAsia="zh-CN"/>
              </w:rPr>
              <w:t>本项目在抛丸工序中会产生铁锈渣，类别同类项目，</w:t>
            </w:r>
            <w:r>
              <w:rPr>
                <w:rFonts w:hint="eastAsia"/>
                <w:color w:val="auto"/>
                <w:sz w:val="24"/>
                <w:lang w:val="en-US" w:eastAsia="zh-CN"/>
              </w:rPr>
              <w:t>中度至重度锈蚀工件抛丸去除量约0.25%</w:t>
            </w:r>
            <w:r>
              <w:rPr>
                <w:rFonts w:hint="eastAsia" w:eastAsia="宋体"/>
                <w:color w:val="auto"/>
                <w:sz w:val="24"/>
                <w:lang w:val="en-US" w:eastAsia="zh-CN"/>
              </w:rPr>
              <w:t>～0.</w:t>
            </w:r>
            <w:r>
              <w:rPr>
                <w:rFonts w:hint="eastAsia"/>
                <w:color w:val="auto"/>
                <w:sz w:val="24"/>
                <w:lang w:val="en-US" w:eastAsia="zh-CN"/>
              </w:rPr>
              <w:t>3</w:t>
            </w:r>
            <w:r>
              <w:rPr>
                <w:rFonts w:hint="eastAsia" w:eastAsia="宋体"/>
                <w:color w:val="auto"/>
                <w:sz w:val="24"/>
                <w:lang w:val="en-US" w:eastAsia="zh-CN"/>
              </w:rPr>
              <w:t>%，本项目按最大0.</w:t>
            </w:r>
            <w:r>
              <w:rPr>
                <w:rFonts w:hint="eastAsia"/>
                <w:color w:val="auto"/>
                <w:sz w:val="24"/>
                <w:lang w:val="en-US" w:eastAsia="zh-CN"/>
              </w:rPr>
              <w:t>3</w:t>
            </w:r>
            <w:r>
              <w:rPr>
                <w:rFonts w:hint="eastAsia" w:eastAsia="宋体"/>
                <w:color w:val="auto"/>
                <w:sz w:val="24"/>
                <w:lang w:val="en-US" w:eastAsia="zh-CN"/>
              </w:rPr>
              <w:t>%计</w:t>
            </w:r>
            <w:r>
              <w:rPr>
                <w:rFonts w:hint="eastAsia"/>
                <w:color w:val="auto"/>
                <w:sz w:val="24"/>
                <w:lang w:val="en-US" w:eastAsia="zh-CN"/>
              </w:rPr>
              <w:t>，</w:t>
            </w:r>
            <w:r>
              <w:rPr>
                <w:rFonts w:hint="eastAsia" w:ascii="Times New Roman" w:hAnsi="Times New Roman" w:eastAsia="宋体" w:cs="Times New Roman"/>
                <w:color w:val="auto"/>
                <w:sz w:val="24"/>
                <w:lang w:val="en-US" w:eastAsia="zh-CN"/>
              </w:rPr>
              <w:t>本项目需进行抛丸的工件约</w:t>
            </w:r>
            <w:r>
              <w:rPr>
                <w:rFonts w:hint="eastAsia" w:cs="Times New Roman"/>
                <w:color w:val="0000FF"/>
                <w:sz w:val="24"/>
                <w:lang w:val="en-US" w:eastAsia="zh-CN"/>
              </w:rPr>
              <w:t>4</w:t>
            </w:r>
            <w:r>
              <w:rPr>
                <w:rFonts w:hint="eastAsia" w:ascii="Times New Roman" w:hAnsi="Times New Roman" w:eastAsia="宋体" w:cs="Times New Roman"/>
                <w:color w:val="0000FF"/>
                <w:sz w:val="24"/>
                <w:lang w:val="en-US" w:eastAsia="zh-CN"/>
              </w:rPr>
              <w:t>000t</w:t>
            </w:r>
            <w:r>
              <w:rPr>
                <w:rFonts w:hint="eastAsia" w:eastAsia="宋体"/>
                <w:color w:val="0000FF"/>
                <w:sz w:val="24"/>
                <w:lang w:val="en-US" w:eastAsia="zh-CN"/>
              </w:rPr>
              <w:t>/a</w:t>
            </w:r>
            <w:r>
              <w:rPr>
                <w:rFonts w:hint="eastAsia" w:cs="Times New Roman"/>
                <w:color w:val="auto"/>
                <w:sz w:val="24"/>
                <w:lang w:val="en-US" w:eastAsia="zh-CN"/>
              </w:rPr>
              <w:t>，则抛丸去除量为</w:t>
            </w:r>
            <w:r>
              <w:rPr>
                <w:rFonts w:hint="eastAsia" w:cs="Times New Roman"/>
                <w:color w:val="0000FF"/>
                <w:sz w:val="24"/>
                <w:lang w:val="en-US" w:eastAsia="zh-CN"/>
              </w:rPr>
              <w:t>12</w:t>
            </w:r>
            <w:r>
              <w:rPr>
                <w:rFonts w:hint="eastAsia" w:eastAsia="宋体"/>
                <w:color w:val="0000FF"/>
                <w:sz w:val="24"/>
                <w:lang w:val="en-US" w:eastAsia="zh-CN"/>
              </w:rPr>
              <w:t>t/a</w:t>
            </w:r>
            <w:r>
              <w:rPr>
                <w:rFonts w:hint="eastAsia" w:eastAsia="宋体"/>
                <w:color w:val="auto"/>
                <w:sz w:val="24"/>
                <w:lang w:val="en-US" w:eastAsia="zh-CN"/>
              </w:rPr>
              <w:t>，其中</w:t>
            </w:r>
            <w:r>
              <w:rPr>
                <w:rFonts w:hint="eastAsia"/>
                <w:color w:val="auto"/>
                <w:sz w:val="24"/>
                <w:lang w:val="en-US" w:eastAsia="zh-CN"/>
              </w:rPr>
              <w:t>抛丸</w:t>
            </w:r>
            <w:r>
              <w:rPr>
                <w:rFonts w:hint="eastAsia" w:eastAsia="宋体"/>
                <w:color w:val="auto"/>
                <w:sz w:val="24"/>
                <w:lang w:val="en-US" w:eastAsia="zh-CN"/>
              </w:rPr>
              <w:t>工序产生的颗粒物为</w:t>
            </w:r>
            <w:r>
              <w:rPr>
                <w:rFonts w:hint="eastAsia"/>
                <w:color w:val="0000FF"/>
                <w:sz w:val="24"/>
                <w:lang w:val="en-US" w:eastAsia="zh-CN"/>
              </w:rPr>
              <w:t>8.76</w:t>
            </w:r>
            <w:r>
              <w:rPr>
                <w:rFonts w:hint="eastAsia" w:eastAsia="宋体"/>
                <w:color w:val="0000FF"/>
                <w:sz w:val="24"/>
                <w:lang w:val="en-US" w:eastAsia="zh-CN"/>
              </w:rPr>
              <w:t>t/a，</w:t>
            </w:r>
            <w:r>
              <w:rPr>
                <w:rFonts w:hint="eastAsia" w:eastAsia="宋体"/>
                <w:color w:val="auto"/>
                <w:sz w:val="24"/>
                <w:lang w:val="en-US" w:eastAsia="zh-CN"/>
              </w:rPr>
              <w:t>则</w:t>
            </w:r>
            <w:r>
              <w:rPr>
                <w:rFonts w:hint="eastAsia"/>
                <w:color w:val="auto"/>
                <w:sz w:val="24"/>
                <w:lang w:val="en-US" w:eastAsia="zh-CN"/>
              </w:rPr>
              <w:t>抛丸铁锈渣</w:t>
            </w:r>
            <w:r>
              <w:rPr>
                <w:rFonts w:hint="eastAsia" w:eastAsia="宋体"/>
                <w:color w:val="auto"/>
                <w:sz w:val="24"/>
                <w:lang w:val="en-US" w:eastAsia="zh-CN"/>
              </w:rPr>
              <w:t>的量为</w:t>
            </w:r>
            <w:r>
              <w:rPr>
                <w:rFonts w:hint="eastAsia"/>
                <w:color w:val="0000FF"/>
                <w:sz w:val="24"/>
                <w:lang w:val="en-US" w:eastAsia="zh-CN"/>
              </w:rPr>
              <w:t>3.24</w:t>
            </w:r>
            <w:r>
              <w:rPr>
                <w:rFonts w:hint="eastAsia" w:eastAsia="宋体"/>
                <w:color w:val="0000FF"/>
                <w:sz w:val="24"/>
                <w:lang w:val="en-US" w:eastAsia="zh-CN"/>
              </w:rPr>
              <w:t>t/a</w:t>
            </w:r>
            <w:r>
              <w:rPr>
                <w:rFonts w:hint="eastAsia"/>
                <w:color w:val="auto"/>
                <w:sz w:val="24"/>
                <w:lang w:val="en-US" w:eastAsia="zh-CN"/>
              </w:rPr>
              <w:t>。此外，钢丸在反复冲击中发生破碎、磨损，未被回收循环使用的废钢丸混合为</w:t>
            </w:r>
            <w:r>
              <w:rPr>
                <w:rFonts w:hint="eastAsia" w:eastAsia="宋体"/>
                <w:color w:val="auto"/>
                <w:sz w:val="24"/>
                <w:lang w:val="en-US" w:eastAsia="zh-CN"/>
              </w:rPr>
              <w:t>铁锈渣</w:t>
            </w:r>
            <w:r>
              <w:rPr>
                <w:rFonts w:hint="eastAsia"/>
                <w:color w:val="auto"/>
                <w:sz w:val="24"/>
                <w:lang w:val="en-US" w:eastAsia="zh-CN"/>
              </w:rPr>
              <w:t>的一部分，</w:t>
            </w:r>
            <w:r>
              <w:rPr>
                <w:rFonts w:hint="eastAsia" w:eastAsia="宋体"/>
                <w:color w:val="auto"/>
                <w:sz w:val="24"/>
                <w:lang w:val="en-US" w:eastAsia="zh-CN"/>
              </w:rPr>
              <w:t>根据建设单位提供资料，废钢丸的产生量约为</w:t>
            </w:r>
            <w:r>
              <w:rPr>
                <w:rFonts w:hint="eastAsia"/>
                <w:color w:val="0000FF"/>
                <w:sz w:val="24"/>
                <w:lang w:val="en-US" w:eastAsia="zh-CN"/>
              </w:rPr>
              <w:t>3</w:t>
            </w:r>
            <w:r>
              <w:rPr>
                <w:rFonts w:hint="eastAsia" w:eastAsia="宋体"/>
                <w:color w:val="0000FF"/>
                <w:sz w:val="24"/>
                <w:lang w:val="en-US" w:eastAsia="zh-CN"/>
              </w:rPr>
              <w:t>t/a</w:t>
            </w:r>
            <w:r>
              <w:rPr>
                <w:rFonts w:hint="eastAsia" w:eastAsia="宋体"/>
                <w:color w:val="auto"/>
                <w:sz w:val="24"/>
                <w:lang w:val="en-US" w:eastAsia="zh-CN"/>
              </w:rPr>
              <w:t>，则</w:t>
            </w:r>
            <w:r>
              <w:rPr>
                <w:rFonts w:hint="eastAsia"/>
                <w:color w:val="auto"/>
                <w:sz w:val="24"/>
                <w:lang w:val="en-US" w:eastAsia="zh-CN"/>
              </w:rPr>
              <w:t>铁锈渣总</w:t>
            </w:r>
            <w:r>
              <w:rPr>
                <w:rFonts w:hint="eastAsia" w:eastAsia="宋体"/>
                <w:color w:val="auto"/>
                <w:sz w:val="24"/>
                <w:lang w:val="en-US" w:eastAsia="zh-CN"/>
              </w:rPr>
              <w:t>产生量为</w:t>
            </w:r>
            <w:r>
              <w:rPr>
                <w:rFonts w:hint="eastAsia"/>
                <w:color w:val="0000FF"/>
                <w:sz w:val="24"/>
                <w:lang w:val="en-US" w:eastAsia="zh-CN"/>
              </w:rPr>
              <w:t>6.24</w:t>
            </w:r>
            <w:r>
              <w:rPr>
                <w:rFonts w:hint="eastAsia" w:eastAsia="宋体"/>
                <w:color w:val="0000FF"/>
                <w:sz w:val="24"/>
                <w:lang w:val="en-US" w:eastAsia="zh-CN"/>
              </w:rPr>
              <w:t>t/a</w:t>
            </w:r>
            <w:r>
              <w:rPr>
                <w:rFonts w:hint="eastAsia"/>
                <w:color w:val="auto"/>
                <w:sz w:val="24"/>
                <w:lang w:val="en-US" w:eastAsia="zh-CN"/>
              </w:rPr>
              <w:t>。</w:t>
            </w:r>
            <w:r>
              <w:rPr>
                <w:rFonts w:hint="eastAsia" w:eastAsia="宋体"/>
                <w:color w:val="auto"/>
                <w:sz w:val="24"/>
                <w:lang w:val="en-US" w:eastAsia="zh-CN"/>
              </w:rPr>
              <w:t>根据《固体废物分类与代码目录》，废物种类为SW59其他工业固体废物，废物代码为900-099-S59，收集暂存于一般固废暂存区，外售综合利用。</w:t>
            </w:r>
          </w:p>
          <w:p w14:paraId="02ED0BD2">
            <w:pPr>
              <w:spacing w:line="360" w:lineRule="auto"/>
              <w:ind w:firstLine="480" w:firstLineChars="200"/>
              <w:rPr>
                <w:rFonts w:hint="eastAsia" w:eastAsia="宋体"/>
                <w:color w:val="auto"/>
                <w:sz w:val="24"/>
                <w:lang w:val="en-US" w:eastAsia="zh-CN"/>
              </w:rPr>
            </w:pPr>
            <w:r>
              <w:rPr>
                <w:rFonts w:hint="eastAsia"/>
                <w:color w:val="auto"/>
                <w:sz w:val="24"/>
                <w:lang w:val="en-US" w:eastAsia="zh-CN"/>
              </w:rPr>
              <w:t>E</w:t>
            </w:r>
            <w:r>
              <w:rPr>
                <w:rFonts w:hint="eastAsia" w:eastAsia="宋体"/>
                <w:color w:val="auto"/>
                <w:sz w:val="24"/>
                <w:lang w:val="en-US" w:eastAsia="zh-CN"/>
              </w:rPr>
              <w:t>.除尘设备收集尘</w:t>
            </w:r>
            <w:r>
              <w:rPr>
                <w:rFonts w:hint="eastAsia"/>
                <w:color w:val="auto"/>
                <w:sz w:val="24"/>
                <w:lang w:val="en-US" w:eastAsia="zh-CN"/>
              </w:rPr>
              <w:t>（S</w:t>
            </w:r>
            <w:r>
              <w:rPr>
                <w:rFonts w:hint="eastAsia"/>
                <w:color w:val="auto"/>
                <w:sz w:val="24"/>
                <w:vertAlign w:val="subscript"/>
                <w:lang w:val="en-US" w:eastAsia="zh-CN"/>
              </w:rPr>
              <w:t>9</w:t>
            </w:r>
            <w:r>
              <w:rPr>
                <w:rFonts w:hint="eastAsia"/>
                <w:color w:val="auto"/>
                <w:sz w:val="24"/>
                <w:lang w:val="en-US" w:eastAsia="zh-CN"/>
              </w:rPr>
              <w:t>）</w:t>
            </w:r>
          </w:p>
          <w:p w14:paraId="3B24F0AC">
            <w:pPr>
              <w:spacing w:line="360" w:lineRule="auto"/>
              <w:ind w:firstLine="480" w:firstLineChars="200"/>
              <w:rPr>
                <w:rFonts w:hint="eastAsia" w:eastAsia="宋体"/>
                <w:color w:val="auto"/>
                <w:sz w:val="24"/>
                <w:lang w:val="en-US" w:eastAsia="zh-CN"/>
              </w:rPr>
            </w:pPr>
            <w:r>
              <w:rPr>
                <w:rFonts w:hint="default" w:eastAsia="宋体"/>
                <w:color w:val="auto"/>
                <w:sz w:val="24"/>
                <w:lang w:val="en-US" w:eastAsia="zh-CN"/>
              </w:rPr>
              <w:t>本项目激光切割机自带袋式除尘器</w:t>
            </w:r>
            <w:r>
              <w:rPr>
                <w:rFonts w:hint="eastAsia"/>
                <w:color w:val="auto"/>
                <w:sz w:val="24"/>
                <w:lang w:val="en-US" w:eastAsia="zh-CN"/>
              </w:rPr>
              <w:t>、</w:t>
            </w:r>
            <w:r>
              <w:rPr>
                <w:rFonts w:hint="default" w:eastAsia="宋体"/>
                <w:color w:val="auto"/>
                <w:sz w:val="24"/>
                <w:lang w:val="en-US" w:eastAsia="zh-CN"/>
              </w:rPr>
              <w:t>焊接、打磨、抛丸设</w:t>
            </w:r>
            <w:r>
              <w:rPr>
                <w:rFonts w:hint="eastAsia" w:eastAsia="宋体"/>
                <w:color w:val="auto"/>
                <w:sz w:val="24"/>
                <w:lang w:val="en-US" w:eastAsia="zh-CN"/>
              </w:rPr>
              <w:t>有</w:t>
            </w:r>
            <w:r>
              <w:rPr>
                <w:rFonts w:hint="eastAsia" w:eastAsia="宋体"/>
                <w:color w:val="0000FF"/>
                <w:sz w:val="24"/>
                <w:lang w:val="en-US" w:eastAsia="zh-CN"/>
              </w:rPr>
              <w:t>气箱式脉冲袋式除尘器</w:t>
            </w:r>
            <w:r>
              <w:rPr>
                <w:rFonts w:hint="default" w:eastAsia="宋体"/>
                <w:color w:val="0000FF"/>
                <w:sz w:val="24"/>
                <w:lang w:val="en-US" w:eastAsia="zh-CN"/>
              </w:rPr>
              <w:t>，根据源强核算可知，除尘器</w:t>
            </w:r>
            <w:r>
              <w:rPr>
                <w:rFonts w:hint="eastAsia" w:eastAsia="宋体"/>
                <w:color w:val="0000FF"/>
                <w:sz w:val="24"/>
                <w:lang w:val="en-US" w:eastAsia="zh-CN"/>
              </w:rPr>
              <w:t>共</w:t>
            </w:r>
            <w:r>
              <w:rPr>
                <w:rFonts w:hint="default" w:eastAsia="宋体"/>
                <w:color w:val="0000FF"/>
                <w:sz w:val="24"/>
                <w:lang w:val="en-US" w:eastAsia="zh-CN"/>
              </w:rPr>
              <w:t>收集的粉尘量</w:t>
            </w:r>
            <w:r>
              <w:rPr>
                <w:rFonts w:hint="eastAsia" w:eastAsia="宋体"/>
                <w:color w:val="0000FF"/>
                <w:sz w:val="24"/>
                <w:lang w:val="en-US" w:eastAsia="zh-CN"/>
              </w:rPr>
              <w:t>为</w:t>
            </w:r>
            <w:r>
              <w:rPr>
                <w:rFonts w:hint="eastAsia"/>
                <w:color w:val="0000FF"/>
                <w:sz w:val="24"/>
                <w:lang w:val="en-US" w:eastAsia="zh-CN"/>
              </w:rPr>
              <w:t>25.44</w:t>
            </w:r>
            <w:r>
              <w:rPr>
                <w:rFonts w:hint="default" w:eastAsia="宋体"/>
                <w:color w:val="0000FF"/>
                <w:sz w:val="24"/>
                <w:lang w:val="en-US" w:eastAsia="zh-CN"/>
              </w:rPr>
              <w:t>t/a，</w:t>
            </w:r>
            <w:r>
              <w:rPr>
                <w:rFonts w:hint="default" w:eastAsia="宋体"/>
                <w:color w:val="auto"/>
                <w:sz w:val="24"/>
                <w:lang w:val="en-US" w:eastAsia="zh-CN"/>
              </w:rPr>
              <w:t>主要成分为金属</w:t>
            </w:r>
            <w:r>
              <w:rPr>
                <w:rFonts w:hint="eastAsia" w:eastAsia="宋体"/>
                <w:color w:val="auto"/>
                <w:sz w:val="24"/>
                <w:lang w:val="en-US" w:eastAsia="zh-CN"/>
              </w:rPr>
              <w:t>屑、焊渣</w:t>
            </w:r>
            <w:r>
              <w:rPr>
                <w:rFonts w:hint="default" w:eastAsia="宋体"/>
                <w:color w:val="auto"/>
                <w:sz w:val="24"/>
                <w:lang w:val="en-US" w:eastAsia="zh-CN"/>
              </w:rPr>
              <w:t>。</w:t>
            </w:r>
            <w:r>
              <w:rPr>
                <w:rFonts w:hint="eastAsia" w:eastAsia="宋体"/>
                <w:color w:val="auto"/>
                <w:sz w:val="24"/>
                <w:lang w:val="en-US" w:eastAsia="zh-CN"/>
              </w:rPr>
              <w:t>根据《固体废物分类与代码目录》，废物种类为SW59其他工业固体废物，废物代码为900-099-S59，收集暂存于一般固废暂存区，外售综合利用。</w:t>
            </w:r>
          </w:p>
          <w:p w14:paraId="141E05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lang w:val="en-US" w:eastAsia="zh-CN"/>
              </w:rPr>
            </w:pPr>
            <w:r>
              <w:rPr>
                <w:rFonts w:hint="eastAsia"/>
                <w:color w:val="auto"/>
                <w:sz w:val="24"/>
                <w:lang w:val="en-US" w:eastAsia="zh-CN"/>
              </w:rPr>
              <w:t>F</w:t>
            </w:r>
            <w:r>
              <w:rPr>
                <w:rFonts w:hint="eastAsia" w:eastAsia="宋体"/>
                <w:color w:val="auto"/>
                <w:sz w:val="24"/>
                <w:lang w:val="en-US" w:eastAsia="zh-CN"/>
              </w:rPr>
              <w:t>.废布袋</w:t>
            </w:r>
            <w:r>
              <w:rPr>
                <w:rFonts w:hint="eastAsia"/>
                <w:color w:val="auto"/>
                <w:sz w:val="24"/>
                <w:lang w:val="en-US" w:eastAsia="zh-CN"/>
              </w:rPr>
              <w:t>（S</w:t>
            </w:r>
            <w:r>
              <w:rPr>
                <w:rFonts w:hint="eastAsia"/>
                <w:color w:val="auto"/>
                <w:sz w:val="24"/>
                <w:vertAlign w:val="subscript"/>
                <w:lang w:val="en-US" w:eastAsia="zh-CN"/>
              </w:rPr>
              <w:t>10</w:t>
            </w:r>
            <w:r>
              <w:rPr>
                <w:rFonts w:hint="eastAsia"/>
                <w:color w:val="auto"/>
                <w:sz w:val="24"/>
                <w:lang w:val="en-US" w:eastAsia="zh-CN"/>
              </w:rPr>
              <w:t>）</w:t>
            </w:r>
          </w:p>
          <w:p w14:paraId="34C6524D">
            <w:pPr>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本项目</w:t>
            </w:r>
            <w:r>
              <w:rPr>
                <w:rFonts w:hint="eastAsia" w:ascii="Times New Roman" w:hAnsi="Times New Roman" w:eastAsia="宋体" w:cs="Times New Roman"/>
                <w:color w:val="auto"/>
                <w:sz w:val="24"/>
                <w:lang w:val="en-US" w:eastAsia="zh-CN"/>
              </w:rPr>
              <w:t>所有袋式</w:t>
            </w:r>
            <w:r>
              <w:rPr>
                <w:rFonts w:hint="default" w:ascii="Times New Roman" w:hAnsi="Times New Roman" w:eastAsia="宋体" w:cs="Times New Roman"/>
                <w:color w:val="auto"/>
                <w:sz w:val="24"/>
                <w:lang w:val="en-US" w:eastAsia="zh-CN"/>
              </w:rPr>
              <w:t>除尘器</w:t>
            </w:r>
            <w:r>
              <w:rPr>
                <w:rFonts w:hint="eastAsia" w:ascii="Times New Roman" w:hAnsi="Times New Roman" w:eastAsia="宋体" w:cs="Times New Roman"/>
                <w:color w:val="auto"/>
                <w:sz w:val="24"/>
                <w:lang w:val="en-US" w:eastAsia="zh-CN"/>
              </w:rPr>
              <w:t>单次更换产生的废布袋量约为460kg（0.46t），更换频次为2年，则废布袋产生量为0.46t/2a。根据《固体废物分类与代码目录》，废物种类为SW59其他工业固体废物，废物代码为900-009-S59，收集暂存于一般固废暂存区，外售综合利用。</w:t>
            </w:r>
          </w:p>
          <w:p w14:paraId="05CCA358">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fldChar w:fldCharType="begin"/>
            </w:r>
            <w:r>
              <w:rPr>
                <w:rFonts w:hint="eastAsia" w:ascii="Times New Roman" w:hAnsi="Times New Roman" w:eastAsia="宋体" w:cs="Times New Roman"/>
                <w:color w:val="auto"/>
                <w:sz w:val="24"/>
                <w:lang w:val="en-US" w:eastAsia="zh-CN"/>
              </w:rPr>
              <w:instrText xml:space="preserve"> = 2 \* GB3 \* MERGEFORMAT </w:instrText>
            </w:r>
            <w:r>
              <w:rPr>
                <w:rFonts w:hint="eastAsia" w:ascii="Times New Roman" w:hAnsi="Times New Roman" w:eastAsia="宋体" w:cs="Times New Roman"/>
                <w:color w:val="auto"/>
                <w:sz w:val="24"/>
                <w:lang w:val="en-US" w:eastAsia="zh-CN"/>
              </w:rPr>
              <w:fldChar w:fldCharType="separate"/>
            </w:r>
            <w:r>
              <w:rPr>
                <w:rFonts w:hint="eastAsia" w:ascii="Times New Roman" w:hAnsi="Times New Roman" w:eastAsia="宋体" w:cs="Times New Roman"/>
                <w:color w:val="auto"/>
                <w:sz w:val="24"/>
                <w:lang w:val="en-US" w:eastAsia="zh-CN"/>
              </w:rPr>
              <w:t>②</w:t>
            </w:r>
            <w:r>
              <w:rPr>
                <w:rFonts w:hint="eastAsia" w:ascii="Times New Roman" w:hAnsi="Times New Roman" w:eastAsia="宋体" w:cs="Times New Roman"/>
                <w:color w:val="auto"/>
                <w:sz w:val="24"/>
                <w:lang w:val="en-US" w:eastAsia="zh-CN"/>
              </w:rPr>
              <w:fldChar w:fldCharType="end"/>
            </w:r>
            <w:r>
              <w:rPr>
                <w:rFonts w:hint="eastAsia" w:ascii="Times New Roman" w:hAnsi="Times New Roman" w:eastAsia="宋体" w:cs="Times New Roman"/>
                <w:color w:val="auto"/>
                <w:sz w:val="24"/>
                <w:lang w:val="en-US" w:eastAsia="zh-CN"/>
              </w:rPr>
              <w:t>危险废物</w:t>
            </w:r>
          </w:p>
          <w:p w14:paraId="637E7E14">
            <w:pPr>
              <w:spacing w:line="360" w:lineRule="auto"/>
              <w:ind w:firstLine="480" w:firstLineChars="200"/>
              <w:rPr>
                <w:rFonts w:hint="default" w:ascii="Times New Roman" w:hAnsi="Times New Roman" w:eastAsia="宋体" w:cs="Times New Roman"/>
                <w:color w:val="auto"/>
                <w:sz w:val="24"/>
                <w:lang w:val="en-US" w:eastAsia="zh-CN"/>
              </w:rPr>
            </w:pPr>
            <w:r>
              <w:rPr>
                <w:rFonts w:hint="eastAsia"/>
                <w:color w:val="auto"/>
                <w:sz w:val="24"/>
                <w:lang w:val="en-US" w:eastAsia="zh-CN"/>
              </w:rPr>
              <w:t>A.</w:t>
            </w:r>
            <w:r>
              <w:rPr>
                <w:rFonts w:hint="default" w:ascii="Times New Roman" w:hAnsi="Times New Roman" w:eastAsia="宋体" w:cs="Times New Roman"/>
                <w:color w:val="auto"/>
                <w:sz w:val="24"/>
                <w:lang w:val="en-US" w:eastAsia="zh-CN"/>
              </w:rPr>
              <w:t>漆渣及废过滤棉</w:t>
            </w:r>
            <w:r>
              <w:rPr>
                <w:rFonts w:hint="eastAsia"/>
                <w:color w:val="auto"/>
                <w:sz w:val="24"/>
                <w:lang w:val="en-US" w:eastAsia="zh-CN"/>
              </w:rPr>
              <w:t>（S</w:t>
            </w:r>
            <w:r>
              <w:rPr>
                <w:rFonts w:hint="eastAsia"/>
                <w:color w:val="auto"/>
                <w:sz w:val="24"/>
                <w:vertAlign w:val="subscript"/>
                <w:lang w:val="en-US" w:eastAsia="zh-CN"/>
              </w:rPr>
              <w:t>5</w:t>
            </w:r>
            <w:r>
              <w:rPr>
                <w:rFonts w:hint="eastAsia"/>
                <w:color w:val="auto"/>
                <w:sz w:val="24"/>
                <w:lang w:val="en-US" w:eastAsia="zh-CN"/>
              </w:rPr>
              <w:t>）</w:t>
            </w:r>
          </w:p>
          <w:p w14:paraId="60A14BEB">
            <w:pPr>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本项目喷漆过程中</w:t>
            </w:r>
            <w:r>
              <w:rPr>
                <w:rFonts w:hint="eastAsia" w:ascii="Times New Roman" w:hAnsi="Times New Roman" w:eastAsia="宋体" w:cs="Times New Roman"/>
                <w:color w:val="auto"/>
                <w:sz w:val="24"/>
                <w:lang w:val="en-US" w:eastAsia="zh-CN"/>
              </w:rPr>
              <w:t>会有</w:t>
            </w:r>
            <w:r>
              <w:rPr>
                <w:rFonts w:hint="default" w:ascii="Times New Roman" w:hAnsi="Times New Roman" w:eastAsia="宋体" w:cs="Times New Roman"/>
                <w:color w:val="auto"/>
                <w:sz w:val="24"/>
                <w:lang w:val="en-US" w:eastAsia="zh-CN"/>
              </w:rPr>
              <w:t>漆渣</w:t>
            </w:r>
            <w:r>
              <w:rPr>
                <w:rFonts w:hint="eastAsia" w:ascii="Times New Roman" w:hAnsi="Times New Roman" w:eastAsia="宋体" w:cs="Times New Roman"/>
                <w:color w:val="auto"/>
                <w:sz w:val="24"/>
                <w:lang w:val="en-US" w:eastAsia="zh-CN"/>
              </w:rPr>
              <w:t>产生</w:t>
            </w:r>
            <w:r>
              <w:rPr>
                <w:rFonts w:hint="default" w:ascii="Times New Roman" w:hAnsi="Times New Roman" w:eastAsia="宋体" w:cs="Times New Roman"/>
                <w:color w:val="auto"/>
                <w:sz w:val="24"/>
                <w:lang w:val="en-US" w:eastAsia="zh-CN"/>
              </w:rPr>
              <w:t>，漆渣主要为过滤棉吸附的漆雾，其产生量为</w:t>
            </w:r>
            <w:r>
              <w:rPr>
                <w:rFonts w:hint="eastAsia" w:ascii="Times New Roman" w:hAnsi="Times New Roman" w:eastAsia="宋体" w:cs="Times New Roman"/>
                <w:color w:val="0000FF"/>
                <w:sz w:val="24"/>
                <w:lang w:val="en-US" w:eastAsia="zh-CN"/>
              </w:rPr>
              <w:t>4.</w:t>
            </w:r>
            <w:r>
              <w:rPr>
                <w:rFonts w:hint="eastAsia" w:cs="Times New Roman"/>
                <w:color w:val="0000FF"/>
                <w:sz w:val="24"/>
                <w:lang w:val="en-US" w:eastAsia="zh-CN"/>
              </w:rPr>
              <w:t>29</w:t>
            </w:r>
            <w:r>
              <w:rPr>
                <w:rFonts w:hint="default" w:ascii="Times New Roman" w:hAnsi="Times New Roman" w:eastAsia="宋体" w:cs="Times New Roman"/>
                <w:color w:val="0000FF"/>
                <w:sz w:val="24"/>
                <w:lang w:val="en-US" w:eastAsia="zh-CN"/>
              </w:rPr>
              <w:t>t/a</w:t>
            </w:r>
            <w:r>
              <w:rPr>
                <w:rFonts w:hint="default" w:ascii="Times New Roman" w:hAnsi="Times New Roman" w:eastAsia="宋体" w:cs="Times New Roman"/>
                <w:color w:val="auto"/>
                <w:sz w:val="24"/>
                <w:lang w:val="en-US" w:eastAsia="zh-CN"/>
              </w:rPr>
              <w:t>。根据《漆雾高效干式净化法的关键-过滤材料》文中同类型棉数据，容尘量取4.5kg/</w:t>
            </w:r>
            <w:r>
              <w:rPr>
                <w:rFonts w:hint="eastAsia"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lang w:val="en-US" w:eastAsia="zh-CN"/>
              </w:rPr>
              <w:t>，重量取500g/</w:t>
            </w:r>
            <w:r>
              <w:rPr>
                <w:rFonts w:hint="eastAsia"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lang w:val="en-US" w:eastAsia="zh-CN"/>
              </w:rPr>
              <w:t>。本项目过滤棉吸附漆雾量为</w:t>
            </w:r>
            <w:r>
              <w:rPr>
                <w:rFonts w:hint="eastAsia" w:cs="Times New Roman"/>
                <w:color w:val="0000FF"/>
                <w:sz w:val="24"/>
                <w:lang w:val="en-US" w:eastAsia="zh-CN"/>
              </w:rPr>
              <w:t>4.29</w:t>
            </w:r>
            <w:r>
              <w:rPr>
                <w:rFonts w:hint="default" w:ascii="Times New Roman" w:hAnsi="Times New Roman" w:eastAsia="宋体" w:cs="Times New Roman"/>
                <w:color w:val="0000FF"/>
                <w:sz w:val="24"/>
                <w:lang w:val="en-US" w:eastAsia="zh-CN"/>
              </w:rPr>
              <w:t>t/a</w:t>
            </w:r>
            <w:r>
              <w:rPr>
                <w:rFonts w:hint="default" w:ascii="Times New Roman" w:hAnsi="Times New Roman" w:eastAsia="宋体" w:cs="Times New Roman"/>
                <w:color w:val="auto"/>
                <w:sz w:val="24"/>
                <w:lang w:val="en-US" w:eastAsia="zh-CN"/>
              </w:rPr>
              <w:t>（</w:t>
            </w:r>
            <w:r>
              <w:rPr>
                <w:rFonts w:hint="eastAsia" w:cs="Times New Roman"/>
                <w:color w:val="auto"/>
                <w:sz w:val="24"/>
                <w:lang w:val="en-US" w:eastAsia="zh-CN"/>
              </w:rPr>
              <w:t>即</w:t>
            </w:r>
            <w:r>
              <w:rPr>
                <w:rFonts w:hint="default" w:ascii="Times New Roman" w:hAnsi="Times New Roman" w:eastAsia="宋体" w:cs="Times New Roman"/>
                <w:color w:val="auto"/>
                <w:sz w:val="24"/>
                <w:lang w:val="en-US" w:eastAsia="zh-CN"/>
              </w:rPr>
              <w:t>漆渣），过滤棉消耗量约</w:t>
            </w:r>
            <w:r>
              <w:rPr>
                <w:rFonts w:hint="eastAsia" w:ascii="Times New Roman" w:hAnsi="Times New Roman" w:eastAsia="宋体" w:cs="Times New Roman"/>
                <w:color w:val="0000FF"/>
                <w:sz w:val="24"/>
                <w:lang w:val="en-US" w:eastAsia="zh-CN"/>
              </w:rPr>
              <w:t>9</w:t>
            </w:r>
            <w:r>
              <w:rPr>
                <w:rFonts w:hint="eastAsia" w:cs="Times New Roman"/>
                <w:color w:val="0000FF"/>
                <w:sz w:val="24"/>
                <w:lang w:val="en-US" w:eastAsia="zh-CN"/>
              </w:rPr>
              <w:t>54</w:t>
            </w:r>
            <w:r>
              <w:rPr>
                <w:rFonts w:hint="eastAsia" w:ascii="Times New Roman" w:hAnsi="Times New Roman" w:eastAsia="宋体" w:cs="Times New Roman"/>
                <w:color w:val="0000FF"/>
                <w:sz w:val="24"/>
                <w:lang w:val="en-US" w:eastAsia="zh-CN"/>
              </w:rPr>
              <w:t>㎡</w:t>
            </w:r>
            <w:r>
              <w:rPr>
                <w:rFonts w:hint="default" w:ascii="Times New Roman" w:hAnsi="Times New Roman" w:eastAsia="宋体" w:cs="Times New Roman"/>
                <w:color w:val="auto"/>
                <w:sz w:val="24"/>
                <w:lang w:val="en-US" w:eastAsia="zh-CN"/>
              </w:rPr>
              <w:t>，</w:t>
            </w:r>
            <w:r>
              <w:rPr>
                <w:rFonts w:hint="eastAsia" w:ascii="Times New Roman" w:hAnsi="Times New Roman" w:eastAsia="宋体" w:cs="Times New Roman"/>
                <w:color w:val="auto"/>
                <w:sz w:val="24"/>
                <w:lang w:val="en-US" w:eastAsia="zh-CN"/>
              </w:rPr>
              <w:t>废过滤棉</w:t>
            </w:r>
            <w:r>
              <w:rPr>
                <w:rFonts w:hint="default" w:ascii="Times New Roman" w:hAnsi="Times New Roman" w:eastAsia="宋体" w:cs="Times New Roman"/>
                <w:color w:val="auto"/>
                <w:sz w:val="24"/>
                <w:lang w:val="en-US" w:eastAsia="zh-CN"/>
              </w:rPr>
              <w:t>重量为</w:t>
            </w:r>
            <w:r>
              <w:rPr>
                <w:rFonts w:hint="eastAsia" w:ascii="Times New Roman" w:hAnsi="Times New Roman" w:eastAsia="宋体" w:cs="Times New Roman"/>
                <w:color w:val="0000FF"/>
                <w:sz w:val="24"/>
                <w:lang w:val="en-US" w:eastAsia="zh-CN"/>
              </w:rPr>
              <w:t>0.4</w:t>
            </w:r>
            <w:r>
              <w:rPr>
                <w:rFonts w:hint="eastAsia" w:cs="Times New Roman"/>
                <w:color w:val="0000FF"/>
                <w:sz w:val="24"/>
                <w:lang w:val="en-US" w:eastAsia="zh-CN"/>
              </w:rPr>
              <w:t>8</w:t>
            </w:r>
            <w:r>
              <w:rPr>
                <w:rFonts w:hint="default" w:ascii="Times New Roman" w:hAnsi="Times New Roman" w:eastAsia="宋体" w:cs="Times New Roman"/>
                <w:color w:val="0000FF"/>
                <w:sz w:val="24"/>
                <w:lang w:val="en-US" w:eastAsia="zh-CN"/>
              </w:rPr>
              <w:t>t/a</w:t>
            </w:r>
            <w:r>
              <w:rPr>
                <w:rFonts w:hint="default" w:ascii="Times New Roman" w:hAnsi="Times New Roman" w:eastAsia="宋体" w:cs="Times New Roman"/>
                <w:color w:val="auto"/>
                <w:sz w:val="24"/>
                <w:lang w:val="en-US" w:eastAsia="zh-CN"/>
              </w:rPr>
              <w:t>。项目漆渣及废过滤棉</w:t>
            </w:r>
            <w:r>
              <w:rPr>
                <w:rFonts w:hint="eastAsia" w:ascii="Times New Roman" w:hAnsi="Times New Roman" w:eastAsia="宋体" w:cs="Times New Roman"/>
                <w:color w:val="auto"/>
                <w:sz w:val="24"/>
                <w:lang w:val="en-US" w:eastAsia="zh-CN"/>
              </w:rPr>
              <w:t>总</w:t>
            </w:r>
            <w:r>
              <w:rPr>
                <w:rFonts w:hint="default" w:ascii="Times New Roman" w:hAnsi="Times New Roman" w:eastAsia="宋体" w:cs="Times New Roman"/>
                <w:color w:val="auto"/>
                <w:sz w:val="24"/>
                <w:lang w:val="en-US" w:eastAsia="zh-CN"/>
              </w:rPr>
              <w:t>产生量为</w:t>
            </w:r>
            <w:r>
              <w:rPr>
                <w:rFonts w:hint="eastAsia" w:ascii="Times New Roman" w:hAnsi="Times New Roman" w:eastAsia="宋体" w:cs="Times New Roman"/>
                <w:color w:val="0000FF"/>
                <w:sz w:val="24"/>
                <w:lang w:val="en-US" w:eastAsia="zh-CN"/>
              </w:rPr>
              <w:t>4.</w:t>
            </w:r>
            <w:r>
              <w:rPr>
                <w:rFonts w:hint="eastAsia" w:cs="Times New Roman"/>
                <w:color w:val="0000FF"/>
                <w:sz w:val="24"/>
                <w:lang w:val="en-US" w:eastAsia="zh-CN"/>
              </w:rPr>
              <w:t>77</w:t>
            </w:r>
            <w:r>
              <w:rPr>
                <w:rFonts w:hint="default" w:ascii="Times New Roman" w:hAnsi="Times New Roman" w:eastAsia="宋体" w:cs="Times New Roman"/>
                <w:color w:val="0000FF"/>
                <w:sz w:val="24"/>
                <w:lang w:val="en-US" w:eastAsia="zh-CN"/>
              </w:rPr>
              <w:t>t/a</w:t>
            </w:r>
            <w:r>
              <w:rPr>
                <w:rFonts w:hint="default" w:ascii="Times New Roman" w:hAnsi="Times New Roman" w:eastAsia="宋体" w:cs="Times New Roman"/>
                <w:color w:val="auto"/>
                <w:sz w:val="24"/>
                <w:lang w:val="en-US" w:eastAsia="zh-CN"/>
              </w:rPr>
              <w:t>。漆渣附着在废过滤棉上，</w:t>
            </w:r>
            <w:r>
              <w:rPr>
                <w:rFonts w:hint="eastAsia" w:ascii="Times New Roman" w:hAnsi="Times New Roman" w:eastAsia="宋体" w:cs="Times New Roman"/>
                <w:color w:val="auto"/>
                <w:sz w:val="24"/>
                <w:lang w:val="en-US" w:eastAsia="zh-CN"/>
              </w:rPr>
              <w:t>与废过滤棉一同收集。根据</w:t>
            </w:r>
            <w:r>
              <w:rPr>
                <w:rFonts w:hint="default" w:ascii="Times New Roman" w:hAnsi="Times New Roman" w:eastAsia="宋体" w:cs="Times New Roman"/>
                <w:color w:val="auto"/>
                <w:sz w:val="24"/>
                <w:lang w:val="en-US" w:eastAsia="zh-CN"/>
              </w:rPr>
              <w:t>《国家危险废物名录（202</w:t>
            </w:r>
            <w:r>
              <w:rPr>
                <w:rFonts w:hint="eastAsia" w:ascii="Times New Roman" w:hAnsi="Times New Roman" w:eastAsia="宋体" w:cs="Times New Roman"/>
                <w:color w:val="auto"/>
                <w:sz w:val="24"/>
                <w:lang w:val="en-US" w:eastAsia="zh-CN"/>
              </w:rPr>
              <w:t>5</w:t>
            </w:r>
            <w:r>
              <w:rPr>
                <w:rFonts w:hint="default" w:ascii="Times New Roman" w:hAnsi="Times New Roman" w:eastAsia="宋体" w:cs="Times New Roman"/>
                <w:color w:val="auto"/>
                <w:sz w:val="24"/>
                <w:lang w:val="en-US" w:eastAsia="zh-CN"/>
              </w:rPr>
              <w:t>年版）》，漆渣及废过滤棉属于危险废物，废物类别为HW49</w:t>
            </w:r>
            <w:r>
              <w:rPr>
                <w:rFonts w:hint="eastAsia" w:ascii="Times New Roman" w:hAnsi="Times New Roman" w:eastAsia="宋体" w:cs="Times New Roman"/>
                <w:color w:val="auto"/>
                <w:sz w:val="24"/>
                <w:lang w:val="en-US" w:eastAsia="zh-CN"/>
              </w:rPr>
              <w:t>其他废物</w:t>
            </w:r>
            <w:r>
              <w:rPr>
                <w:rFonts w:hint="default" w:ascii="Times New Roman" w:hAnsi="Times New Roman" w:eastAsia="宋体" w:cs="Times New Roman"/>
                <w:color w:val="auto"/>
                <w:sz w:val="24"/>
                <w:lang w:val="en-US" w:eastAsia="zh-CN"/>
              </w:rPr>
              <w:t>，废物代码为900-041-49，漆渣及废过滤棉收集暂存于危废贮存</w:t>
            </w:r>
            <w:r>
              <w:rPr>
                <w:rFonts w:hint="eastAsia" w:cs="Times New Roman"/>
                <w:color w:val="auto"/>
                <w:sz w:val="24"/>
                <w:lang w:val="en-US" w:eastAsia="zh-CN"/>
              </w:rPr>
              <w:t>点</w:t>
            </w:r>
            <w:r>
              <w:rPr>
                <w:rFonts w:hint="default" w:ascii="Times New Roman" w:hAnsi="Times New Roman" w:eastAsia="宋体" w:cs="Times New Roman"/>
                <w:color w:val="auto"/>
                <w:sz w:val="24"/>
                <w:lang w:val="en-US" w:eastAsia="zh-CN"/>
              </w:rPr>
              <w:t>，委托有资质单位处置。</w:t>
            </w:r>
          </w:p>
          <w:p w14:paraId="6F53C63B">
            <w:pPr>
              <w:spacing w:line="360" w:lineRule="auto"/>
              <w:ind w:firstLine="480" w:firstLineChars="200"/>
              <w:rPr>
                <w:rFonts w:hint="eastAsia"/>
                <w:color w:val="auto"/>
                <w:sz w:val="24"/>
                <w:lang w:val="en-US" w:eastAsia="zh-CN"/>
              </w:rPr>
            </w:pPr>
            <w:r>
              <w:rPr>
                <w:rFonts w:hint="eastAsia"/>
                <w:color w:val="auto"/>
                <w:sz w:val="24"/>
                <w:lang w:val="en-US" w:eastAsia="zh-CN"/>
              </w:rPr>
              <w:t>B.废包装桶（S</w:t>
            </w:r>
            <w:r>
              <w:rPr>
                <w:rFonts w:hint="eastAsia"/>
                <w:color w:val="auto"/>
                <w:sz w:val="24"/>
                <w:vertAlign w:val="subscript"/>
                <w:lang w:val="en-US" w:eastAsia="zh-CN"/>
              </w:rPr>
              <w:t>6</w:t>
            </w:r>
            <w:r>
              <w:rPr>
                <w:rFonts w:hint="eastAsia"/>
                <w:color w:val="auto"/>
                <w:sz w:val="24"/>
                <w:lang w:val="en-US" w:eastAsia="zh-CN"/>
              </w:rPr>
              <w:t>）</w:t>
            </w:r>
          </w:p>
          <w:p w14:paraId="2FB86779">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本项目使用涂料23.09</w:t>
            </w:r>
            <w:r>
              <w:rPr>
                <w:rFonts w:hint="default" w:ascii="Times New Roman" w:hAnsi="Times New Roman" w:eastAsia="宋体" w:cs="Times New Roman"/>
                <w:color w:val="auto"/>
                <w:sz w:val="24"/>
                <w:lang w:val="en-US" w:eastAsia="zh-CN"/>
              </w:rPr>
              <w:t>t/a</w:t>
            </w:r>
            <w:r>
              <w:rPr>
                <w:rFonts w:hint="eastAsia" w:ascii="Times New Roman" w:hAnsi="Times New Roman" w:eastAsia="宋体" w:cs="Times New Roman"/>
                <w:color w:val="auto"/>
                <w:sz w:val="24"/>
                <w:lang w:val="en-US" w:eastAsia="zh-CN"/>
              </w:rPr>
              <w:t>，规格为25kg/桶，按照每个废桶0.8kg计，每年大约会产生废包装桶0.74t/a（924个）。根据</w:t>
            </w:r>
            <w:r>
              <w:rPr>
                <w:rFonts w:hint="default" w:ascii="Times New Roman" w:hAnsi="Times New Roman" w:eastAsia="宋体" w:cs="Times New Roman"/>
                <w:color w:val="auto"/>
                <w:sz w:val="24"/>
                <w:lang w:val="en-US" w:eastAsia="zh-CN"/>
              </w:rPr>
              <w:t>《国家危险废物名录（202</w:t>
            </w:r>
            <w:r>
              <w:rPr>
                <w:rFonts w:hint="eastAsia" w:ascii="Times New Roman" w:hAnsi="Times New Roman" w:eastAsia="宋体" w:cs="Times New Roman"/>
                <w:color w:val="auto"/>
                <w:sz w:val="24"/>
                <w:lang w:val="en-US" w:eastAsia="zh-CN"/>
              </w:rPr>
              <w:t>5</w:t>
            </w:r>
            <w:r>
              <w:rPr>
                <w:rFonts w:hint="default" w:ascii="Times New Roman" w:hAnsi="Times New Roman" w:eastAsia="宋体" w:cs="Times New Roman"/>
                <w:color w:val="auto"/>
                <w:sz w:val="24"/>
                <w:lang w:val="en-US" w:eastAsia="zh-CN"/>
              </w:rPr>
              <w:t>年版）》，</w:t>
            </w:r>
            <w:r>
              <w:rPr>
                <w:rFonts w:hint="eastAsia" w:ascii="Times New Roman" w:hAnsi="Times New Roman" w:eastAsia="宋体" w:cs="Times New Roman"/>
                <w:color w:val="auto"/>
                <w:sz w:val="24"/>
                <w:lang w:val="en-US" w:eastAsia="zh-CN"/>
              </w:rPr>
              <w:t>废包装桶属于危险废物，废物类别为</w:t>
            </w:r>
            <w:r>
              <w:rPr>
                <w:rFonts w:hint="default" w:ascii="Times New Roman" w:hAnsi="Times New Roman" w:eastAsia="宋体" w:cs="Times New Roman"/>
                <w:color w:val="auto"/>
                <w:sz w:val="24"/>
                <w:lang w:val="en-US" w:eastAsia="zh-CN"/>
              </w:rPr>
              <w:t>HW49</w:t>
            </w:r>
            <w:r>
              <w:rPr>
                <w:rFonts w:hint="eastAsia" w:ascii="Times New Roman" w:hAnsi="Times New Roman" w:eastAsia="宋体" w:cs="Times New Roman"/>
                <w:color w:val="auto"/>
                <w:sz w:val="24"/>
                <w:lang w:val="en-US" w:eastAsia="zh-CN"/>
              </w:rPr>
              <w:t>其他废物</w:t>
            </w:r>
            <w:r>
              <w:rPr>
                <w:rFonts w:hint="default" w:ascii="Times New Roman" w:hAnsi="Times New Roman" w:eastAsia="宋体" w:cs="Times New Roman"/>
                <w:color w:val="auto"/>
                <w:sz w:val="24"/>
                <w:lang w:val="en-US" w:eastAsia="zh-CN"/>
              </w:rPr>
              <w:t>，废物代码为900-041-49，</w:t>
            </w:r>
            <w:r>
              <w:rPr>
                <w:rFonts w:hint="eastAsia" w:ascii="Times New Roman" w:hAnsi="Times New Roman" w:eastAsia="宋体" w:cs="Times New Roman"/>
                <w:color w:val="auto"/>
                <w:sz w:val="24"/>
                <w:lang w:val="en-US" w:eastAsia="zh-CN"/>
              </w:rPr>
              <w:t>废包装桶</w:t>
            </w:r>
            <w:r>
              <w:rPr>
                <w:rFonts w:hint="default" w:ascii="Times New Roman" w:hAnsi="Times New Roman" w:eastAsia="宋体" w:cs="Times New Roman"/>
                <w:color w:val="auto"/>
                <w:sz w:val="24"/>
                <w:lang w:val="en-US" w:eastAsia="zh-CN"/>
              </w:rPr>
              <w:t>收集暂存于危废贮存</w:t>
            </w:r>
            <w:r>
              <w:rPr>
                <w:rFonts w:hint="eastAsia" w:cs="Times New Roman"/>
                <w:color w:val="auto"/>
                <w:sz w:val="24"/>
                <w:lang w:val="en-US" w:eastAsia="zh-CN"/>
              </w:rPr>
              <w:t>点</w:t>
            </w:r>
            <w:r>
              <w:rPr>
                <w:rFonts w:hint="default" w:ascii="Times New Roman" w:hAnsi="Times New Roman" w:eastAsia="宋体" w:cs="Times New Roman"/>
                <w:color w:val="auto"/>
                <w:sz w:val="24"/>
                <w:lang w:val="en-US" w:eastAsia="zh-CN"/>
              </w:rPr>
              <w:t>，委托有资质单位处置</w:t>
            </w:r>
            <w:r>
              <w:rPr>
                <w:rFonts w:hint="eastAsia" w:ascii="Times New Roman" w:hAnsi="Times New Roman" w:eastAsia="宋体" w:cs="Times New Roman"/>
                <w:color w:val="auto"/>
                <w:sz w:val="24"/>
                <w:lang w:val="en-US" w:eastAsia="zh-CN"/>
              </w:rPr>
              <w:t>。</w:t>
            </w:r>
          </w:p>
          <w:p w14:paraId="4881DDFE">
            <w:pPr>
              <w:spacing w:line="360" w:lineRule="auto"/>
              <w:ind w:firstLine="480" w:firstLineChars="200"/>
              <w:rPr>
                <w:rFonts w:hint="eastAsia"/>
                <w:color w:val="auto"/>
                <w:sz w:val="24"/>
                <w:lang w:val="en-US" w:eastAsia="zh-CN"/>
              </w:rPr>
            </w:pPr>
            <w:r>
              <w:rPr>
                <w:rFonts w:hint="eastAsia"/>
                <w:color w:val="auto"/>
                <w:sz w:val="24"/>
                <w:lang w:val="en-US" w:eastAsia="zh-CN"/>
              </w:rPr>
              <w:t>C.废活性炭（S</w:t>
            </w:r>
            <w:r>
              <w:rPr>
                <w:rFonts w:hint="eastAsia"/>
                <w:color w:val="auto"/>
                <w:sz w:val="24"/>
                <w:vertAlign w:val="subscript"/>
                <w:lang w:val="en-US" w:eastAsia="zh-CN"/>
              </w:rPr>
              <w:t>7</w:t>
            </w:r>
            <w:r>
              <w:rPr>
                <w:rFonts w:hint="eastAsia"/>
                <w:color w:val="auto"/>
                <w:sz w:val="24"/>
                <w:lang w:val="en-US" w:eastAsia="zh-CN"/>
              </w:rPr>
              <w:t>）</w:t>
            </w:r>
          </w:p>
          <w:p w14:paraId="7EA7E691">
            <w:pPr>
              <w:spacing w:line="360" w:lineRule="auto"/>
              <w:ind w:firstLine="480" w:firstLineChars="200"/>
              <w:rPr>
                <w:rFonts w:hint="eastAsia" w:ascii="Times New Roman" w:hAnsi="Times New Roman" w:eastAsia="宋体" w:cs="Times New Roman"/>
                <w:color w:val="auto"/>
                <w:sz w:val="24"/>
                <w:lang w:val="en-US" w:eastAsia="zh-CN"/>
              </w:rPr>
            </w:pPr>
            <w:r>
              <w:rPr>
                <w:rFonts w:hint="default" w:cs="Times New Roman"/>
                <w:color w:val="0000FF"/>
                <w:sz w:val="24"/>
                <w:szCs w:val="24"/>
                <w:highlight w:val="none"/>
                <w:lang w:val="en-US" w:eastAsia="zh-CN"/>
              </w:rPr>
              <w:t>本项目活性炭吸附-脱附-催化燃烧装置</w:t>
            </w:r>
            <w:r>
              <w:rPr>
                <w:rFonts w:hint="eastAsia" w:cs="Times New Roman"/>
                <w:color w:val="0000FF"/>
                <w:sz w:val="24"/>
                <w:szCs w:val="24"/>
                <w:highlight w:val="none"/>
                <w:lang w:val="en-US" w:eastAsia="zh-CN"/>
              </w:rPr>
              <w:t>中活性炭可通过热脱附实现循环再生，仅当活性炭长期使用后吸附性能出现不可逆衰减、无法满足净化要求时才会整体更换。项目</w:t>
            </w:r>
            <w:r>
              <w:rPr>
                <w:rFonts w:hint="default" w:cs="Times New Roman"/>
                <w:color w:val="0000FF"/>
                <w:sz w:val="24"/>
                <w:szCs w:val="24"/>
                <w:highlight w:val="none"/>
                <w:lang w:val="en-US" w:eastAsia="zh-CN"/>
              </w:rPr>
              <w:t>活性炭更换频率为</w:t>
            </w:r>
            <w:r>
              <w:rPr>
                <w:rFonts w:hint="eastAsia" w:cs="Times New Roman"/>
                <w:color w:val="0000FF"/>
                <w:sz w:val="24"/>
                <w:szCs w:val="24"/>
                <w:highlight w:val="none"/>
                <w:lang w:val="en-US" w:eastAsia="zh-CN"/>
              </w:rPr>
              <w:t>2次/年，单次装填活性炭质量约1.1t（装填体积为2.15m³，堆积密度约0.5t/m³）</w:t>
            </w:r>
            <w:r>
              <w:rPr>
                <w:rFonts w:hint="default" w:cs="Times New Roman"/>
                <w:color w:val="0000FF"/>
                <w:sz w:val="24"/>
                <w:szCs w:val="24"/>
                <w:highlight w:val="none"/>
                <w:lang w:val="en-US" w:eastAsia="zh-CN"/>
              </w:rPr>
              <w:t>，</w:t>
            </w:r>
            <w:r>
              <w:rPr>
                <w:rFonts w:hint="eastAsia" w:cs="Times New Roman"/>
                <w:color w:val="0000FF"/>
                <w:sz w:val="24"/>
                <w:szCs w:val="24"/>
                <w:highlight w:val="none"/>
                <w:lang w:val="en-US" w:eastAsia="zh-CN"/>
              </w:rPr>
              <w:t>单次更换</w:t>
            </w:r>
            <w:r>
              <w:rPr>
                <w:rFonts w:hint="default" w:cs="Times New Roman"/>
                <w:color w:val="0000FF"/>
                <w:sz w:val="24"/>
                <w:szCs w:val="24"/>
                <w:highlight w:val="none"/>
                <w:lang w:val="en-US" w:eastAsia="zh-CN"/>
              </w:rPr>
              <w:t>产生废活性炭约</w:t>
            </w:r>
            <w:r>
              <w:rPr>
                <w:rFonts w:hint="eastAsia" w:cs="Times New Roman"/>
                <w:color w:val="0000FF"/>
                <w:sz w:val="24"/>
                <w:szCs w:val="24"/>
                <w:highlight w:val="none"/>
                <w:lang w:val="en-US" w:eastAsia="zh-CN"/>
              </w:rPr>
              <w:t>1.38</w:t>
            </w:r>
            <w:r>
              <w:rPr>
                <w:rFonts w:hint="default" w:cs="Times New Roman"/>
                <w:color w:val="0000FF"/>
                <w:sz w:val="24"/>
                <w:szCs w:val="24"/>
                <w:highlight w:val="none"/>
                <w:lang w:val="en-US" w:eastAsia="zh-CN"/>
              </w:rPr>
              <w:t>t</w:t>
            </w:r>
            <w:r>
              <w:rPr>
                <w:rFonts w:hint="eastAsia" w:cs="Times New Roman"/>
                <w:color w:val="0000FF"/>
                <w:sz w:val="24"/>
                <w:szCs w:val="24"/>
                <w:highlight w:val="none"/>
                <w:lang w:val="en-US" w:eastAsia="zh-CN"/>
              </w:rPr>
              <w:t>（按1t活性炭吸附0.25t残留有机物计），</w:t>
            </w:r>
            <w:r>
              <w:rPr>
                <w:rFonts w:hint="default" w:cs="Times New Roman"/>
                <w:color w:val="0000FF"/>
                <w:sz w:val="24"/>
                <w:szCs w:val="24"/>
                <w:highlight w:val="none"/>
                <w:lang w:val="en-US" w:eastAsia="zh-CN"/>
              </w:rPr>
              <w:t>则</w:t>
            </w:r>
            <w:r>
              <w:rPr>
                <w:rFonts w:hint="eastAsia" w:cs="Times New Roman"/>
                <w:color w:val="0000FF"/>
                <w:sz w:val="24"/>
                <w:szCs w:val="24"/>
                <w:highlight w:val="none"/>
                <w:lang w:val="en-US" w:eastAsia="zh-CN"/>
              </w:rPr>
              <w:t>废活性炭年产生量为2.76t/a</w:t>
            </w:r>
            <w:r>
              <w:rPr>
                <w:rFonts w:hint="default" w:cs="Times New Roman"/>
                <w:color w:val="0000FF"/>
                <w:sz w:val="24"/>
                <w:szCs w:val="24"/>
                <w:highlight w:val="none"/>
                <w:lang w:val="en-US" w:eastAsia="zh-CN"/>
              </w:rPr>
              <w:t>。根据《国家危险废物名录（2025年版）》</w:t>
            </w:r>
            <w:r>
              <w:rPr>
                <w:rFonts w:hint="eastAsia" w:cs="Times New Roman"/>
                <w:color w:val="0000FF"/>
                <w:sz w:val="24"/>
                <w:szCs w:val="24"/>
                <w:highlight w:val="none"/>
                <w:lang w:val="en-US" w:eastAsia="zh-CN"/>
              </w:rPr>
              <w:t>，</w:t>
            </w:r>
            <w:r>
              <w:rPr>
                <w:rFonts w:hint="eastAsia" w:ascii="Times New Roman" w:hAnsi="Times New Roman" w:eastAsia="宋体" w:cs="Times New Roman"/>
                <w:color w:val="auto"/>
                <w:sz w:val="24"/>
                <w:lang w:val="en-US" w:eastAsia="zh-CN"/>
              </w:rPr>
              <w:t>废活性炭属于危险废物，废物类别为</w:t>
            </w:r>
            <w:r>
              <w:rPr>
                <w:rFonts w:hint="default" w:ascii="Times New Roman" w:hAnsi="Times New Roman" w:eastAsia="宋体" w:cs="Times New Roman"/>
                <w:color w:val="auto"/>
                <w:sz w:val="24"/>
                <w:lang w:val="en-US" w:eastAsia="zh-CN"/>
              </w:rPr>
              <w:t>HW49</w:t>
            </w:r>
            <w:r>
              <w:rPr>
                <w:rFonts w:hint="eastAsia" w:ascii="Times New Roman" w:hAnsi="Times New Roman" w:eastAsia="宋体" w:cs="Times New Roman"/>
                <w:color w:val="auto"/>
                <w:sz w:val="24"/>
                <w:lang w:val="en-US" w:eastAsia="zh-CN"/>
              </w:rPr>
              <w:t>其他废物</w:t>
            </w:r>
            <w:r>
              <w:rPr>
                <w:rFonts w:hint="default" w:ascii="Times New Roman" w:hAnsi="Times New Roman" w:eastAsia="宋体" w:cs="Times New Roman"/>
                <w:color w:val="auto"/>
                <w:sz w:val="24"/>
                <w:lang w:val="en-US" w:eastAsia="zh-CN"/>
              </w:rPr>
              <w:t>，废物代码为900-0</w:t>
            </w:r>
            <w:r>
              <w:rPr>
                <w:rFonts w:hint="eastAsia" w:ascii="Times New Roman" w:hAnsi="Times New Roman" w:eastAsia="宋体" w:cs="Times New Roman"/>
                <w:color w:val="auto"/>
                <w:sz w:val="24"/>
                <w:lang w:val="en-US" w:eastAsia="zh-CN"/>
              </w:rPr>
              <w:t>39</w:t>
            </w:r>
            <w:r>
              <w:rPr>
                <w:rFonts w:hint="default" w:ascii="Times New Roman" w:hAnsi="Times New Roman" w:eastAsia="宋体" w:cs="Times New Roman"/>
                <w:color w:val="auto"/>
                <w:sz w:val="24"/>
                <w:lang w:val="en-US" w:eastAsia="zh-CN"/>
              </w:rPr>
              <w:t>-49，</w:t>
            </w:r>
            <w:r>
              <w:rPr>
                <w:rFonts w:hint="eastAsia"/>
                <w:color w:val="auto"/>
                <w:sz w:val="24"/>
                <w:lang w:val="en-US" w:eastAsia="zh-CN"/>
              </w:rPr>
              <w:t>废活性炭</w:t>
            </w:r>
            <w:r>
              <w:rPr>
                <w:rFonts w:hint="default" w:ascii="Times New Roman" w:hAnsi="Times New Roman" w:eastAsia="宋体" w:cs="Times New Roman"/>
                <w:color w:val="auto"/>
                <w:sz w:val="24"/>
                <w:lang w:val="en-US" w:eastAsia="zh-CN"/>
              </w:rPr>
              <w:t>收集暂存于危废贮存</w:t>
            </w:r>
            <w:r>
              <w:rPr>
                <w:rFonts w:hint="eastAsia" w:cs="Times New Roman"/>
                <w:color w:val="auto"/>
                <w:sz w:val="24"/>
                <w:lang w:val="en-US" w:eastAsia="zh-CN"/>
              </w:rPr>
              <w:t>点</w:t>
            </w:r>
            <w:r>
              <w:rPr>
                <w:rFonts w:hint="default" w:ascii="Times New Roman" w:hAnsi="Times New Roman" w:eastAsia="宋体" w:cs="Times New Roman"/>
                <w:color w:val="auto"/>
                <w:sz w:val="24"/>
                <w:lang w:val="en-US" w:eastAsia="zh-CN"/>
              </w:rPr>
              <w:t>，委托有资质单位处置</w:t>
            </w:r>
            <w:r>
              <w:rPr>
                <w:rFonts w:hint="eastAsia" w:ascii="Times New Roman" w:hAnsi="Times New Roman" w:eastAsia="宋体" w:cs="Times New Roman"/>
                <w:color w:val="auto"/>
                <w:sz w:val="24"/>
                <w:lang w:val="en-US" w:eastAsia="zh-CN"/>
              </w:rPr>
              <w:t>。</w:t>
            </w:r>
          </w:p>
          <w:p w14:paraId="04B01C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lang w:val="en-US" w:eastAsia="zh-CN"/>
              </w:rPr>
            </w:pPr>
            <w:r>
              <w:rPr>
                <w:rFonts w:hint="eastAsia"/>
                <w:color w:val="auto"/>
                <w:sz w:val="24"/>
                <w:lang w:val="en-US" w:eastAsia="zh-CN"/>
              </w:rPr>
              <w:t>D.废催化剂（S</w:t>
            </w:r>
            <w:r>
              <w:rPr>
                <w:rFonts w:hint="eastAsia"/>
                <w:color w:val="auto"/>
                <w:sz w:val="24"/>
                <w:vertAlign w:val="subscript"/>
                <w:lang w:val="en-US" w:eastAsia="zh-CN"/>
              </w:rPr>
              <w:t>8</w:t>
            </w:r>
            <w:r>
              <w:rPr>
                <w:rFonts w:hint="eastAsia"/>
                <w:color w:val="auto"/>
                <w:sz w:val="24"/>
                <w:lang w:val="en-US" w:eastAsia="zh-CN"/>
              </w:rPr>
              <w:t>）</w:t>
            </w:r>
          </w:p>
          <w:p w14:paraId="79D734CF">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本项目催化燃烧装置使用的催化剂为铂，根据设备供应商提供的参数，单套设备催化剂约每年更换一次，每次更换量为0.05t。根据《国家危险废物</w:t>
            </w:r>
          </w:p>
          <w:p w14:paraId="50559279">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名录（2025年版）》，</w:t>
            </w:r>
            <w:r>
              <w:rPr>
                <w:rFonts w:hint="eastAsia"/>
                <w:color w:val="auto"/>
                <w:sz w:val="24"/>
                <w:lang w:val="en-US" w:eastAsia="zh-CN"/>
              </w:rPr>
              <w:t>废催化剂</w:t>
            </w:r>
            <w:r>
              <w:rPr>
                <w:rFonts w:hint="eastAsia" w:ascii="Times New Roman" w:hAnsi="Times New Roman" w:eastAsia="宋体" w:cs="Times New Roman"/>
                <w:color w:val="auto"/>
                <w:sz w:val="24"/>
                <w:lang w:val="en-US" w:eastAsia="zh-CN"/>
              </w:rPr>
              <w:t>属于危险废物，废催化剂的废物类别为HW49，废物类别为HW49其他废物，废物代码为900-041-49，废催化剂收集暂存于危废贮存</w:t>
            </w:r>
            <w:r>
              <w:rPr>
                <w:rFonts w:hint="eastAsia" w:cs="Times New Roman"/>
                <w:color w:val="auto"/>
                <w:sz w:val="24"/>
                <w:lang w:val="en-US" w:eastAsia="zh-CN"/>
              </w:rPr>
              <w:t>点</w:t>
            </w:r>
            <w:r>
              <w:rPr>
                <w:rFonts w:hint="eastAsia" w:ascii="Times New Roman" w:hAnsi="Times New Roman" w:eastAsia="宋体" w:cs="Times New Roman"/>
                <w:color w:val="auto"/>
                <w:sz w:val="24"/>
                <w:lang w:val="en-US" w:eastAsia="zh-CN"/>
              </w:rPr>
              <w:t>，委托有资质单位处置。</w:t>
            </w:r>
          </w:p>
          <w:p w14:paraId="4C0C7CB7">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E.废润滑油</w:t>
            </w:r>
            <w:r>
              <w:rPr>
                <w:rFonts w:hint="eastAsia"/>
                <w:color w:val="auto"/>
                <w:sz w:val="24"/>
                <w:lang w:val="en-US" w:eastAsia="zh-CN"/>
              </w:rPr>
              <w:t>（S</w:t>
            </w:r>
            <w:r>
              <w:rPr>
                <w:rFonts w:hint="eastAsia"/>
                <w:color w:val="auto"/>
                <w:sz w:val="24"/>
                <w:vertAlign w:val="subscript"/>
                <w:lang w:val="en-US" w:eastAsia="zh-CN"/>
              </w:rPr>
              <w:t>11</w:t>
            </w:r>
            <w:r>
              <w:rPr>
                <w:rFonts w:hint="eastAsia"/>
                <w:color w:val="auto"/>
                <w:sz w:val="24"/>
                <w:lang w:val="en-US" w:eastAsia="zh-CN"/>
              </w:rPr>
              <w:t>）</w:t>
            </w:r>
          </w:p>
          <w:p w14:paraId="1932453A">
            <w:pPr>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本项目生产设备定期维护保养</w:t>
            </w:r>
            <w:r>
              <w:rPr>
                <w:rFonts w:hint="eastAsia" w:ascii="Times New Roman" w:hAnsi="Times New Roman" w:eastAsia="宋体" w:cs="Times New Roman"/>
                <w:color w:val="auto"/>
                <w:sz w:val="24"/>
                <w:lang w:val="en-US" w:eastAsia="zh-CN"/>
              </w:rPr>
              <w:t>过程中会</w:t>
            </w:r>
            <w:r>
              <w:rPr>
                <w:rFonts w:hint="default" w:ascii="Times New Roman" w:hAnsi="Times New Roman" w:eastAsia="宋体" w:cs="Times New Roman"/>
                <w:color w:val="auto"/>
                <w:sz w:val="24"/>
                <w:lang w:val="en-US" w:eastAsia="zh-CN"/>
              </w:rPr>
              <w:t>产生少量废润滑油，类比同类项目，废</w:t>
            </w:r>
            <w:r>
              <w:rPr>
                <w:rFonts w:hint="eastAsia" w:ascii="Times New Roman" w:hAnsi="Times New Roman" w:eastAsia="宋体" w:cs="Times New Roman"/>
                <w:color w:val="auto"/>
                <w:sz w:val="24"/>
                <w:lang w:val="en-US" w:eastAsia="zh-CN"/>
              </w:rPr>
              <w:t>润滑</w:t>
            </w:r>
            <w:r>
              <w:rPr>
                <w:rFonts w:hint="default" w:ascii="Times New Roman" w:hAnsi="Times New Roman" w:eastAsia="宋体" w:cs="Times New Roman"/>
                <w:color w:val="auto"/>
                <w:sz w:val="24"/>
                <w:lang w:val="en-US" w:eastAsia="zh-CN"/>
              </w:rPr>
              <w:t>油产生量为0.0</w:t>
            </w:r>
            <w:r>
              <w:rPr>
                <w:rFonts w:hint="eastAsia" w:ascii="Times New Roman" w:hAnsi="Times New Roman" w:eastAsia="宋体" w:cs="Times New Roman"/>
                <w:color w:val="auto"/>
                <w:sz w:val="24"/>
                <w:lang w:val="en-US" w:eastAsia="zh-CN"/>
              </w:rPr>
              <w:t>8</w:t>
            </w:r>
            <w:r>
              <w:rPr>
                <w:rFonts w:hint="default" w:ascii="Times New Roman" w:hAnsi="Times New Roman" w:eastAsia="宋体" w:cs="Times New Roman"/>
                <w:color w:val="auto"/>
                <w:sz w:val="24"/>
                <w:lang w:val="en-US" w:eastAsia="zh-CN"/>
              </w:rPr>
              <w:t>t/a。</w:t>
            </w:r>
            <w:r>
              <w:rPr>
                <w:rFonts w:hint="eastAsia" w:ascii="Times New Roman" w:hAnsi="Times New Roman" w:eastAsia="宋体" w:cs="Times New Roman"/>
                <w:color w:val="auto"/>
                <w:sz w:val="24"/>
                <w:lang w:val="en-US" w:eastAsia="zh-CN"/>
              </w:rPr>
              <w:t>根据《国家危险废物名录（2025年版）》，</w:t>
            </w:r>
            <w:r>
              <w:rPr>
                <w:rFonts w:hint="default" w:ascii="Times New Roman" w:hAnsi="Times New Roman" w:eastAsia="宋体" w:cs="Times New Roman"/>
                <w:color w:val="auto"/>
                <w:sz w:val="24"/>
                <w:lang w:val="en-US" w:eastAsia="zh-CN"/>
              </w:rPr>
              <w:t>废</w:t>
            </w:r>
            <w:r>
              <w:rPr>
                <w:rFonts w:hint="eastAsia" w:ascii="Times New Roman" w:hAnsi="Times New Roman" w:eastAsia="宋体" w:cs="Times New Roman"/>
                <w:color w:val="auto"/>
                <w:sz w:val="24"/>
                <w:lang w:val="en-US" w:eastAsia="zh-CN"/>
              </w:rPr>
              <w:t>润滑</w:t>
            </w:r>
            <w:r>
              <w:rPr>
                <w:rFonts w:hint="default" w:ascii="Times New Roman" w:hAnsi="Times New Roman" w:eastAsia="宋体" w:cs="Times New Roman"/>
                <w:color w:val="auto"/>
                <w:sz w:val="24"/>
                <w:lang w:val="en-US" w:eastAsia="zh-CN"/>
              </w:rPr>
              <w:t>油属于危险废物，废物类别为HW08废矿物油与含矿物油废物，废物代码为900-214-08。废润滑油收集暂存于危废贮存</w:t>
            </w:r>
            <w:r>
              <w:rPr>
                <w:rFonts w:hint="eastAsia" w:cs="Times New Roman"/>
                <w:color w:val="auto"/>
                <w:sz w:val="24"/>
                <w:lang w:val="en-US" w:eastAsia="zh-CN"/>
              </w:rPr>
              <w:t>点</w:t>
            </w:r>
            <w:r>
              <w:rPr>
                <w:rFonts w:hint="default" w:ascii="Times New Roman" w:hAnsi="Times New Roman" w:eastAsia="宋体" w:cs="Times New Roman"/>
                <w:color w:val="auto"/>
                <w:sz w:val="24"/>
                <w:lang w:val="en-US" w:eastAsia="zh-CN"/>
              </w:rPr>
              <w:t>，委托有资质单位处置。</w:t>
            </w:r>
          </w:p>
          <w:p w14:paraId="76A8CC37">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F.废油桶</w:t>
            </w:r>
            <w:r>
              <w:rPr>
                <w:rFonts w:hint="eastAsia"/>
                <w:color w:val="auto"/>
                <w:sz w:val="24"/>
                <w:lang w:val="en-US" w:eastAsia="zh-CN"/>
              </w:rPr>
              <w:t>（S</w:t>
            </w:r>
            <w:r>
              <w:rPr>
                <w:rFonts w:hint="eastAsia"/>
                <w:color w:val="auto"/>
                <w:sz w:val="24"/>
                <w:vertAlign w:val="subscript"/>
                <w:lang w:val="en-US" w:eastAsia="zh-CN"/>
              </w:rPr>
              <w:t>12</w:t>
            </w:r>
            <w:r>
              <w:rPr>
                <w:rFonts w:hint="eastAsia"/>
                <w:color w:val="auto"/>
                <w:sz w:val="24"/>
                <w:lang w:val="en-US" w:eastAsia="zh-CN"/>
              </w:rPr>
              <w:t>）</w:t>
            </w:r>
          </w:p>
          <w:p w14:paraId="5669090A">
            <w:pPr>
              <w:spacing w:line="360" w:lineRule="auto"/>
              <w:ind w:firstLine="480" w:firstLineChars="20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类比同类项目，本项目</w:t>
            </w:r>
            <w:r>
              <w:rPr>
                <w:rFonts w:hint="default" w:ascii="Times New Roman" w:hAnsi="Times New Roman" w:eastAsia="宋体" w:cs="Times New Roman"/>
                <w:color w:val="auto"/>
                <w:sz w:val="24"/>
                <w:lang w:val="en-US" w:eastAsia="zh-CN"/>
              </w:rPr>
              <w:t>废油桶产生量为0.03t/a</w:t>
            </w:r>
            <w:r>
              <w:rPr>
                <w:rFonts w:hint="eastAsia"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lang w:val="en-US" w:eastAsia="zh-CN"/>
              </w:rPr>
              <w:t>根据《国家危险废物名录（2025年版）》，废油桶</w:t>
            </w:r>
            <w:r>
              <w:rPr>
                <w:rFonts w:hint="eastAsia" w:ascii="Times New Roman" w:hAnsi="Times New Roman" w:eastAsia="宋体" w:cs="Times New Roman"/>
                <w:color w:val="auto"/>
                <w:sz w:val="24"/>
                <w:lang w:val="en-US" w:eastAsia="zh-CN"/>
              </w:rPr>
              <w:t>属于危险废物，废物类别为</w:t>
            </w:r>
            <w:r>
              <w:rPr>
                <w:rFonts w:hint="default" w:ascii="Times New Roman" w:hAnsi="Times New Roman" w:eastAsia="宋体" w:cs="Times New Roman"/>
                <w:color w:val="auto"/>
                <w:sz w:val="24"/>
                <w:lang w:val="en-US" w:eastAsia="zh-CN"/>
              </w:rPr>
              <w:t>HW08废矿物油与含矿物油废物</w:t>
            </w:r>
            <w:r>
              <w:rPr>
                <w:rFonts w:hint="eastAsia"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lang w:val="en-US" w:eastAsia="zh-CN"/>
              </w:rPr>
              <w:t>废物代码</w:t>
            </w:r>
            <w:r>
              <w:rPr>
                <w:rFonts w:hint="eastAsia" w:ascii="Times New Roman" w:hAnsi="Times New Roman" w:eastAsia="宋体" w:cs="Times New Roman"/>
                <w:color w:val="auto"/>
                <w:sz w:val="24"/>
                <w:lang w:val="en-US" w:eastAsia="zh-CN"/>
              </w:rPr>
              <w:t>为</w:t>
            </w:r>
            <w:r>
              <w:rPr>
                <w:rFonts w:hint="default" w:ascii="Times New Roman" w:hAnsi="Times New Roman" w:eastAsia="宋体" w:cs="Times New Roman"/>
                <w:color w:val="auto"/>
                <w:sz w:val="24"/>
                <w:lang w:val="en-US" w:eastAsia="zh-CN"/>
              </w:rPr>
              <w:t>900-249-08，废油</w:t>
            </w:r>
            <w:r>
              <w:rPr>
                <w:rFonts w:hint="eastAsia" w:ascii="Times New Roman" w:hAnsi="Times New Roman" w:eastAsia="宋体" w:cs="Times New Roman"/>
                <w:color w:val="auto"/>
                <w:sz w:val="24"/>
                <w:lang w:val="en-US" w:eastAsia="zh-CN"/>
              </w:rPr>
              <w:t>桶</w:t>
            </w:r>
            <w:r>
              <w:rPr>
                <w:rFonts w:hint="default" w:ascii="Times New Roman" w:hAnsi="Times New Roman" w:eastAsia="宋体" w:cs="Times New Roman"/>
                <w:color w:val="auto"/>
                <w:sz w:val="24"/>
                <w:lang w:val="en-US" w:eastAsia="zh-CN"/>
              </w:rPr>
              <w:t>收集暂存于危废贮存</w:t>
            </w:r>
            <w:r>
              <w:rPr>
                <w:rFonts w:hint="eastAsia" w:cs="Times New Roman"/>
                <w:color w:val="auto"/>
                <w:sz w:val="24"/>
                <w:lang w:val="en-US" w:eastAsia="zh-CN"/>
              </w:rPr>
              <w:t>点</w:t>
            </w:r>
            <w:r>
              <w:rPr>
                <w:rFonts w:hint="default" w:ascii="Times New Roman" w:hAnsi="Times New Roman" w:eastAsia="宋体" w:cs="Times New Roman"/>
                <w:color w:val="auto"/>
                <w:sz w:val="24"/>
                <w:lang w:val="en-US" w:eastAsia="zh-CN"/>
              </w:rPr>
              <w:t>，委托有资质单位处置。</w:t>
            </w:r>
          </w:p>
          <w:p w14:paraId="2904A9E7">
            <w:pPr>
              <w:spacing w:line="360" w:lineRule="auto"/>
              <w:ind w:firstLine="480" w:firstLineChars="20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G.废液压油</w:t>
            </w:r>
            <w:r>
              <w:rPr>
                <w:rFonts w:hint="eastAsia"/>
                <w:color w:val="auto"/>
                <w:sz w:val="24"/>
                <w:lang w:val="en-US" w:eastAsia="zh-CN"/>
              </w:rPr>
              <w:t>（S</w:t>
            </w:r>
            <w:r>
              <w:rPr>
                <w:rFonts w:hint="eastAsia"/>
                <w:color w:val="auto"/>
                <w:sz w:val="24"/>
                <w:vertAlign w:val="subscript"/>
                <w:lang w:val="en-US" w:eastAsia="zh-CN"/>
              </w:rPr>
              <w:t>13</w:t>
            </w:r>
            <w:r>
              <w:rPr>
                <w:rFonts w:hint="eastAsia"/>
                <w:color w:val="auto"/>
                <w:sz w:val="24"/>
                <w:lang w:val="en-US" w:eastAsia="zh-CN"/>
              </w:rPr>
              <w:t>）</w:t>
            </w:r>
          </w:p>
          <w:p w14:paraId="6CAE30DA">
            <w:pPr>
              <w:spacing w:line="360" w:lineRule="auto"/>
              <w:ind w:firstLine="480" w:firstLineChars="20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w:t>
            </w:r>
            <w:r>
              <w:rPr>
                <w:rFonts w:hint="default" w:ascii="Times New Roman" w:hAnsi="Times New Roman" w:eastAsia="宋体" w:cs="Times New Roman"/>
                <w:color w:val="auto"/>
                <w:sz w:val="24"/>
                <w:lang w:val="en-US" w:eastAsia="zh-CN"/>
              </w:rPr>
              <w:t>项目液压设备产生少量废液压油，类比同类项目，废液压油产生量</w:t>
            </w:r>
            <w:r>
              <w:rPr>
                <w:rFonts w:hint="eastAsia" w:ascii="Times New Roman" w:hAnsi="Times New Roman" w:eastAsia="宋体" w:cs="Times New Roman"/>
                <w:color w:val="auto"/>
                <w:sz w:val="24"/>
                <w:lang w:val="en-US" w:eastAsia="zh-CN"/>
              </w:rPr>
              <w:t>为</w:t>
            </w:r>
            <w:r>
              <w:rPr>
                <w:rFonts w:hint="default" w:ascii="Times New Roman" w:hAnsi="Times New Roman" w:eastAsia="宋体" w:cs="Times New Roman"/>
                <w:color w:val="auto"/>
                <w:sz w:val="24"/>
                <w:lang w:val="en-US" w:eastAsia="zh-CN"/>
              </w:rPr>
              <w:t>0.01t/a。</w:t>
            </w:r>
            <w:r>
              <w:rPr>
                <w:rFonts w:hint="eastAsia" w:ascii="Times New Roman" w:hAnsi="Times New Roman" w:eastAsia="宋体" w:cs="Times New Roman"/>
                <w:color w:val="auto"/>
                <w:sz w:val="24"/>
                <w:lang w:val="en-US" w:eastAsia="zh-CN"/>
              </w:rPr>
              <w:t>根据《国家危险废物名录（2025年版）》，</w:t>
            </w:r>
            <w:r>
              <w:rPr>
                <w:rFonts w:hint="default" w:ascii="Times New Roman" w:hAnsi="Times New Roman" w:eastAsia="宋体" w:cs="Times New Roman"/>
                <w:color w:val="auto"/>
                <w:sz w:val="24"/>
                <w:lang w:val="en-US" w:eastAsia="zh-CN"/>
              </w:rPr>
              <w:t>废</w:t>
            </w:r>
            <w:r>
              <w:rPr>
                <w:rFonts w:hint="eastAsia" w:ascii="Times New Roman" w:hAnsi="Times New Roman" w:eastAsia="宋体" w:cs="Times New Roman"/>
                <w:color w:val="auto"/>
                <w:sz w:val="24"/>
                <w:lang w:val="en-US" w:eastAsia="zh-CN"/>
              </w:rPr>
              <w:t>液压</w:t>
            </w:r>
            <w:r>
              <w:rPr>
                <w:rFonts w:hint="default" w:ascii="Times New Roman" w:hAnsi="Times New Roman" w:eastAsia="宋体" w:cs="Times New Roman"/>
                <w:color w:val="auto"/>
                <w:sz w:val="24"/>
                <w:lang w:val="en-US" w:eastAsia="zh-CN"/>
              </w:rPr>
              <w:t>油属于危险废物，废物类别为HW08废矿物油与含矿物油废物，废物代码为900-21</w:t>
            </w:r>
            <w:r>
              <w:rPr>
                <w:rFonts w:hint="eastAsia" w:ascii="Times New Roman" w:hAnsi="Times New Roman" w:eastAsia="宋体" w:cs="Times New Roman"/>
                <w:color w:val="auto"/>
                <w:sz w:val="24"/>
                <w:lang w:val="en-US" w:eastAsia="zh-CN"/>
              </w:rPr>
              <w:t>8</w:t>
            </w:r>
            <w:r>
              <w:rPr>
                <w:rFonts w:hint="default" w:ascii="Times New Roman" w:hAnsi="Times New Roman" w:eastAsia="宋体" w:cs="Times New Roman"/>
                <w:color w:val="auto"/>
                <w:sz w:val="24"/>
                <w:lang w:val="en-US" w:eastAsia="zh-CN"/>
              </w:rPr>
              <w:t>-08。废</w:t>
            </w:r>
            <w:r>
              <w:rPr>
                <w:rFonts w:hint="eastAsia" w:ascii="Times New Roman" w:hAnsi="Times New Roman" w:eastAsia="宋体" w:cs="Times New Roman"/>
                <w:color w:val="auto"/>
                <w:sz w:val="24"/>
                <w:lang w:val="en-US" w:eastAsia="zh-CN"/>
              </w:rPr>
              <w:t>液压</w:t>
            </w:r>
            <w:r>
              <w:rPr>
                <w:rFonts w:hint="default" w:ascii="Times New Roman" w:hAnsi="Times New Roman" w:eastAsia="宋体" w:cs="Times New Roman"/>
                <w:color w:val="auto"/>
                <w:sz w:val="24"/>
                <w:lang w:val="en-US" w:eastAsia="zh-CN"/>
              </w:rPr>
              <w:t>油收集暂存于危废贮存</w:t>
            </w:r>
            <w:r>
              <w:rPr>
                <w:rFonts w:hint="eastAsia" w:cs="Times New Roman"/>
                <w:color w:val="auto"/>
                <w:sz w:val="24"/>
                <w:lang w:val="en-US" w:eastAsia="zh-CN"/>
              </w:rPr>
              <w:t>点</w:t>
            </w:r>
            <w:r>
              <w:rPr>
                <w:rFonts w:hint="default" w:ascii="Times New Roman" w:hAnsi="Times New Roman" w:eastAsia="宋体" w:cs="Times New Roman"/>
                <w:color w:val="auto"/>
                <w:sz w:val="24"/>
                <w:lang w:val="en-US" w:eastAsia="zh-CN"/>
              </w:rPr>
              <w:t>，委托有资质单位处置。</w:t>
            </w:r>
          </w:p>
          <w:p w14:paraId="28F64F65">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fldChar w:fldCharType="begin"/>
            </w:r>
            <w:r>
              <w:rPr>
                <w:rFonts w:hint="eastAsia" w:ascii="Times New Roman" w:hAnsi="Times New Roman" w:eastAsia="宋体" w:cs="Times New Roman"/>
                <w:color w:val="auto"/>
                <w:sz w:val="24"/>
                <w:lang w:val="en-US" w:eastAsia="zh-CN"/>
              </w:rPr>
              <w:instrText xml:space="preserve"> = 3 \* GB3 \* MERGEFORMAT </w:instrText>
            </w:r>
            <w:r>
              <w:rPr>
                <w:rFonts w:hint="eastAsia" w:ascii="Times New Roman" w:hAnsi="Times New Roman" w:eastAsia="宋体" w:cs="Times New Roman"/>
                <w:color w:val="auto"/>
                <w:sz w:val="24"/>
                <w:lang w:val="en-US" w:eastAsia="zh-CN"/>
              </w:rPr>
              <w:fldChar w:fldCharType="separate"/>
            </w:r>
            <w:r>
              <w:rPr>
                <w:rFonts w:hint="eastAsia" w:ascii="Times New Roman" w:hAnsi="Times New Roman" w:eastAsia="宋体" w:cs="Times New Roman"/>
                <w:color w:val="auto"/>
                <w:sz w:val="24"/>
                <w:lang w:val="en-US" w:eastAsia="zh-CN"/>
              </w:rPr>
              <w:t>③</w:t>
            </w:r>
            <w:r>
              <w:rPr>
                <w:rFonts w:hint="eastAsia" w:ascii="Times New Roman" w:hAnsi="Times New Roman" w:eastAsia="宋体" w:cs="Times New Roman"/>
                <w:color w:val="auto"/>
                <w:sz w:val="24"/>
                <w:lang w:val="en-US" w:eastAsia="zh-CN"/>
              </w:rPr>
              <w:fldChar w:fldCharType="end"/>
            </w:r>
            <w:r>
              <w:rPr>
                <w:rFonts w:hint="eastAsia" w:ascii="Times New Roman" w:hAnsi="Times New Roman" w:eastAsia="宋体" w:cs="Times New Roman"/>
                <w:color w:val="auto"/>
                <w:sz w:val="24"/>
                <w:lang w:val="en-US" w:eastAsia="zh-CN"/>
              </w:rPr>
              <w:t>生活垃圾</w:t>
            </w:r>
            <w:r>
              <w:rPr>
                <w:rFonts w:hint="eastAsia"/>
                <w:color w:val="auto"/>
                <w:sz w:val="24"/>
                <w:lang w:val="en-US" w:eastAsia="zh-CN"/>
              </w:rPr>
              <w:t>（S</w:t>
            </w:r>
            <w:r>
              <w:rPr>
                <w:rFonts w:hint="eastAsia"/>
                <w:color w:val="auto"/>
                <w:sz w:val="24"/>
                <w:vertAlign w:val="subscript"/>
                <w:lang w:val="en-US" w:eastAsia="zh-CN"/>
              </w:rPr>
              <w:t>14</w:t>
            </w:r>
            <w:r>
              <w:rPr>
                <w:rFonts w:hint="eastAsia"/>
                <w:color w:val="auto"/>
                <w:sz w:val="24"/>
                <w:lang w:val="en-US" w:eastAsia="zh-CN"/>
              </w:rPr>
              <w:t>）</w:t>
            </w:r>
          </w:p>
          <w:p w14:paraId="44114E6B">
            <w:pPr>
              <w:spacing w:line="360" w:lineRule="auto"/>
              <w:ind w:firstLine="480" w:firstLineChars="200"/>
              <w:rPr>
                <w:rFonts w:hint="eastAsia" w:ascii="Times New Roman" w:hAnsi="Times New Roman" w:eastAsia="宋体" w:cs="Times New Roman"/>
                <w:color w:val="auto"/>
                <w:szCs w:val="24"/>
                <w:lang w:val="en-US" w:eastAsia="zh-CN"/>
              </w:rPr>
            </w:pPr>
            <w:r>
              <w:rPr>
                <w:rFonts w:hint="eastAsia" w:ascii="Times New Roman" w:hAnsi="Times New Roman" w:eastAsia="宋体" w:cs="Times New Roman"/>
                <w:color w:val="auto"/>
                <w:sz w:val="24"/>
                <w:lang w:val="en-US" w:eastAsia="zh-CN"/>
              </w:rPr>
              <w:t>本项目劳动定员50人，生活垃圾按照每人每天0.5kg估算，则生活垃圾产生量为7.5t/a，生活垃圾在厂内集中收集，由环卫部门统一拉运至生活垃圾填埋场处置。</w:t>
            </w:r>
          </w:p>
          <w:p w14:paraId="1750F53F">
            <w:pPr>
              <w:pStyle w:val="80"/>
              <w:keepNext w:val="0"/>
              <w:keepLines w:val="0"/>
              <w:pageBreakBefore w:val="0"/>
              <w:widowControl w:val="0"/>
              <w:kinsoku/>
              <w:wordWrap/>
              <w:overflowPunct/>
              <w:topLinePunct w:val="0"/>
              <w:autoSpaceDE/>
              <w:autoSpaceDN/>
              <w:bidi w:val="0"/>
              <w:adjustRightInd/>
              <w:snapToGrid w:val="0"/>
              <w:jc w:val="left"/>
              <w:textAlignment w:val="auto"/>
              <w:rPr>
                <w:rFonts w:hint="eastAsia" w:ascii="Times New Roman" w:hAnsi="Times New Roman" w:eastAsia="宋体" w:cs="Times New Roman"/>
                <w:color w:val="auto"/>
                <w:szCs w:val="24"/>
                <w:lang w:val="en-US" w:eastAsia="zh-CN"/>
              </w:rPr>
            </w:pPr>
            <w:r>
              <w:rPr>
                <w:rFonts w:hint="eastAsia" w:ascii="Times New Roman" w:hAnsi="Times New Roman" w:eastAsia="宋体" w:cs="Times New Roman"/>
                <w:color w:val="auto"/>
                <w:szCs w:val="24"/>
                <w:lang w:val="en-US" w:eastAsia="zh-CN"/>
              </w:rPr>
              <w:t>本项目各固体废物产生及去向情况见表4-1</w:t>
            </w:r>
            <w:r>
              <w:rPr>
                <w:rFonts w:hint="eastAsia" w:cs="Times New Roman"/>
                <w:color w:val="auto"/>
                <w:szCs w:val="24"/>
                <w:lang w:val="en-US" w:eastAsia="zh-CN"/>
              </w:rPr>
              <w:t>4</w:t>
            </w:r>
            <w:r>
              <w:rPr>
                <w:rFonts w:hint="eastAsia" w:ascii="Times New Roman" w:hAnsi="Times New Roman" w:eastAsia="宋体" w:cs="Times New Roman"/>
                <w:color w:val="auto"/>
                <w:szCs w:val="24"/>
                <w:lang w:val="en-US" w:eastAsia="zh-CN"/>
              </w:rPr>
              <w:t>。</w:t>
            </w:r>
          </w:p>
          <w:p w14:paraId="1B7575EE">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lang w:val="en-US" w:eastAsia="zh-CN"/>
              </w:rPr>
            </w:pPr>
          </w:p>
          <w:p w14:paraId="1337B991">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lang w:val="en-US" w:eastAsia="zh-CN"/>
              </w:rPr>
            </w:pPr>
          </w:p>
          <w:p w14:paraId="564CC9ED">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lang w:val="en-US" w:eastAsia="zh-CN"/>
              </w:rPr>
            </w:pPr>
          </w:p>
          <w:p w14:paraId="4AE49AF5">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lang w:val="en-US" w:eastAsia="zh-CN"/>
              </w:rPr>
            </w:pPr>
          </w:p>
          <w:p w14:paraId="241FF95E">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lang w:val="en-US" w:eastAsia="zh-CN"/>
              </w:rPr>
            </w:pPr>
          </w:p>
          <w:p w14:paraId="160777B9">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lang w:val="en-US" w:eastAsia="zh-CN"/>
              </w:rPr>
            </w:pPr>
          </w:p>
          <w:p w14:paraId="3122552B">
            <w:pPr>
              <w:keepNext w:val="0"/>
              <w:keepLines w:val="0"/>
              <w:pageBreakBefore w:val="0"/>
              <w:widowControl w:val="0"/>
              <w:kinsoku/>
              <w:wordWrap/>
              <w:overflowPunct/>
              <w:topLinePunct w:val="0"/>
              <w:autoSpaceDE/>
              <w:autoSpaceDN/>
              <w:bidi w:val="0"/>
              <w:adjustRightInd/>
              <w:snapToGrid/>
              <w:spacing w:before="157" w:beforeLines="50" w:line="300" w:lineRule="auto"/>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表</w:t>
            </w:r>
            <w:r>
              <w:rPr>
                <w:rFonts w:hint="eastAsia" w:ascii="Times New Roman" w:hAnsi="Times New Roman" w:eastAsia="宋体" w:cs="Times New Roman"/>
                <w:b/>
                <w:bCs/>
                <w:color w:val="auto"/>
                <w:lang w:val="en-US" w:eastAsia="zh-CN"/>
              </w:rPr>
              <w:t>4-1</w:t>
            </w:r>
            <w:r>
              <w:rPr>
                <w:rFonts w:hint="eastAsia" w:cs="Times New Roman"/>
                <w:b/>
                <w:bCs/>
                <w:color w:val="auto"/>
                <w:lang w:val="en-US" w:eastAsia="zh-CN"/>
              </w:rPr>
              <w:t>4</w:t>
            </w:r>
            <w:r>
              <w:rPr>
                <w:rFonts w:hint="default" w:ascii="Times New Roman" w:hAnsi="Times New Roman" w:eastAsia="宋体" w:cs="Times New Roman"/>
                <w:b/>
                <w:bCs/>
                <w:color w:val="auto"/>
                <w:lang w:val="en-US" w:eastAsia="zh-CN"/>
              </w:rPr>
              <w:t xml:space="preserve"> 项目固体废物产生及</w:t>
            </w:r>
            <w:r>
              <w:rPr>
                <w:rFonts w:hint="eastAsia" w:ascii="Times New Roman" w:hAnsi="Times New Roman" w:eastAsia="宋体" w:cs="Times New Roman"/>
                <w:b/>
                <w:bCs/>
                <w:color w:val="auto"/>
                <w:lang w:val="en-US" w:eastAsia="zh-CN"/>
              </w:rPr>
              <w:t>去向</w:t>
            </w:r>
            <w:r>
              <w:rPr>
                <w:rFonts w:hint="default" w:ascii="Times New Roman" w:hAnsi="Times New Roman" w:eastAsia="宋体" w:cs="Times New Roman"/>
                <w:b/>
                <w:bCs/>
                <w:color w:val="auto"/>
                <w:lang w:val="en-US" w:eastAsia="zh-CN"/>
              </w:rPr>
              <w:t>一览表</w:t>
            </w:r>
          </w:p>
          <w:tbl>
            <w:tblPr>
              <w:tblStyle w:val="26"/>
              <w:tblW w:w="781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Layout w:type="fixed"/>
              <w:tblCellMar>
                <w:top w:w="0" w:type="dxa"/>
                <w:left w:w="28" w:type="dxa"/>
                <w:bottom w:w="0" w:type="dxa"/>
                <w:right w:w="28" w:type="dxa"/>
              </w:tblCellMar>
            </w:tblPr>
            <w:tblGrid>
              <w:gridCol w:w="617"/>
              <w:gridCol w:w="598"/>
              <w:gridCol w:w="1125"/>
              <w:gridCol w:w="1041"/>
              <w:gridCol w:w="1125"/>
              <w:gridCol w:w="1000"/>
              <w:gridCol w:w="2305"/>
            </w:tblGrid>
            <w:tr w14:paraId="6348958C">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652" w:hRule="atLeast"/>
                <w:jc w:val="center"/>
              </w:trPr>
              <w:tc>
                <w:tcPr>
                  <w:tcW w:w="617" w:type="dxa"/>
                  <w:tcBorders>
                    <w:bottom w:val="single" w:color="auto" w:sz="12" w:space="0"/>
                  </w:tcBorders>
                  <w:noWrap w:val="0"/>
                  <w:vAlign w:val="center"/>
                </w:tcPr>
                <w:p w14:paraId="16857C02">
                  <w:pPr>
                    <w:adjustRightInd w:val="0"/>
                    <w:snapToGrid w:val="0"/>
                    <w:jc w:val="center"/>
                    <w:rPr>
                      <w:rFonts w:ascii="宋体" w:hAnsi="宋体" w:cs="宋体"/>
                      <w:b/>
                      <w:bCs/>
                      <w:color w:val="auto"/>
                    </w:rPr>
                  </w:pPr>
                  <w:r>
                    <w:rPr>
                      <w:rFonts w:ascii="宋体" w:hAnsi="宋体" w:cs="宋体"/>
                      <w:b/>
                      <w:bCs/>
                      <w:color w:val="auto"/>
                    </w:rPr>
                    <w:t>序号</w:t>
                  </w:r>
                </w:p>
              </w:tc>
              <w:tc>
                <w:tcPr>
                  <w:tcW w:w="598" w:type="dxa"/>
                  <w:tcBorders>
                    <w:bottom w:val="single" w:color="auto" w:sz="12" w:space="0"/>
                  </w:tcBorders>
                  <w:noWrap w:val="0"/>
                  <w:vAlign w:val="center"/>
                </w:tcPr>
                <w:p w14:paraId="03C2C66A">
                  <w:pPr>
                    <w:adjustRightInd w:val="0"/>
                    <w:snapToGrid w:val="0"/>
                    <w:jc w:val="center"/>
                    <w:rPr>
                      <w:rFonts w:ascii="宋体" w:hAnsi="宋体" w:cs="宋体"/>
                      <w:b/>
                      <w:bCs/>
                      <w:color w:val="auto"/>
                    </w:rPr>
                  </w:pPr>
                  <w:r>
                    <w:rPr>
                      <w:rFonts w:hint="eastAsia" w:ascii="宋体" w:hAnsi="宋体" w:cs="宋体"/>
                      <w:b/>
                      <w:bCs/>
                      <w:color w:val="auto"/>
                      <w:lang w:val="en-US" w:eastAsia="zh-CN"/>
                    </w:rPr>
                    <w:t>产生</w:t>
                  </w:r>
                  <w:r>
                    <w:rPr>
                      <w:rFonts w:hint="eastAsia" w:ascii="宋体" w:hAnsi="宋体" w:cs="宋体"/>
                      <w:b/>
                      <w:bCs/>
                      <w:color w:val="auto"/>
                    </w:rPr>
                    <w:t>环节</w:t>
                  </w:r>
                </w:p>
              </w:tc>
              <w:tc>
                <w:tcPr>
                  <w:tcW w:w="1125" w:type="dxa"/>
                  <w:tcBorders>
                    <w:bottom w:val="single" w:color="auto" w:sz="12" w:space="0"/>
                  </w:tcBorders>
                  <w:noWrap w:val="0"/>
                  <w:vAlign w:val="center"/>
                </w:tcPr>
                <w:p w14:paraId="34E65156">
                  <w:pPr>
                    <w:adjustRightInd w:val="0"/>
                    <w:snapToGrid w:val="0"/>
                    <w:jc w:val="center"/>
                    <w:rPr>
                      <w:rFonts w:hint="default" w:ascii="宋体" w:hAnsi="宋体" w:eastAsia="宋体" w:cs="宋体"/>
                      <w:b/>
                      <w:bCs/>
                      <w:color w:val="auto"/>
                      <w:lang w:val="en-US" w:eastAsia="zh-CN"/>
                    </w:rPr>
                  </w:pPr>
                  <w:r>
                    <w:rPr>
                      <w:rFonts w:hint="eastAsia" w:ascii="宋体" w:hAnsi="宋体" w:cs="宋体"/>
                      <w:b/>
                      <w:bCs/>
                      <w:color w:val="auto"/>
                      <w:lang w:val="en-US" w:eastAsia="zh-CN"/>
                    </w:rPr>
                    <w:t>固废名称</w:t>
                  </w:r>
                </w:p>
              </w:tc>
              <w:tc>
                <w:tcPr>
                  <w:tcW w:w="1041" w:type="dxa"/>
                  <w:tcBorders>
                    <w:bottom w:val="single" w:color="auto" w:sz="12" w:space="0"/>
                  </w:tcBorders>
                  <w:noWrap w:val="0"/>
                  <w:vAlign w:val="center"/>
                </w:tcPr>
                <w:p w14:paraId="5BE77540">
                  <w:pPr>
                    <w:adjustRightInd w:val="0"/>
                    <w:snapToGrid w:val="0"/>
                    <w:jc w:val="center"/>
                    <w:rPr>
                      <w:rFonts w:hint="default" w:ascii="宋体" w:hAnsi="宋体" w:eastAsia="宋体" w:cs="宋体"/>
                      <w:b/>
                      <w:bCs/>
                      <w:color w:val="auto"/>
                      <w:lang w:val="en-US" w:eastAsia="zh-CN"/>
                    </w:rPr>
                  </w:pPr>
                  <w:r>
                    <w:rPr>
                      <w:rFonts w:hint="eastAsia" w:ascii="宋体" w:hAnsi="宋体" w:cs="宋体"/>
                      <w:b/>
                      <w:bCs/>
                      <w:color w:val="auto"/>
                      <w:lang w:val="en-US" w:eastAsia="zh-CN"/>
                    </w:rPr>
                    <w:t>固废属性</w:t>
                  </w:r>
                </w:p>
              </w:tc>
              <w:tc>
                <w:tcPr>
                  <w:tcW w:w="1125" w:type="dxa"/>
                  <w:tcBorders>
                    <w:bottom w:val="single" w:color="auto" w:sz="12" w:space="0"/>
                  </w:tcBorders>
                  <w:noWrap w:val="0"/>
                  <w:vAlign w:val="center"/>
                </w:tcPr>
                <w:p w14:paraId="78609439">
                  <w:pPr>
                    <w:adjustRightInd w:val="0"/>
                    <w:snapToGrid w:val="0"/>
                    <w:jc w:val="center"/>
                    <w:rPr>
                      <w:rFonts w:ascii="宋体" w:hAnsi="宋体" w:cs="宋体"/>
                      <w:b/>
                      <w:bCs/>
                      <w:color w:val="auto"/>
                    </w:rPr>
                  </w:pPr>
                  <w:r>
                    <w:rPr>
                      <w:rFonts w:hint="eastAsia" w:ascii="宋体" w:hAnsi="宋体" w:cs="宋体"/>
                      <w:b/>
                      <w:bCs/>
                      <w:color w:val="auto"/>
                      <w:lang w:val="en-US" w:eastAsia="zh-CN"/>
                    </w:rPr>
                    <w:t>类别</w:t>
                  </w:r>
                  <w:r>
                    <w:rPr>
                      <w:rFonts w:hint="eastAsia" w:ascii="宋体" w:hAnsi="宋体" w:cs="宋体"/>
                      <w:b/>
                      <w:bCs/>
                      <w:color w:val="auto"/>
                    </w:rPr>
                    <w:t>代码</w:t>
                  </w:r>
                </w:p>
              </w:tc>
              <w:tc>
                <w:tcPr>
                  <w:tcW w:w="1000" w:type="dxa"/>
                  <w:tcBorders>
                    <w:bottom w:val="single" w:color="auto" w:sz="12" w:space="0"/>
                  </w:tcBorders>
                  <w:noWrap w:val="0"/>
                  <w:vAlign w:val="center"/>
                </w:tcPr>
                <w:p w14:paraId="77B4E80B">
                  <w:pPr>
                    <w:adjustRightInd w:val="0"/>
                    <w:snapToGrid w:val="0"/>
                    <w:jc w:val="center"/>
                    <w:rPr>
                      <w:rFonts w:hint="eastAsia" w:ascii="宋体" w:hAnsi="宋体" w:eastAsia="宋体" w:cs="宋体"/>
                      <w:b/>
                      <w:bCs/>
                      <w:color w:val="auto"/>
                      <w:lang w:eastAsia="zh-CN"/>
                    </w:rPr>
                  </w:pPr>
                  <w:r>
                    <w:rPr>
                      <w:rFonts w:ascii="宋体" w:hAnsi="宋体" w:cs="宋体"/>
                      <w:b/>
                      <w:bCs/>
                      <w:color w:val="auto"/>
                    </w:rPr>
                    <w:t>产生量</w:t>
                  </w:r>
                  <w:r>
                    <w:rPr>
                      <w:rFonts w:hint="eastAsia" w:ascii="宋体" w:hAnsi="宋体" w:cs="宋体"/>
                      <w:b/>
                      <w:bCs/>
                      <w:color w:val="auto"/>
                      <w:lang w:eastAsia="zh-CN"/>
                    </w:rPr>
                    <w:t>（</w:t>
                  </w:r>
                  <w:r>
                    <w:rPr>
                      <w:rFonts w:hint="eastAsia" w:ascii="宋体" w:hAnsi="宋体" w:cs="宋体"/>
                      <w:b/>
                      <w:bCs/>
                      <w:color w:val="auto"/>
                      <w:lang w:val="en-US" w:eastAsia="zh-CN"/>
                    </w:rPr>
                    <w:t>t/a</w:t>
                  </w:r>
                  <w:r>
                    <w:rPr>
                      <w:rFonts w:hint="eastAsia" w:ascii="宋体" w:hAnsi="宋体" w:cs="宋体"/>
                      <w:b/>
                      <w:bCs/>
                      <w:color w:val="auto"/>
                      <w:lang w:eastAsia="zh-CN"/>
                    </w:rPr>
                    <w:t>）</w:t>
                  </w:r>
                </w:p>
              </w:tc>
              <w:tc>
                <w:tcPr>
                  <w:tcW w:w="2305" w:type="dxa"/>
                  <w:tcBorders>
                    <w:bottom w:val="single" w:color="auto" w:sz="12" w:space="0"/>
                  </w:tcBorders>
                  <w:noWrap w:val="0"/>
                  <w:vAlign w:val="center"/>
                </w:tcPr>
                <w:p w14:paraId="1462BDED">
                  <w:pPr>
                    <w:adjustRightInd w:val="0"/>
                    <w:snapToGrid w:val="0"/>
                    <w:jc w:val="center"/>
                    <w:rPr>
                      <w:rFonts w:hint="eastAsia" w:ascii="宋体" w:hAnsi="宋体" w:eastAsia="宋体" w:cs="宋体"/>
                      <w:b/>
                      <w:bCs/>
                      <w:color w:val="auto"/>
                      <w:lang w:val="en-US" w:eastAsia="zh-CN"/>
                    </w:rPr>
                  </w:pPr>
                  <w:r>
                    <w:rPr>
                      <w:rFonts w:hint="eastAsia" w:ascii="宋体" w:hAnsi="宋体" w:cs="宋体"/>
                      <w:b/>
                      <w:bCs/>
                      <w:color w:val="auto"/>
                      <w:lang w:val="en-US" w:eastAsia="zh-CN"/>
                    </w:rPr>
                    <w:t>去向</w:t>
                  </w:r>
                </w:p>
              </w:tc>
            </w:tr>
            <w:tr w14:paraId="5306D9CA">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652" w:hRule="atLeast"/>
                <w:jc w:val="center"/>
              </w:trPr>
              <w:tc>
                <w:tcPr>
                  <w:tcW w:w="617" w:type="dxa"/>
                  <w:tcBorders>
                    <w:top w:val="single" w:color="auto" w:sz="12" w:space="0"/>
                  </w:tcBorders>
                  <w:noWrap w:val="0"/>
                  <w:vAlign w:val="center"/>
                </w:tcPr>
                <w:p w14:paraId="13E8A08B">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w:t>
                  </w:r>
                </w:p>
              </w:tc>
              <w:tc>
                <w:tcPr>
                  <w:tcW w:w="598" w:type="dxa"/>
                  <w:tcBorders>
                    <w:top w:val="single" w:color="auto" w:sz="12" w:space="0"/>
                  </w:tcBorders>
                  <w:noWrap w:val="0"/>
                  <w:vAlign w:val="center"/>
                </w:tcPr>
                <w:p w14:paraId="460E3129">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切割</w:t>
                  </w:r>
                </w:p>
              </w:tc>
              <w:tc>
                <w:tcPr>
                  <w:tcW w:w="1125" w:type="dxa"/>
                  <w:tcBorders>
                    <w:top w:val="single" w:color="auto" w:sz="12" w:space="0"/>
                  </w:tcBorders>
                  <w:noWrap w:val="0"/>
                  <w:vAlign w:val="center"/>
                </w:tcPr>
                <w:p w14:paraId="15CDA7B2">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金属屑及废边角料</w:t>
                  </w:r>
                </w:p>
              </w:tc>
              <w:tc>
                <w:tcPr>
                  <w:tcW w:w="1041" w:type="dxa"/>
                  <w:tcBorders>
                    <w:top w:val="single" w:color="auto" w:sz="12" w:space="0"/>
                  </w:tcBorders>
                  <w:noWrap w:val="0"/>
                  <w:vAlign w:val="center"/>
                </w:tcPr>
                <w:p w14:paraId="7D0BE7C1">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一般固废</w:t>
                  </w:r>
                </w:p>
              </w:tc>
              <w:tc>
                <w:tcPr>
                  <w:tcW w:w="1125" w:type="dxa"/>
                  <w:tcBorders>
                    <w:top w:val="single" w:color="auto" w:sz="12" w:space="0"/>
                  </w:tcBorders>
                  <w:noWrap w:val="0"/>
                  <w:vAlign w:val="center"/>
                </w:tcPr>
                <w:p w14:paraId="2501FA02">
                  <w:pPr>
                    <w:adjustRightInd w:val="0"/>
                    <w:snapToGrid w:val="0"/>
                    <w:jc w:val="center"/>
                    <w:rPr>
                      <w:rFonts w:hint="eastAsia" w:ascii="Times New Roman" w:hAnsi="Times New Roman" w:eastAsia="宋体" w:cs="Times New Roman"/>
                      <w:color w:val="auto"/>
                      <w:spacing w:val="-6"/>
                      <w:sz w:val="21"/>
                      <w:szCs w:val="21"/>
                      <w:lang w:val="en-US" w:eastAsia="zh-CN"/>
                    </w:rPr>
                  </w:pPr>
                  <w:r>
                    <w:rPr>
                      <w:rFonts w:hint="eastAsia" w:ascii="Times New Roman" w:hAnsi="Times New Roman" w:eastAsia="宋体" w:cs="Times New Roman"/>
                      <w:color w:val="auto"/>
                      <w:spacing w:val="-6"/>
                      <w:sz w:val="21"/>
                      <w:szCs w:val="21"/>
                      <w:lang w:val="en-US" w:eastAsia="zh-CN"/>
                    </w:rPr>
                    <w:t>S</w:t>
                  </w:r>
                  <w:r>
                    <w:rPr>
                      <w:rFonts w:hint="default" w:ascii="Times New Roman" w:hAnsi="Times New Roman" w:eastAsia="宋体" w:cs="Times New Roman"/>
                      <w:color w:val="auto"/>
                      <w:spacing w:val="-6"/>
                      <w:sz w:val="21"/>
                      <w:szCs w:val="21"/>
                      <w:lang w:val="en-US" w:eastAsia="zh-CN"/>
                    </w:rPr>
                    <w:t>W</w:t>
                  </w:r>
                  <w:r>
                    <w:rPr>
                      <w:rFonts w:hint="eastAsia" w:ascii="Times New Roman" w:hAnsi="Times New Roman" w:eastAsia="宋体" w:cs="Times New Roman"/>
                      <w:color w:val="auto"/>
                      <w:spacing w:val="-6"/>
                      <w:sz w:val="21"/>
                      <w:szCs w:val="21"/>
                      <w:lang w:val="en-US" w:eastAsia="zh-CN"/>
                    </w:rPr>
                    <w:t>17</w:t>
                  </w:r>
                </w:p>
                <w:p w14:paraId="2C15D210">
                  <w:pPr>
                    <w:adjustRightInd w:val="0"/>
                    <w:snapToGrid w:val="0"/>
                    <w:jc w:val="center"/>
                    <w:rPr>
                      <w:rFonts w:hint="eastAsia" w:ascii="Times New Roman" w:hAnsi="Times New Roman" w:eastAsia="宋体" w:cs="Times New Roman"/>
                      <w:color w:val="auto"/>
                      <w:spacing w:val="-6"/>
                      <w:sz w:val="21"/>
                      <w:szCs w:val="21"/>
                      <w:lang w:val="en-US" w:eastAsia="zh-CN"/>
                    </w:rPr>
                  </w:pPr>
                  <w:r>
                    <w:rPr>
                      <w:rFonts w:hint="eastAsia" w:ascii="Times New Roman" w:hAnsi="Times New Roman" w:eastAsia="宋体" w:cs="Times New Roman"/>
                      <w:color w:val="auto"/>
                      <w:spacing w:val="-6"/>
                      <w:sz w:val="21"/>
                      <w:szCs w:val="21"/>
                      <w:lang w:val="en-US" w:eastAsia="zh-CN"/>
                    </w:rPr>
                    <w:t>900-001-S17</w:t>
                  </w:r>
                </w:p>
              </w:tc>
              <w:tc>
                <w:tcPr>
                  <w:tcW w:w="1000" w:type="dxa"/>
                  <w:tcBorders>
                    <w:top w:val="single" w:color="auto" w:sz="12" w:space="0"/>
                  </w:tcBorders>
                  <w:noWrap w:val="0"/>
                  <w:vAlign w:val="center"/>
                </w:tcPr>
                <w:p w14:paraId="52A9BC80">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113.5t/a</w:t>
                  </w:r>
                </w:p>
              </w:tc>
              <w:tc>
                <w:tcPr>
                  <w:tcW w:w="2305" w:type="dxa"/>
                  <w:vMerge w:val="restart"/>
                  <w:tcBorders>
                    <w:top w:val="single" w:color="auto" w:sz="12" w:space="0"/>
                  </w:tcBorders>
                  <w:noWrap w:val="0"/>
                  <w:vAlign w:val="center"/>
                </w:tcPr>
                <w:p w14:paraId="7037175B">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分类收集暂存于</w:t>
                  </w:r>
                  <w:r>
                    <w:rPr>
                      <w:rFonts w:hint="eastAsia" w:ascii="Times New Roman" w:hAnsi="Times New Roman" w:eastAsia="宋体" w:cs="Times New Roman"/>
                      <w:color w:val="auto"/>
                      <w:spacing w:val="-6"/>
                      <w:sz w:val="21"/>
                      <w:szCs w:val="21"/>
                      <w:lang w:val="en-US" w:eastAsia="zh-CN"/>
                    </w:rPr>
                    <w:t>一般固废暂存区，外售综合利用。</w:t>
                  </w:r>
                </w:p>
              </w:tc>
            </w:tr>
            <w:tr w14:paraId="1033423F">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652" w:hRule="atLeast"/>
                <w:jc w:val="center"/>
              </w:trPr>
              <w:tc>
                <w:tcPr>
                  <w:tcW w:w="617" w:type="dxa"/>
                  <w:noWrap w:val="0"/>
                  <w:vAlign w:val="center"/>
                </w:tcPr>
                <w:p w14:paraId="02A582C4">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w:t>
                  </w:r>
                </w:p>
              </w:tc>
              <w:tc>
                <w:tcPr>
                  <w:tcW w:w="598" w:type="dxa"/>
                  <w:noWrap w:val="0"/>
                  <w:vAlign w:val="center"/>
                </w:tcPr>
                <w:p w14:paraId="70CB67FB">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焊接</w:t>
                  </w:r>
                </w:p>
              </w:tc>
              <w:tc>
                <w:tcPr>
                  <w:tcW w:w="1125" w:type="dxa"/>
                  <w:noWrap w:val="0"/>
                  <w:vAlign w:val="center"/>
                </w:tcPr>
                <w:p w14:paraId="49AFFD09">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焊渣</w:t>
                  </w:r>
                </w:p>
              </w:tc>
              <w:tc>
                <w:tcPr>
                  <w:tcW w:w="1041" w:type="dxa"/>
                  <w:shd w:val="clear" w:color="auto" w:fill="auto"/>
                  <w:noWrap w:val="0"/>
                  <w:vAlign w:val="center"/>
                </w:tcPr>
                <w:p w14:paraId="0828CEEA">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一般固废</w:t>
                  </w:r>
                </w:p>
              </w:tc>
              <w:tc>
                <w:tcPr>
                  <w:tcW w:w="1125" w:type="dxa"/>
                  <w:shd w:val="clear" w:color="auto" w:fill="auto"/>
                  <w:noWrap w:val="0"/>
                  <w:vAlign w:val="center"/>
                </w:tcPr>
                <w:p w14:paraId="19BCA451">
                  <w:pPr>
                    <w:adjustRightInd w:val="0"/>
                    <w:snapToGrid w:val="0"/>
                    <w:jc w:val="center"/>
                    <w:rPr>
                      <w:rFonts w:hint="eastAsia" w:ascii="Times New Roman" w:hAnsi="Times New Roman" w:eastAsia="宋体" w:cs="Times New Roman"/>
                      <w:color w:val="auto"/>
                      <w:spacing w:val="-6"/>
                      <w:sz w:val="21"/>
                      <w:szCs w:val="21"/>
                      <w:lang w:val="en-US" w:eastAsia="zh-CN"/>
                    </w:rPr>
                  </w:pPr>
                  <w:r>
                    <w:rPr>
                      <w:rFonts w:hint="eastAsia" w:ascii="Times New Roman" w:hAnsi="Times New Roman" w:eastAsia="宋体" w:cs="Times New Roman"/>
                      <w:color w:val="auto"/>
                      <w:spacing w:val="-6"/>
                      <w:sz w:val="21"/>
                      <w:szCs w:val="21"/>
                      <w:lang w:val="en-US" w:eastAsia="zh-CN"/>
                    </w:rPr>
                    <w:t>S</w:t>
                  </w:r>
                  <w:r>
                    <w:rPr>
                      <w:rFonts w:hint="default" w:ascii="Times New Roman" w:hAnsi="Times New Roman" w:eastAsia="宋体" w:cs="Times New Roman"/>
                      <w:color w:val="auto"/>
                      <w:spacing w:val="-6"/>
                      <w:sz w:val="21"/>
                      <w:szCs w:val="21"/>
                      <w:lang w:val="en-US" w:eastAsia="zh-CN"/>
                    </w:rPr>
                    <w:t>W</w:t>
                  </w:r>
                  <w:r>
                    <w:rPr>
                      <w:rFonts w:hint="eastAsia" w:ascii="Times New Roman" w:hAnsi="Times New Roman" w:eastAsia="宋体" w:cs="Times New Roman"/>
                      <w:color w:val="auto"/>
                      <w:spacing w:val="-6"/>
                      <w:sz w:val="21"/>
                      <w:szCs w:val="21"/>
                      <w:lang w:val="en-US" w:eastAsia="zh-CN"/>
                    </w:rPr>
                    <w:t>59</w:t>
                  </w:r>
                </w:p>
                <w:p w14:paraId="5DBD2C99">
                  <w:pPr>
                    <w:adjustRightInd w:val="0"/>
                    <w:snapToGrid w:val="0"/>
                    <w:jc w:val="center"/>
                    <w:rPr>
                      <w:rFonts w:hint="default" w:ascii="Times New Roman" w:hAnsi="Times New Roman" w:eastAsia="宋体" w:cs="Times New Roman"/>
                      <w:color w:val="auto"/>
                      <w:spacing w:val="-6"/>
                      <w:sz w:val="21"/>
                      <w:szCs w:val="21"/>
                      <w:lang w:val="en-US" w:eastAsia="zh-CN"/>
                    </w:rPr>
                  </w:pPr>
                  <w:r>
                    <w:rPr>
                      <w:rFonts w:hint="eastAsia" w:ascii="Times New Roman" w:hAnsi="Times New Roman" w:eastAsia="宋体" w:cs="Times New Roman"/>
                      <w:color w:val="auto"/>
                      <w:spacing w:val="-6"/>
                      <w:sz w:val="21"/>
                      <w:szCs w:val="21"/>
                      <w:lang w:val="en-US" w:eastAsia="zh-CN"/>
                    </w:rPr>
                    <w:t>900-099-S59</w:t>
                  </w:r>
                </w:p>
              </w:tc>
              <w:tc>
                <w:tcPr>
                  <w:tcW w:w="1000" w:type="dxa"/>
                  <w:noWrap w:val="0"/>
                  <w:vAlign w:val="center"/>
                </w:tcPr>
                <w:p w14:paraId="70F7179B">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8.51t/a</w:t>
                  </w:r>
                </w:p>
              </w:tc>
              <w:tc>
                <w:tcPr>
                  <w:tcW w:w="2305" w:type="dxa"/>
                  <w:vMerge w:val="continue"/>
                  <w:noWrap w:val="0"/>
                  <w:vAlign w:val="center"/>
                </w:tcPr>
                <w:p w14:paraId="537E2C3B">
                  <w:pPr>
                    <w:adjustRightInd w:val="0"/>
                    <w:snapToGrid w:val="0"/>
                    <w:jc w:val="center"/>
                    <w:rPr>
                      <w:rFonts w:hint="eastAsia" w:ascii="Times New Roman" w:hAnsi="Times New Roman" w:eastAsia="宋体" w:cs="Times New Roman"/>
                      <w:color w:val="auto"/>
                      <w:szCs w:val="21"/>
                      <w:lang w:val="en-US" w:eastAsia="zh-CN"/>
                    </w:rPr>
                  </w:pPr>
                </w:p>
              </w:tc>
            </w:tr>
            <w:tr w14:paraId="016AC23E">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652" w:hRule="atLeast"/>
                <w:jc w:val="center"/>
              </w:trPr>
              <w:tc>
                <w:tcPr>
                  <w:tcW w:w="617" w:type="dxa"/>
                  <w:noWrap w:val="0"/>
                  <w:vAlign w:val="center"/>
                </w:tcPr>
                <w:p w14:paraId="132EB466">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3</w:t>
                  </w:r>
                </w:p>
              </w:tc>
              <w:tc>
                <w:tcPr>
                  <w:tcW w:w="598" w:type="dxa"/>
                  <w:noWrap w:val="0"/>
                  <w:vAlign w:val="center"/>
                </w:tcPr>
                <w:p w14:paraId="2EBCCC5D">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打磨</w:t>
                  </w:r>
                </w:p>
              </w:tc>
              <w:tc>
                <w:tcPr>
                  <w:tcW w:w="1125" w:type="dxa"/>
                  <w:noWrap w:val="0"/>
                  <w:vAlign w:val="center"/>
                </w:tcPr>
                <w:p w14:paraId="76611611">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金属磨屑</w:t>
                  </w:r>
                </w:p>
              </w:tc>
              <w:tc>
                <w:tcPr>
                  <w:tcW w:w="1041" w:type="dxa"/>
                  <w:shd w:val="clear" w:color="auto" w:fill="auto"/>
                  <w:noWrap w:val="0"/>
                  <w:vAlign w:val="center"/>
                </w:tcPr>
                <w:p w14:paraId="43276E5C">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一般固废</w:t>
                  </w:r>
                </w:p>
              </w:tc>
              <w:tc>
                <w:tcPr>
                  <w:tcW w:w="1125" w:type="dxa"/>
                  <w:shd w:val="clear" w:color="auto" w:fill="auto"/>
                  <w:noWrap w:val="0"/>
                  <w:vAlign w:val="center"/>
                </w:tcPr>
                <w:p w14:paraId="69E7E413">
                  <w:pPr>
                    <w:adjustRightInd w:val="0"/>
                    <w:snapToGrid w:val="0"/>
                    <w:jc w:val="center"/>
                    <w:rPr>
                      <w:rFonts w:hint="eastAsia" w:ascii="Times New Roman" w:hAnsi="Times New Roman" w:eastAsia="宋体" w:cs="Times New Roman"/>
                      <w:color w:val="auto"/>
                      <w:spacing w:val="-6"/>
                      <w:sz w:val="21"/>
                      <w:szCs w:val="21"/>
                      <w:lang w:val="en-US" w:eastAsia="zh-CN"/>
                    </w:rPr>
                  </w:pPr>
                  <w:r>
                    <w:rPr>
                      <w:rFonts w:hint="eastAsia" w:ascii="Times New Roman" w:hAnsi="Times New Roman" w:eastAsia="宋体" w:cs="Times New Roman"/>
                      <w:color w:val="auto"/>
                      <w:spacing w:val="-6"/>
                      <w:sz w:val="21"/>
                      <w:szCs w:val="21"/>
                      <w:lang w:val="en-US" w:eastAsia="zh-CN"/>
                    </w:rPr>
                    <w:t>S</w:t>
                  </w:r>
                  <w:r>
                    <w:rPr>
                      <w:rFonts w:hint="default" w:ascii="Times New Roman" w:hAnsi="Times New Roman" w:eastAsia="宋体" w:cs="Times New Roman"/>
                      <w:color w:val="auto"/>
                      <w:spacing w:val="-6"/>
                      <w:sz w:val="21"/>
                      <w:szCs w:val="21"/>
                      <w:lang w:val="en-US" w:eastAsia="zh-CN"/>
                    </w:rPr>
                    <w:t>W</w:t>
                  </w:r>
                  <w:r>
                    <w:rPr>
                      <w:rFonts w:hint="eastAsia" w:ascii="Times New Roman" w:hAnsi="Times New Roman" w:eastAsia="宋体" w:cs="Times New Roman"/>
                      <w:color w:val="auto"/>
                      <w:spacing w:val="-6"/>
                      <w:sz w:val="21"/>
                      <w:szCs w:val="21"/>
                      <w:lang w:val="en-US" w:eastAsia="zh-CN"/>
                    </w:rPr>
                    <w:t>59</w:t>
                  </w:r>
                </w:p>
                <w:p w14:paraId="6175D783">
                  <w:pPr>
                    <w:adjustRightInd w:val="0"/>
                    <w:snapToGrid w:val="0"/>
                    <w:jc w:val="center"/>
                    <w:rPr>
                      <w:rFonts w:hint="eastAsia" w:ascii="Times New Roman" w:hAnsi="Times New Roman" w:eastAsia="宋体" w:cs="Times New Roman"/>
                      <w:color w:val="auto"/>
                      <w:spacing w:val="-6"/>
                      <w:sz w:val="21"/>
                      <w:szCs w:val="21"/>
                      <w:lang w:val="en-US" w:eastAsia="zh-CN"/>
                    </w:rPr>
                  </w:pPr>
                  <w:r>
                    <w:rPr>
                      <w:rFonts w:hint="eastAsia" w:ascii="Times New Roman" w:hAnsi="Times New Roman" w:eastAsia="宋体" w:cs="Times New Roman"/>
                      <w:color w:val="auto"/>
                      <w:spacing w:val="-6"/>
                      <w:sz w:val="21"/>
                      <w:szCs w:val="21"/>
                      <w:lang w:val="en-US" w:eastAsia="zh-CN"/>
                    </w:rPr>
                    <w:t>900-099-S59</w:t>
                  </w:r>
                </w:p>
              </w:tc>
              <w:tc>
                <w:tcPr>
                  <w:tcW w:w="1000" w:type="dxa"/>
                  <w:noWrap w:val="0"/>
                  <w:vAlign w:val="center"/>
                </w:tcPr>
                <w:p w14:paraId="47400961">
                  <w:pPr>
                    <w:adjustRightInd w:val="0"/>
                    <w:snapToGrid w:val="0"/>
                    <w:jc w:val="center"/>
                    <w:rPr>
                      <w:rFonts w:hint="eastAsia" w:ascii="Times New Roman" w:hAnsi="Times New Roman" w:eastAsia="宋体" w:cs="Times New Roman"/>
                      <w:color w:val="0000FF"/>
                      <w:szCs w:val="21"/>
                      <w:lang w:val="en-US" w:eastAsia="zh-CN"/>
                    </w:rPr>
                  </w:pPr>
                  <w:r>
                    <w:rPr>
                      <w:rFonts w:hint="eastAsia" w:cs="Times New Roman"/>
                      <w:color w:val="0000FF"/>
                      <w:szCs w:val="21"/>
                      <w:lang w:val="en-US" w:eastAsia="zh-CN"/>
                    </w:rPr>
                    <w:t>5.62</w:t>
                  </w:r>
                  <w:r>
                    <w:rPr>
                      <w:rFonts w:hint="eastAsia" w:ascii="Times New Roman" w:hAnsi="Times New Roman" w:eastAsia="宋体" w:cs="Times New Roman"/>
                      <w:color w:val="0000FF"/>
                      <w:szCs w:val="21"/>
                      <w:lang w:val="en-US" w:eastAsia="zh-CN"/>
                    </w:rPr>
                    <w:t>t/a</w:t>
                  </w:r>
                </w:p>
              </w:tc>
              <w:tc>
                <w:tcPr>
                  <w:tcW w:w="2305" w:type="dxa"/>
                  <w:vMerge w:val="continue"/>
                  <w:noWrap w:val="0"/>
                  <w:vAlign w:val="center"/>
                </w:tcPr>
                <w:p w14:paraId="59A81CC3">
                  <w:pPr>
                    <w:adjustRightInd w:val="0"/>
                    <w:snapToGrid w:val="0"/>
                    <w:jc w:val="center"/>
                    <w:rPr>
                      <w:rFonts w:hint="eastAsia" w:ascii="Times New Roman" w:hAnsi="Times New Roman" w:eastAsia="宋体" w:cs="Times New Roman"/>
                      <w:color w:val="auto"/>
                      <w:szCs w:val="21"/>
                      <w:lang w:val="en-US" w:eastAsia="zh-CN"/>
                    </w:rPr>
                  </w:pPr>
                </w:p>
              </w:tc>
            </w:tr>
            <w:tr w14:paraId="6B41ABCC">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652" w:hRule="atLeast"/>
                <w:jc w:val="center"/>
              </w:trPr>
              <w:tc>
                <w:tcPr>
                  <w:tcW w:w="617" w:type="dxa"/>
                  <w:noWrap w:val="0"/>
                  <w:vAlign w:val="center"/>
                </w:tcPr>
                <w:p w14:paraId="4B6C7114">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4</w:t>
                  </w:r>
                </w:p>
              </w:tc>
              <w:tc>
                <w:tcPr>
                  <w:tcW w:w="598" w:type="dxa"/>
                  <w:noWrap w:val="0"/>
                  <w:vAlign w:val="center"/>
                </w:tcPr>
                <w:p w14:paraId="01E7F3EB">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抛丸</w:t>
                  </w:r>
                </w:p>
              </w:tc>
              <w:tc>
                <w:tcPr>
                  <w:tcW w:w="1125" w:type="dxa"/>
                  <w:noWrap w:val="0"/>
                  <w:vAlign w:val="center"/>
                </w:tcPr>
                <w:p w14:paraId="60AE95C5">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铁锈渣</w:t>
                  </w:r>
                </w:p>
              </w:tc>
              <w:tc>
                <w:tcPr>
                  <w:tcW w:w="1041" w:type="dxa"/>
                  <w:shd w:val="clear" w:color="auto" w:fill="auto"/>
                  <w:noWrap w:val="0"/>
                  <w:vAlign w:val="center"/>
                </w:tcPr>
                <w:p w14:paraId="654D5248">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一般固废</w:t>
                  </w:r>
                </w:p>
              </w:tc>
              <w:tc>
                <w:tcPr>
                  <w:tcW w:w="1125" w:type="dxa"/>
                  <w:shd w:val="clear" w:color="auto" w:fill="auto"/>
                  <w:noWrap w:val="0"/>
                  <w:vAlign w:val="center"/>
                </w:tcPr>
                <w:p w14:paraId="6D6CA64A">
                  <w:pPr>
                    <w:adjustRightInd w:val="0"/>
                    <w:snapToGrid w:val="0"/>
                    <w:jc w:val="center"/>
                    <w:rPr>
                      <w:rFonts w:hint="eastAsia" w:ascii="Times New Roman" w:hAnsi="Times New Roman" w:eastAsia="宋体" w:cs="Times New Roman"/>
                      <w:color w:val="auto"/>
                      <w:spacing w:val="-6"/>
                      <w:sz w:val="21"/>
                      <w:szCs w:val="21"/>
                      <w:lang w:val="en-US" w:eastAsia="zh-CN"/>
                    </w:rPr>
                  </w:pPr>
                  <w:r>
                    <w:rPr>
                      <w:rFonts w:hint="eastAsia" w:ascii="Times New Roman" w:hAnsi="Times New Roman" w:eastAsia="宋体" w:cs="Times New Roman"/>
                      <w:color w:val="auto"/>
                      <w:spacing w:val="-6"/>
                      <w:sz w:val="21"/>
                      <w:szCs w:val="21"/>
                      <w:lang w:val="en-US" w:eastAsia="zh-CN"/>
                    </w:rPr>
                    <w:t>S</w:t>
                  </w:r>
                  <w:r>
                    <w:rPr>
                      <w:rFonts w:hint="default" w:ascii="Times New Roman" w:hAnsi="Times New Roman" w:eastAsia="宋体" w:cs="Times New Roman"/>
                      <w:color w:val="auto"/>
                      <w:spacing w:val="-6"/>
                      <w:sz w:val="21"/>
                      <w:szCs w:val="21"/>
                      <w:lang w:val="en-US" w:eastAsia="zh-CN"/>
                    </w:rPr>
                    <w:t>W</w:t>
                  </w:r>
                  <w:r>
                    <w:rPr>
                      <w:rFonts w:hint="eastAsia" w:ascii="Times New Roman" w:hAnsi="Times New Roman" w:eastAsia="宋体" w:cs="Times New Roman"/>
                      <w:color w:val="auto"/>
                      <w:spacing w:val="-6"/>
                      <w:sz w:val="21"/>
                      <w:szCs w:val="21"/>
                      <w:lang w:val="en-US" w:eastAsia="zh-CN"/>
                    </w:rPr>
                    <w:t>59</w:t>
                  </w:r>
                </w:p>
                <w:p w14:paraId="170A1DA5">
                  <w:pPr>
                    <w:adjustRightInd w:val="0"/>
                    <w:snapToGrid w:val="0"/>
                    <w:jc w:val="center"/>
                    <w:rPr>
                      <w:rFonts w:hint="eastAsia" w:ascii="Times New Roman" w:hAnsi="Times New Roman" w:eastAsia="宋体" w:cs="Times New Roman"/>
                      <w:color w:val="auto"/>
                      <w:spacing w:val="-6"/>
                      <w:kern w:val="2"/>
                      <w:sz w:val="21"/>
                      <w:szCs w:val="21"/>
                      <w:lang w:val="en-US" w:eastAsia="zh-CN" w:bidi="ar-SA"/>
                    </w:rPr>
                  </w:pPr>
                  <w:r>
                    <w:rPr>
                      <w:rFonts w:hint="eastAsia" w:ascii="Times New Roman" w:hAnsi="Times New Roman" w:eastAsia="宋体" w:cs="Times New Roman"/>
                      <w:color w:val="auto"/>
                      <w:spacing w:val="-6"/>
                      <w:sz w:val="21"/>
                      <w:szCs w:val="21"/>
                      <w:lang w:val="en-US" w:eastAsia="zh-CN"/>
                    </w:rPr>
                    <w:t>900-099-S59</w:t>
                  </w:r>
                </w:p>
              </w:tc>
              <w:tc>
                <w:tcPr>
                  <w:tcW w:w="1000" w:type="dxa"/>
                  <w:noWrap w:val="0"/>
                  <w:vAlign w:val="center"/>
                </w:tcPr>
                <w:p w14:paraId="680C3D84">
                  <w:pPr>
                    <w:adjustRightInd w:val="0"/>
                    <w:snapToGrid w:val="0"/>
                    <w:jc w:val="center"/>
                    <w:rPr>
                      <w:rFonts w:hint="eastAsia" w:ascii="Times New Roman" w:hAnsi="Times New Roman" w:eastAsia="宋体" w:cs="Times New Roman"/>
                      <w:color w:val="0000FF"/>
                      <w:szCs w:val="21"/>
                      <w:lang w:val="en-US" w:eastAsia="zh-CN"/>
                    </w:rPr>
                  </w:pPr>
                  <w:r>
                    <w:rPr>
                      <w:rFonts w:hint="eastAsia" w:cs="Times New Roman"/>
                      <w:color w:val="0000FF"/>
                      <w:szCs w:val="21"/>
                      <w:lang w:val="en-US" w:eastAsia="zh-CN"/>
                    </w:rPr>
                    <w:t>6.24</w:t>
                  </w:r>
                  <w:r>
                    <w:rPr>
                      <w:rFonts w:hint="eastAsia" w:ascii="Times New Roman" w:hAnsi="Times New Roman" w:eastAsia="宋体" w:cs="Times New Roman"/>
                      <w:color w:val="0000FF"/>
                      <w:szCs w:val="21"/>
                      <w:lang w:val="en-US" w:eastAsia="zh-CN"/>
                    </w:rPr>
                    <w:t>t/a</w:t>
                  </w:r>
                </w:p>
              </w:tc>
              <w:tc>
                <w:tcPr>
                  <w:tcW w:w="2305" w:type="dxa"/>
                  <w:vMerge w:val="continue"/>
                  <w:noWrap w:val="0"/>
                  <w:vAlign w:val="center"/>
                </w:tcPr>
                <w:p w14:paraId="09A5D0CD">
                  <w:pPr>
                    <w:adjustRightInd w:val="0"/>
                    <w:snapToGrid w:val="0"/>
                    <w:jc w:val="center"/>
                    <w:rPr>
                      <w:rFonts w:hint="eastAsia" w:ascii="Times New Roman" w:hAnsi="Times New Roman" w:eastAsia="宋体" w:cs="Times New Roman"/>
                      <w:color w:val="auto"/>
                      <w:szCs w:val="21"/>
                      <w:lang w:val="en-US" w:eastAsia="zh-CN"/>
                    </w:rPr>
                  </w:pPr>
                </w:p>
              </w:tc>
            </w:tr>
            <w:tr w14:paraId="2C5DF114">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652" w:hRule="atLeast"/>
                <w:jc w:val="center"/>
              </w:trPr>
              <w:tc>
                <w:tcPr>
                  <w:tcW w:w="617" w:type="dxa"/>
                  <w:shd w:val="clear" w:color="auto" w:fill="auto"/>
                  <w:noWrap w:val="0"/>
                  <w:vAlign w:val="center"/>
                </w:tcPr>
                <w:p w14:paraId="1BA55228">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5</w:t>
                  </w:r>
                </w:p>
              </w:tc>
              <w:tc>
                <w:tcPr>
                  <w:tcW w:w="598" w:type="dxa"/>
                  <w:vMerge w:val="restart"/>
                  <w:noWrap w:val="0"/>
                  <w:vAlign w:val="center"/>
                </w:tcPr>
                <w:p w14:paraId="20B626CC">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涂装</w:t>
                  </w:r>
                </w:p>
              </w:tc>
              <w:tc>
                <w:tcPr>
                  <w:tcW w:w="1125" w:type="dxa"/>
                  <w:shd w:val="clear" w:color="auto" w:fill="auto"/>
                  <w:noWrap w:val="0"/>
                  <w:vAlign w:val="center"/>
                </w:tcPr>
                <w:p w14:paraId="42DDA733">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漆渣及废过滤棉</w:t>
                  </w:r>
                </w:p>
              </w:tc>
              <w:tc>
                <w:tcPr>
                  <w:tcW w:w="1041" w:type="dxa"/>
                  <w:noWrap w:val="0"/>
                  <w:vAlign w:val="center"/>
                </w:tcPr>
                <w:p w14:paraId="74EF9790">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危险废物</w:t>
                  </w:r>
                </w:p>
              </w:tc>
              <w:tc>
                <w:tcPr>
                  <w:tcW w:w="1125" w:type="dxa"/>
                  <w:noWrap w:val="0"/>
                  <w:vAlign w:val="center"/>
                </w:tcPr>
                <w:p w14:paraId="15ABE10A">
                  <w:pPr>
                    <w:adjustRightInd w:val="0"/>
                    <w:snapToGrid w:val="0"/>
                    <w:jc w:val="center"/>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HW49</w:t>
                  </w:r>
                </w:p>
                <w:p w14:paraId="4EC3B876">
                  <w:pPr>
                    <w:adjustRightInd w:val="0"/>
                    <w:snapToGrid w:val="0"/>
                    <w:jc w:val="center"/>
                    <w:rPr>
                      <w:rFonts w:hint="eastAsia"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900-041-49</w:t>
                  </w:r>
                </w:p>
              </w:tc>
              <w:tc>
                <w:tcPr>
                  <w:tcW w:w="1000" w:type="dxa"/>
                  <w:noWrap w:val="0"/>
                  <w:vAlign w:val="center"/>
                </w:tcPr>
                <w:p w14:paraId="777ED5FC">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0000FF"/>
                      <w:szCs w:val="21"/>
                      <w:lang w:val="en-US" w:eastAsia="zh-CN"/>
                    </w:rPr>
                    <w:t>4.</w:t>
                  </w:r>
                  <w:r>
                    <w:rPr>
                      <w:rFonts w:hint="eastAsia" w:cs="Times New Roman"/>
                      <w:color w:val="0000FF"/>
                      <w:szCs w:val="21"/>
                      <w:lang w:val="en-US" w:eastAsia="zh-CN"/>
                    </w:rPr>
                    <w:t>77</w:t>
                  </w:r>
                  <w:r>
                    <w:rPr>
                      <w:rFonts w:hint="eastAsia" w:ascii="Times New Roman" w:hAnsi="Times New Roman" w:eastAsia="宋体" w:cs="Times New Roman"/>
                      <w:color w:val="0000FF"/>
                      <w:szCs w:val="21"/>
                      <w:lang w:val="en-US" w:eastAsia="zh-CN"/>
                    </w:rPr>
                    <w:t>t/a</w:t>
                  </w:r>
                </w:p>
              </w:tc>
              <w:tc>
                <w:tcPr>
                  <w:tcW w:w="2305" w:type="dxa"/>
                  <w:vMerge w:val="restart"/>
                  <w:noWrap w:val="0"/>
                  <w:vAlign w:val="center"/>
                </w:tcPr>
                <w:p w14:paraId="20CD6087">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pacing w:val="-6"/>
                      <w:sz w:val="21"/>
                      <w:szCs w:val="21"/>
                      <w:lang w:val="en-US" w:eastAsia="zh-CN"/>
                    </w:rPr>
                    <w:t>分类收集暂存于危废贮存</w:t>
                  </w:r>
                  <w:r>
                    <w:rPr>
                      <w:rFonts w:hint="eastAsia" w:cs="Times New Roman"/>
                      <w:color w:val="auto"/>
                      <w:spacing w:val="-6"/>
                      <w:sz w:val="21"/>
                      <w:szCs w:val="21"/>
                      <w:lang w:val="en-US" w:eastAsia="zh-CN"/>
                    </w:rPr>
                    <w:t>点</w:t>
                  </w:r>
                  <w:r>
                    <w:rPr>
                      <w:rFonts w:hint="eastAsia" w:ascii="Times New Roman" w:hAnsi="Times New Roman" w:eastAsia="宋体" w:cs="Times New Roman"/>
                      <w:color w:val="auto"/>
                      <w:spacing w:val="-6"/>
                      <w:sz w:val="21"/>
                      <w:szCs w:val="21"/>
                      <w:lang w:val="en-US" w:eastAsia="zh-CN"/>
                    </w:rPr>
                    <w:t>，委托有资质单位处置。</w:t>
                  </w:r>
                </w:p>
              </w:tc>
            </w:tr>
            <w:tr w14:paraId="2520AE19">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652" w:hRule="atLeast"/>
                <w:jc w:val="center"/>
              </w:trPr>
              <w:tc>
                <w:tcPr>
                  <w:tcW w:w="617" w:type="dxa"/>
                  <w:shd w:val="clear" w:color="auto" w:fill="auto"/>
                  <w:noWrap w:val="0"/>
                  <w:vAlign w:val="center"/>
                </w:tcPr>
                <w:p w14:paraId="6CB05577">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6</w:t>
                  </w:r>
                </w:p>
              </w:tc>
              <w:tc>
                <w:tcPr>
                  <w:tcW w:w="598" w:type="dxa"/>
                  <w:vMerge w:val="continue"/>
                  <w:noWrap w:val="0"/>
                  <w:vAlign w:val="center"/>
                </w:tcPr>
                <w:p w14:paraId="5E3D9FAC">
                  <w:pPr>
                    <w:adjustRightInd w:val="0"/>
                    <w:snapToGrid w:val="0"/>
                    <w:jc w:val="center"/>
                    <w:rPr>
                      <w:rFonts w:hint="eastAsia" w:ascii="Times New Roman" w:hAnsi="Times New Roman" w:eastAsia="宋体" w:cs="Times New Roman"/>
                      <w:color w:val="auto"/>
                      <w:szCs w:val="21"/>
                      <w:lang w:val="en-US" w:eastAsia="zh-CN"/>
                    </w:rPr>
                  </w:pPr>
                </w:p>
              </w:tc>
              <w:tc>
                <w:tcPr>
                  <w:tcW w:w="1125" w:type="dxa"/>
                  <w:shd w:val="clear" w:color="auto" w:fill="auto"/>
                  <w:noWrap w:val="0"/>
                  <w:vAlign w:val="center"/>
                </w:tcPr>
                <w:p w14:paraId="464D3D2F">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废包装桶</w:t>
                  </w:r>
                </w:p>
              </w:tc>
              <w:tc>
                <w:tcPr>
                  <w:tcW w:w="1041" w:type="dxa"/>
                  <w:shd w:val="clear" w:color="auto" w:fill="auto"/>
                  <w:noWrap w:val="0"/>
                  <w:vAlign w:val="center"/>
                </w:tcPr>
                <w:p w14:paraId="1C3AB389">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危险废物</w:t>
                  </w:r>
                </w:p>
              </w:tc>
              <w:tc>
                <w:tcPr>
                  <w:tcW w:w="1125" w:type="dxa"/>
                  <w:shd w:val="clear" w:color="auto" w:fill="auto"/>
                  <w:noWrap w:val="0"/>
                  <w:vAlign w:val="center"/>
                </w:tcPr>
                <w:p w14:paraId="18231407">
                  <w:pPr>
                    <w:adjustRightInd w:val="0"/>
                    <w:snapToGrid w:val="0"/>
                    <w:jc w:val="center"/>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HW49</w:t>
                  </w:r>
                </w:p>
                <w:p w14:paraId="3AC865EE">
                  <w:pPr>
                    <w:adjustRightInd w:val="0"/>
                    <w:snapToGrid w:val="0"/>
                    <w:jc w:val="center"/>
                    <w:rPr>
                      <w:rFonts w:hint="eastAsia"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900-041-49</w:t>
                  </w:r>
                </w:p>
              </w:tc>
              <w:tc>
                <w:tcPr>
                  <w:tcW w:w="1000" w:type="dxa"/>
                  <w:noWrap w:val="0"/>
                  <w:vAlign w:val="center"/>
                </w:tcPr>
                <w:p w14:paraId="31D32258">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0.74t/a</w:t>
                  </w:r>
                </w:p>
              </w:tc>
              <w:tc>
                <w:tcPr>
                  <w:tcW w:w="2305" w:type="dxa"/>
                  <w:vMerge w:val="continue"/>
                  <w:noWrap w:val="0"/>
                  <w:vAlign w:val="center"/>
                </w:tcPr>
                <w:p w14:paraId="3BF81168">
                  <w:pPr>
                    <w:adjustRightInd w:val="0"/>
                    <w:snapToGrid w:val="0"/>
                    <w:jc w:val="center"/>
                    <w:rPr>
                      <w:rFonts w:hint="eastAsia" w:ascii="Times New Roman" w:hAnsi="Times New Roman" w:eastAsia="宋体" w:cs="Times New Roman"/>
                      <w:color w:val="auto"/>
                      <w:szCs w:val="21"/>
                      <w:lang w:val="en-US" w:eastAsia="zh-CN"/>
                    </w:rPr>
                  </w:pPr>
                </w:p>
              </w:tc>
            </w:tr>
            <w:tr w14:paraId="4B17EEEE">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652" w:hRule="atLeast"/>
                <w:jc w:val="center"/>
              </w:trPr>
              <w:tc>
                <w:tcPr>
                  <w:tcW w:w="617" w:type="dxa"/>
                  <w:shd w:val="clear" w:color="auto" w:fill="auto"/>
                  <w:noWrap w:val="0"/>
                  <w:vAlign w:val="center"/>
                </w:tcPr>
                <w:p w14:paraId="0CA41BD4">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7</w:t>
                  </w:r>
                </w:p>
              </w:tc>
              <w:tc>
                <w:tcPr>
                  <w:tcW w:w="598" w:type="dxa"/>
                  <w:vMerge w:val="continue"/>
                  <w:noWrap w:val="0"/>
                  <w:vAlign w:val="center"/>
                </w:tcPr>
                <w:p w14:paraId="5494B2E3">
                  <w:pPr>
                    <w:adjustRightInd w:val="0"/>
                    <w:snapToGrid w:val="0"/>
                    <w:jc w:val="center"/>
                    <w:rPr>
                      <w:rFonts w:hint="eastAsia" w:ascii="Times New Roman" w:hAnsi="Times New Roman" w:eastAsia="宋体" w:cs="Times New Roman"/>
                      <w:color w:val="auto"/>
                      <w:szCs w:val="21"/>
                      <w:lang w:val="en-US" w:eastAsia="zh-CN"/>
                    </w:rPr>
                  </w:pPr>
                </w:p>
              </w:tc>
              <w:tc>
                <w:tcPr>
                  <w:tcW w:w="1125" w:type="dxa"/>
                  <w:shd w:val="clear" w:color="auto" w:fill="auto"/>
                  <w:noWrap w:val="0"/>
                  <w:vAlign w:val="center"/>
                </w:tcPr>
                <w:p w14:paraId="7BC641F9">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废活性炭</w:t>
                  </w:r>
                </w:p>
              </w:tc>
              <w:tc>
                <w:tcPr>
                  <w:tcW w:w="1041" w:type="dxa"/>
                  <w:shd w:val="clear" w:color="auto" w:fill="auto"/>
                  <w:noWrap w:val="0"/>
                  <w:vAlign w:val="center"/>
                </w:tcPr>
                <w:p w14:paraId="1B0C14BC">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危险废物</w:t>
                  </w:r>
                </w:p>
              </w:tc>
              <w:tc>
                <w:tcPr>
                  <w:tcW w:w="1125" w:type="dxa"/>
                  <w:shd w:val="clear" w:color="auto" w:fill="auto"/>
                  <w:noWrap w:val="0"/>
                  <w:vAlign w:val="center"/>
                </w:tcPr>
                <w:p w14:paraId="29697743">
                  <w:pPr>
                    <w:adjustRightInd w:val="0"/>
                    <w:snapToGrid w:val="0"/>
                    <w:jc w:val="center"/>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HW49</w:t>
                  </w:r>
                </w:p>
                <w:p w14:paraId="20D03B10">
                  <w:pPr>
                    <w:adjustRightInd w:val="0"/>
                    <w:snapToGrid w:val="0"/>
                    <w:jc w:val="center"/>
                    <w:rPr>
                      <w:rFonts w:hint="eastAsia"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900-0</w:t>
                  </w:r>
                  <w:r>
                    <w:rPr>
                      <w:rFonts w:hint="eastAsia" w:ascii="Times New Roman" w:hAnsi="Times New Roman" w:eastAsia="宋体" w:cs="Times New Roman"/>
                      <w:color w:val="auto"/>
                      <w:spacing w:val="-6"/>
                      <w:sz w:val="21"/>
                      <w:szCs w:val="21"/>
                      <w:lang w:val="en-US" w:eastAsia="zh-CN"/>
                    </w:rPr>
                    <w:t>39</w:t>
                  </w:r>
                  <w:r>
                    <w:rPr>
                      <w:rFonts w:hint="default" w:ascii="Times New Roman" w:hAnsi="Times New Roman" w:eastAsia="宋体" w:cs="Times New Roman"/>
                      <w:color w:val="auto"/>
                      <w:spacing w:val="-6"/>
                      <w:sz w:val="21"/>
                      <w:szCs w:val="21"/>
                      <w:lang w:val="en-US" w:eastAsia="zh-CN"/>
                    </w:rPr>
                    <w:t>-49</w:t>
                  </w:r>
                </w:p>
              </w:tc>
              <w:tc>
                <w:tcPr>
                  <w:tcW w:w="1000" w:type="dxa"/>
                  <w:noWrap w:val="0"/>
                  <w:vAlign w:val="center"/>
                </w:tcPr>
                <w:p w14:paraId="7EEFA979">
                  <w:pPr>
                    <w:adjustRightInd w:val="0"/>
                    <w:snapToGrid w:val="0"/>
                    <w:jc w:val="center"/>
                    <w:rPr>
                      <w:rFonts w:hint="eastAsia" w:ascii="Times New Roman" w:hAnsi="Times New Roman" w:eastAsia="宋体" w:cs="Times New Roman"/>
                      <w:color w:val="auto"/>
                      <w:szCs w:val="21"/>
                      <w:lang w:val="en-US" w:eastAsia="zh-CN"/>
                    </w:rPr>
                  </w:pPr>
                  <w:r>
                    <w:rPr>
                      <w:rFonts w:hint="eastAsia" w:cs="Times New Roman"/>
                      <w:color w:val="0000FF"/>
                      <w:szCs w:val="21"/>
                      <w:lang w:val="en-US" w:eastAsia="zh-CN"/>
                    </w:rPr>
                    <w:t>2.76</w:t>
                  </w:r>
                  <w:r>
                    <w:rPr>
                      <w:rFonts w:hint="eastAsia" w:ascii="Times New Roman" w:hAnsi="Times New Roman" w:eastAsia="宋体" w:cs="Times New Roman"/>
                      <w:color w:val="0000FF"/>
                      <w:szCs w:val="21"/>
                      <w:lang w:val="en-US" w:eastAsia="zh-CN"/>
                    </w:rPr>
                    <w:t>t/a</w:t>
                  </w:r>
                </w:p>
              </w:tc>
              <w:tc>
                <w:tcPr>
                  <w:tcW w:w="2305" w:type="dxa"/>
                  <w:vMerge w:val="continue"/>
                  <w:noWrap w:val="0"/>
                  <w:vAlign w:val="center"/>
                </w:tcPr>
                <w:p w14:paraId="2615038A">
                  <w:pPr>
                    <w:adjustRightInd w:val="0"/>
                    <w:snapToGrid w:val="0"/>
                    <w:jc w:val="center"/>
                    <w:rPr>
                      <w:rFonts w:hint="eastAsia" w:ascii="Times New Roman" w:hAnsi="Times New Roman" w:eastAsia="宋体" w:cs="Times New Roman"/>
                      <w:color w:val="auto"/>
                      <w:szCs w:val="21"/>
                      <w:lang w:val="en-US" w:eastAsia="zh-CN"/>
                    </w:rPr>
                  </w:pPr>
                </w:p>
              </w:tc>
            </w:tr>
            <w:tr w14:paraId="38C5FFB8">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652" w:hRule="atLeast"/>
                <w:jc w:val="center"/>
              </w:trPr>
              <w:tc>
                <w:tcPr>
                  <w:tcW w:w="617" w:type="dxa"/>
                  <w:shd w:val="clear" w:color="auto" w:fill="auto"/>
                  <w:noWrap w:val="0"/>
                  <w:vAlign w:val="center"/>
                </w:tcPr>
                <w:p w14:paraId="7F6E0489">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8</w:t>
                  </w:r>
                </w:p>
              </w:tc>
              <w:tc>
                <w:tcPr>
                  <w:tcW w:w="598" w:type="dxa"/>
                  <w:vMerge w:val="continue"/>
                  <w:noWrap w:val="0"/>
                  <w:vAlign w:val="center"/>
                </w:tcPr>
                <w:p w14:paraId="2F6CAF8D">
                  <w:pPr>
                    <w:adjustRightInd w:val="0"/>
                    <w:snapToGrid w:val="0"/>
                    <w:jc w:val="center"/>
                    <w:rPr>
                      <w:rFonts w:hint="eastAsia" w:ascii="Times New Roman" w:hAnsi="Times New Roman" w:eastAsia="宋体" w:cs="Times New Roman"/>
                      <w:color w:val="auto"/>
                      <w:szCs w:val="21"/>
                      <w:lang w:val="en-US" w:eastAsia="zh-CN"/>
                    </w:rPr>
                  </w:pPr>
                </w:p>
              </w:tc>
              <w:tc>
                <w:tcPr>
                  <w:tcW w:w="1125" w:type="dxa"/>
                  <w:shd w:val="clear" w:color="auto" w:fill="auto"/>
                  <w:noWrap w:val="0"/>
                  <w:vAlign w:val="center"/>
                </w:tcPr>
                <w:p w14:paraId="4C207417">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废催化剂</w:t>
                  </w:r>
                </w:p>
              </w:tc>
              <w:tc>
                <w:tcPr>
                  <w:tcW w:w="1041" w:type="dxa"/>
                  <w:shd w:val="clear" w:color="auto" w:fill="auto"/>
                  <w:noWrap w:val="0"/>
                  <w:vAlign w:val="center"/>
                </w:tcPr>
                <w:p w14:paraId="460C5091">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危险废物</w:t>
                  </w:r>
                </w:p>
              </w:tc>
              <w:tc>
                <w:tcPr>
                  <w:tcW w:w="1125" w:type="dxa"/>
                  <w:shd w:val="clear" w:color="auto" w:fill="auto"/>
                  <w:noWrap w:val="0"/>
                  <w:vAlign w:val="center"/>
                </w:tcPr>
                <w:p w14:paraId="2FD0D2B9">
                  <w:pPr>
                    <w:adjustRightInd w:val="0"/>
                    <w:snapToGrid w:val="0"/>
                    <w:jc w:val="center"/>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HW49</w:t>
                  </w:r>
                </w:p>
                <w:p w14:paraId="5A44B1D1">
                  <w:pPr>
                    <w:adjustRightInd w:val="0"/>
                    <w:snapToGrid w:val="0"/>
                    <w:jc w:val="center"/>
                    <w:rPr>
                      <w:rFonts w:hint="eastAsia"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900-041-49</w:t>
                  </w:r>
                </w:p>
              </w:tc>
              <w:tc>
                <w:tcPr>
                  <w:tcW w:w="1000" w:type="dxa"/>
                  <w:noWrap w:val="0"/>
                  <w:vAlign w:val="center"/>
                </w:tcPr>
                <w:p w14:paraId="2336FE55">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0.05t/a</w:t>
                  </w:r>
                </w:p>
              </w:tc>
              <w:tc>
                <w:tcPr>
                  <w:tcW w:w="2305" w:type="dxa"/>
                  <w:vMerge w:val="continue"/>
                  <w:noWrap w:val="0"/>
                  <w:vAlign w:val="center"/>
                </w:tcPr>
                <w:p w14:paraId="55BFDB15">
                  <w:pPr>
                    <w:adjustRightInd w:val="0"/>
                    <w:snapToGrid w:val="0"/>
                    <w:jc w:val="center"/>
                    <w:rPr>
                      <w:rFonts w:hint="eastAsia" w:ascii="Times New Roman" w:hAnsi="Times New Roman" w:eastAsia="宋体" w:cs="Times New Roman"/>
                      <w:color w:val="auto"/>
                      <w:szCs w:val="21"/>
                      <w:lang w:val="en-US" w:eastAsia="zh-CN"/>
                    </w:rPr>
                  </w:pPr>
                </w:p>
              </w:tc>
            </w:tr>
            <w:tr w14:paraId="5A8E9D0F">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652" w:hRule="atLeast"/>
                <w:jc w:val="center"/>
              </w:trPr>
              <w:tc>
                <w:tcPr>
                  <w:tcW w:w="617" w:type="dxa"/>
                  <w:shd w:val="clear" w:color="auto" w:fill="auto"/>
                  <w:noWrap w:val="0"/>
                  <w:vAlign w:val="center"/>
                </w:tcPr>
                <w:p w14:paraId="03566DF7">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9</w:t>
                  </w:r>
                </w:p>
              </w:tc>
              <w:tc>
                <w:tcPr>
                  <w:tcW w:w="598" w:type="dxa"/>
                  <w:vMerge w:val="restart"/>
                  <w:noWrap w:val="0"/>
                  <w:vAlign w:val="center"/>
                </w:tcPr>
                <w:p w14:paraId="219A2091">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除尘</w:t>
                  </w:r>
                </w:p>
                <w:p w14:paraId="6C33CAC7">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设备</w:t>
                  </w:r>
                </w:p>
              </w:tc>
              <w:tc>
                <w:tcPr>
                  <w:tcW w:w="1125" w:type="dxa"/>
                  <w:shd w:val="clear" w:color="auto" w:fill="auto"/>
                  <w:noWrap w:val="0"/>
                  <w:vAlign w:val="center"/>
                </w:tcPr>
                <w:p w14:paraId="56BC43DB">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收集尘</w:t>
                  </w:r>
                </w:p>
              </w:tc>
              <w:tc>
                <w:tcPr>
                  <w:tcW w:w="1041" w:type="dxa"/>
                  <w:shd w:val="clear" w:color="auto" w:fill="auto"/>
                  <w:noWrap w:val="0"/>
                  <w:vAlign w:val="center"/>
                </w:tcPr>
                <w:p w14:paraId="15611AF7">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一般固废</w:t>
                  </w:r>
                </w:p>
              </w:tc>
              <w:tc>
                <w:tcPr>
                  <w:tcW w:w="1125" w:type="dxa"/>
                  <w:shd w:val="clear" w:color="auto" w:fill="auto"/>
                  <w:noWrap w:val="0"/>
                  <w:vAlign w:val="center"/>
                </w:tcPr>
                <w:p w14:paraId="01012A91">
                  <w:pPr>
                    <w:adjustRightInd w:val="0"/>
                    <w:snapToGrid w:val="0"/>
                    <w:jc w:val="center"/>
                    <w:rPr>
                      <w:rFonts w:hint="eastAsia" w:ascii="Times New Roman" w:hAnsi="Times New Roman" w:eastAsia="宋体" w:cs="Times New Roman"/>
                      <w:color w:val="auto"/>
                      <w:spacing w:val="-6"/>
                      <w:sz w:val="21"/>
                      <w:szCs w:val="21"/>
                      <w:lang w:val="en-US" w:eastAsia="zh-CN"/>
                    </w:rPr>
                  </w:pPr>
                  <w:r>
                    <w:rPr>
                      <w:rFonts w:hint="eastAsia" w:ascii="Times New Roman" w:hAnsi="Times New Roman" w:eastAsia="宋体" w:cs="Times New Roman"/>
                      <w:color w:val="auto"/>
                      <w:spacing w:val="-6"/>
                      <w:sz w:val="21"/>
                      <w:szCs w:val="21"/>
                      <w:lang w:val="en-US" w:eastAsia="zh-CN"/>
                    </w:rPr>
                    <w:t>S</w:t>
                  </w:r>
                  <w:r>
                    <w:rPr>
                      <w:rFonts w:hint="default" w:ascii="Times New Roman" w:hAnsi="Times New Roman" w:eastAsia="宋体" w:cs="Times New Roman"/>
                      <w:color w:val="auto"/>
                      <w:spacing w:val="-6"/>
                      <w:sz w:val="21"/>
                      <w:szCs w:val="21"/>
                      <w:lang w:val="en-US" w:eastAsia="zh-CN"/>
                    </w:rPr>
                    <w:t>W</w:t>
                  </w:r>
                  <w:r>
                    <w:rPr>
                      <w:rFonts w:hint="eastAsia" w:ascii="Times New Roman" w:hAnsi="Times New Roman" w:eastAsia="宋体" w:cs="Times New Roman"/>
                      <w:color w:val="auto"/>
                      <w:spacing w:val="-6"/>
                      <w:sz w:val="21"/>
                      <w:szCs w:val="21"/>
                      <w:lang w:val="en-US" w:eastAsia="zh-CN"/>
                    </w:rPr>
                    <w:t>59</w:t>
                  </w:r>
                </w:p>
                <w:p w14:paraId="57486ACE">
                  <w:pPr>
                    <w:adjustRightInd w:val="0"/>
                    <w:snapToGrid w:val="0"/>
                    <w:jc w:val="center"/>
                    <w:rPr>
                      <w:rFonts w:hint="eastAsia" w:ascii="Times New Roman" w:hAnsi="Times New Roman" w:eastAsia="宋体" w:cs="Times New Roman"/>
                      <w:color w:val="auto"/>
                      <w:spacing w:val="-6"/>
                      <w:sz w:val="21"/>
                      <w:szCs w:val="21"/>
                      <w:lang w:val="en-US" w:eastAsia="zh-CN"/>
                    </w:rPr>
                  </w:pPr>
                  <w:r>
                    <w:rPr>
                      <w:rFonts w:hint="eastAsia" w:ascii="Times New Roman" w:hAnsi="Times New Roman" w:eastAsia="宋体" w:cs="Times New Roman"/>
                      <w:color w:val="auto"/>
                      <w:spacing w:val="-6"/>
                      <w:sz w:val="21"/>
                      <w:szCs w:val="21"/>
                      <w:lang w:val="en-US" w:eastAsia="zh-CN"/>
                    </w:rPr>
                    <w:t>900-099-S59</w:t>
                  </w:r>
                </w:p>
              </w:tc>
              <w:tc>
                <w:tcPr>
                  <w:tcW w:w="1000" w:type="dxa"/>
                  <w:noWrap w:val="0"/>
                  <w:vAlign w:val="center"/>
                </w:tcPr>
                <w:p w14:paraId="00896326">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0000FF"/>
                      <w:szCs w:val="21"/>
                      <w:lang w:val="en-US" w:eastAsia="zh-CN"/>
                    </w:rPr>
                    <w:t>25.44</w:t>
                  </w:r>
                  <w:r>
                    <w:rPr>
                      <w:rFonts w:hint="eastAsia" w:ascii="Times New Roman" w:hAnsi="Times New Roman" w:eastAsia="宋体" w:cs="Times New Roman"/>
                      <w:color w:val="0000FF"/>
                      <w:szCs w:val="21"/>
                      <w:lang w:val="en-US" w:eastAsia="zh-CN"/>
                    </w:rPr>
                    <w:t>t/a</w:t>
                  </w:r>
                </w:p>
              </w:tc>
              <w:tc>
                <w:tcPr>
                  <w:tcW w:w="2305" w:type="dxa"/>
                  <w:vMerge w:val="restart"/>
                  <w:noWrap w:val="0"/>
                  <w:vAlign w:val="center"/>
                </w:tcPr>
                <w:p w14:paraId="22B0C85A">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分类收集暂存于</w:t>
                  </w:r>
                  <w:r>
                    <w:rPr>
                      <w:rFonts w:hint="eastAsia" w:ascii="Times New Roman" w:hAnsi="Times New Roman" w:eastAsia="宋体" w:cs="Times New Roman"/>
                      <w:color w:val="auto"/>
                      <w:spacing w:val="-6"/>
                      <w:sz w:val="21"/>
                      <w:szCs w:val="21"/>
                      <w:lang w:val="en-US" w:eastAsia="zh-CN"/>
                    </w:rPr>
                    <w:t>一般固废暂存区，外售综合利用。</w:t>
                  </w:r>
                </w:p>
              </w:tc>
            </w:tr>
            <w:tr w14:paraId="7B59D823">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652" w:hRule="atLeast"/>
                <w:jc w:val="center"/>
              </w:trPr>
              <w:tc>
                <w:tcPr>
                  <w:tcW w:w="617" w:type="dxa"/>
                  <w:shd w:val="clear" w:color="auto" w:fill="auto"/>
                  <w:noWrap w:val="0"/>
                  <w:vAlign w:val="center"/>
                </w:tcPr>
                <w:p w14:paraId="1DE482AA">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10</w:t>
                  </w:r>
                </w:p>
              </w:tc>
              <w:tc>
                <w:tcPr>
                  <w:tcW w:w="598" w:type="dxa"/>
                  <w:vMerge w:val="continue"/>
                  <w:noWrap w:val="0"/>
                  <w:vAlign w:val="center"/>
                </w:tcPr>
                <w:p w14:paraId="0CC1D647">
                  <w:pPr>
                    <w:adjustRightInd w:val="0"/>
                    <w:snapToGrid w:val="0"/>
                    <w:jc w:val="center"/>
                    <w:rPr>
                      <w:rFonts w:hint="eastAsia" w:ascii="Times New Roman" w:hAnsi="Times New Roman" w:eastAsia="宋体" w:cs="Times New Roman"/>
                      <w:color w:val="auto"/>
                      <w:szCs w:val="21"/>
                      <w:lang w:val="en-US" w:eastAsia="zh-CN"/>
                    </w:rPr>
                  </w:pPr>
                </w:p>
              </w:tc>
              <w:tc>
                <w:tcPr>
                  <w:tcW w:w="1125" w:type="dxa"/>
                  <w:shd w:val="clear" w:color="auto" w:fill="auto"/>
                  <w:noWrap w:val="0"/>
                  <w:vAlign w:val="center"/>
                </w:tcPr>
                <w:p w14:paraId="6FB4FC8E">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废布袋</w:t>
                  </w:r>
                </w:p>
              </w:tc>
              <w:tc>
                <w:tcPr>
                  <w:tcW w:w="1041" w:type="dxa"/>
                  <w:shd w:val="clear" w:color="auto" w:fill="auto"/>
                  <w:noWrap w:val="0"/>
                  <w:vAlign w:val="center"/>
                </w:tcPr>
                <w:p w14:paraId="2505B766">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一般固废</w:t>
                  </w:r>
                </w:p>
              </w:tc>
              <w:tc>
                <w:tcPr>
                  <w:tcW w:w="1125" w:type="dxa"/>
                  <w:shd w:val="clear" w:color="auto" w:fill="auto"/>
                  <w:noWrap w:val="0"/>
                  <w:vAlign w:val="center"/>
                </w:tcPr>
                <w:p w14:paraId="1DC070C3">
                  <w:pPr>
                    <w:adjustRightInd w:val="0"/>
                    <w:snapToGrid w:val="0"/>
                    <w:jc w:val="center"/>
                    <w:rPr>
                      <w:rFonts w:hint="eastAsia" w:ascii="Times New Roman" w:hAnsi="Times New Roman" w:eastAsia="宋体" w:cs="Times New Roman"/>
                      <w:color w:val="auto"/>
                      <w:spacing w:val="-6"/>
                      <w:sz w:val="21"/>
                      <w:szCs w:val="21"/>
                      <w:lang w:val="en-US" w:eastAsia="zh-CN"/>
                    </w:rPr>
                  </w:pPr>
                  <w:r>
                    <w:rPr>
                      <w:rFonts w:hint="eastAsia" w:ascii="Times New Roman" w:hAnsi="Times New Roman" w:eastAsia="宋体" w:cs="Times New Roman"/>
                      <w:color w:val="auto"/>
                      <w:spacing w:val="-6"/>
                      <w:sz w:val="21"/>
                      <w:szCs w:val="21"/>
                      <w:lang w:val="en-US" w:eastAsia="zh-CN"/>
                    </w:rPr>
                    <w:t>S</w:t>
                  </w:r>
                  <w:r>
                    <w:rPr>
                      <w:rFonts w:hint="default" w:ascii="Times New Roman" w:hAnsi="Times New Roman" w:eastAsia="宋体" w:cs="Times New Roman"/>
                      <w:color w:val="auto"/>
                      <w:spacing w:val="-6"/>
                      <w:sz w:val="21"/>
                      <w:szCs w:val="21"/>
                      <w:lang w:val="en-US" w:eastAsia="zh-CN"/>
                    </w:rPr>
                    <w:t>W</w:t>
                  </w:r>
                  <w:r>
                    <w:rPr>
                      <w:rFonts w:hint="eastAsia" w:ascii="Times New Roman" w:hAnsi="Times New Roman" w:eastAsia="宋体" w:cs="Times New Roman"/>
                      <w:color w:val="auto"/>
                      <w:spacing w:val="-6"/>
                      <w:sz w:val="21"/>
                      <w:szCs w:val="21"/>
                      <w:lang w:val="en-US" w:eastAsia="zh-CN"/>
                    </w:rPr>
                    <w:t>59</w:t>
                  </w:r>
                </w:p>
                <w:p w14:paraId="113EF2F4">
                  <w:pPr>
                    <w:adjustRightInd w:val="0"/>
                    <w:snapToGrid w:val="0"/>
                    <w:jc w:val="center"/>
                    <w:rPr>
                      <w:rFonts w:hint="eastAsia" w:ascii="Times New Roman" w:hAnsi="Times New Roman" w:eastAsia="宋体" w:cs="Times New Roman"/>
                      <w:color w:val="auto"/>
                      <w:spacing w:val="-6"/>
                      <w:sz w:val="21"/>
                      <w:szCs w:val="21"/>
                      <w:lang w:val="en-US" w:eastAsia="zh-CN"/>
                    </w:rPr>
                  </w:pPr>
                  <w:r>
                    <w:rPr>
                      <w:rFonts w:hint="eastAsia" w:ascii="Times New Roman" w:hAnsi="Times New Roman" w:eastAsia="宋体" w:cs="Times New Roman"/>
                      <w:color w:val="auto"/>
                      <w:spacing w:val="-6"/>
                      <w:sz w:val="21"/>
                      <w:szCs w:val="21"/>
                      <w:lang w:val="en-US" w:eastAsia="zh-CN"/>
                    </w:rPr>
                    <w:t>900-009-S59</w:t>
                  </w:r>
                </w:p>
              </w:tc>
              <w:tc>
                <w:tcPr>
                  <w:tcW w:w="1000" w:type="dxa"/>
                  <w:noWrap w:val="0"/>
                  <w:vAlign w:val="center"/>
                </w:tcPr>
                <w:p w14:paraId="36467649">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0.46t/2a</w:t>
                  </w:r>
                </w:p>
              </w:tc>
              <w:tc>
                <w:tcPr>
                  <w:tcW w:w="2305" w:type="dxa"/>
                  <w:vMerge w:val="continue"/>
                  <w:noWrap w:val="0"/>
                  <w:vAlign w:val="center"/>
                </w:tcPr>
                <w:p w14:paraId="2776B65D">
                  <w:pPr>
                    <w:adjustRightInd w:val="0"/>
                    <w:snapToGrid w:val="0"/>
                    <w:jc w:val="center"/>
                    <w:rPr>
                      <w:rFonts w:hint="default" w:ascii="Times New Roman" w:hAnsi="Times New Roman" w:eastAsia="宋体" w:cs="Times New Roman"/>
                      <w:color w:val="auto"/>
                      <w:szCs w:val="21"/>
                      <w:lang w:val="en-US" w:eastAsia="zh-CN"/>
                    </w:rPr>
                  </w:pPr>
                </w:p>
              </w:tc>
            </w:tr>
            <w:tr w14:paraId="16D677B3">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652" w:hRule="atLeast"/>
                <w:jc w:val="center"/>
              </w:trPr>
              <w:tc>
                <w:tcPr>
                  <w:tcW w:w="617" w:type="dxa"/>
                  <w:shd w:val="clear" w:color="auto" w:fill="auto"/>
                  <w:noWrap w:val="0"/>
                  <w:vAlign w:val="center"/>
                </w:tcPr>
                <w:p w14:paraId="24C647A8">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11</w:t>
                  </w:r>
                </w:p>
              </w:tc>
              <w:tc>
                <w:tcPr>
                  <w:tcW w:w="598" w:type="dxa"/>
                  <w:vMerge w:val="restart"/>
                  <w:noWrap w:val="0"/>
                  <w:vAlign w:val="center"/>
                </w:tcPr>
                <w:p w14:paraId="34FDFA6B">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设备</w:t>
                  </w:r>
                </w:p>
                <w:p w14:paraId="34B65DF5">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维护</w:t>
                  </w:r>
                </w:p>
                <w:p w14:paraId="1E320DB3">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保养</w:t>
                  </w:r>
                </w:p>
              </w:tc>
              <w:tc>
                <w:tcPr>
                  <w:tcW w:w="1125" w:type="dxa"/>
                  <w:noWrap w:val="0"/>
                  <w:vAlign w:val="center"/>
                </w:tcPr>
                <w:p w14:paraId="46369953">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废润滑油</w:t>
                  </w:r>
                </w:p>
              </w:tc>
              <w:tc>
                <w:tcPr>
                  <w:tcW w:w="1041" w:type="dxa"/>
                  <w:noWrap w:val="0"/>
                  <w:vAlign w:val="center"/>
                </w:tcPr>
                <w:p w14:paraId="43655C9A">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危险废物</w:t>
                  </w:r>
                </w:p>
              </w:tc>
              <w:tc>
                <w:tcPr>
                  <w:tcW w:w="1125" w:type="dxa"/>
                  <w:noWrap w:val="0"/>
                  <w:vAlign w:val="center"/>
                </w:tcPr>
                <w:p w14:paraId="3C863A14">
                  <w:pPr>
                    <w:adjustRightInd w:val="0"/>
                    <w:snapToGrid w:val="0"/>
                    <w:jc w:val="center"/>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HW</w:t>
                  </w:r>
                  <w:r>
                    <w:rPr>
                      <w:rFonts w:hint="eastAsia" w:ascii="Times New Roman" w:hAnsi="Times New Roman" w:eastAsia="宋体" w:cs="Times New Roman"/>
                      <w:color w:val="auto"/>
                      <w:spacing w:val="-6"/>
                      <w:sz w:val="21"/>
                      <w:szCs w:val="21"/>
                      <w:lang w:val="en-US" w:eastAsia="zh-CN"/>
                    </w:rPr>
                    <w:t>08</w:t>
                  </w:r>
                </w:p>
                <w:p w14:paraId="08E6D0E7">
                  <w:pPr>
                    <w:adjustRightInd w:val="0"/>
                    <w:snapToGrid w:val="0"/>
                    <w:jc w:val="center"/>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900-</w:t>
                  </w:r>
                  <w:r>
                    <w:rPr>
                      <w:rFonts w:hint="eastAsia" w:ascii="Times New Roman" w:hAnsi="Times New Roman" w:eastAsia="宋体" w:cs="Times New Roman"/>
                      <w:color w:val="auto"/>
                      <w:spacing w:val="-6"/>
                      <w:sz w:val="21"/>
                      <w:szCs w:val="21"/>
                      <w:lang w:val="en-US" w:eastAsia="zh-CN"/>
                    </w:rPr>
                    <w:t>214</w:t>
                  </w:r>
                  <w:r>
                    <w:rPr>
                      <w:rFonts w:hint="default" w:ascii="Times New Roman" w:hAnsi="Times New Roman" w:eastAsia="宋体" w:cs="Times New Roman"/>
                      <w:color w:val="auto"/>
                      <w:spacing w:val="-6"/>
                      <w:sz w:val="21"/>
                      <w:szCs w:val="21"/>
                      <w:lang w:val="en-US" w:eastAsia="zh-CN"/>
                    </w:rPr>
                    <w:t>-</w:t>
                  </w:r>
                  <w:r>
                    <w:rPr>
                      <w:rFonts w:hint="eastAsia" w:ascii="Times New Roman" w:hAnsi="Times New Roman" w:eastAsia="宋体" w:cs="Times New Roman"/>
                      <w:color w:val="auto"/>
                      <w:spacing w:val="-6"/>
                      <w:sz w:val="21"/>
                      <w:szCs w:val="21"/>
                      <w:lang w:val="en-US" w:eastAsia="zh-CN"/>
                    </w:rPr>
                    <w:t>08</w:t>
                  </w:r>
                </w:p>
              </w:tc>
              <w:tc>
                <w:tcPr>
                  <w:tcW w:w="1000" w:type="dxa"/>
                  <w:noWrap w:val="0"/>
                  <w:vAlign w:val="center"/>
                </w:tcPr>
                <w:p w14:paraId="12C0DBAD">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0.08t/a</w:t>
                  </w:r>
                </w:p>
              </w:tc>
              <w:tc>
                <w:tcPr>
                  <w:tcW w:w="2305" w:type="dxa"/>
                  <w:vMerge w:val="restart"/>
                  <w:noWrap w:val="0"/>
                  <w:vAlign w:val="center"/>
                </w:tcPr>
                <w:p w14:paraId="2303FB30">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pacing w:val="-6"/>
                      <w:sz w:val="21"/>
                      <w:szCs w:val="21"/>
                      <w:lang w:val="en-US" w:eastAsia="zh-CN"/>
                    </w:rPr>
                    <w:t>分类收集暂存于危废贮存</w:t>
                  </w:r>
                  <w:r>
                    <w:rPr>
                      <w:rFonts w:hint="eastAsia" w:cs="Times New Roman"/>
                      <w:color w:val="auto"/>
                      <w:spacing w:val="-6"/>
                      <w:sz w:val="21"/>
                      <w:szCs w:val="21"/>
                      <w:lang w:val="en-US" w:eastAsia="zh-CN"/>
                    </w:rPr>
                    <w:t>点</w:t>
                  </w:r>
                  <w:r>
                    <w:rPr>
                      <w:rFonts w:hint="eastAsia" w:ascii="Times New Roman" w:hAnsi="Times New Roman" w:eastAsia="宋体" w:cs="Times New Roman"/>
                      <w:color w:val="auto"/>
                      <w:spacing w:val="-6"/>
                      <w:sz w:val="21"/>
                      <w:szCs w:val="21"/>
                      <w:lang w:val="en-US" w:eastAsia="zh-CN"/>
                    </w:rPr>
                    <w:t>，委托有资质单位处置。</w:t>
                  </w:r>
                </w:p>
              </w:tc>
            </w:tr>
            <w:tr w14:paraId="582ECB9E">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652" w:hRule="atLeast"/>
                <w:jc w:val="center"/>
              </w:trPr>
              <w:tc>
                <w:tcPr>
                  <w:tcW w:w="617" w:type="dxa"/>
                  <w:shd w:val="clear" w:color="auto" w:fill="auto"/>
                  <w:noWrap w:val="0"/>
                  <w:vAlign w:val="center"/>
                </w:tcPr>
                <w:p w14:paraId="3349FD6C">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12</w:t>
                  </w:r>
                </w:p>
              </w:tc>
              <w:tc>
                <w:tcPr>
                  <w:tcW w:w="598" w:type="dxa"/>
                  <w:vMerge w:val="continue"/>
                  <w:noWrap w:val="0"/>
                  <w:vAlign w:val="center"/>
                </w:tcPr>
                <w:p w14:paraId="71409786">
                  <w:pPr>
                    <w:adjustRightInd w:val="0"/>
                    <w:snapToGrid w:val="0"/>
                    <w:jc w:val="center"/>
                    <w:rPr>
                      <w:rFonts w:hint="eastAsia" w:ascii="Times New Roman" w:hAnsi="Times New Roman" w:eastAsia="宋体" w:cs="Times New Roman"/>
                      <w:color w:val="auto"/>
                      <w:szCs w:val="21"/>
                      <w:lang w:val="en-US" w:eastAsia="zh-CN"/>
                    </w:rPr>
                  </w:pPr>
                </w:p>
              </w:tc>
              <w:tc>
                <w:tcPr>
                  <w:tcW w:w="1125" w:type="dxa"/>
                  <w:noWrap w:val="0"/>
                  <w:vAlign w:val="center"/>
                </w:tcPr>
                <w:p w14:paraId="63606C1F">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废油桶</w:t>
                  </w:r>
                </w:p>
              </w:tc>
              <w:tc>
                <w:tcPr>
                  <w:tcW w:w="1041" w:type="dxa"/>
                  <w:shd w:val="clear" w:color="auto" w:fill="auto"/>
                  <w:noWrap w:val="0"/>
                  <w:vAlign w:val="center"/>
                </w:tcPr>
                <w:p w14:paraId="784CAA12">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危险废物</w:t>
                  </w:r>
                </w:p>
              </w:tc>
              <w:tc>
                <w:tcPr>
                  <w:tcW w:w="1125" w:type="dxa"/>
                  <w:shd w:val="clear" w:color="auto" w:fill="auto"/>
                  <w:noWrap w:val="0"/>
                  <w:vAlign w:val="center"/>
                </w:tcPr>
                <w:p w14:paraId="530F2437">
                  <w:pPr>
                    <w:adjustRightInd w:val="0"/>
                    <w:snapToGrid w:val="0"/>
                    <w:jc w:val="center"/>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HW</w:t>
                  </w:r>
                  <w:r>
                    <w:rPr>
                      <w:rFonts w:hint="eastAsia" w:ascii="Times New Roman" w:hAnsi="Times New Roman" w:eastAsia="宋体" w:cs="Times New Roman"/>
                      <w:color w:val="auto"/>
                      <w:spacing w:val="-6"/>
                      <w:sz w:val="21"/>
                      <w:szCs w:val="21"/>
                      <w:lang w:val="en-US" w:eastAsia="zh-CN"/>
                    </w:rPr>
                    <w:t>08</w:t>
                  </w:r>
                </w:p>
                <w:p w14:paraId="5869128A">
                  <w:pPr>
                    <w:adjustRightInd w:val="0"/>
                    <w:snapToGrid w:val="0"/>
                    <w:jc w:val="center"/>
                    <w:rPr>
                      <w:rFonts w:hint="eastAsia" w:ascii="Times New Roman" w:hAnsi="Times New Roman" w:eastAsia="宋体" w:cs="Times New Roman"/>
                      <w:color w:val="auto"/>
                      <w:spacing w:val="-6"/>
                      <w:kern w:val="2"/>
                      <w:sz w:val="21"/>
                      <w:szCs w:val="21"/>
                      <w:lang w:val="en-US" w:eastAsia="zh-CN" w:bidi="ar-SA"/>
                    </w:rPr>
                  </w:pPr>
                  <w:r>
                    <w:rPr>
                      <w:rFonts w:hint="default" w:ascii="Times New Roman" w:hAnsi="Times New Roman" w:eastAsia="宋体" w:cs="Times New Roman"/>
                      <w:color w:val="auto"/>
                      <w:spacing w:val="-6"/>
                      <w:sz w:val="21"/>
                      <w:szCs w:val="21"/>
                      <w:lang w:val="en-US" w:eastAsia="zh-CN"/>
                    </w:rPr>
                    <w:t>900-</w:t>
                  </w:r>
                  <w:r>
                    <w:rPr>
                      <w:rFonts w:hint="eastAsia" w:ascii="Times New Roman" w:hAnsi="Times New Roman" w:eastAsia="宋体" w:cs="Times New Roman"/>
                      <w:color w:val="auto"/>
                      <w:spacing w:val="-6"/>
                      <w:sz w:val="21"/>
                      <w:szCs w:val="21"/>
                      <w:lang w:val="en-US" w:eastAsia="zh-CN"/>
                    </w:rPr>
                    <w:t>249</w:t>
                  </w:r>
                  <w:r>
                    <w:rPr>
                      <w:rFonts w:hint="default" w:ascii="Times New Roman" w:hAnsi="Times New Roman" w:eastAsia="宋体" w:cs="Times New Roman"/>
                      <w:color w:val="auto"/>
                      <w:spacing w:val="-6"/>
                      <w:sz w:val="21"/>
                      <w:szCs w:val="21"/>
                      <w:lang w:val="en-US" w:eastAsia="zh-CN"/>
                    </w:rPr>
                    <w:t>-</w:t>
                  </w:r>
                  <w:r>
                    <w:rPr>
                      <w:rFonts w:hint="eastAsia" w:ascii="Times New Roman" w:hAnsi="Times New Roman" w:eastAsia="宋体" w:cs="Times New Roman"/>
                      <w:color w:val="auto"/>
                      <w:spacing w:val="-6"/>
                      <w:sz w:val="21"/>
                      <w:szCs w:val="21"/>
                      <w:lang w:val="en-US" w:eastAsia="zh-CN"/>
                    </w:rPr>
                    <w:t>08</w:t>
                  </w:r>
                </w:p>
              </w:tc>
              <w:tc>
                <w:tcPr>
                  <w:tcW w:w="1000" w:type="dxa"/>
                  <w:noWrap w:val="0"/>
                  <w:vAlign w:val="center"/>
                </w:tcPr>
                <w:p w14:paraId="4F80CCD7">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0.03t/a</w:t>
                  </w:r>
                </w:p>
              </w:tc>
              <w:tc>
                <w:tcPr>
                  <w:tcW w:w="2305" w:type="dxa"/>
                  <w:vMerge w:val="continue"/>
                  <w:noWrap w:val="0"/>
                  <w:vAlign w:val="center"/>
                </w:tcPr>
                <w:p w14:paraId="73607186">
                  <w:pPr>
                    <w:adjustRightInd w:val="0"/>
                    <w:snapToGrid w:val="0"/>
                    <w:jc w:val="center"/>
                    <w:rPr>
                      <w:rFonts w:hint="eastAsia" w:ascii="Times New Roman" w:hAnsi="Times New Roman" w:eastAsia="宋体" w:cs="Times New Roman"/>
                      <w:color w:val="auto"/>
                      <w:szCs w:val="21"/>
                      <w:lang w:val="en-US" w:eastAsia="zh-CN"/>
                    </w:rPr>
                  </w:pPr>
                </w:p>
              </w:tc>
            </w:tr>
            <w:tr w14:paraId="7474735F">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652" w:hRule="atLeast"/>
                <w:jc w:val="center"/>
              </w:trPr>
              <w:tc>
                <w:tcPr>
                  <w:tcW w:w="617" w:type="dxa"/>
                  <w:noWrap w:val="0"/>
                  <w:vAlign w:val="center"/>
                </w:tcPr>
                <w:p w14:paraId="732CEBFE">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13</w:t>
                  </w:r>
                </w:p>
              </w:tc>
              <w:tc>
                <w:tcPr>
                  <w:tcW w:w="598" w:type="dxa"/>
                  <w:vMerge w:val="continue"/>
                  <w:noWrap w:val="0"/>
                  <w:vAlign w:val="center"/>
                </w:tcPr>
                <w:p w14:paraId="4ADB3587">
                  <w:pPr>
                    <w:adjustRightInd w:val="0"/>
                    <w:snapToGrid w:val="0"/>
                    <w:jc w:val="center"/>
                    <w:rPr>
                      <w:rFonts w:hint="eastAsia" w:ascii="Times New Roman" w:hAnsi="Times New Roman" w:eastAsia="宋体" w:cs="Times New Roman"/>
                      <w:color w:val="auto"/>
                      <w:szCs w:val="21"/>
                      <w:lang w:val="en-US" w:eastAsia="zh-CN"/>
                    </w:rPr>
                  </w:pPr>
                </w:p>
              </w:tc>
              <w:tc>
                <w:tcPr>
                  <w:tcW w:w="1125" w:type="dxa"/>
                  <w:noWrap w:val="0"/>
                  <w:vAlign w:val="center"/>
                </w:tcPr>
                <w:p w14:paraId="698B8755">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废液压油</w:t>
                  </w:r>
                </w:p>
              </w:tc>
              <w:tc>
                <w:tcPr>
                  <w:tcW w:w="1041" w:type="dxa"/>
                  <w:shd w:val="clear" w:color="auto" w:fill="auto"/>
                  <w:noWrap w:val="0"/>
                  <w:vAlign w:val="center"/>
                </w:tcPr>
                <w:p w14:paraId="77505A60">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危险废物</w:t>
                  </w:r>
                </w:p>
              </w:tc>
              <w:tc>
                <w:tcPr>
                  <w:tcW w:w="1125" w:type="dxa"/>
                  <w:shd w:val="clear" w:color="auto" w:fill="auto"/>
                  <w:noWrap w:val="0"/>
                  <w:vAlign w:val="center"/>
                </w:tcPr>
                <w:p w14:paraId="11DA6E0F">
                  <w:pPr>
                    <w:adjustRightInd w:val="0"/>
                    <w:snapToGrid w:val="0"/>
                    <w:jc w:val="center"/>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HW</w:t>
                  </w:r>
                  <w:r>
                    <w:rPr>
                      <w:rFonts w:hint="eastAsia" w:ascii="Times New Roman" w:hAnsi="Times New Roman" w:eastAsia="宋体" w:cs="Times New Roman"/>
                      <w:color w:val="auto"/>
                      <w:spacing w:val="-6"/>
                      <w:sz w:val="21"/>
                      <w:szCs w:val="21"/>
                      <w:lang w:val="en-US" w:eastAsia="zh-CN"/>
                    </w:rPr>
                    <w:t>08</w:t>
                  </w:r>
                </w:p>
                <w:p w14:paraId="56B64514">
                  <w:pPr>
                    <w:adjustRightInd w:val="0"/>
                    <w:snapToGrid w:val="0"/>
                    <w:jc w:val="center"/>
                    <w:rPr>
                      <w:rFonts w:hint="eastAsia"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lang w:val="en-US" w:eastAsia="zh-CN"/>
                    </w:rPr>
                    <w:t>900-</w:t>
                  </w:r>
                  <w:r>
                    <w:rPr>
                      <w:rFonts w:hint="eastAsia" w:ascii="Times New Roman" w:hAnsi="Times New Roman" w:eastAsia="宋体" w:cs="Times New Roman"/>
                      <w:color w:val="auto"/>
                      <w:spacing w:val="-6"/>
                      <w:sz w:val="21"/>
                      <w:szCs w:val="21"/>
                      <w:lang w:val="en-US" w:eastAsia="zh-CN"/>
                    </w:rPr>
                    <w:t>218</w:t>
                  </w:r>
                  <w:r>
                    <w:rPr>
                      <w:rFonts w:hint="default" w:ascii="Times New Roman" w:hAnsi="Times New Roman" w:eastAsia="宋体" w:cs="Times New Roman"/>
                      <w:color w:val="auto"/>
                      <w:spacing w:val="-6"/>
                      <w:sz w:val="21"/>
                      <w:szCs w:val="21"/>
                      <w:lang w:val="en-US" w:eastAsia="zh-CN"/>
                    </w:rPr>
                    <w:t>-</w:t>
                  </w:r>
                  <w:r>
                    <w:rPr>
                      <w:rFonts w:hint="eastAsia" w:ascii="Times New Roman" w:hAnsi="Times New Roman" w:eastAsia="宋体" w:cs="Times New Roman"/>
                      <w:color w:val="auto"/>
                      <w:spacing w:val="-6"/>
                      <w:sz w:val="21"/>
                      <w:szCs w:val="21"/>
                      <w:lang w:val="en-US" w:eastAsia="zh-CN"/>
                    </w:rPr>
                    <w:t>08</w:t>
                  </w:r>
                </w:p>
              </w:tc>
              <w:tc>
                <w:tcPr>
                  <w:tcW w:w="1000" w:type="dxa"/>
                  <w:shd w:val="clear" w:color="auto" w:fill="auto"/>
                  <w:noWrap w:val="0"/>
                  <w:vAlign w:val="center"/>
                </w:tcPr>
                <w:p w14:paraId="09D0B221">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0.01t/a</w:t>
                  </w:r>
                </w:p>
              </w:tc>
              <w:tc>
                <w:tcPr>
                  <w:tcW w:w="2305" w:type="dxa"/>
                  <w:vMerge w:val="continue"/>
                  <w:noWrap w:val="0"/>
                  <w:vAlign w:val="center"/>
                </w:tcPr>
                <w:p w14:paraId="660CD6B2">
                  <w:pPr>
                    <w:adjustRightInd w:val="0"/>
                    <w:snapToGrid w:val="0"/>
                    <w:jc w:val="center"/>
                    <w:rPr>
                      <w:rFonts w:hint="eastAsia" w:ascii="Times New Roman" w:hAnsi="Times New Roman" w:eastAsia="宋体" w:cs="Times New Roman"/>
                      <w:color w:val="auto"/>
                      <w:szCs w:val="21"/>
                      <w:lang w:val="en-US" w:eastAsia="zh-CN"/>
                    </w:rPr>
                  </w:pPr>
                </w:p>
              </w:tc>
            </w:tr>
            <w:tr w14:paraId="09402E7E">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1049" w:hRule="atLeast"/>
                <w:jc w:val="center"/>
              </w:trPr>
              <w:tc>
                <w:tcPr>
                  <w:tcW w:w="617" w:type="dxa"/>
                  <w:noWrap w:val="0"/>
                  <w:vAlign w:val="center"/>
                </w:tcPr>
                <w:p w14:paraId="3785F06C">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14</w:t>
                  </w:r>
                </w:p>
              </w:tc>
              <w:tc>
                <w:tcPr>
                  <w:tcW w:w="598" w:type="dxa"/>
                  <w:shd w:val="clear" w:color="auto" w:fill="auto"/>
                  <w:noWrap w:val="0"/>
                  <w:vAlign w:val="center"/>
                </w:tcPr>
                <w:p w14:paraId="4C0D82A0">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厂内</w:t>
                  </w:r>
                </w:p>
              </w:tc>
              <w:tc>
                <w:tcPr>
                  <w:tcW w:w="1125" w:type="dxa"/>
                  <w:shd w:val="clear" w:color="auto" w:fill="auto"/>
                  <w:noWrap w:val="0"/>
                  <w:vAlign w:val="center"/>
                </w:tcPr>
                <w:p w14:paraId="03629289">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生活垃圾</w:t>
                  </w:r>
                </w:p>
              </w:tc>
              <w:tc>
                <w:tcPr>
                  <w:tcW w:w="1041" w:type="dxa"/>
                  <w:shd w:val="clear" w:color="auto" w:fill="auto"/>
                  <w:noWrap w:val="0"/>
                  <w:vAlign w:val="center"/>
                </w:tcPr>
                <w:p w14:paraId="51FCC60C">
                  <w:pPr>
                    <w:adjustRightInd w:val="0"/>
                    <w:snapToGrid w:val="0"/>
                    <w:jc w:val="center"/>
                    <w:rPr>
                      <w:rFonts w:hint="eastAsia"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生活垃圾</w:t>
                  </w:r>
                </w:p>
              </w:tc>
              <w:tc>
                <w:tcPr>
                  <w:tcW w:w="1125" w:type="dxa"/>
                  <w:shd w:val="clear" w:color="auto" w:fill="auto"/>
                  <w:noWrap w:val="0"/>
                  <w:vAlign w:val="center"/>
                </w:tcPr>
                <w:p w14:paraId="189478B9">
                  <w:pPr>
                    <w:adjustRightInd w:val="0"/>
                    <w:snapToGrid w:val="0"/>
                    <w:jc w:val="center"/>
                    <w:rPr>
                      <w:rFonts w:hint="eastAsia" w:ascii="Times New Roman" w:hAnsi="Times New Roman" w:eastAsia="宋体" w:cs="Times New Roman"/>
                      <w:color w:val="auto"/>
                      <w:spacing w:val="-6"/>
                      <w:sz w:val="21"/>
                      <w:szCs w:val="21"/>
                      <w:lang w:val="en-US" w:eastAsia="zh-CN"/>
                    </w:rPr>
                  </w:pPr>
                  <w:r>
                    <w:rPr>
                      <w:rFonts w:hint="eastAsia" w:ascii="Times New Roman" w:hAnsi="Times New Roman" w:eastAsia="宋体" w:cs="Times New Roman"/>
                      <w:color w:val="auto"/>
                      <w:spacing w:val="-6"/>
                      <w:sz w:val="21"/>
                      <w:szCs w:val="21"/>
                      <w:lang w:val="en-US" w:eastAsia="zh-CN"/>
                    </w:rPr>
                    <w:t>SW64 900-099-S64</w:t>
                  </w:r>
                </w:p>
              </w:tc>
              <w:tc>
                <w:tcPr>
                  <w:tcW w:w="1000" w:type="dxa"/>
                  <w:noWrap w:val="0"/>
                  <w:vAlign w:val="center"/>
                </w:tcPr>
                <w:p w14:paraId="4B00D73D">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7.5t/a</w:t>
                  </w:r>
                </w:p>
              </w:tc>
              <w:tc>
                <w:tcPr>
                  <w:tcW w:w="2305" w:type="dxa"/>
                  <w:noWrap w:val="0"/>
                  <w:vAlign w:val="center"/>
                </w:tcPr>
                <w:p w14:paraId="16284CD7">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lang w:val="en-US" w:eastAsia="zh-CN"/>
                    </w:rPr>
                    <w:t>厂内集中收集，由环卫部门统一拉运至生活垃圾填埋场处置。</w:t>
                  </w:r>
                </w:p>
              </w:tc>
            </w:tr>
          </w:tbl>
          <w:p w14:paraId="22F31D64">
            <w:pPr>
              <w:pStyle w:val="80"/>
              <w:keepNext w:val="0"/>
              <w:keepLines w:val="0"/>
              <w:pageBreakBefore w:val="0"/>
              <w:widowControl w:val="0"/>
              <w:kinsoku/>
              <w:wordWrap/>
              <w:overflowPunct/>
              <w:topLinePunct w:val="0"/>
              <w:autoSpaceDE/>
              <w:autoSpaceDN/>
              <w:bidi w:val="0"/>
              <w:adjustRightInd/>
              <w:snapToGrid w:val="0"/>
              <w:spacing w:before="157" w:beforeLines="50"/>
              <w:jc w:val="left"/>
              <w:textAlignment w:val="auto"/>
              <w:rPr>
                <w:rFonts w:hint="eastAsia" w:ascii="Times New Roman" w:hAnsi="Times New Roman" w:eastAsia="宋体" w:cs="Times New Roman"/>
                <w:color w:val="auto"/>
                <w:szCs w:val="24"/>
              </w:rPr>
            </w:pPr>
            <w:r>
              <w:rPr>
                <w:rFonts w:hint="eastAsia" w:ascii="Times New Roman" w:hAnsi="Times New Roman" w:eastAsia="宋体" w:cs="Times New Roman"/>
                <w:color w:val="auto"/>
                <w:szCs w:val="24"/>
              </w:rPr>
              <w:t>综上，本项目产生的固体废物均能得到合理有效地收集、贮存和处置，去向明确，不会对外环境产生不良影响。</w:t>
            </w:r>
          </w:p>
          <w:p w14:paraId="3759CD3C">
            <w:pPr>
              <w:spacing w:before="120" w:beforeLines="50" w:line="360" w:lineRule="auto"/>
              <w:ind w:firstLine="480" w:firstLineChars="200"/>
              <w:rPr>
                <w:rFonts w:hint="eastAsia"/>
                <w:color w:val="auto"/>
                <w:sz w:val="24"/>
              </w:rPr>
            </w:pPr>
          </w:p>
          <w:p w14:paraId="7D4A9D18">
            <w:pPr>
              <w:pStyle w:val="80"/>
              <w:keepNext w:val="0"/>
              <w:keepLines w:val="0"/>
              <w:pageBreakBefore w:val="0"/>
              <w:widowControl w:val="0"/>
              <w:kinsoku/>
              <w:wordWrap/>
              <w:overflowPunct/>
              <w:topLinePunct w:val="0"/>
              <w:autoSpaceDE/>
              <w:autoSpaceDN/>
              <w:bidi w:val="0"/>
              <w:adjustRightInd/>
              <w:snapToGrid w:val="0"/>
              <w:spacing w:before="157" w:beforeLines="50"/>
              <w:jc w:val="left"/>
              <w:textAlignment w:val="auto"/>
              <w:rPr>
                <w:rFonts w:hint="default" w:ascii="Times New Roman" w:hAnsi="Times New Roman" w:eastAsia="宋体" w:cs="Times New Roman"/>
                <w:color w:val="auto"/>
                <w:szCs w:val="24"/>
                <w:lang w:val="en-US" w:eastAsia="zh-CN"/>
              </w:rPr>
            </w:pPr>
            <w:r>
              <w:rPr>
                <w:rFonts w:hint="eastAsia" w:cs="Times New Roman"/>
                <w:color w:val="auto"/>
                <w:szCs w:val="24"/>
                <w:lang w:val="en-US" w:eastAsia="zh-CN"/>
              </w:rPr>
              <w:t>（2）</w:t>
            </w:r>
            <w:r>
              <w:rPr>
                <w:rFonts w:hint="eastAsia" w:ascii="Times New Roman" w:hAnsi="Times New Roman" w:eastAsia="宋体" w:cs="Times New Roman"/>
                <w:color w:val="auto"/>
                <w:szCs w:val="24"/>
                <w:lang w:val="en-US" w:eastAsia="zh-CN"/>
              </w:rPr>
              <w:t>固体废物</w:t>
            </w:r>
            <w:r>
              <w:rPr>
                <w:rFonts w:hint="eastAsia" w:cs="Times New Roman"/>
                <w:color w:val="auto"/>
                <w:szCs w:val="24"/>
                <w:lang w:val="en-US" w:eastAsia="zh-CN"/>
              </w:rPr>
              <w:t>去向可行性分析</w:t>
            </w:r>
          </w:p>
          <w:p w14:paraId="4DA27993">
            <w:pPr>
              <w:pStyle w:val="80"/>
              <w:snapToGrid w:val="0"/>
              <w:jc w:val="left"/>
              <w:rPr>
                <w:rFonts w:hint="eastAsia" w:cs="Times New Roman"/>
                <w:color w:val="auto"/>
                <w:szCs w:val="24"/>
                <w:lang w:val="en-US" w:eastAsia="zh-CN"/>
              </w:rPr>
            </w:pPr>
            <w:r>
              <w:rPr>
                <w:rFonts w:hint="eastAsia" w:cs="Times New Roman"/>
                <w:color w:val="auto"/>
                <w:szCs w:val="24"/>
                <w:lang w:val="en-US" w:eastAsia="zh-CN"/>
              </w:rPr>
              <w:t>①一般工业固体废物</w:t>
            </w:r>
          </w:p>
          <w:p w14:paraId="52FBC1DF">
            <w:pPr>
              <w:pStyle w:val="80"/>
              <w:snapToGrid w:val="0"/>
              <w:jc w:val="left"/>
              <w:rPr>
                <w:rFonts w:hint="default" w:cs="Times New Roman"/>
                <w:color w:val="auto"/>
                <w:szCs w:val="24"/>
                <w:lang w:val="en-US" w:eastAsia="zh-CN"/>
              </w:rPr>
            </w:pPr>
            <w:r>
              <w:rPr>
                <w:rFonts w:hint="eastAsia" w:cs="Times New Roman"/>
                <w:color w:val="auto"/>
                <w:szCs w:val="24"/>
                <w:lang w:val="en-US" w:eastAsia="zh-CN"/>
              </w:rPr>
              <w:t>A.一般固废暂存区</w:t>
            </w:r>
          </w:p>
          <w:p w14:paraId="0132F746">
            <w:pPr>
              <w:pStyle w:val="80"/>
              <w:snapToGrid w:val="0"/>
              <w:jc w:val="left"/>
              <w:rPr>
                <w:rFonts w:hint="eastAsia" w:cs="Times New Roman"/>
                <w:color w:val="auto"/>
                <w:szCs w:val="24"/>
              </w:rPr>
            </w:pPr>
            <w:r>
              <w:rPr>
                <w:rFonts w:hint="eastAsia" w:cs="Times New Roman"/>
                <w:color w:val="auto"/>
                <w:szCs w:val="24"/>
                <w:lang w:val="en-US" w:eastAsia="zh-CN"/>
              </w:rPr>
              <w:t>本</w:t>
            </w:r>
            <w:r>
              <w:rPr>
                <w:rFonts w:hint="eastAsia" w:cs="Times New Roman"/>
                <w:color w:val="auto"/>
                <w:szCs w:val="24"/>
              </w:rPr>
              <w:t>项目在厂房内</w:t>
            </w:r>
            <w:r>
              <w:rPr>
                <w:rFonts w:hint="eastAsia" w:cs="Times New Roman"/>
                <w:color w:val="auto"/>
                <w:szCs w:val="24"/>
                <w:lang w:val="en-US" w:eastAsia="zh-CN"/>
              </w:rPr>
              <w:t>划分50</w:t>
            </w:r>
            <w:r>
              <w:rPr>
                <w:rFonts w:hint="eastAsia" w:cs="Times New Roman"/>
                <w:color w:val="auto"/>
                <w:szCs w:val="24"/>
              </w:rPr>
              <w:t>㎡的</w:t>
            </w:r>
            <w:r>
              <w:rPr>
                <w:rFonts w:hint="eastAsia" w:cs="Times New Roman"/>
                <w:color w:val="auto"/>
                <w:szCs w:val="24"/>
                <w:lang w:val="en-US" w:eastAsia="zh-CN"/>
              </w:rPr>
              <w:t>区域为</w:t>
            </w:r>
            <w:r>
              <w:rPr>
                <w:rFonts w:hint="eastAsia" w:cs="Times New Roman"/>
                <w:color w:val="auto"/>
                <w:szCs w:val="24"/>
              </w:rPr>
              <w:t>一般固废暂存区，最大暂存量为</w:t>
            </w:r>
            <w:r>
              <w:rPr>
                <w:rFonts w:hint="eastAsia" w:cs="Times New Roman"/>
                <w:color w:val="auto"/>
                <w:szCs w:val="24"/>
                <w:lang w:val="en-US" w:eastAsia="zh-CN"/>
              </w:rPr>
              <w:t>75</w:t>
            </w:r>
            <w:r>
              <w:rPr>
                <w:rFonts w:hint="eastAsia" w:cs="Times New Roman"/>
                <w:color w:val="auto"/>
                <w:szCs w:val="24"/>
              </w:rPr>
              <w:t>t</w:t>
            </w:r>
            <w:r>
              <w:rPr>
                <w:rFonts w:hint="eastAsia" w:cs="Times New Roman"/>
                <w:color w:val="auto"/>
                <w:szCs w:val="24"/>
                <w:lang w:eastAsia="zh-CN"/>
              </w:rPr>
              <w:t>，</w:t>
            </w:r>
            <w:r>
              <w:rPr>
                <w:rFonts w:hint="eastAsia" w:cs="Times New Roman"/>
                <w:color w:val="auto"/>
                <w:szCs w:val="24"/>
              </w:rPr>
              <w:t>一般固废暂存区贮存能力可满足需求</w:t>
            </w:r>
            <w:r>
              <w:rPr>
                <w:rFonts w:hint="eastAsia" w:cs="Times New Roman"/>
                <w:color w:val="auto"/>
                <w:szCs w:val="24"/>
                <w:lang w:eastAsia="zh-CN"/>
              </w:rPr>
              <w:t>。</w:t>
            </w:r>
            <w:r>
              <w:rPr>
                <w:rFonts w:hint="eastAsia" w:cs="Times New Roman"/>
                <w:color w:val="auto"/>
                <w:szCs w:val="24"/>
                <w:lang w:val="en-US" w:eastAsia="zh-CN"/>
              </w:rPr>
              <w:t>项目各类一般固体废物采用符合要求的容器或包装物分类收集贮存，厂房</w:t>
            </w:r>
            <w:r>
              <w:rPr>
                <w:rFonts w:hint="eastAsia" w:cs="Times New Roman"/>
                <w:color w:val="auto"/>
                <w:szCs w:val="24"/>
              </w:rPr>
              <w:t>地面做硬化处理，可满足防渗漏、防雨淋、防扬尘等环境保护要求，本项目一般固废暂存区设置合规可行。</w:t>
            </w:r>
          </w:p>
          <w:p w14:paraId="5BA80D48">
            <w:pPr>
              <w:pStyle w:val="80"/>
              <w:snapToGrid w:val="0"/>
              <w:jc w:val="left"/>
              <w:rPr>
                <w:rFonts w:hint="default" w:cs="Times New Roman"/>
                <w:color w:val="auto"/>
                <w:szCs w:val="24"/>
                <w:lang w:val="en-US" w:eastAsia="zh-CN"/>
              </w:rPr>
            </w:pPr>
            <w:r>
              <w:rPr>
                <w:rFonts w:hint="eastAsia" w:cs="Times New Roman"/>
                <w:color w:val="auto"/>
                <w:szCs w:val="24"/>
                <w:lang w:val="en-US" w:eastAsia="zh-CN"/>
              </w:rPr>
              <w:t>B.环境管理要求</w:t>
            </w:r>
          </w:p>
          <w:p w14:paraId="331EEE3E">
            <w:pPr>
              <w:pStyle w:val="80"/>
              <w:snapToGrid w:val="0"/>
              <w:jc w:val="left"/>
              <w:rPr>
                <w:rFonts w:hint="eastAsia" w:cs="Times New Roman"/>
                <w:color w:val="auto"/>
                <w:szCs w:val="24"/>
              </w:rPr>
            </w:pPr>
            <w:r>
              <w:rPr>
                <w:rFonts w:hint="eastAsia" w:cs="Times New Roman"/>
                <w:color w:val="auto"/>
                <w:szCs w:val="24"/>
              </w:rPr>
              <w:t>企业应当建立健全一般工业固体废物产生、收集、贮存、运输、利用、处置全过程的污染环境防治责任制度，严格将固体废物进行分类收集，按照《一般工业固体废物管理台账制定指南（试行）》要求建立工业固体废物管理台账，记录固体废物的产生、贮存、利用、处置数量和利用、处置方式等信息；每一批次固体废物的出厂以及转移信息；记录固体废物在产废单位内部的贮存、利用、处置等信息，实现工业固体废物可追溯、可查询，并采取防治工业固体废物污染环境的措施。</w:t>
            </w:r>
          </w:p>
          <w:p w14:paraId="4E55B257">
            <w:pPr>
              <w:pStyle w:val="80"/>
              <w:snapToGrid w:val="0"/>
              <w:jc w:val="left"/>
              <w:rPr>
                <w:rFonts w:cs="Times New Roman"/>
                <w:color w:val="auto"/>
                <w:szCs w:val="24"/>
              </w:rPr>
            </w:pPr>
            <w:r>
              <w:rPr>
                <w:rFonts w:hint="eastAsia" w:cs="Times New Roman"/>
                <w:color w:val="auto"/>
                <w:szCs w:val="24"/>
              </w:rPr>
              <w:t>委托他人运输、利用、处置工业固体废物应当对受托方的主体资格和技术能力进行核实，依法签订书面合同，在合同中约定污染防治要求。受托方运输、利用、处置工业固体废物应当依照有关法律法规的规定和合同约定履行污染防治要求，并将运输、利用、处置情况告知产生工业固体废物的单位。</w:t>
            </w:r>
          </w:p>
          <w:p w14:paraId="71A95233">
            <w:pPr>
              <w:pStyle w:val="80"/>
              <w:snapToGrid w:val="0"/>
              <w:jc w:val="left"/>
              <w:rPr>
                <w:rFonts w:hint="default" w:cs="Times New Roman"/>
                <w:color w:val="auto"/>
                <w:szCs w:val="24"/>
                <w:lang w:val="en-US" w:eastAsia="zh-CN"/>
              </w:rPr>
            </w:pPr>
            <w:r>
              <w:rPr>
                <w:rFonts w:hint="eastAsia" w:cs="Times New Roman"/>
                <w:color w:val="auto"/>
                <w:szCs w:val="24"/>
                <w:lang w:val="en-US" w:eastAsia="zh-CN"/>
              </w:rPr>
              <w:t>C.外售综合利用可行性分析</w:t>
            </w:r>
          </w:p>
          <w:p w14:paraId="328033A1">
            <w:pPr>
              <w:pStyle w:val="80"/>
              <w:snapToGrid w:val="0"/>
              <w:jc w:val="left"/>
              <w:rPr>
                <w:rFonts w:hint="eastAsia" w:cs="Times New Roman"/>
                <w:color w:val="auto"/>
                <w:szCs w:val="24"/>
              </w:rPr>
            </w:pPr>
            <w:r>
              <w:rPr>
                <w:rFonts w:hint="eastAsia" w:cs="Times New Roman"/>
                <w:color w:val="auto"/>
                <w:szCs w:val="24"/>
                <w:lang w:val="en-US" w:eastAsia="zh-CN"/>
              </w:rPr>
              <w:t>本项目产生的金属屑及</w:t>
            </w:r>
            <w:r>
              <w:rPr>
                <w:rFonts w:hint="eastAsia" w:cs="Times New Roman"/>
                <w:color w:val="auto"/>
                <w:szCs w:val="24"/>
              </w:rPr>
              <w:t>废边角料、焊渣、</w:t>
            </w:r>
            <w:r>
              <w:rPr>
                <w:rFonts w:hint="eastAsia" w:cs="Times New Roman"/>
                <w:color w:val="auto"/>
                <w:szCs w:val="24"/>
                <w:lang w:val="en-US" w:eastAsia="zh-CN"/>
              </w:rPr>
              <w:t>金属磨屑</w:t>
            </w:r>
            <w:r>
              <w:rPr>
                <w:rFonts w:hint="eastAsia" w:cs="Times New Roman"/>
                <w:color w:val="auto"/>
                <w:szCs w:val="24"/>
                <w:lang w:eastAsia="zh-CN"/>
              </w:rPr>
              <w:t>、</w:t>
            </w:r>
            <w:r>
              <w:rPr>
                <w:rFonts w:hint="eastAsia" w:cs="Times New Roman"/>
                <w:color w:val="auto"/>
                <w:szCs w:val="24"/>
                <w:lang w:val="en-US" w:eastAsia="zh-CN"/>
              </w:rPr>
              <w:t>铁锈渣、</w:t>
            </w:r>
            <w:r>
              <w:rPr>
                <w:rFonts w:hint="eastAsia" w:cs="Times New Roman"/>
                <w:color w:val="auto"/>
                <w:szCs w:val="24"/>
              </w:rPr>
              <w:t>除尘设备收集尘</w:t>
            </w:r>
            <w:r>
              <w:rPr>
                <w:rFonts w:hint="eastAsia" w:cs="Times New Roman"/>
                <w:color w:val="auto"/>
                <w:szCs w:val="24"/>
                <w:lang w:val="en-US" w:eastAsia="zh-CN"/>
              </w:rPr>
              <w:t>等一般固体废物主要为残钢、氧化铁等，可作为废钢外售，通过现有成熟技术实现有效分离综合利用。</w:t>
            </w:r>
            <w:r>
              <w:rPr>
                <w:rFonts w:hint="eastAsia" w:cs="Times New Roman"/>
                <w:color w:val="auto"/>
                <w:szCs w:val="24"/>
              </w:rPr>
              <w:t>布袋除尘器产生的废布袋传统处置方式多为填埋或焚烧，不仅占用土地资源，还可能造成二次污染。</w:t>
            </w:r>
            <w:r>
              <w:rPr>
                <w:rFonts w:hint="eastAsia" w:cs="Times New Roman"/>
                <w:color w:val="auto"/>
                <w:szCs w:val="24"/>
                <w:lang w:val="en-US" w:eastAsia="zh-CN"/>
              </w:rPr>
              <w:t>本项目</w:t>
            </w:r>
            <w:r>
              <w:rPr>
                <w:rFonts w:hint="eastAsia" w:cs="Times New Roman"/>
                <w:color w:val="auto"/>
                <w:szCs w:val="24"/>
              </w:rPr>
              <w:t>废布袋</w:t>
            </w:r>
            <w:r>
              <w:rPr>
                <w:rFonts w:hint="eastAsia" w:cs="Times New Roman"/>
                <w:color w:val="auto"/>
                <w:szCs w:val="24"/>
                <w:lang w:val="en-US" w:eastAsia="zh-CN"/>
              </w:rPr>
              <w:t>外售</w:t>
            </w:r>
            <w:r>
              <w:rPr>
                <w:rFonts w:hint="eastAsia" w:cs="Times New Roman"/>
                <w:color w:val="auto"/>
                <w:szCs w:val="24"/>
              </w:rPr>
              <w:t>综合利用，不仅为企业降低处置成本、创造新的收入点，更能有效促进资源循环利用，减少环境负荷，实现环境与经济的双重收益。</w:t>
            </w:r>
            <w:r>
              <w:rPr>
                <w:rFonts w:hint="eastAsia" w:cs="Times New Roman"/>
                <w:color w:val="auto"/>
                <w:szCs w:val="24"/>
                <w:lang w:val="en-US" w:eastAsia="zh-CN"/>
              </w:rPr>
              <w:t>综上，项目产生的一般固废外售综合利用可行。</w:t>
            </w:r>
            <w:r>
              <w:rPr>
                <w:rFonts w:hint="eastAsia" w:cs="Times New Roman"/>
                <w:color w:val="auto"/>
                <w:szCs w:val="24"/>
              </w:rPr>
              <w:t>‌</w:t>
            </w:r>
          </w:p>
          <w:p w14:paraId="722A1EA0">
            <w:pPr>
              <w:pStyle w:val="80"/>
              <w:keepNext w:val="0"/>
              <w:keepLines w:val="0"/>
              <w:pageBreakBefore w:val="0"/>
              <w:widowControl w:val="0"/>
              <w:kinsoku/>
              <w:wordWrap/>
              <w:overflowPunct/>
              <w:topLinePunct w:val="0"/>
              <w:autoSpaceDE/>
              <w:autoSpaceDN/>
              <w:bidi w:val="0"/>
              <w:adjustRightInd/>
              <w:snapToGrid w:val="0"/>
              <w:spacing w:before="157" w:beforeLines="50"/>
              <w:jc w:val="left"/>
              <w:textAlignment w:val="auto"/>
              <w:rPr>
                <w:rFonts w:hint="eastAsia" w:cs="Times New Roman"/>
                <w:color w:val="auto"/>
                <w:szCs w:val="24"/>
                <w:lang w:val="en-US" w:eastAsia="zh-CN"/>
              </w:rPr>
            </w:pPr>
            <w:r>
              <w:rPr>
                <w:rFonts w:hint="eastAsia" w:cs="Times New Roman"/>
                <w:color w:val="auto"/>
                <w:szCs w:val="24"/>
                <w:lang w:val="en-US" w:eastAsia="zh-CN"/>
              </w:rPr>
              <w:t>②危险废物</w:t>
            </w:r>
          </w:p>
          <w:p w14:paraId="6CB17B00">
            <w:pPr>
              <w:pStyle w:val="80"/>
              <w:snapToGrid w:val="0"/>
              <w:jc w:val="left"/>
              <w:rPr>
                <w:rFonts w:hint="default" w:cs="Times New Roman"/>
                <w:color w:val="auto"/>
                <w:szCs w:val="24"/>
                <w:lang w:val="en-US" w:eastAsia="zh-CN"/>
              </w:rPr>
            </w:pPr>
            <w:r>
              <w:rPr>
                <w:rFonts w:hint="eastAsia" w:cs="Times New Roman"/>
                <w:color w:val="auto"/>
                <w:szCs w:val="24"/>
                <w:lang w:val="en-US" w:eastAsia="zh-CN"/>
              </w:rPr>
              <w:t>A.</w:t>
            </w:r>
            <w:r>
              <w:rPr>
                <w:rFonts w:hint="eastAsia" w:ascii="Times New Roman" w:hAnsi="Times New Roman" w:eastAsia="宋体" w:cs="Times New Roman"/>
                <w:color w:val="auto"/>
                <w:szCs w:val="24"/>
                <w:lang w:val="en-US" w:eastAsia="zh-CN"/>
              </w:rPr>
              <w:t>危废贮存点</w:t>
            </w:r>
          </w:p>
          <w:p w14:paraId="59F5C34E">
            <w:pPr>
              <w:pStyle w:val="80"/>
              <w:snapToGrid w:val="0"/>
              <w:jc w:val="left"/>
              <w:rPr>
                <w:rFonts w:hint="default" w:ascii="Times New Roman" w:hAnsi="Times New Roman" w:eastAsia="宋体" w:cs="Times New Roman"/>
                <w:color w:val="auto"/>
                <w:szCs w:val="24"/>
                <w:lang w:val="en-US" w:eastAsia="zh-CN"/>
              </w:rPr>
            </w:pPr>
            <w:r>
              <w:rPr>
                <w:rFonts w:hint="eastAsia" w:ascii="Times New Roman" w:hAnsi="Times New Roman" w:eastAsia="宋体" w:cs="Times New Roman"/>
                <w:color w:val="auto"/>
                <w:szCs w:val="24"/>
                <w:lang w:val="en-US" w:eastAsia="zh-CN"/>
              </w:rPr>
              <w:t>本项目在厂房内设置危废贮存点，建设单位购买封闭式成品贮存设施，容积为20m³，最大贮存量为10t，危废贮存点贮存能力可满足需求。根据《危险废物贮存污染控制标准》（GB 18597-2023），本项目各类危险废物按照危废的种类和特性分区贮存，项目产生的漆渣及废过滤棉、废活性炭、废催化剂、废润滑油、废液压油等危险废物采用符合要求的容器或包装物密封贮存；废包装桶和废油桶应封口严密贮存。综上，项目危废贮存点设置合规可行。</w:t>
            </w:r>
          </w:p>
          <w:p w14:paraId="29926363">
            <w:pPr>
              <w:pStyle w:val="80"/>
              <w:snapToGrid w:val="0"/>
              <w:jc w:val="left"/>
              <w:rPr>
                <w:rFonts w:cs="Times New Roman"/>
                <w:color w:val="auto"/>
                <w:szCs w:val="24"/>
              </w:rPr>
            </w:pPr>
            <w:r>
              <w:rPr>
                <w:rFonts w:hint="eastAsia" w:cs="Times New Roman"/>
                <w:color w:val="auto"/>
                <w:szCs w:val="24"/>
                <w:lang w:val="en-US" w:eastAsia="zh-CN"/>
              </w:rPr>
              <w:t>B.</w:t>
            </w:r>
            <w:r>
              <w:rPr>
                <w:rFonts w:hint="eastAsia" w:cs="Times New Roman"/>
                <w:color w:val="auto"/>
                <w:szCs w:val="24"/>
              </w:rPr>
              <w:t>环境管理要求</w:t>
            </w:r>
          </w:p>
          <w:p w14:paraId="00F7273D">
            <w:pPr>
              <w:pStyle w:val="80"/>
              <w:snapToGrid w:val="0"/>
              <w:jc w:val="left"/>
              <w:rPr>
                <w:rFonts w:hint="eastAsia" w:ascii="Times New Roman" w:hAnsi="Times New Roman" w:eastAsia="宋体" w:cs="Times New Roman"/>
                <w:color w:val="auto"/>
                <w:szCs w:val="24"/>
              </w:rPr>
            </w:pPr>
            <w:r>
              <w:rPr>
                <w:rFonts w:hint="eastAsia" w:ascii="Times New Roman" w:hAnsi="Times New Roman" w:eastAsia="宋体" w:cs="Times New Roman"/>
                <w:color w:val="auto"/>
                <w:szCs w:val="24"/>
              </w:rPr>
              <w:t>危废贮存</w:t>
            </w:r>
            <w:r>
              <w:rPr>
                <w:rFonts w:hint="eastAsia" w:ascii="Times New Roman" w:hAnsi="Times New Roman" w:eastAsia="宋体" w:cs="Times New Roman"/>
                <w:color w:val="auto"/>
                <w:szCs w:val="24"/>
                <w:lang w:val="en-US" w:eastAsia="zh-CN"/>
              </w:rPr>
              <w:t>点</w:t>
            </w:r>
            <w:r>
              <w:rPr>
                <w:rFonts w:hint="eastAsia" w:ascii="Times New Roman" w:hAnsi="Times New Roman" w:eastAsia="宋体" w:cs="Times New Roman"/>
                <w:color w:val="auto"/>
                <w:szCs w:val="24"/>
              </w:rPr>
              <w:t>环境管理应严格按照《危险废物贮存污染控制标准》（GB18597-2023）相关要求执行，本项目危废贮存</w:t>
            </w:r>
            <w:r>
              <w:rPr>
                <w:rFonts w:hint="eastAsia" w:ascii="Times New Roman" w:hAnsi="Times New Roman" w:eastAsia="宋体" w:cs="Times New Roman"/>
                <w:color w:val="auto"/>
                <w:szCs w:val="24"/>
                <w:lang w:val="en-US" w:eastAsia="zh-CN"/>
              </w:rPr>
              <w:t>点</w:t>
            </w:r>
            <w:r>
              <w:rPr>
                <w:rFonts w:hint="eastAsia" w:ascii="Times New Roman" w:hAnsi="Times New Roman" w:eastAsia="宋体" w:cs="Times New Roman"/>
                <w:color w:val="auto"/>
                <w:szCs w:val="24"/>
              </w:rPr>
              <w:t>环境管理要求如下：</w:t>
            </w:r>
          </w:p>
          <w:p w14:paraId="3E94D323">
            <w:pPr>
              <w:pStyle w:val="80"/>
              <w:snapToGrid w:val="0"/>
              <w:jc w:val="left"/>
              <w:rPr>
                <w:rFonts w:hint="eastAsia" w:cs="Times New Roman"/>
                <w:color w:val="auto"/>
                <w:szCs w:val="24"/>
              </w:rPr>
            </w:pPr>
            <w:r>
              <w:rPr>
                <w:rFonts w:hint="eastAsia" w:cs="Times New Roman"/>
                <w:color w:val="auto"/>
                <w:szCs w:val="24"/>
              </w:rPr>
              <w:t>①应具有固定的区域边界，并应采取与其他区域进行隔离的措施。</w:t>
            </w:r>
          </w:p>
          <w:p w14:paraId="3BF70376">
            <w:pPr>
              <w:pStyle w:val="80"/>
              <w:snapToGrid w:val="0"/>
              <w:jc w:val="left"/>
              <w:rPr>
                <w:rFonts w:hint="eastAsia" w:cs="Times New Roman"/>
                <w:color w:val="auto"/>
                <w:szCs w:val="24"/>
              </w:rPr>
            </w:pPr>
            <w:r>
              <w:rPr>
                <w:rFonts w:hint="eastAsia" w:cs="Times New Roman"/>
                <w:color w:val="auto"/>
                <w:szCs w:val="24"/>
              </w:rPr>
              <w:t>②应采取防风、防雨、防晒和防止危险废物流失、扬散等措施。</w:t>
            </w:r>
          </w:p>
          <w:p w14:paraId="0BD27C37">
            <w:pPr>
              <w:pStyle w:val="80"/>
              <w:snapToGrid w:val="0"/>
              <w:jc w:val="left"/>
              <w:rPr>
                <w:rFonts w:hint="eastAsia" w:cs="Times New Roman"/>
                <w:color w:val="auto"/>
                <w:szCs w:val="24"/>
              </w:rPr>
            </w:pPr>
            <w:r>
              <w:rPr>
                <w:rFonts w:hint="eastAsia" w:cs="Times New Roman"/>
                <w:color w:val="auto"/>
                <w:szCs w:val="24"/>
              </w:rPr>
              <w:t>③贮存的危险废物应置于容器或包装物中，不应直接散堆。</w:t>
            </w:r>
          </w:p>
          <w:p w14:paraId="1F20B8B5">
            <w:pPr>
              <w:pStyle w:val="80"/>
              <w:snapToGrid w:val="0"/>
              <w:jc w:val="left"/>
              <w:rPr>
                <w:rFonts w:hint="eastAsia" w:cs="Times New Roman"/>
                <w:color w:val="auto"/>
                <w:szCs w:val="24"/>
              </w:rPr>
            </w:pPr>
            <w:r>
              <w:rPr>
                <w:rFonts w:hint="eastAsia" w:cs="Times New Roman"/>
                <w:color w:val="auto"/>
                <w:szCs w:val="24"/>
              </w:rPr>
              <w:t>④应根据危险废物的形态、物理化学性质、包装形式等，采取防渗、防漏等污染防治措施或采用具有相应功能的装置。</w:t>
            </w:r>
          </w:p>
          <w:p w14:paraId="231C5026">
            <w:pPr>
              <w:pStyle w:val="80"/>
              <w:snapToGrid w:val="0"/>
              <w:jc w:val="left"/>
              <w:rPr>
                <w:rFonts w:hint="eastAsia" w:cs="Times New Roman"/>
                <w:color w:val="auto"/>
                <w:szCs w:val="24"/>
              </w:rPr>
            </w:pPr>
            <w:r>
              <w:rPr>
                <w:rFonts w:hint="eastAsia" w:cs="Times New Roman"/>
                <w:color w:val="auto"/>
                <w:szCs w:val="24"/>
              </w:rPr>
              <w:t>⑤应及时清运贮存的危险废物，实时贮存量不应超过</w:t>
            </w:r>
            <w:r>
              <w:rPr>
                <w:rFonts w:hint="eastAsia" w:cs="Times New Roman"/>
                <w:color w:val="auto"/>
                <w:szCs w:val="24"/>
                <w:lang w:val="en-US" w:eastAsia="zh-CN"/>
              </w:rPr>
              <w:t>3</w:t>
            </w:r>
            <w:r>
              <w:rPr>
                <w:rFonts w:hint="eastAsia" w:cs="Times New Roman"/>
                <w:color w:val="auto"/>
                <w:szCs w:val="24"/>
              </w:rPr>
              <w:t>吨。</w:t>
            </w:r>
          </w:p>
          <w:p w14:paraId="781CEBE1">
            <w:pPr>
              <w:pStyle w:val="80"/>
              <w:keepNext w:val="0"/>
              <w:keepLines w:val="0"/>
              <w:pageBreakBefore w:val="0"/>
              <w:widowControl w:val="0"/>
              <w:kinsoku/>
              <w:wordWrap/>
              <w:overflowPunct/>
              <w:topLinePunct w:val="0"/>
              <w:autoSpaceDE/>
              <w:autoSpaceDN/>
              <w:bidi w:val="0"/>
              <w:adjustRightInd/>
              <w:snapToGrid w:val="0"/>
              <w:spacing w:line="353" w:lineRule="auto"/>
              <w:jc w:val="left"/>
              <w:textAlignment w:val="auto"/>
              <w:rPr>
                <w:rFonts w:hint="eastAsia" w:cs="Times New Roman"/>
                <w:color w:val="auto"/>
                <w:szCs w:val="24"/>
              </w:rPr>
            </w:pPr>
            <w:r>
              <w:rPr>
                <w:rFonts w:hint="eastAsia" w:cs="Times New Roman"/>
                <w:color w:val="auto"/>
                <w:szCs w:val="24"/>
              </w:rPr>
              <w:t>危险废物在贮存期间，企业应根据《危险废物管理计划和管理台账制定技术导则》（HJ1259-2022）建立危险废物贮存的台账制度，危险废物出入库交接记录。台账登记内容应当包括来源、种类、重量或者数量、交接时间、处置方法、最终去向以及经办人签名等项目，登记资料至少保存5年。</w:t>
            </w:r>
          </w:p>
          <w:p w14:paraId="470337B9">
            <w:pPr>
              <w:keepNext w:val="0"/>
              <w:keepLines w:val="0"/>
              <w:pageBreakBefore w:val="0"/>
              <w:widowControl w:val="0"/>
              <w:kinsoku/>
              <w:wordWrap/>
              <w:overflowPunct/>
              <w:topLinePunct w:val="0"/>
              <w:autoSpaceDE/>
              <w:autoSpaceDN/>
              <w:bidi w:val="0"/>
              <w:adjustRightInd/>
              <w:snapToGrid/>
              <w:spacing w:line="353" w:lineRule="auto"/>
              <w:textAlignment w:val="auto"/>
              <w:rPr>
                <w:rFonts w:hint="default" w:eastAsia="宋体"/>
                <w:b/>
                <w:bCs/>
                <w:color w:val="auto"/>
                <w:sz w:val="24"/>
                <w:lang w:val="en-US" w:eastAsia="zh-CN"/>
              </w:rPr>
            </w:pPr>
            <w:r>
              <w:rPr>
                <w:rFonts w:hint="eastAsia"/>
                <w:b/>
                <w:bCs/>
                <w:color w:val="auto"/>
                <w:sz w:val="24"/>
              </w:rPr>
              <w:t>5.地下水、土壤</w:t>
            </w:r>
            <w:r>
              <w:rPr>
                <w:rFonts w:hint="eastAsia"/>
                <w:b/>
                <w:bCs/>
                <w:color w:val="auto"/>
                <w:sz w:val="24"/>
                <w:lang w:val="en-US" w:eastAsia="zh-CN"/>
              </w:rPr>
              <w:t>环境影响分析</w:t>
            </w:r>
          </w:p>
          <w:p w14:paraId="3EC11336">
            <w:pPr>
              <w:pStyle w:val="80"/>
              <w:keepNext w:val="0"/>
              <w:keepLines w:val="0"/>
              <w:pageBreakBefore w:val="0"/>
              <w:widowControl w:val="0"/>
              <w:kinsoku/>
              <w:wordWrap/>
              <w:overflowPunct/>
              <w:topLinePunct w:val="0"/>
              <w:autoSpaceDE/>
              <w:autoSpaceDN/>
              <w:bidi w:val="0"/>
              <w:adjustRightInd/>
              <w:snapToGrid w:val="0"/>
              <w:spacing w:line="353" w:lineRule="auto"/>
              <w:jc w:val="left"/>
              <w:textAlignment w:val="auto"/>
              <w:rPr>
                <w:rFonts w:hint="eastAsia" w:ascii="Times New Roman" w:hAnsi="Times New Roman" w:eastAsia="宋体" w:cs="Times New Roman"/>
                <w:color w:val="auto"/>
                <w:szCs w:val="24"/>
                <w:lang w:val="en-US" w:eastAsia="zh-CN"/>
              </w:rPr>
            </w:pPr>
            <w:r>
              <w:rPr>
                <w:rFonts w:hint="eastAsia" w:ascii="Times New Roman" w:hAnsi="Times New Roman" w:eastAsia="宋体" w:cs="Times New Roman"/>
                <w:color w:val="auto"/>
                <w:szCs w:val="24"/>
                <w:lang w:val="en-US" w:eastAsia="zh-CN"/>
              </w:rPr>
              <w:t>（1）地下水、土壤污染类型及途径</w:t>
            </w:r>
          </w:p>
          <w:p w14:paraId="3284DB30">
            <w:pPr>
              <w:pStyle w:val="80"/>
              <w:keepNext w:val="0"/>
              <w:keepLines w:val="0"/>
              <w:pageBreakBefore w:val="0"/>
              <w:widowControl w:val="0"/>
              <w:kinsoku/>
              <w:wordWrap/>
              <w:overflowPunct/>
              <w:topLinePunct w:val="0"/>
              <w:autoSpaceDE/>
              <w:autoSpaceDN/>
              <w:bidi w:val="0"/>
              <w:adjustRightInd/>
              <w:snapToGrid w:val="0"/>
              <w:spacing w:line="353" w:lineRule="auto"/>
              <w:jc w:val="left"/>
              <w:textAlignment w:val="auto"/>
              <w:rPr>
                <w:rFonts w:hint="eastAsia" w:ascii="Times New Roman" w:hAnsi="Times New Roman" w:eastAsia="宋体" w:cs="Times New Roman"/>
                <w:color w:val="auto"/>
                <w:szCs w:val="24"/>
                <w:lang w:val="en-US" w:eastAsia="zh-CN"/>
              </w:rPr>
            </w:pPr>
            <w:r>
              <w:rPr>
                <w:rFonts w:hint="eastAsia" w:ascii="Times New Roman" w:hAnsi="Times New Roman" w:eastAsia="宋体" w:cs="Times New Roman"/>
                <w:color w:val="auto"/>
                <w:szCs w:val="24"/>
                <w:lang w:val="en-US" w:eastAsia="zh-CN"/>
              </w:rPr>
              <w:t>本项目不涉及重金属，运营期无生产废水</w:t>
            </w:r>
            <w:r>
              <w:rPr>
                <w:rFonts w:hint="eastAsia" w:cs="Times New Roman"/>
                <w:color w:val="auto"/>
                <w:szCs w:val="24"/>
                <w:lang w:val="en-US" w:eastAsia="zh-CN"/>
              </w:rPr>
              <w:t>产生</w:t>
            </w:r>
            <w:r>
              <w:rPr>
                <w:rFonts w:hint="eastAsia" w:ascii="Times New Roman" w:hAnsi="Times New Roman" w:eastAsia="宋体" w:cs="Times New Roman"/>
                <w:color w:val="auto"/>
                <w:szCs w:val="24"/>
                <w:lang w:val="en-US" w:eastAsia="zh-CN"/>
              </w:rPr>
              <w:t>，本项目原辅材料储存、生产过程均在封闭厂房内，厂房地面硬化，不存在地下水、土壤污染</w:t>
            </w:r>
            <w:r>
              <w:rPr>
                <w:rFonts w:hint="eastAsia" w:cs="Times New Roman"/>
                <w:color w:val="auto"/>
                <w:szCs w:val="24"/>
                <w:lang w:val="en-US" w:eastAsia="zh-CN"/>
              </w:rPr>
              <w:t>途径</w:t>
            </w:r>
            <w:r>
              <w:rPr>
                <w:rFonts w:hint="eastAsia" w:ascii="Times New Roman" w:hAnsi="Times New Roman" w:eastAsia="宋体" w:cs="Times New Roman"/>
                <w:color w:val="auto"/>
                <w:szCs w:val="24"/>
                <w:lang w:val="en-US" w:eastAsia="zh-CN"/>
              </w:rPr>
              <w:t>，不会对土壤、地下水造成不良影响。</w:t>
            </w:r>
          </w:p>
          <w:p w14:paraId="504D17E1">
            <w:pPr>
              <w:pStyle w:val="80"/>
              <w:keepNext w:val="0"/>
              <w:keepLines w:val="0"/>
              <w:pageBreakBefore w:val="0"/>
              <w:widowControl w:val="0"/>
              <w:kinsoku/>
              <w:wordWrap/>
              <w:overflowPunct/>
              <w:topLinePunct w:val="0"/>
              <w:autoSpaceDE/>
              <w:autoSpaceDN/>
              <w:bidi w:val="0"/>
              <w:adjustRightInd/>
              <w:snapToGrid w:val="0"/>
              <w:spacing w:line="353" w:lineRule="auto"/>
              <w:jc w:val="left"/>
              <w:textAlignment w:val="auto"/>
              <w:rPr>
                <w:rFonts w:hint="eastAsia" w:ascii="Times New Roman" w:hAnsi="Times New Roman" w:eastAsia="宋体" w:cs="Times New Roman"/>
                <w:color w:val="auto"/>
                <w:szCs w:val="24"/>
                <w:lang w:val="en-US" w:eastAsia="zh-CN"/>
              </w:rPr>
            </w:pPr>
          </w:p>
          <w:p w14:paraId="33F928F6">
            <w:pPr>
              <w:pStyle w:val="80"/>
              <w:keepNext w:val="0"/>
              <w:keepLines w:val="0"/>
              <w:pageBreakBefore w:val="0"/>
              <w:widowControl w:val="0"/>
              <w:kinsoku/>
              <w:wordWrap/>
              <w:overflowPunct/>
              <w:topLinePunct w:val="0"/>
              <w:autoSpaceDE/>
              <w:autoSpaceDN/>
              <w:bidi w:val="0"/>
              <w:adjustRightInd/>
              <w:snapToGrid w:val="0"/>
              <w:spacing w:before="157" w:beforeLines="50" w:line="353" w:lineRule="auto"/>
              <w:jc w:val="left"/>
              <w:textAlignment w:val="auto"/>
              <w:rPr>
                <w:rFonts w:hint="eastAsia" w:ascii="Times New Roman" w:hAnsi="Times New Roman" w:eastAsia="宋体" w:cs="Times New Roman"/>
                <w:color w:val="auto"/>
                <w:szCs w:val="24"/>
                <w:lang w:val="en-US" w:eastAsia="zh-CN"/>
              </w:rPr>
            </w:pPr>
            <w:r>
              <w:rPr>
                <w:rFonts w:hint="eastAsia" w:ascii="Times New Roman" w:hAnsi="Times New Roman" w:eastAsia="宋体" w:cs="Times New Roman"/>
                <w:color w:val="auto"/>
                <w:szCs w:val="24"/>
                <w:lang w:val="en-US" w:eastAsia="zh-CN"/>
              </w:rPr>
              <w:t>（2）地下水、土壤污染防治措施</w:t>
            </w:r>
          </w:p>
          <w:p w14:paraId="2F39858B">
            <w:pPr>
              <w:pStyle w:val="80"/>
              <w:keepNext w:val="0"/>
              <w:keepLines w:val="0"/>
              <w:pageBreakBefore w:val="0"/>
              <w:widowControl w:val="0"/>
              <w:kinsoku/>
              <w:wordWrap/>
              <w:overflowPunct/>
              <w:topLinePunct w:val="0"/>
              <w:autoSpaceDE/>
              <w:autoSpaceDN/>
              <w:bidi w:val="0"/>
              <w:adjustRightInd/>
              <w:snapToGrid w:val="0"/>
              <w:spacing w:line="353" w:lineRule="auto"/>
              <w:jc w:val="left"/>
              <w:textAlignment w:val="auto"/>
              <w:rPr>
                <w:rFonts w:hint="eastAsia" w:ascii="Times New Roman" w:hAnsi="Times New Roman" w:eastAsia="宋体" w:cs="Times New Roman"/>
                <w:color w:val="auto"/>
                <w:szCs w:val="24"/>
                <w:lang w:val="en-US" w:eastAsia="zh-CN"/>
              </w:rPr>
            </w:pPr>
            <w:r>
              <w:rPr>
                <w:rFonts w:hint="eastAsia" w:ascii="Times New Roman" w:hAnsi="Times New Roman" w:eastAsia="宋体" w:cs="Times New Roman"/>
                <w:color w:val="auto"/>
                <w:szCs w:val="24"/>
                <w:lang w:val="en-US" w:eastAsia="zh-CN"/>
              </w:rPr>
              <w:t>为防止项目非正常工况对地下水及土壤的影响，对照《环境影响评价技术导则 地下水环境》（HJ610-2016）“地下水污染防渗分区参照表”及本项目实际建设情况，本项目</w:t>
            </w:r>
            <w:r>
              <w:rPr>
                <w:rFonts w:hint="default" w:ascii="Times New Roman" w:hAnsi="Times New Roman" w:eastAsia="宋体" w:cs="Times New Roman"/>
                <w:color w:val="auto"/>
                <w:szCs w:val="24"/>
                <w:lang w:val="en-US" w:eastAsia="zh-CN"/>
              </w:rPr>
              <w:t>实行源头控制、分区防渗等措施</w:t>
            </w:r>
            <w:r>
              <w:rPr>
                <w:rFonts w:hint="eastAsia" w:ascii="Times New Roman" w:hAnsi="Times New Roman" w:eastAsia="宋体" w:cs="Times New Roman"/>
                <w:color w:val="auto"/>
                <w:szCs w:val="24"/>
                <w:lang w:val="en-US" w:eastAsia="zh-CN"/>
              </w:rPr>
              <w:t>。</w:t>
            </w:r>
          </w:p>
          <w:p w14:paraId="5E97AD79">
            <w:pPr>
              <w:pStyle w:val="80"/>
              <w:keepNext w:val="0"/>
              <w:keepLines w:val="0"/>
              <w:pageBreakBefore w:val="0"/>
              <w:widowControl w:val="0"/>
              <w:kinsoku/>
              <w:wordWrap/>
              <w:overflowPunct/>
              <w:topLinePunct w:val="0"/>
              <w:autoSpaceDE/>
              <w:autoSpaceDN/>
              <w:bidi w:val="0"/>
              <w:adjustRightInd/>
              <w:snapToGrid w:val="0"/>
              <w:spacing w:line="353" w:lineRule="auto"/>
              <w:jc w:val="left"/>
              <w:textAlignment w:val="auto"/>
              <w:rPr>
                <w:rFonts w:hint="eastAsia" w:ascii="Times New Roman" w:hAnsi="Times New Roman" w:eastAsia="宋体" w:cs="Times New Roman"/>
                <w:color w:val="auto"/>
                <w:szCs w:val="24"/>
                <w:lang w:val="en-US" w:eastAsia="zh-CN"/>
              </w:rPr>
            </w:pPr>
            <w:r>
              <w:rPr>
                <w:rFonts w:hint="eastAsia" w:ascii="Times New Roman" w:hAnsi="Times New Roman" w:eastAsia="宋体" w:cs="Times New Roman"/>
                <w:color w:val="auto"/>
                <w:szCs w:val="24"/>
                <w:lang w:val="en-US" w:eastAsia="zh-CN"/>
              </w:rPr>
              <w:fldChar w:fldCharType="begin"/>
            </w:r>
            <w:r>
              <w:rPr>
                <w:rFonts w:hint="eastAsia" w:ascii="Times New Roman" w:hAnsi="Times New Roman" w:eastAsia="宋体" w:cs="Times New Roman"/>
                <w:color w:val="auto"/>
                <w:szCs w:val="24"/>
                <w:lang w:val="en-US" w:eastAsia="zh-CN"/>
              </w:rPr>
              <w:instrText xml:space="preserve"> = 1 \* GB3 \* MERGEFORMAT </w:instrText>
            </w:r>
            <w:r>
              <w:rPr>
                <w:rFonts w:hint="eastAsia" w:ascii="Times New Roman" w:hAnsi="Times New Roman" w:eastAsia="宋体" w:cs="Times New Roman"/>
                <w:color w:val="auto"/>
                <w:szCs w:val="24"/>
                <w:lang w:val="en-US" w:eastAsia="zh-CN"/>
              </w:rPr>
              <w:fldChar w:fldCharType="separate"/>
            </w:r>
            <w:r>
              <w:rPr>
                <w:rFonts w:hint="eastAsia" w:ascii="Times New Roman" w:hAnsi="Times New Roman" w:eastAsia="宋体" w:cs="Times New Roman"/>
                <w:color w:val="auto"/>
                <w:szCs w:val="24"/>
                <w:lang w:val="en-US" w:eastAsia="zh-CN"/>
              </w:rPr>
              <w:t>①</w:t>
            </w:r>
            <w:r>
              <w:rPr>
                <w:rFonts w:hint="eastAsia" w:ascii="Times New Roman" w:hAnsi="Times New Roman" w:eastAsia="宋体" w:cs="Times New Roman"/>
                <w:color w:val="auto"/>
                <w:szCs w:val="24"/>
                <w:lang w:val="en-US" w:eastAsia="zh-CN"/>
              </w:rPr>
              <w:fldChar w:fldCharType="end"/>
            </w:r>
            <w:r>
              <w:rPr>
                <w:rFonts w:hint="eastAsia" w:ascii="Times New Roman" w:hAnsi="Times New Roman" w:eastAsia="宋体" w:cs="Times New Roman"/>
                <w:color w:val="auto"/>
                <w:szCs w:val="24"/>
                <w:lang w:val="en-US" w:eastAsia="zh-CN"/>
              </w:rPr>
              <w:t>源头控制措施</w:t>
            </w:r>
          </w:p>
          <w:p w14:paraId="6AB13E77">
            <w:pPr>
              <w:pStyle w:val="80"/>
              <w:keepNext w:val="0"/>
              <w:keepLines w:val="0"/>
              <w:pageBreakBefore w:val="0"/>
              <w:widowControl w:val="0"/>
              <w:kinsoku/>
              <w:wordWrap/>
              <w:overflowPunct/>
              <w:topLinePunct w:val="0"/>
              <w:autoSpaceDE/>
              <w:autoSpaceDN/>
              <w:bidi w:val="0"/>
              <w:adjustRightInd/>
              <w:snapToGrid w:val="0"/>
              <w:spacing w:line="353" w:lineRule="auto"/>
              <w:jc w:val="left"/>
              <w:textAlignment w:val="auto"/>
              <w:rPr>
                <w:rFonts w:hint="eastAsia" w:ascii="Times New Roman" w:hAnsi="Times New Roman" w:eastAsia="宋体" w:cs="Times New Roman"/>
                <w:color w:val="auto"/>
                <w:szCs w:val="24"/>
                <w:lang w:val="en-US" w:eastAsia="zh-CN"/>
              </w:rPr>
            </w:pPr>
            <w:r>
              <w:rPr>
                <w:rFonts w:hint="eastAsia" w:ascii="Times New Roman" w:hAnsi="Times New Roman" w:eastAsia="宋体" w:cs="Times New Roman"/>
                <w:color w:val="auto"/>
                <w:szCs w:val="24"/>
                <w:lang w:val="en-US" w:eastAsia="zh-CN"/>
              </w:rPr>
              <w:t>应根据国家现行相关规范加强环境管理，采取防止和降低污染物跑、冒、滴、漏的措施。正常生产过程中应加强巡检，及时发现隐患，消除隐患，同时应加强对防渗工程的检查，若发现防渗密封材料老化或损坏，应及时维修更换，将污染物泄漏的环境风险事故降到最低限度。</w:t>
            </w:r>
          </w:p>
          <w:p w14:paraId="1EAC85FF">
            <w:pPr>
              <w:pStyle w:val="80"/>
              <w:keepNext w:val="0"/>
              <w:keepLines w:val="0"/>
              <w:pageBreakBefore w:val="0"/>
              <w:widowControl w:val="0"/>
              <w:kinsoku/>
              <w:wordWrap/>
              <w:overflowPunct/>
              <w:topLinePunct w:val="0"/>
              <w:autoSpaceDE/>
              <w:autoSpaceDN/>
              <w:bidi w:val="0"/>
              <w:adjustRightInd/>
              <w:snapToGrid w:val="0"/>
              <w:spacing w:line="353" w:lineRule="auto"/>
              <w:jc w:val="left"/>
              <w:textAlignment w:val="auto"/>
              <w:rPr>
                <w:rFonts w:hint="eastAsia" w:ascii="Times New Roman" w:hAnsi="Times New Roman" w:eastAsia="宋体" w:cs="Times New Roman"/>
                <w:color w:val="auto"/>
                <w:szCs w:val="24"/>
                <w:lang w:val="en-US" w:eastAsia="zh-CN"/>
              </w:rPr>
            </w:pPr>
            <w:r>
              <w:rPr>
                <w:rFonts w:hint="eastAsia" w:ascii="Times New Roman" w:hAnsi="Times New Roman" w:eastAsia="宋体" w:cs="Times New Roman"/>
                <w:color w:val="auto"/>
                <w:szCs w:val="24"/>
                <w:lang w:val="en-US" w:eastAsia="zh-CN"/>
              </w:rPr>
              <w:fldChar w:fldCharType="begin"/>
            </w:r>
            <w:r>
              <w:rPr>
                <w:rFonts w:hint="eastAsia" w:ascii="Times New Roman" w:hAnsi="Times New Roman" w:eastAsia="宋体" w:cs="Times New Roman"/>
                <w:color w:val="auto"/>
                <w:szCs w:val="24"/>
                <w:lang w:val="en-US" w:eastAsia="zh-CN"/>
              </w:rPr>
              <w:instrText xml:space="preserve"> = 2 \* GB3 \* MERGEFORMAT </w:instrText>
            </w:r>
            <w:r>
              <w:rPr>
                <w:rFonts w:hint="eastAsia" w:ascii="Times New Roman" w:hAnsi="Times New Roman" w:eastAsia="宋体" w:cs="Times New Roman"/>
                <w:color w:val="auto"/>
                <w:szCs w:val="24"/>
                <w:lang w:val="en-US" w:eastAsia="zh-CN"/>
              </w:rPr>
              <w:fldChar w:fldCharType="separate"/>
            </w:r>
            <w:r>
              <w:rPr>
                <w:rFonts w:hint="eastAsia" w:ascii="Times New Roman" w:hAnsi="Times New Roman" w:eastAsia="宋体" w:cs="Times New Roman"/>
                <w:color w:val="auto"/>
                <w:szCs w:val="24"/>
                <w:lang w:val="en-US" w:eastAsia="zh-CN"/>
              </w:rPr>
              <w:t>②</w:t>
            </w:r>
            <w:r>
              <w:rPr>
                <w:rFonts w:hint="eastAsia" w:ascii="Times New Roman" w:hAnsi="Times New Roman" w:eastAsia="宋体" w:cs="Times New Roman"/>
                <w:color w:val="auto"/>
                <w:szCs w:val="24"/>
                <w:lang w:val="en-US" w:eastAsia="zh-CN"/>
              </w:rPr>
              <w:fldChar w:fldCharType="end"/>
            </w:r>
            <w:r>
              <w:rPr>
                <w:rFonts w:hint="eastAsia" w:ascii="Times New Roman" w:hAnsi="Times New Roman" w:eastAsia="宋体" w:cs="Times New Roman"/>
                <w:color w:val="auto"/>
                <w:szCs w:val="24"/>
                <w:lang w:val="en-US" w:eastAsia="zh-CN"/>
              </w:rPr>
              <w:t>分区防渗措施</w:t>
            </w:r>
          </w:p>
          <w:p w14:paraId="5F0B656D">
            <w:pPr>
              <w:pStyle w:val="80"/>
              <w:keepNext w:val="0"/>
              <w:keepLines w:val="0"/>
              <w:pageBreakBefore w:val="0"/>
              <w:widowControl w:val="0"/>
              <w:kinsoku/>
              <w:wordWrap/>
              <w:overflowPunct/>
              <w:topLinePunct w:val="0"/>
              <w:autoSpaceDE/>
              <w:autoSpaceDN/>
              <w:bidi w:val="0"/>
              <w:adjustRightInd/>
              <w:snapToGrid w:val="0"/>
              <w:spacing w:line="353" w:lineRule="auto"/>
              <w:jc w:val="left"/>
              <w:textAlignment w:val="auto"/>
              <w:rPr>
                <w:rFonts w:hint="default" w:ascii="Times New Roman" w:hAnsi="Times New Roman" w:eastAsia="宋体" w:cs="Times New Roman"/>
                <w:b/>
                <w:bCs/>
                <w:color w:val="auto"/>
                <w:lang w:val="en-US" w:eastAsia="zh-CN"/>
              </w:rPr>
            </w:pPr>
            <w:r>
              <w:rPr>
                <w:rFonts w:hint="eastAsia" w:ascii="Times New Roman" w:hAnsi="Times New Roman" w:eastAsia="宋体" w:cs="Times New Roman"/>
                <w:color w:val="auto"/>
                <w:szCs w:val="24"/>
                <w:lang w:val="en-US" w:eastAsia="zh-CN"/>
              </w:rPr>
              <w:t>为防止和减少泄漏的污染物进入地下水、土壤，项目区应采取分区防控措施。项目分区防渗情况详见表4-1</w:t>
            </w:r>
            <w:r>
              <w:rPr>
                <w:rFonts w:hint="eastAsia" w:cs="Times New Roman"/>
                <w:color w:val="auto"/>
                <w:szCs w:val="24"/>
                <w:lang w:val="en-US" w:eastAsia="zh-CN"/>
              </w:rPr>
              <w:t>5</w:t>
            </w:r>
            <w:r>
              <w:rPr>
                <w:rFonts w:hint="eastAsia" w:ascii="Times New Roman" w:hAnsi="Times New Roman" w:eastAsia="宋体" w:cs="Times New Roman"/>
                <w:color w:val="auto"/>
                <w:szCs w:val="24"/>
                <w:lang w:val="en-US" w:eastAsia="zh-CN"/>
              </w:rPr>
              <w:t>，</w:t>
            </w:r>
            <w:r>
              <w:rPr>
                <w:rFonts w:hint="default" w:ascii="Times New Roman" w:hAnsi="Times New Roman" w:eastAsia="宋体" w:cs="Times New Roman"/>
                <w:color w:val="auto"/>
                <w:szCs w:val="24"/>
                <w:lang w:val="en-US" w:eastAsia="zh-CN"/>
              </w:rPr>
              <w:t>项目分区防渗</w:t>
            </w:r>
            <w:r>
              <w:rPr>
                <w:rFonts w:hint="eastAsia" w:ascii="Times New Roman" w:hAnsi="Times New Roman" w:eastAsia="宋体" w:cs="Times New Roman"/>
                <w:color w:val="auto"/>
                <w:szCs w:val="24"/>
                <w:lang w:val="en-US" w:eastAsia="zh-CN"/>
              </w:rPr>
              <w:t>示意图</w:t>
            </w:r>
            <w:r>
              <w:rPr>
                <w:rFonts w:hint="default" w:ascii="Times New Roman" w:hAnsi="Times New Roman" w:eastAsia="宋体" w:cs="Times New Roman"/>
                <w:color w:val="auto"/>
                <w:szCs w:val="24"/>
                <w:lang w:val="en-US" w:eastAsia="zh-CN"/>
              </w:rPr>
              <w:t>见</w:t>
            </w:r>
            <w:r>
              <w:rPr>
                <w:rFonts w:hint="eastAsia" w:ascii="Times New Roman" w:hAnsi="Times New Roman" w:eastAsia="宋体" w:cs="Times New Roman"/>
                <w:b/>
                <w:bCs/>
                <w:color w:val="auto"/>
                <w:szCs w:val="24"/>
                <w:lang w:val="en-US" w:eastAsia="zh-CN"/>
              </w:rPr>
              <w:t>附图</w:t>
            </w:r>
            <w:r>
              <w:rPr>
                <w:rFonts w:hint="eastAsia" w:cs="Times New Roman"/>
                <w:b/>
                <w:bCs/>
                <w:color w:val="auto"/>
                <w:szCs w:val="24"/>
                <w:lang w:val="en-US" w:eastAsia="zh-CN"/>
              </w:rPr>
              <w:t>9</w:t>
            </w:r>
            <w:r>
              <w:rPr>
                <w:rFonts w:hint="default" w:ascii="Times New Roman" w:hAnsi="Times New Roman" w:eastAsia="宋体" w:cs="Times New Roman"/>
                <w:color w:val="auto"/>
                <w:szCs w:val="24"/>
                <w:lang w:val="en-US" w:eastAsia="zh-CN"/>
              </w:rPr>
              <w:t>。</w:t>
            </w:r>
          </w:p>
          <w:p w14:paraId="6E08346C">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表</w:t>
            </w:r>
            <w:r>
              <w:rPr>
                <w:rFonts w:hint="eastAsia" w:ascii="Times New Roman" w:hAnsi="Times New Roman" w:eastAsia="宋体" w:cs="Times New Roman"/>
                <w:b/>
                <w:bCs/>
                <w:color w:val="auto"/>
                <w:lang w:val="en-US" w:eastAsia="zh-CN"/>
              </w:rPr>
              <w:t>4-1</w:t>
            </w:r>
            <w:r>
              <w:rPr>
                <w:rFonts w:hint="eastAsia" w:cs="Times New Roman"/>
                <w:b/>
                <w:bCs/>
                <w:color w:val="auto"/>
                <w:lang w:val="en-US" w:eastAsia="zh-CN"/>
              </w:rPr>
              <w:t>5</w:t>
            </w:r>
            <w:r>
              <w:rPr>
                <w:rFonts w:hint="default" w:ascii="Times New Roman" w:hAnsi="Times New Roman" w:eastAsia="宋体" w:cs="Times New Roman"/>
                <w:b/>
                <w:bCs/>
                <w:color w:val="auto"/>
                <w:lang w:val="en-US" w:eastAsia="zh-CN"/>
              </w:rPr>
              <w:t xml:space="preserve"> 项目分区防渗方案及防渗措施表</w:t>
            </w:r>
          </w:p>
          <w:tbl>
            <w:tblPr>
              <w:tblStyle w:val="26"/>
              <w:tblW w:w="781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Layout w:type="fixed"/>
              <w:tblCellMar>
                <w:top w:w="0" w:type="dxa"/>
                <w:left w:w="28" w:type="dxa"/>
                <w:bottom w:w="0" w:type="dxa"/>
                <w:right w:w="28" w:type="dxa"/>
              </w:tblCellMar>
            </w:tblPr>
            <w:tblGrid>
              <w:gridCol w:w="676"/>
              <w:gridCol w:w="1358"/>
              <w:gridCol w:w="2181"/>
              <w:gridCol w:w="3596"/>
            </w:tblGrid>
            <w:tr w14:paraId="45954322">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397" w:hRule="atLeast"/>
                <w:jc w:val="center"/>
              </w:trPr>
              <w:tc>
                <w:tcPr>
                  <w:tcW w:w="676" w:type="dxa"/>
                  <w:tcBorders>
                    <w:bottom w:val="single" w:color="auto" w:sz="12" w:space="0"/>
                  </w:tcBorders>
                  <w:noWrap w:val="0"/>
                  <w:vAlign w:val="center"/>
                </w:tcPr>
                <w:p w14:paraId="6D53EE9B">
                  <w:pPr>
                    <w:adjustRightInd w:val="0"/>
                    <w:snapToGrid w:val="0"/>
                    <w:jc w:val="center"/>
                    <w:rPr>
                      <w:rFonts w:ascii="宋体" w:hAnsi="宋体" w:cs="宋体"/>
                      <w:b/>
                      <w:bCs/>
                      <w:color w:val="auto"/>
                    </w:rPr>
                  </w:pPr>
                  <w:r>
                    <w:rPr>
                      <w:rFonts w:ascii="宋体" w:hAnsi="宋体" w:cs="宋体"/>
                      <w:b/>
                      <w:bCs/>
                      <w:color w:val="auto"/>
                    </w:rPr>
                    <w:t>序号</w:t>
                  </w:r>
                </w:p>
              </w:tc>
              <w:tc>
                <w:tcPr>
                  <w:tcW w:w="1358" w:type="dxa"/>
                  <w:tcBorders>
                    <w:bottom w:val="single" w:color="auto" w:sz="12" w:space="0"/>
                  </w:tcBorders>
                  <w:noWrap w:val="0"/>
                  <w:vAlign w:val="center"/>
                </w:tcPr>
                <w:p w14:paraId="5D06214F">
                  <w:pPr>
                    <w:adjustRightInd w:val="0"/>
                    <w:snapToGrid w:val="0"/>
                    <w:jc w:val="center"/>
                    <w:rPr>
                      <w:rFonts w:ascii="宋体" w:hAnsi="宋体" w:cs="宋体"/>
                      <w:b/>
                      <w:bCs/>
                      <w:color w:val="auto"/>
                    </w:rPr>
                  </w:pPr>
                  <w:r>
                    <w:rPr>
                      <w:rFonts w:hint="eastAsia" w:ascii="宋体" w:hAnsi="宋体" w:cs="宋体"/>
                      <w:b/>
                      <w:bCs/>
                      <w:color w:val="auto"/>
                    </w:rPr>
                    <w:t>防渗分区</w:t>
                  </w:r>
                </w:p>
              </w:tc>
              <w:tc>
                <w:tcPr>
                  <w:tcW w:w="2181" w:type="dxa"/>
                  <w:tcBorders>
                    <w:bottom w:val="single" w:color="auto" w:sz="12" w:space="0"/>
                  </w:tcBorders>
                  <w:noWrap w:val="0"/>
                  <w:vAlign w:val="center"/>
                </w:tcPr>
                <w:p w14:paraId="0E490C40">
                  <w:pPr>
                    <w:adjustRightInd w:val="0"/>
                    <w:snapToGrid w:val="0"/>
                    <w:jc w:val="center"/>
                    <w:rPr>
                      <w:rFonts w:ascii="宋体" w:hAnsi="宋体" w:cs="宋体"/>
                      <w:b/>
                      <w:bCs/>
                      <w:color w:val="auto"/>
                    </w:rPr>
                  </w:pPr>
                  <w:r>
                    <w:rPr>
                      <w:rFonts w:hint="eastAsia" w:ascii="宋体" w:hAnsi="宋体" w:cs="宋体"/>
                      <w:b/>
                      <w:bCs/>
                      <w:color w:val="auto"/>
                    </w:rPr>
                    <w:t>分区位置</w:t>
                  </w:r>
                </w:p>
              </w:tc>
              <w:tc>
                <w:tcPr>
                  <w:tcW w:w="3596" w:type="dxa"/>
                  <w:tcBorders>
                    <w:bottom w:val="single" w:color="auto" w:sz="12" w:space="0"/>
                  </w:tcBorders>
                  <w:noWrap w:val="0"/>
                  <w:vAlign w:val="center"/>
                </w:tcPr>
                <w:p w14:paraId="51DEAACF">
                  <w:pPr>
                    <w:adjustRightInd w:val="0"/>
                    <w:snapToGrid w:val="0"/>
                    <w:jc w:val="center"/>
                    <w:rPr>
                      <w:rFonts w:ascii="宋体" w:hAnsi="宋体" w:cs="宋体"/>
                      <w:b/>
                      <w:bCs/>
                      <w:color w:val="auto"/>
                    </w:rPr>
                  </w:pPr>
                  <w:r>
                    <w:rPr>
                      <w:rFonts w:hint="eastAsia" w:ascii="宋体" w:hAnsi="宋体" w:cs="宋体"/>
                      <w:b/>
                      <w:bCs/>
                      <w:color w:val="auto"/>
                    </w:rPr>
                    <w:t>防渗技术要求</w:t>
                  </w:r>
                </w:p>
              </w:tc>
            </w:tr>
            <w:tr w14:paraId="3F3B0206">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709" w:hRule="atLeast"/>
                <w:jc w:val="center"/>
              </w:trPr>
              <w:tc>
                <w:tcPr>
                  <w:tcW w:w="676" w:type="dxa"/>
                  <w:tcBorders>
                    <w:top w:val="single" w:color="auto" w:sz="12" w:space="0"/>
                  </w:tcBorders>
                  <w:noWrap w:val="0"/>
                  <w:vAlign w:val="center"/>
                </w:tcPr>
                <w:p w14:paraId="1A81ED75">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w:t>
                  </w:r>
                </w:p>
              </w:tc>
              <w:tc>
                <w:tcPr>
                  <w:tcW w:w="1358" w:type="dxa"/>
                  <w:tcBorders>
                    <w:top w:val="single" w:color="auto" w:sz="12" w:space="0"/>
                  </w:tcBorders>
                  <w:noWrap w:val="0"/>
                  <w:vAlign w:val="center"/>
                </w:tcPr>
                <w:p w14:paraId="66070504">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重点防渗区</w:t>
                  </w:r>
                </w:p>
              </w:tc>
              <w:tc>
                <w:tcPr>
                  <w:tcW w:w="2181" w:type="dxa"/>
                  <w:tcBorders>
                    <w:top w:val="single" w:color="auto" w:sz="12" w:space="0"/>
                  </w:tcBorders>
                  <w:noWrap w:val="0"/>
                  <w:vAlign w:val="center"/>
                </w:tcPr>
                <w:p w14:paraId="758140B5">
                  <w:pPr>
                    <w:adjustRightInd w:val="0"/>
                    <w:snapToGrid w:val="0"/>
                    <w:jc w:val="center"/>
                    <w:rPr>
                      <w:rFonts w:hint="eastAsia"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危废</w:t>
                  </w:r>
                  <w:r>
                    <w:rPr>
                      <w:rFonts w:hint="eastAsia" w:ascii="Times New Roman" w:hAnsi="Times New Roman" w:eastAsia="宋体" w:cs="Times New Roman"/>
                      <w:color w:val="auto"/>
                      <w:szCs w:val="21"/>
                      <w:lang w:val="en-US" w:eastAsia="zh-CN"/>
                    </w:rPr>
                    <w:t>贮存</w:t>
                  </w:r>
                  <w:r>
                    <w:rPr>
                      <w:rFonts w:hint="eastAsia" w:cs="Times New Roman"/>
                      <w:color w:val="auto"/>
                      <w:szCs w:val="21"/>
                      <w:lang w:val="en-US" w:eastAsia="zh-CN"/>
                    </w:rPr>
                    <w:t>点</w:t>
                  </w:r>
                  <w:r>
                    <w:rPr>
                      <w:rFonts w:hint="default" w:ascii="Times New Roman" w:hAnsi="Times New Roman" w:eastAsia="宋体" w:cs="Times New Roman"/>
                      <w:color w:val="auto"/>
                      <w:szCs w:val="21"/>
                      <w:lang w:val="en-US" w:eastAsia="zh-CN"/>
                    </w:rPr>
                    <w:t>、喷漆房、油漆库等</w:t>
                  </w:r>
                </w:p>
              </w:tc>
              <w:tc>
                <w:tcPr>
                  <w:tcW w:w="3596" w:type="dxa"/>
                  <w:tcBorders>
                    <w:top w:val="single" w:color="auto" w:sz="12" w:space="0"/>
                  </w:tcBorders>
                  <w:noWrap w:val="0"/>
                  <w:vAlign w:val="center"/>
                </w:tcPr>
                <w:p w14:paraId="754DF819">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防渗层为2mm厚高密度聚乙烯膜，渗透系数≤10</w:t>
                  </w:r>
                  <w:r>
                    <w:rPr>
                      <w:rFonts w:hint="eastAsia" w:ascii="Times New Roman" w:hAnsi="Times New Roman" w:eastAsia="宋体" w:cs="Times New Roman"/>
                      <w:color w:val="auto"/>
                      <w:szCs w:val="21"/>
                      <w:vertAlign w:val="superscript"/>
                      <w:lang w:val="en-US" w:eastAsia="zh-CN"/>
                    </w:rPr>
                    <w:t>-10</w:t>
                  </w:r>
                  <w:r>
                    <w:rPr>
                      <w:rFonts w:hint="eastAsia" w:ascii="Times New Roman" w:hAnsi="Times New Roman" w:eastAsia="宋体" w:cs="Times New Roman"/>
                      <w:color w:val="auto"/>
                      <w:szCs w:val="21"/>
                      <w:lang w:val="en-US" w:eastAsia="zh-CN"/>
                    </w:rPr>
                    <w:t>cm/s”。</w:t>
                  </w:r>
                </w:p>
              </w:tc>
            </w:tr>
            <w:tr w14:paraId="7A734AF3">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935" w:hRule="atLeast"/>
                <w:jc w:val="center"/>
              </w:trPr>
              <w:tc>
                <w:tcPr>
                  <w:tcW w:w="676" w:type="dxa"/>
                  <w:noWrap w:val="0"/>
                  <w:vAlign w:val="center"/>
                </w:tcPr>
                <w:p w14:paraId="5912A3EA">
                  <w:pPr>
                    <w:adjustRightInd w:val="0"/>
                    <w:snapToGrid w:val="0"/>
                    <w:jc w:val="center"/>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val="en-US" w:eastAsia="zh-CN"/>
                    </w:rPr>
                    <w:t>2</w:t>
                  </w:r>
                </w:p>
              </w:tc>
              <w:tc>
                <w:tcPr>
                  <w:tcW w:w="1358" w:type="dxa"/>
                  <w:noWrap w:val="0"/>
                  <w:vAlign w:val="center"/>
                </w:tcPr>
                <w:p w14:paraId="16CEECC1">
                  <w:pPr>
                    <w:adjustRightInd w:val="0"/>
                    <w:snapToGrid w:val="0"/>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一般防渗区</w:t>
                  </w:r>
                </w:p>
              </w:tc>
              <w:tc>
                <w:tcPr>
                  <w:tcW w:w="2181" w:type="dxa"/>
                  <w:noWrap w:val="0"/>
                  <w:vAlign w:val="center"/>
                </w:tcPr>
                <w:p w14:paraId="70AB6D1F">
                  <w:pPr>
                    <w:adjustRightInd w:val="0"/>
                    <w:snapToGrid w:val="0"/>
                    <w:jc w:val="center"/>
                    <w:rPr>
                      <w:rFonts w:hint="default" w:ascii="Times New Roman" w:hAnsi="Times New Roman" w:eastAsia="宋体" w:cs="Times New Roman"/>
                      <w:color w:val="auto"/>
                      <w:szCs w:val="21"/>
                      <w:lang w:val="en-US"/>
                    </w:rPr>
                  </w:pPr>
                  <w:r>
                    <w:rPr>
                      <w:rFonts w:hint="eastAsia" w:ascii="Times New Roman" w:hAnsi="Times New Roman" w:eastAsia="宋体" w:cs="Times New Roman"/>
                      <w:color w:val="auto"/>
                      <w:szCs w:val="21"/>
                      <w:lang w:val="en-US" w:eastAsia="zh-CN"/>
                    </w:rPr>
                    <w:t>厂房</w:t>
                  </w:r>
                  <w:r>
                    <w:rPr>
                      <w:rFonts w:hint="default" w:ascii="Times New Roman" w:hAnsi="Times New Roman" w:eastAsia="宋体" w:cs="Times New Roman"/>
                      <w:color w:val="auto"/>
                      <w:szCs w:val="21"/>
                      <w:lang w:val="en-US" w:eastAsia="zh-CN"/>
                    </w:rPr>
                    <w:t>（</w:t>
                  </w:r>
                  <w:r>
                    <w:rPr>
                      <w:rFonts w:hint="eastAsia" w:ascii="Times New Roman" w:hAnsi="Times New Roman" w:eastAsia="宋体" w:cs="Times New Roman"/>
                      <w:color w:val="auto"/>
                      <w:szCs w:val="21"/>
                      <w:lang w:val="en-US" w:eastAsia="zh-CN"/>
                    </w:rPr>
                    <w:t>含一般固废暂存区、辅材配件区</w:t>
                  </w:r>
                  <w:r>
                    <w:rPr>
                      <w:rFonts w:hint="default" w:ascii="Times New Roman" w:hAnsi="Times New Roman" w:eastAsia="宋体" w:cs="Times New Roman"/>
                      <w:color w:val="auto"/>
                      <w:szCs w:val="21"/>
                      <w:lang w:val="en-US" w:eastAsia="zh-CN"/>
                    </w:rPr>
                    <w:t>）</w:t>
                  </w:r>
                  <w:r>
                    <w:rPr>
                      <w:rFonts w:hint="eastAsia" w:cs="Times New Roman"/>
                      <w:color w:val="auto"/>
                      <w:szCs w:val="21"/>
                      <w:lang w:val="en-US" w:eastAsia="zh-CN"/>
                    </w:rPr>
                    <w:t>、</w:t>
                  </w:r>
                  <w:r>
                    <w:rPr>
                      <w:rFonts w:hint="default" w:ascii="Times New Roman" w:hAnsi="Times New Roman" w:eastAsia="宋体" w:cs="Times New Roman"/>
                      <w:color w:val="auto"/>
                      <w:szCs w:val="21"/>
                      <w:lang w:val="en-US" w:eastAsia="zh-CN"/>
                    </w:rPr>
                    <w:t>消防水池</w:t>
                  </w:r>
                  <w:r>
                    <w:rPr>
                      <w:rFonts w:hint="eastAsia" w:cs="Times New Roman"/>
                      <w:color w:val="auto"/>
                      <w:szCs w:val="21"/>
                      <w:lang w:val="en-US" w:eastAsia="zh-CN"/>
                    </w:rPr>
                    <w:t>等</w:t>
                  </w:r>
                </w:p>
              </w:tc>
              <w:tc>
                <w:tcPr>
                  <w:tcW w:w="3596" w:type="dxa"/>
                  <w:noWrap w:val="0"/>
                  <w:vAlign w:val="center"/>
                </w:tcPr>
                <w:p w14:paraId="6C5FBCAD">
                  <w:pPr>
                    <w:adjustRightInd w:val="0"/>
                    <w:snapToGrid w:val="0"/>
                    <w:jc w:val="center"/>
                    <w:rPr>
                      <w:rFonts w:hint="eastAsia"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等效黏土防渗层Mb</w:t>
                  </w:r>
                  <w:r>
                    <w:rPr>
                      <w:rFonts w:hint="eastAsia" w:ascii="Times New Roman" w:hAnsi="Times New Roman" w:eastAsia="宋体" w:cs="Times New Roman"/>
                      <w:color w:val="auto"/>
                      <w:szCs w:val="21"/>
                      <w:lang w:val="en-US" w:eastAsia="zh-CN"/>
                    </w:rPr>
                    <w:t>≥</w:t>
                  </w:r>
                  <w:r>
                    <w:rPr>
                      <w:rFonts w:hint="default" w:ascii="Times New Roman" w:hAnsi="Times New Roman" w:eastAsia="宋体" w:cs="Times New Roman"/>
                      <w:color w:val="auto"/>
                      <w:szCs w:val="21"/>
                      <w:lang w:val="en-US" w:eastAsia="zh-CN"/>
                    </w:rPr>
                    <w:t>1.5m，k</w:t>
                  </w:r>
                  <w:r>
                    <w:rPr>
                      <w:rFonts w:hint="eastAsia" w:ascii="Times New Roman" w:hAnsi="Times New Roman" w:eastAsia="宋体" w:cs="Times New Roman"/>
                      <w:color w:val="auto"/>
                      <w:szCs w:val="21"/>
                      <w:lang w:val="en-US" w:eastAsia="zh-CN"/>
                    </w:rPr>
                    <w:t>≤</w:t>
                  </w:r>
                  <w:r>
                    <w:rPr>
                      <w:rFonts w:hint="default" w:ascii="Times New Roman" w:hAnsi="Times New Roman" w:eastAsia="宋体" w:cs="Times New Roman"/>
                      <w:color w:val="auto"/>
                      <w:szCs w:val="21"/>
                      <w:lang w:val="en-US" w:eastAsia="zh-CN"/>
                    </w:rPr>
                    <w:t>1×10</w:t>
                  </w:r>
                  <w:r>
                    <w:rPr>
                      <w:rFonts w:hint="default" w:ascii="Times New Roman" w:hAnsi="Times New Roman" w:eastAsia="宋体" w:cs="Times New Roman"/>
                      <w:color w:val="auto"/>
                      <w:szCs w:val="21"/>
                      <w:vertAlign w:val="superscript"/>
                      <w:lang w:val="en-US" w:eastAsia="zh-CN"/>
                    </w:rPr>
                    <w:t>-7</w:t>
                  </w:r>
                  <w:r>
                    <w:rPr>
                      <w:rFonts w:hint="default" w:ascii="Times New Roman" w:hAnsi="Times New Roman" w:eastAsia="宋体" w:cs="Times New Roman"/>
                      <w:color w:val="auto"/>
                      <w:szCs w:val="21"/>
                      <w:lang w:val="en-US" w:eastAsia="zh-CN"/>
                    </w:rPr>
                    <w:t>cm/s</w:t>
                  </w:r>
                </w:p>
              </w:tc>
            </w:tr>
            <w:tr w14:paraId="071C2CFC">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397" w:hRule="atLeast"/>
                <w:jc w:val="center"/>
              </w:trPr>
              <w:tc>
                <w:tcPr>
                  <w:tcW w:w="676" w:type="dxa"/>
                  <w:noWrap w:val="0"/>
                  <w:vAlign w:val="center"/>
                </w:tcPr>
                <w:p w14:paraId="12A005B2">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3</w:t>
                  </w:r>
                </w:p>
              </w:tc>
              <w:tc>
                <w:tcPr>
                  <w:tcW w:w="1358" w:type="dxa"/>
                  <w:noWrap w:val="0"/>
                  <w:vAlign w:val="center"/>
                </w:tcPr>
                <w:p w14:paraId="59108BDD">
                  <w:pPr>
                    <w:adjustRightInd w:val="0"/>
                    <w:snapToGrid w:val="0"/>
                    <w:jc w:val="center"/>
                    <w:rPr>
                      <w:rFonts w:hint="eastAsia" w:ascii="Times New Roman" w:hAnsi="Times New Roman" w:eastAsia="宋体" w:cs="Times New Roman"/>
                      <w:color w:val="auto"/>
                      <w:szCs w:val="21"/>
                    </w:rPr>
                  </w:pPr>
                  <w:r>
                    <w:rPr>
                      <w:rFonts w:hint="default" w:ascii="Times New Roman" w:hAnsi="Times New Roman" w:eastAsia="宋体" w:cs="Times New Roman"/>
                      <w:color w:val="auto"/>
                      <w:szCs w:val="21"/>
                    </w:rPr>
                    <w:t>简单防渗区</w:t>
                  </w:r>
                </w:p>
              </w:tc>
              <w:tc>
                <w:tcPr>
                  <w:tcW w:w="2181" w:type="dxa"/>
                  <w:noWrap w:val="0"/>
                  <w:vAlign w:val="center"/>
                </w:tcPr>
                <w:p w14:paraId="107D9CCA">
                  <w:pPr>
                    <w:adjustRightInd w:val="0"/>
                    <w:snapToGrid w:val="0"/>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综合楼</w:t>
                  </w:r>
                  <w:r>
                    <w:rPr>
                      <w:rFonts w:hint="default" w:ascii="Times New Roman" w:hAnsi="Times New Roman" w:eastAsia="宋体" w:cs="Times New Roman"/>
                      <w:color w:val="auto"/>
                      <w:szCs w:val="21"/>
                    </w:rPr>
                    <w:t>、厂内道路</w:t>
                  </w:r>
                  <w:r>
                    <w:rPr>
                      <w:rFonts w:hint="default" w:ascii="Times New Roman" w:hAnsi="Times New Roman" w:eastAsia="宋体" w:cs="Times New Roman"/>
                      <w:color w:val="auto"/>
                      <w:szCs w:val="21"/>
                      <w:lang w:val="en-US" w:eastAsia="zh-CN"/>
                    </w:rPr>
                    <w:t>等</w:t>
                  </w:r>
                </w:p>
              </w:tc>
              <w:tc>
                <w:tcPr>
                  <w:tcW w:w="3596" w:type="dxa"/>
                  <w:noWrap w:val="0"/>
                  <w:vAlign w:val="center"/>
                </w:tcPr>
                <w:p w14:paraId="18E6A6AF">
                  <w:pPr>
                    <w:adjustRightInd w:val="0"/>
                    <w:snapToGrid w:val="0"/>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一般</w:t>
                  </w:r>
                  <w:r>
                    <w:rPr>
                      <w:rFonts w:hint="eastAsia" w:ascii="Times New Roman" w:hAnsi="Times New Roman" w:eastAsia="宋体" w:cs="Times New Roman"/>
                      <w:color w:val="auto"/>
                      <w:szCs w:val="21"/>
                      <w:lang w:val="en-US" w:eastAsia="zh-CN"/>
                    </w:rPr>
                    <w:t>混凝土</w:t>
                  </w:r>
                  <w:r>
                    <w:rPr>
                      <w:rFonts w:hint="eastAsia" w:ascii="Times New Roman" w:hAnsi="Times New Roman" w:eastAsia="宋体" w:cs="Times New Roman"/>
                      <w:color w:val="auto"/>
                      <w:szCs w:val="21"/>
                    </w:rPr>
                    <w:t>地面硬化</w:t>
                  </w:r>
                </w:p>
              </w:tc>
            </w:tr>
          </w:tbl>
          <w:p w14:paraId="1068BA0B">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rPr>
              <w:t>6.环境风险分析</w:t>
            </w:r>
          </w:p>
          <w:p w14:paraId="33B5EA7E">
            <w:pPr>
              <w:spacing w:line="360" w:lineRule="auto"/>
              <w:ind w:firstLine="456" w:firstLineChars="200"/>
              <w:rPr>
                <w:rFonts w:hint="eastAsia" w:ascii="Times New Roman" w:hAnsi="Times New Roman" w:eastAsia="宋体" w:cs="Times New Roman"/>
                <w:color w:val="auto"/>
                <w:spacing w:val="-6"/>
                <w:sz w:val="24"/>
                <w:lang w:val="en-US" w:eastAsia="zh-CN"/>
              </w:rPr>
            </w:pPr>
            <w:r>
              <w:rPr>
                <w:rFonts w:hint="eastAsia" w:ascii="Times New Roman" w:hAnsi="Times New Roman" w:eastAsia="宋体" w:cs="Times New Roman"/>
                <w:color w:val="auto"/>
                <w:spacing w:val="-6"/>
                <w:sz w:val="24"/>
                <w:lang w:val="en-US" w:eastAsia="zh-CN"/>
              </w:rPr>
              <w:t>本项目环评按照《建设项目环境风险评价技术导则》（HJ 169-2018）的要求进行环境风险评价，通过对项目的环境风险识别，制定完善的管理制度，建立有效的安全防范体系和风险应急措施。事故发生时，确保应急工作快速、高效、有序启动，防止事故蔓延，最大限度减轻风险事故造成的损失。</w:t>
            </w:r>
          </w:p>
          <w:p w14:paraId="094F5E49">
            <w:pPr>
              <w:spacing w:line="360" w:lineRule="auto"/>
              <w:ind w:firstLine="456" w:firstLineChars="200"/>
              <w:rPr>
                <w:rFonts w:hint="eastAsia" w:ascii="Times New Roman" w:hAnsi="Times New Roman" w:eastAsia="宋体" w:cs="Times New Roman"/>
                <w:color w:val="auto"/>
                <w:spacing w:val="-6"/>
                <w:sz w:val="24"/>
                <w:lang w:val="en-US" w:eastAsia="zh-CN"/>
              </w:rPr>
            </w:pPr>
            <w:r>
              <w:rPr>
                <w:rFonts w:hint="eastAsia" w:ascii="Times New Roman" w:hAnsi="Times New Roman" w:eastAsia="宋体" w:cs="Times New Roman"/>
                <w:color w:val="auto"/>
                <w:spacing w:val="-6"/>
                <w:sz w:val="24"/>
                <w:lang w:val="en-US" w:eastAsia="zh-CN"/>
              </w:rPr>
              <w:t>（1）风险物质及风险源分布</w:t>
            </w:r>
          </w:p>
          <w:p w14:paraId="56DBA0C8">
            <w:pPr>
              <w:spacing w:line="360" w:lineRule="auto"/>
              <w:ind w:firstLine="456" w:firstLineChars="200"/>
              <w:rPr>
                <w:rFonts w:hint="eastAsia" w:ascii="Times New Roman" w:hAnsi="Times New Roman" w:eastAsia="宋体" w:cs="Times New Roman"/>
                <w:color w:val="auto"/>
                <w:spacing w:val="-6"/>
                <w:sz w:val="24"/>
                <w:lang w:val="en-US" w:eastAsia="zh-CN"/>
              </w:rPr>
            </w:pPr>
            <w:r>
              <w:rPr>
                <w:rFonts w:hint="eastAsia" w:ascii="Times New Roman" w:hAnsi="Times New Roman" w:eastAsia="宋体" w:cs="Times New Roman"/>
                <w:color w:val="auto"/>
                <w:spacing w:val="-6"/>
                <w:sz w:val="24"/>
                <w:lang w:val="en-US" w:eastAsia="zh-CN"/>
              </w:rPr>
              <w:t>根据项目储存原辅料及生产工艺，对照《建设项目环境风险评价技术导则》（HJ 169－2018）附录B，通过辨识，本项目丙烷、甲苯、二甲苯、废润滑油、废液压油属于危险物质附录B表B.1内风险物质，二氧化碳、水性漆属于表B.2</w:t>
            </w:r>
          </w:p>
          <w:p w14:paraId="03AA4599">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ascii="Times New Roman" w:hAnsi="Times New Roman" w:eastAsia="宋体" w:cs="Times New Roman"/>
                <w:color w:val="auto"/>
                <w:spacing w:val="-6"/>
                <w:sz w:val="24"/>
                <w:lang w:val="en-US" w:eastAsia="zh-CN"/>
              </w:rPr>
            </w:pPr>
            <w:r>
              <w:rPr>
                <w:rFonts w:hint="eastAsia" w:ascii="Times New Roman" w:hAnsi="Times New Roman" w:eastAsia="宋体" w:cs="Times New Roman"/>
                <w:color w:val="auto"/>
                <w:spacing w:val="-6"/>
                <w:sz w:val="24"/>
                <w:lang w:val="en-US" w:eastAsia="zh-CN"/>
              </w:rPr>
              <w:t>中的相关风险物质；根据《危险化学品重大危险源辨识》（GB18218-2018），液氧、丙烷、废润滑油、废液压油等属于易燃易爆物质。项目危险物质最大储存量及临界量</w:t>
            </w:r>
            <w:r>
              <w:rPr>
                <w:rFonts w:hint="eastAsia" w:cs="Times New Roman"/>
                <w:color w:val="auto"/>
                <w:spacing w:val="-6"/>
                <w:sz w:val="24"/>
                <w:lang w:val="en-US" w:eastAsia="zh-CN"/>
              </w:rPr>
              <w:t>详见</w:t>
            </w:r>
            <w:r>
              <w:rPr>
                <w:rFonts w:hint="eastAsia" w:ascii="Times New Roman" w:hAnsi="Times New Roman" w:eastAsia="宋体" w:cs="Times New Roman"/>
                <w:color w:val="auto"/>
                <w:spacing w:val="-6"/>
                <w:sz w:val="24"/>
                <w:lang w:val="en-US" w:eastAsia="zh-CN"/>
              </w:rPr>
              <w:t>表4-1</w:t>
            </w:r>
            <w:r>
              <w:rPr>
                <w:rFonts w:hint="eastAsia" w:cs="Times New Roman"/>
                <w:color w:val="auto"/>
                <w:spacing w:val="-6"/>
                <w:sz w:val="24"/>
                <w:lang w:val="en-US" w:eastAsia="zh-CN"/>
              </w:rPr>
              <w:t>6</w:t>
            </w:r>
            <w:r>
              <w:rPr>
                <w:rFonts w:hint="eastAsia" w:ascii="Times New Roman" w:hAnsi="Times New Roman" w:eastAsia="宋体" w:cs="Times New Roman"/>
                <w:color w:val="auto"/>
                <w:spacing w:val="-6"/>
                <w:sz w:val="24"/>
                <w:lang w:val="en-US" w:eastAsia="zh-CN"/>
              </w:rPr>
              <w:t>。</w:t>
            </w:r>
          </w:p>
          <w:p w14:paraId="1643A50C">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表4-1</w:t>
            </w:r>
            <w:r>
              <w:rPr>
                <w:rFonts w:hint="eastAsia" w:cs="Times New Roman"/>
                <w:b/>
                <w:bCs/>
                <w:color w:val="auto"/>
                <w:lang w:val="en-US" w:eastAsia="zh-CN"/>
              </w:rPr>
              <w:t>6</w:t>
            </w:r>
            <w:r>
              <w:rPr>
                <w:rFonts w:hint="eastAsia" w:ascii="Times New Roman" w:hAnsi="Times New Roman" w:eastAsia="宋体" w:cs="Times New Roman"/>
                <w:b/>
                <w:bCs/>
                <w:color w:val="auto"/>
                <w:lang w:val="en-US" w:eastAsia="zh-CN"/>
              </w:rPr>
              <w:t xml:space="preserve"> 危险物质最大储存量及临界量</w:t>
            </w:r>
          </w:p>
          <w:tbl>
            <w:tblPr>
              <w:tblStyle w:val="26"/>
              <w:tblW w:w="8013"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52"/>
              <w:gridCol w:w="1722"/>
              <w:gridCol w:w="1528"/>
              <w:gridCol w:w="1166"/>
              <w:gridCol w:w="1917"/>
              <w:gridCol w:w="1028"/>
            </w:tblGrid>
            <w:tr w14:paraId="013A27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 w:type="pct"/>
                  <w:tcBorders>
                    <w:bottom w:val="single" w:color="auto" w:sz="12" w:space="0"/>
                  </w:tcBorders>
                  <w:noWrap w:val="0"/>
                  <w:vAlign w:val="center"/>
                </w:tcPr>
                <w:p w14:paraId="0EE26EA3">
                  <w:pPr>
                    <w:adjustRightInd w:val="0"/>
                    <w:snapToGrid w:val="0"/>
                    <w:jc w:val="center"/>
                    <w:rPr>
                      <w:b/>
                      <w:bCs/>
                      <w:color w:val="auto"/>
                      <w:sz w:val="21"/>
                      <w:szCs w:val="21"/>
                    </w:rPr>
                  </w:pPr>
                  <w:r>
                    <w:rPr>
                      <w:rFonts w:hint="eastAsia"/>
                      <w:b/>
                      <w:bCs/>
                      <w:color w:val="auto"/>
                      <w:sz w:val="21"/>
                      <w:szCs w:val="21"/>
                    </w:rPr>
                    <w:t>序号</w:t>
                  </w:r>
                </w:p>
              </w:tc>
              <w:tc>
                <w:tcPr>
                  <w:tcW w:w="1074" w:type="pct"/>
                  <w:tcBorders>
                    <w:bottom w:val="single" w:color="auto" w:sz="12" w:space="0"/>
                  </w:tcBorders>
                  <w:noWrap w:val="0"/>
                  <w:vAlign w:val="center"/>
                </w:tcPr>
                <w:p w14:paraId="358F63D0">
                  <w:pPr>
                    <w:adjustRightInd w:val="0"/>
                    <w:snapToGrid w:val="0"/>
                    <w:jc w:val="center"/>
                    <w:rPr>
                      <w:b/>
                      <w:bCs/>
                      <w:color w:val="auto"/>
                      <w:sz w:val="21"/>
                      <w:szCs w:val="21"/>
                    </w:rPr>
                  </w:pPr>
                  <w:r>
                    <w:rPr>
                      <w:rFonts w:hint="eastAsia"/>
                      <w:b/>
                      <w:bCs/>
                      <w:color w:val="auto"/>
                      <w:sz w:val="21"/>
                      <w:szCs w:val="21"/>
                    </w:rPr>
                    <w:t>危险物质</w:t>
                  </w:r>
                </w:p>
              </w:tc>
              <w:tc>
                <w:tcPr>
                  <w:tcW w:w="953" w:type="pct"/>
                  <w:tcBorders>
                    <w:bottom w:val="single" w:color="auto" w:sz="12" w:space="0"/>
                  </w:tcBorders>
                  <w:noWrap w:val="0"/>
                  <w:vAlign w:val="center"/>
                </w:tcPr>
                <w:p w14:paraId="0D393B00">
                  <w:pPr>
                    <w:adjustRightInd w:val="0"/>
                    <w:snapToGrid w:val="0"/>
                    <w:jc w:val="center"/>
                    <w:rPr>
                      <w:b/>
                      <w:bCs/>
                      <w:color w:val="auto"/>
                      <w:sz w:val="21"/>
                      <w:szCs w:val="21"/>
                    </w:rPr>
                  </w:pPr>
                  <w:r>
                    <w:rPr>
                      <w:rFonts w:hint="eastAsia"/>
                      <w:b/>
                      <w:bCs/>
                      <w:color w:val="auto"/>
                      <w:sz w:val="21"/>
                      <w:szCs w:val="21"/>
                    </w:rPr>
                    <w:t>最大储存量q</w:t>
                  </w:r>
                  <w:r>
                    <w:rPr>
                      <w:rFonts w:hint="eastAsia"/>
                      <w:b/>
                      <w:bCs/>
                      <w:color w:val="auto"/>
                      <w:sz w:val="21"/>
                      <w:szCs w:val="21"/>
                      <w:vertAlign w:val="subscript"/>
                    </w:rPr>
                    <w:t>n</w:t>
                  </w:r>
                </w:p>
              </w:tc>
              <w:tc>
                <w:tcPr>
                  <w:tcW w:w="727" w:type="pct"/>
                  <w:tcBorders>
                    <w:bottom w:val="single" w:color="auto" w:sz="12" w:space="0"/>
                  </w:tcBorders>
                  <w:noWrap w:val="0"/>
                  <w:vAlign w:val="center"/>
                </w:tcPr>
                <w:p w14:paraId="3589F07A">
                  <w:pPr>
                    <w:adjustRightInd w:val="0"/>
                    <w:snapToGrid w:val="0"/>
                    <w:jc w:val="center"/>
                    <w:rPr>
                      <w:b/>
                      <w:bCs/>
                      <w:color w:val="auto"/>
                      <w:sz w:val="21"/>
                      <w:szCs w:val="21"/>
                    </w:rPr>
                  </w:pPr>
                  <w:r>
                    <w:rPr>
                      <w:rFonts w:hint="eastAsia"/>
                      <w:b/>
                      <w:bCs/>
                      <w:color w:val="auto"/>
                      <w:sz w:val="21"/>
                      <w:szCs w:val="21"/>
                    </w:rPr>
                    <w:t>临界量Q</w:t>
                  </w:r>
                  <w:r>
                    <w:rPr>
                      <w:rFonts w:hint="eastAsia"/>
                      <w:b/>
                      <w:bCs/>
                      <w:color w:val="auto"/>
                      <w:sz w:val="21"/>
                      <w:szCs w:val="21"/>
                      <w:vertAlign w:val="subscript"/>
                    </w:rPr>
                    <w:t>n</w:t>
                  </w:r>
                </w:p>
              </w:tc>
              <w:tc>
                <w:tcPr>
                  <w:tcW w:w="1196" w:type="pct"/>
                  <w:tcBorders>
                    <w:bottom w:val="single" w:color="auto" w:sz="12" w:space="0"/>
                  </w:tcBorders>
                  <w:noWrap w:val="0"/>
                  <w:vAlign w:val="center"/>
                </w:tcPr>
                <w:p w14:paraId="0E73F4D3">
                  <w:pPr>
                    <w:adjustRightInd w:val="0"/>
                    <w:snapToGrid w:val="0"/>
                    <w:jc w:val="center"/>
                    <w:rPr>
                      <w:b/>
                      <w:bCs/>
                      <w:color w:val="auto"/>
                      <w:sz w:val="21"/>
                      <w:szCs w:val="21"/>
                    </w:rPr>
                  </w:pPr>
                  <w:r>
                    <w:rPr>
                      <w:rFonts w:hint="eastAsia"/>
                      <w:b/>
                      <w:bCs/>
                      <w:color w:val="auto"/>
                      <w:sz w:val="21"/>
                      <w:szCs w:val="21"/>
                    </w:rPr>
                    <w:t>该种危险物质Q值</w:t>
                  </w:r>
                </w:p>
              </w:tc>
              <w:tc>
                <w:tcPr>
                  <w:tcW w:w="641" w:type="pct"/>
                  <w:tcBorders>
                    <w:bottom w:val="single" w:color="auto" w:sz="12" w:space="0"/>
                  </w:tcBorders>
                  <w:noWrap w:val="0"/>
                  <w:vAlign w:val="center"/>
                </w:tcPr>
                <w:p w14:paraId="7A94F55B">
                  <w:pPr>
                    <w:adjustRightInd w:val="0"/>
                    <w:snapToGrid w:val="0"/>
                    <w:jc w:val="center"/>
                    <w:rPr>
                      <w:b/>
                      <w:bCs/>
                      <w:color w:val="auto"/>
                      <w:sz w:val="21"/>
                      <w:szCs w:val="21"/>
                    </w:rPr>
                  </w:pPr>
                  <w:r>
                    <w:rPr>
                      <w:rFonts w:hint="eastAsia"/>
                      <w:b/>
                      <w:bCs/>
                      <w:color w:val="auto"/>
                      <w:sz w:val="21"/>
                      <w:szCs w:val="21"/>
                    </w:rPr>
                    <w:t>Q值和</w:t>
                  </w:r>
                </w:p>
              </w:tc>
            </w:tr>
            <w:tr w14:paraId="33DE8E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 w:type="pct"/>
                  <w:tcBorders>
                    <w:top w:val="single" w:color="auto" w:sz="12" w:space="0"/>
                  </w:tcBorders>
                  <w:noWrap w:val="0"/>
                  <w:vAlign w:val="center"/>
                </w:tcPr>
                <w:p w14:paraId="46EF5295">
                  <w:pPr>
                    <w:adjustRightInd w:val="0"/>
                    <w:snapToGrid w:val="0"/>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1</w:t>
                  </w:r>
                </w:p>
              </w:tc>
              <w:tc>
                <w:tcPr>
                  <w:tcW w:w="1074" w:type="pct"/>
                  <w:tcBorders>
                    <w:top w:val="single" w:color="auto" w:sz="12" w:space="0"/>
                  </w:tcBorders>
                  <w:noWrap w:val="0"/>
                  <w:vAlign w:val="center"/>
                </w:tcPr>
                <w:p w14:paraId="781AA360">
                  <w:pPr>
                    <w:adjustRightInd w:val="0"/>
                    <w:snapToGrid w:val="0"/>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丙烷</w:t>
                  </w:r>
                </w:p>
              </w:tc>
              <w:tc>
                <w:tcPr>
                  <w:tcW w:w="953" w:type="pct"/>
                  <w:tcBorders>
                    <w:top w:val="single" w:color="auto" w:sz="12" w:space="0"/>
                  </w:tcBorders>
                  <w:noWrap w:val="0"/>
                  <w:vAlign w:val="center"/>
                </w:tcPr>
                <w:p w14:paraId="5A873324">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0.</w:t>
                  </w:r>
                  <w:r>
                    <w:rPr>
                      <w:rFonts w:hint="eastAsia" w:ascii="Times New Roman" w:hAnsi="Times New Roman" w:eastAsia="宋体" w:cs="Times New Roman"/>
                      <w:color w:val="auto"/>
                      <w:szCs w:val="21"/>
                      <w:lang w:val="en-US" w:eastAsia="zh-CN"/>
                    </w:rPr>
                    <w:t>5</w:t>
                  </w:r>
                </w:p>
              </w:tc>
              <w:tc>
                <w:tcPr>
                  <w:tcW w:w="727" w:type="pct"/>
                  <w:tcBorders>
                    <w:top w:val="single" w:color="auto" w:sz="12" w:space="0"/>
                  </w:tcBorders>
                  <w:noWrap w:val="0"/>
                  <w:vAlign w:val="center"/>
                </w:tcPr>
                <w:p w14:paraId="57B39983">
                  <w:pPr>
                    <w:adjustRightInd w:val="0"/>
                    <w:snapToGrid w:val="0"/>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10</w:t>
                  </w:r>
                </w:p>
              </w:tc>
              <w:tc>
                <w:tcPr>
                  <w:tcW w:w="1196" w:type="pct"/>
                  <w:tcBorders>
                    <w:top w:val="single" w:color="auto" w:sz="12" w:space="0"/>
                  </w:tcBorders>
                  <w:noWrap w:val="0"/>
                  <w:vAlign w:val="center"/>
                </w:tcPr>
                <w:p w14:paraId="4FA60730">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0.0</w:t>
                  </w:r>
                  <w:r>
                    <w:rPr>
                      <w:rFonts w:hint="eastAsia" w:ascii="Times New Roman" w:hAnsi="Times New Roman" w:eastAsia="宋体" w:cs="Times New Roman"/>
                      <w:color w:val="auto"/>
                      <w:szCs w:val="21"/>
                      <w:lang w:val="en-US" w:eastAsia="zh-CN"/>
                    </w:rPr>
                    <w:t>5</w:t>
                  </w:r>
                </w:p>
              </w:tc>
              <w:tc>
                <w:tcPr>
                  <w:tcW w:w="641" w:type="pct"/>
                  <w:vMerge w:val="restart"/>
                  <w:tcBorders>
                    <w:top w:val="single" w:color="auto" w:sz="12" w:space="0"/>
                  </w:tcBorders>
                  <w:noWrap w:val="0"/>
                  <w:vAlign w:val="center"/>
                </w:tcPr>
                <w:p w14:paraId="781E517A">
                  <w:pPr>
                    <w:adjustRightInd w:val="0"/>
                    <w:snapToGrid w:val="0"/>
                    <w:jc w:val="center"/>
                    <w:rPr>
                      <w:rFonts w:hint="default" w:eastAsia="宋体"/>
                      <w:color w:val="auto"/>
                      <w:szCs w:val="21"/>
                      <w:lang w:val="en-US" w:eastAsia="zh-CN"/>
                    </w:rPr>
                  </w:pPr>
                  <w:r>
                    <w:rPr>
                      <w:rFonts w:hint="eastAsia"/>
                      <w:color w:val="auto"/>
                      <w:szCs w:val="21"/>
                      <w:lang w:val="en-US" w:eastAsia="zh-CN"/>
                    </w:rPr>
                    <w:t>0.070336</w:t>
                  </w:r>
                </w:p>
              </w:tc>
            </w:tr>
            <w:tr w14:paraId="605763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 w:type="pct"/>
                  <w:noWrap w:val="0"/>
                  <w:vAlign w:val="center"/>
                </w:tcPr>
                <w:p w14:paraId="1BE94E74">
                  <w:pPr>
                    <w:adjustRightInd w:val="0"/>
                    <w:snapToGrid w:val="0"/>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2</w:t>
                  </w:r>
                </w:p>
              </w:tc>
              <w:tc>
                <w:tcPr>
                  <w:tcW w:w="1074" w:type="pct"/>
                  <w:noWrap w:val="0"/>
                  <w:vAlign w:val="center"/>
                </w:tcPr>
                <w:p w14:paraId="24778D40">
                  <w:pPr>
                    <w:adjustRightInd w:val="0"/>
                    <w:snapToGrid w:val="0"/>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甲苯</w:t>
                  </w:r>
                </w:p>
              </w:tc>
              <w:tc>
                <w:tcPr>
                  <w:tcW w:w="953" w:type="pct"/>
                  <w:noWrap w:val="0"/>
                  <w:vAlign w:val="center"/>
                </w:tcPr>
                <w:p w14:paraId="6CA8AC16">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0.003</w:t>
                  </w:r>
                </w:p>
              </w:tc>
              <w:tc>
                <w:tcPr>
                  <w:tcW w:w="727" w:type="pct"/>
                  <w:noWrap w:val="0"/>
                  <w:vAlign w:val="center"/>
                </w:tcPr>
                <w:p w14:paraId="1E67A2B3">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10</w:t>
                  </w:r>
                </w:p>
              </w:tc>
              <w:tc>
                <w:tcPr>
                  <w:tcW w:w="1196" w:type="pct"/>
                  <w:noWrap w:val="0"/>
                  <w:vAlign w:val="center"/>
                </w:tcPr>
                <w:p w14:paraId="71D4D074">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0.0003</w:t>
                  </w:r>
                </w:p>
              </w:tc>
              <w:tc>
                <w:tcPr>
                  <w:tcW w:w="641" w:type="pct"/>
                  <w:vMerge w:val="continue"/>
                  <w:noWrap w:val="0"/>
                  <w:vAlign w:val="center"/>
                </w:tcPr>
                <w:p w14:paraId="0B6C4B36">
                  <w:pPr>
                    <w:adjustRightInd w:val="0"/>
                    <w:snapToGrid w:val="0"/>
                    <w:jc w:val="center"/>
                    <w:rPr>
                      <w:rFonts w:hint="eastAsia"/>
                      <w:color w:val="auto"/>
                      <w:szCs w:val="21"/>
                    </w:rPr>
                  </w:pPr>
                </w:p>
              </w:tc>
            </w:tr>
            <w:tr w14:paraId="50316F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 w:type="pct"/>
                  <w:noWrap w:val="0"/>
                  <w:vAlign w:val="center"/>
                </w:tcPr>
                <w:p w14:paraId="5327E139">
                  <w:pPr>
                    <w:adjustRightInd w:val="0"/>
                    <w:snapToGrid w:val="0"/>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3</w:t>
                  </w:r>
                </w:p>
              </w:tc>
              <w:tc>
                <w:tcPr>
                  <w:tcW w:w="1074" w:type="pct"/>
                  <w:noWrap w:val="0"/>
                  <w:vAlign w:val="center"/>
                </w:tcPr>
                <w:p w14:paraId="49599581">
                  <w:pPr>
                    <w:adjustRightInd w:val="0"/>
                    <w:snapToGrid w:val="0"/>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二甲苯</w:t>
                  </w:r>
                </w:p>
              </w:tc>
              <w:tc>
                <w:tcPr>
                  <w:tcW w:w="953" w:type="pct"/>
                  <w:noWrap w:val="0"/>
                  <w:vAlign w:val="center"/>
                </w:tcPr>
                <w:p w14:paraId="37C7F0CD">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0.025</w:t>
                  </w:r>
                </w:p>
              </w:tc>
              <w:tc>
                <w:tcPr>
                  <w:tcW w:w="727" w:type="pct"/>
                  <w:noWrap w:val="0"/>
                  <w:vAlign w:val="center"/>
                </w:tcPr>
                <w:p w14:paraId="0450EF57">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10</w:t>
                  </w:r>
                </w:p>
              </w:tc>
              <w:tc>
                <w:tcPr>
                  <w:tcW w:w="1196" w:type="pct"/>
                  <w:noWrap w:val="0"/>
                  <w:vAlign w:val="center"/>
                </w:tcPr>
                <w:p w14:paraId="0A3FF44F">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0.0025</w:t>
                  </w:r>
                </w:p>
              </w:tc>
              <w:tc>
                <w:tcPr>
                  <w:tcW w:w="641" w:type="pct"/>
                  <w:vMerge w:val="continue"/>
                  <w:noWrap w:val="0"/>
                  <w:vAlign w:val="center"/>
                </w:tcPr>
                <w:p w14:paraId="2478657E">
                  <w:pPr>
                    <w:adjustRightInd w:val="0"/>
                    <w:snapToGrid w:val="0"/>
                    <w:jc w:val="center"/>
                    <w:rPr>
                      <w:rFonts w:hint="eastAsia"/>
                      <w:color w:val="auto"/>
                      <w:szCs w:val="21"/>
                    </w:rPr>
                  </w:pPr>
                </w:p>
              </w:tc>
            </w:tr>
            <w:tr w14:paraId="4A79DA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406" w:type="pct"/>
                  <w:noWrap w:val="0"/>
                  <w:vAlign w:val="center"/>
                </w:tcPr>
                <w:p w14:paraId="53572E27">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4</w:t>
                  </w:r>
                </w:p>
              </w:tc>
              <w:tc>
                <w:tcPr>
                  <w:tcW w:w="1074" w:type="pct"/>
                  <w:noWrap w:val="0"/>
                  <w:vAlign w:val="center"/>
                </w:tcPr>
                <w:p w14:paraId="7EEB2564">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油类物质（废润滑油、废液压油）</w:t>
                  </w:r>
                </w:p>
              </w:tc>
              <w:tc>
                <w:tcPr>
                  <w:tcW w:w="953" w:type="pct"/>
                  <w:noWrap w:val="0"/>
                  <w:vAlign w:val="center"/>
                </w:tcPr>
                <w:p w14:paraId="1A1EE47C">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0.09</w:t>
                  </w:r>
                </w:p>
              </w:tc>
              <w:tc>
                <w:tcPr>
                  <w:tcW w:w="727" w:type="pct"/>
                  <w:noWrap w:val="0"/>
                  <w:vAlign w:val="center"/>
                </w:tcPr>
                <w:p w14:paraId="71758CC5">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2500</w:t>
                  </w:r>
                </w:p>
              </w:tc>
              <w:tc>
                <w:tcPr>
                  <w:tcW w:w="1196" w:type="pct"/>
                  <w:noWrap w:val="0"/>
                  <w:vAlign w:val="center"/>
                </w:tcPr>
                <w:p w14:paraId="33212F3A">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0.000036</w:t>
                  </w:r>
                </w:p>
              </w:tc>
              <w:tc>
                <w:tcPr>
                  <w:tcW w:w="641" w:type="pct"/>
                  <w:vMerge w:val="continue"/>
                  <w:noWrap w:val="0"/>
                  <w:vAlign w:val="center"/>
                </w:tcPr>
                <w:p w14:paraId="073DF81B">
                  <w:pPr>
                    <w:adjustRightInd w:val="0"/>
                    <w:snapToGrid w:val="0"/>
                    <w:jc w:val="center"/>
                    <w:rPr>
                      <w:rFonts w:hint="eastAsia"/>
                      <w:color w:val="auto"/>
                      <w:szCs w:val="21"/>
                    </w:rPr>
                  </w:pPr>
                </w:p>
              </w:tc>
            </w:tr>
            <w:tr w14:paraId="13FB05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 w:type="pct"/>
                  <w:noWrap w:val="0"/>
                  <w:vAlign w:val="center"/>
                </w:tcPr>
                <w:p w14:paraId="0E61F483">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5</w:t>
                  </w:r>
                </w:p>
              </w:tc>
              <w:tc>
                <w:tcPr>
                  <w:tcW w:w="1074" w:type="pct"/>
                  <w:shd w:val="clear" w:color="auto" w:fill="auto"/>
                  <w:noWrap w:val="0"/>
                  <w:vAlign w:val="center"/>
                </w:tcPr>
                <w:p w14:paraId="27310F81">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二氧化碳</w:t>
                  </w:r>
                </w:p>
              </w:tc>
              <w:tc>
                <w:tcPr>
                  <w:tcW w:w="953" w:type="pct"/>
                  <w:shd w:val="clear" w:color="auto" w:fill="auto"/>
                  <w:noWrap w:val="0"/>
                  <w:vAlign w:val="center"/>
                </w:tcPr>
                <w:p w14:paraId="6055447F">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0.5</w:t>
                  </w:r>
                </w:p>
              </w:tc>
              <w:tc>
                <w:tcPr>
                  <w:tcW w:w="727" w:type="pct"/>
                  <w:shd w:val="clear" w:color="auto" w:fill="auto"/>
                  <w:noWrap w:val="0"/>
                  <w:vAlign w:val="center"/>
                </w:tcPr>
                <w:p w14:paraId="0CE26A6E">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50</w:t>
                  </w:r>
                </w:p>
              </w:tc>
              <w:tc>
                <w:tcPr>
                  <w:tcW w:w="1196" w:type="pct"/>
                  <w:shd w:val="clear" w:color="auto" w:fill="auto"/>
                  <w:noWrap w:val="0"/>
                  <w:vAlign w:val="center"/>
                </w:tcPr>
                <w:p w14:paraId="17398104">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0.01</w:t>
                  </w:r>
                </w:p>
              </w:tc>
              <w:tc>
                <w:tcPr>
                  <w:tcW w:w="641" w:type="pct"/>
                  <w:vMerge w:val="continue"/>
                  <w:noWrap w:val="0"/>
                  <w:vAlign w:val="center"/>
                </w:tcPr>
                <w:p w14:paraId="103B7935">
                  <w:pPr>
                    <w:adjustRightInd w:val="0"/>
                    <w:snapToGrid w:val="0"/>
                    <w:jc w:val="center"/>
                    <w:rPr>
                      <w:rFonts w:hint="eastAsia"/>
                      <w:color w:val="auto"/>
                      <w:szCs w:val="21"/>
                    </w:rPr>
                  </w:pPr>
                </w:p>
              </w:tc>
            </w:tr>
            <w:tr w14:paraId="20804C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 w:type="pct"/>
                  <w:noWrap w:val="0"/>
                  <w:vAlign w:val="center"/>
                </w:tcPr>
                <w:p w14:paraId="50D73D0A">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6</w:t>
                  </w:r>
                </w:p>
              </w:tc>
              <w:tc>
                <w:tcPr>
                  <w:tcW w:w="1074" w:type="pct"/>
                  <w:shd w:val="clear" w:color="auto" w:fill="auto"/>
                  <w:noWrap w:val="0"/>
                  <w:vAlign w:val="center"/>
                </w:tcPr>
                <w:p w14:paraId="5CE76A2F">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水性漆</w:t>
                  </w:r>
                </w:p>
              </w:tc>
              <w:tc>
                <w:tcPr>
                  <w:tcW w:w="953" w:type="pct"/>
                  <w:shd w:val="clear" w:color="auto" w:fill="auto"/>
                  <w:noWrap w:val="0"/>
                  <w:vAlign w:val="center"/>
                </w:tcPr>
                <w:p w14:paraId="633D1EC6">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0.5</w:t>
                  </w:r>
                </w:p>
              </w:tc>
              <w:tc>
                <w:tcPr>
                  <w:tcW w:w="727" w:type="pct"/>
                  <w:shd w:val="clear" w:color="auto" w:fill="auto"/>
                  <w:noWrap w:val="0"/>
                  <w:vAlign w:val="center"/>
                </w:tcPr>
                <w:p w14:paraId="4527B1EA">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100</w:t>
                  </w:r>
                </w:p>
              </w:tc>
              <w:tc>
                <w:tcPr>
                  <w:tcW w:w="1196" w:type="pct"/>
                  <w:noWrap w:val="0"/>
                  <w:vAlign w:val="center"/>
                </w:tcPr>
                <w:p w14:paraId="098590EB">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0.005</w:t>
                  </w:r>
                </w:p>
              </w:tc>
              <w:tc>
                <w:tcPr>
                  <w:tcW w:w="641" w:type="pct"/>
                  <w:vMerge w:val="continue"/>
                  <w:noWrap w:val="0"/>
                  <w:vAlign w:val="center"/>
                </w:tcPr>
                <w:p w14:paraId="3542E1FB">
                  <w:pPr>
                    <w:adjustRightInd w:val="0"/>
                    <w:snapToGrid w:val="0"/>
                    <w:jc w:val="center"/>
                    <w:rPr>
                      <w:rFonts w:hint="eastAsia"/>
                      <w:color w:val="auto"/>
                      <w:szCs w:val="21"/>
                    </w:rPr>
                  </w:pPr>
                </w:p>
              </w:tc>
            </w:tr>
            <w:tr w14:paraId="0CE294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 w:type="pct"/>
                  <w:noWrap w:val="0"/>
                  <w:vAlign w:val="center"/>
                </w:tcPr>
                <w:p w14:paraId="77E2FE19">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7</w:t>
                  </w:r>
                </w:p>
              </w:tc>
              <w:tc>
                <w:tcPr>
                  <w:tcW w:w="1074" w:type="pct"/>
                  <w:shd w:val="clear" w:color="auto" w:fill="auto"/>
                  <w:noWrap w:val="0"/>
                  <w:vAlign w:val="center"/>
                </w:tcPr>
                <w:p w14:paraId="61FD6B32">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液氧</w:t>
                  </w:r>
                </w:p>
              </w:tc>
              <w:tc>
                <w:tcPr>
                  <w:tcW w:w="953" w:type="pct"/>
                  <w:shd w:val="clear" w:color="auto" w:fill="auto"/>
                  <w:noWrap w:val="0"/>
                  <w:vAlign w:val="center"/>
                </w:tcPr>
                <w:p w14:paraId="0E24F7A0">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0.5</w:t>
                  </w:r>
                </w:p>
              </w:tc>
              <w:tc>
                <w:tcPr>
                  <w:tcW w:w="727" w:type="pct"/>
                  <w:shd w:val="clear" w:color="auto" w:fill="auto"/>
                  <w:noWrap w:val="0"/>
                  <w:vAlign w:val="center"/>
                </w:tcPr>
                <w:p w14:paraId="0716ED9F">
                  <w:pPr>
                    <w:adjustRightInd w:val="0"/>
                    <w:snapToGrid w:val="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200</w:t>
                  </w:r>
                </w:p>
              </w:tc>
              <w:tc>
                <w:tcPr>
                  <w:tcW w:w="1196" w:type="pct"/>
                  <w:noWrap w:val="0"/>
                  <w:vAlign w:val="center"/>
                </w:tcPr>
                <w:p w14:paraId="11B8A1B6">
                  <w:pPr>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0.0025</w:t>
                  </w:r>
                </w:p>
              </w:tc>
              <w:tc>
                <w:tcPr>
                  <w:tcW w:w="641" w:type="pct"/>
                  <w:vMerge w:val="continue"/>
                  <w:noWrap w:val="0"/>
                  <w:vAlign w:val="center"/>
                </w:tcPr>
                <w:p w14:paraId="4735EA3B">
                  <w:pPr>
                    <w:adjustRightInd w:val="0"/>
                    <w:snapToGrid w:val="0"/>
                    <w:jc w:val="center"/>
                    <w:rPr>
                      <w:rFonts w:hint="eastAsia"/>
                      <w:color w:val="auto"/>
                      <w:szCs w:val="21"/>
                    </w:rPr>
                  </w:pPr>
                </w:p>
              </w:tc>
            </w:tr>
            <w:tr w14:paraId="3EE2DF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6"/>
                  <w:noWrap w:val="0"/>
                  <w:vAlign w:val="center"/>
                </w:tcPr>
                <w:p w14:paraId="75AEF331">
                  <w:pPr>
                    <w:adjustRightInd w:val="0"/>
                    <w:snapToGrid w:val="0"/>
                    <w:jc w:val="left"/>
                    <w:rPr>
                      <w:rFonts w:hint="default"/>
                      <w:color w:val="auto"/>
                      <w:szCs w:val="21"/>
                      <w:lang w:val="en-US"/>
                    </w:rPr>
                  </w:pPr>
                  <w:r>
                    <w:rPr>
                      <w:rFonts w:hint="eastAsia"/>
                      <w:color w:val="auto"/>
                      <w:szCs w:val="21"/>
                      <w:lang w:val="en-US" w:eastAsia="zh-CN"/>
                    </w:rPr>
                    <w:t>注：甲苯、二甲苯最大储存量根据油性漆最大储存量折算得出。</w:t>
                  </w:r>
                </w:p>
              </w:tc>
            </w:tr>
          </w:tbl>
          <w:p w14:paraId="290CBADC">
            <w:pPr>
              <w:spacing w:before="120" w:beforeLines="50" w:line="360" w:lineRule="auto"/>
              <w:ind w:firstLine="456" w:firstLineChars="200"/>
              <w:rPr>
                <w:color w:val="auto"/>
                <w:spacing w:val="-6"/>
                <w:sz w:val="24"/>
              </w:rPr>
            </w:pPr>
            <w:r>
              <w:rPr>
                <w:color w:val="auto"/>
                <w:spacing w:val="-6"/>
                <w:sz w:val="24"/>
              </w:rPr>
              <w:t>依照《建设项目环境风险评价技术导则》（HJ</w:t>
            </w:r>
            <w:r>
              <w:rPr>
                <w:rFonts w:hint="eastAsia"/>
                <w:color w:val="auto"/>
                <w:spacing w:val="-6"/>
                <w:sz w:val="24"/>
              </w:rPr>
              <w:t xml:space="preserve"> </w:t>
            </w:r>
            <w:r>
              <w:rPr>
                <w:color w:val="auto"/>
                <w:spacing w:val="-6"/>
                <w:sz w:val="24"/>
              </w:rPr>
              <w:t>169-2018）附录C危险物质数量与临界量比值 Q 按下式</w:t>
            </w:r>
            <w:r>
              <w:rPr>
                <w:rFonts w:hint="eastAsia"/>
                <w:color w:val="auto"/>
                <w:spacing w:val="-6"/>
                <w:sz w:val="24"/>
              </w:rPr>
              <w:t>（1）</w:t>
            </w:r>
            <w:r>
              <w:rPr>
                <w:color w:val="auto"/>
                <w:spacing w:val="-6"/>
                <w:sz w:val="24"/>
              </w:rPr>
              <w:t>计算：</w:t>
            </w:r>
          </w:p>
          <w:p w14:paraId="260DC686">
            <w:pPr>
              <w:spacing w:line="360" w:lineRule="auto"/>
              <w:ind w:firstLine="1140" w:firstLineChars="500"/>
              <w:rPr>
                <w:color w:val="auto"/>
                <w:spacing w:val="-6"/>
                <w:sz w:val="24"/>
              </w:rPr>
            </w:pPr>
            <w:r>
              <w:rPr>
                <w:color w:val="auto"/>
                <w:spacing w:val="-6"/>
                <w:position w:val="-30"/>
                <w:sz w:val="24"/>
              </w:rPr>
              <w:object>
                <v:shape id="_x0000_i1025" o:spt="75" type="#_x0000_t75" style="height:34pt;width:101pt;" o:ole="t" filled="f" o:preferrelative="t" stroked="f" coordsize="21600,21600">
                  <v:path/>
                  <v:fill on="f" focussize="0,0"/>
                  <v:stroke on="f"/>
                  <v:imagedata r:id="rId22" o:title=""/>
                  <o:lock v:ext="edit" aspectratio="t"/>
                  <w10:wrap type="none"/>
                  <w10:anchorlock/>
                </v:shape>
                <o:OLEObject Type="Embed" ProgID="Equation.KSEE3" ShapeID="_x0000_i1025" DrawAspect="Content" ObjectID="_1468075725" r:id="rId21">
                  <o:LockedField>false</o:LockedField>
                </o:OLEObject>
              </w:object>
            </w:r>
            <w:r>
              <w:rPr>
                <w:rFonts w:hint="eastAsia"/>
                <w:color w:val="auto"/>
                <w:spacing w:val="-6"/>
                <w:sz w:val="24"/>
              </w:rPr>
              <w:t xml:space="preserve">          （1）</w:t>
            </w:r>
          </w:p>
          <w:p w14:paraId="5CADF3C9">
            <w:pPr>
              <w:spacing w:line="360" w:lineRule="auto"/>
              <w:ind w:firstLine="456" w:firstLineChars="200"/>
              <w:rPr>
                <w:color w:val="auto"/>
                <w:spacing w:val="-6"/>
                <w:sz w:val="24"/>
              </w:rPr>
            </w:pPr>
            <w:r>
              <w:rPr>
                <w:color w:val="auto"/>
                <w:spacing w:val="-6"/>
                <w:sz w:val="24"/>
              </w:rPr>
              <w:t>式中：q</w:t>
            </w:r>
            <w:r>
              <w:rPr>
                <w:color w:val="auto"/>
                <w:spacing w:val="-6"/>
                <w:sz w:val="24"/>
                <w:vertAlign w:val="subscript"/>
              </w:rPr>
              <w:t>1</w:t>
            </w:r>
            <w:r>
              <w:rPr>
                <w:color w:val="auto"/>
                <w:spacing w:val="-6"/>
                <w:sz w:val="24"/>
              </w:rPr>
              <w:t>，q</w:t>
            </w:r>
            <w:r>
              <w:rPr>
                <w:color w:val="auto"/>
                <w:spacing w:val="-6"/>
                <w:sz w:val="24"/>
                <w:vertAlign w:val="subscript"/>
              </w:rPr>
              <w:t>2</w:t>
            </w:r>
            <w:r>
              <w:rPr>
                <w:color w:val="auto"/>
                <w:spacing w:val="-6"/>
                <w:sz w:val="24"/>
              </w:rPr>
              <w:t>，...，q</w:t>
            </w:r>
            <w:r>
              <w:rPr>
                <w:color w:val="auto"/>
                <w:spacing w:val="-6"/>
                <w:sz w:val="24"/>
                <w:vertAlign w:val="subscript"/>
              </w:rPr>
              <w:t>n</w:t>
            </w:r>
            <w:r>
              <w:rPr>
                <w:rFonts w:hint="eastAsia"/>
                <w:color w:val="auto"/>
                <w:spacing w:val="-6"/>
                <w:sz w:val="24"/>
              </w:rPr>
              <w:t>——</w:t>
            </w:r>
            <w:r>
              <w:rPr>
                <w:color w:val="auto"/>
                <w:spacing w:val="-6"/>
                <w:sz w:val="24"/>
              </w:rPr>
              <w:t>每种危险物质的最大</w:t>
            </w:r>
            <w:r>
              <w:rPr>
                <w:rFonts w:hint="eastAsia"/>
                <w:color w:val="auto"/>
                <w:spacing w:val="-6"/>
                <w:sz w:val="24"/>
              </w:rPr>
              <w:t>存储</w:t>
            </w:r>
            <w:r>
              <w:rPr>
                <w:color w:val="auto"/>
                <w:spacing w:val="-6"/>
                <w:sz w:val="24"/>
              </w:rPr>
              <w:t>量，t；</w:t>
            </w:r>
          </w:p>
          <w:p w14:paraId="424F18B5">
            <w:pPr>
              <w:spacing w:line="360" w:lineRule="auto"/>
              <w:ind w:firstLine="1140" w:firstLineChars="500"/>
              <w:rPr>
                <w:color w:val="auto"/>
                <w:spacing w:val="-6"/>
                <w:sz w:val="24"/>
              </w:rPr>
            </w:pPr>
            <w:r>
              <w:rPr>
                <w:color w:val="auto"/>
                <w:spacing w:val="-6"/>
                <w:sz w:val="24"/>
              </w:rPr>
              <w:t>Q</w:t>
            </w:r>
            <w:r>
              <w:rPr>
                <w:color w:val="auto"/>
                <w:spacing w:val="-6"/>
                <w:sz w:val="24"/>
                <w:vertAlign w:val="subscript"/>
              </w:rPr>
              <w:t>1</w:t>
            </w:r>
            <w:r>
              <w:rPr>
                <w:color w:val="auto"/>
                <w:spacing w:val="-6"/>
                <w:sz w:val="24"/>
              </w:rPr>
              <w:t>，Q</w:t>
            </w:r>
            <w:r>
              <w:rPr>
                <w:color w:val="auto"/>
                <w:spacing w:val="-6"/>
                <w:sz w:val="24"/>
                <w:vertAlign w:val="subscript"/>
              </w:rPr>
              <w:t>2</w:t>
            </w:r>
            <w:r>
              <w:rPr>
                <w:color w:val="auto"/>
                <w:spacing w:val="-6"/>
                <w:sz w:val="24"/>
              </w:rPr>
              <w:t>，...，Q</w:t>
            </w:r>
            <w:r>
              <w:rPr>
                <w:color w:val="auto"/>
                <w:spacing w:val="-6"/>
                <w:sz w:val="24"/>
                <w:vertAlign w:val="subscript"/>
              </w:rPr>
              <w:t>n</w:t>
            </w:r>
            <w:r>
              <w:rPr>
                <w:rFonts w:hint="eastAsia"/>
                <w:color w:val="auto"/>
                <w:spacing w:val="-6"/>
                <w:sz w:val="24"/>
              </w:rPr>
              <w:t>——</w:t>
            </w:r>
            <w:r>
              <w:rPr>
                <w:color w:val="auto"/>
                <w:spacing w:val="-6"/>
                <w:sz w:val="24"/>
              </w:rPr>
              <w:t>每种危险物质的临界量，t。</w:t>
            </w:r>
          </w:p>
          <w:p w14:paraId="3A6B730A">
            <w:pPr>
              <w:keepNext w:val="0"/>
              <w:keepLines w:val="0"/>
              <w:pageBreakBefore w:val="0"/>
              <w:widowControl w:val="0"/>
              <w:kinsoku/>
              <w:wordWrap/>
              <w:overflowPunct/>
              <w:topLinePunct w:val="0"/>
              <w:autoSpaceDE/>
              <w:autoSpaceDN/>
              <w:bidi w:val="0"/>
              <w:adjustRightInd/>
              <w:snapToGrid/>
              <w:spacing w:before="157" w:beforeLines="50" w:line="360" w:lineRule="auto"/>
              <w:ind w:firstLine="456" w:firstLineChars="200"/>
              <w:textAlignment w:val="auto"/>
              <w:rPr>
                <w:color w:val="auto"/>
                <w:spacing w:val="-6"/>
                <w:sz w:val="24"/>
              </w:rPr>
            </w:pPr>
            <w:r>
              <w:rPr>
                <w:color w:val="auto"/>
                <w:spacing w:val="-6"/>
                <w:sz w:val="24"/>
              </w:rPr>
              <w:t>当 Q＜1 时，项目环境风险潜势为</w:t>
            </w:r>
            <w:r>
              <w:rPr>
                <w:rFonts w:hint="eastAsia"/>
                <w:color w:val="auto"/>
                <w:spacing w:val="-6"/>
                <w:sz w:val="24"/>
              </w:rPr>
              <w:t>Ⅰ</w:t>
            </w:r>
            <w:r>
              <w:rPr>
                <w:color w:val="auto"/>
                <w:spacing w:val="-6"/>
                <w:sz w:val="24"/>
              </w:rPr>
              <w:t>；</w:t>
            </w:r>
          </w:p>
          <w:p w14:paraId="051732D0">
            <w:pPr>
              <w:spacing w:line="360" w:lineRule="auto"/>
              <w:ind w:firstLine="480" w:firstLineChars="200"/>
              <w:rPr>
                <w:rFonts w:hint="eastAsia" w:ascii="Times New Roman" w:hAnsi="Times New Roman" w:eastAsia="宋体" w:cs="Times New Roman"/>
                <w:color w:val="auto"/>
                <w:spacing w:val="0"/>
                <w:sz w:val="24"/>
                <w:lang w:val="en-US" w:eastAsia="zh-CN"/>
              </w:rPr>
            </w:pPr>
            <w:r>
              <w:rPr>
                <w:rFonts w:hint="eastAsia" w:ascii="Times New Roman" w:hAnsi="Times New Roman" w:eastAsia="宋体" w:cs="Times New Roman"/>
                <w:color w:val="auto"/>
                <w:spacing w:val="0"/>
                <w:sz w:val="24"/>
                <w:lang w:val="en-US" w:eastAsia="zh-CN"/>
              </w:rPr>
              <w:t>当 Q≥1 时，将 Q 值划分为：①1≤Q＜10，②10≤Q＜100，③Q≥100。</w:t>
            </w:r>
          </w:p>
          <w:p w14:paraId="08C93542">
            <w:pPr>
              <w:spacing w:line="360" w:lineRule="auto"/>
              <w:ind w:firstLine="480" w:firstLineChars="200"/>
              <w:rPr>
                <w:rFonts w:hint="eastAsia" w:ascii="Times New Roman" w:hAnsi="Times New Roman" w:eastAsia="宋体" w:cs="Times New Roman"/>
                <w:color w:val="auto"/>
                <w:spacing w:val="0"/>
                <w:sz w:val="24"/>
                <w:lang w:val="en-US" w:eastAsia="zh-CN"/>
              </w:rPr>
            </w:pPr>
            <w:r>
              <w:rPr>
                <w:rFonts w:hint="eastAsia" w:ascii="Times New Roman" w:hAnsi="Times New Roman" w:eastAsia="宋体" w:cs="Times New Roman"/>
                <w:color w:val="auto"/>
                <w:spacing w:val="0"/>
                <w:sz w:val="24"/>
                <w:lang w:val="en-US" w:eastAsia="zh-CN"/>
              </w:rPr>
              <w:t>经计算，本项目Q=0.070336＜1，可直接判定本项目环境风险潜势为Ⅰ，对比评价工作等级判定表可知，本项目环境风险评价工作等级为简单分析。</w:t>
            </w:r>
          </w:p>
          <w:p w14:paraId="482E4E8E">
            <w:pPr>
              <w:spacing w:line="360" w:lineRule="auto"/>
              <w:ind w:firstLine="480" w:firstLineChars="200"/>
              <w:rPr>
                <w:rFonts w:hint="eastAsia" w:ascii="Times New Roman" w:hAnsi="Times New Roman" w:eastAsia="宋体" w:cs="Times New Roman"/>
                <w:color w:val="auto"/>
                <w:spacing w:val="0"/>
                <w:sz w:val="24"/>
                <w:lang w:val="en-US" w:eastAsia="zh-CN"/>
              </w:rPr>
            </w:pPr>
            <w:r>
              <w:rPr>
                <w:rFonts w:hint="eastAsia" w:ascii="Times New Roman" w:hAnsi="Times New Roman" w:eastAsia="宋体" w:cs="Times New Roman"/>
                <w:color w:val="auto"/>
                <w:spacing w:val="0"/>
                <w:sz w:val="24"/>
                <w:lang w:val="en-US" w:eastAsia="zh-CN"/>
              </w:rPr>
              <w:t>（2）环境风险识别</w:t>
            </w:r>
          </w:p>
          <w:p w14:paraId="627D102D">
            <w:pPr>
              <w:spacing w:line="360" w:lineRule="auto"/>
              <w:ind w:firstLine="480" w:firstLineChars="200"/>
              <w:rPr>
                <w:rFonts w:hint="eastAsia" w:ascii="Times New Roman" w:hAnsi="Times New Roman" w:eastAsia="宋体" w:cs="Times New Roman"/>
                <w:color w:val="auto"/>
                <w:spacing w:val="0"/>
                <w:sz w:val="24"/>
                <w:lang w:val="en-US" w:eastAsia="zh-CN"/>
              </w:rPr>
            </w:pPr>
            <w:r>
              <w:rPr>
                <w:rFonts w:hint="eastAsia" w:ascii="Times New Roman" w:hAnsi="Times New Roman" w:eastAsia="宋体" w:cs="Times New Roman"/>
                <w:color w:val="auto"/>
                <w:spacing w:val="0"/>
                <w:sz w:val="24"/>
                <w:lang w:val="en-US" w:eastAsia="zh-CN"/>
              </w:rPr>
              <w:t>①大气环境风险识别：项目废气处理设施故障，污染大气环境；</w:t>
            </w:r>
          </w:p>
          <w:p w14:paraId="1BC9E9D8">
            <w:pPr>
              <w:spacing w:line="360" w:lineRule="auto"/>
              <w:ind w:firstLine="480" w:firstLineChars="200"/>
              <w:rPr>
                <w:rFonts w:hint="eastAsia" w:ascii="Times New Roman" w:hAnsi="Times New Roman" w:eastAsia="宋体" w:cs="Times New Roman"/>
                <w:color w:val="auto"/>
                <w:spacing w:val="0"/>
                <w:sz w:val="24"/>
                <w:lang w:val="en-US" w:eastAsia="zh-CN"/>
              </w:rPr>
            </w:pPr>
            <w:r>
              <w:rPr>
                <w:rFonts w:hint="eastAsia" w:ascii="Times New Roman" w:hAnsi="Times New Roman" w:eastAsia="宋体" w:cs="Times New Roman"/>
                <w:color w:val="auto"/>
                <w:spacing w:val="0"/>
                <w:sz w:val="24"/>
                <w:lang w:val="en-US" w:eastAsia="zh-CN"/>
              </w:rPr>
              <w:t>②地下水环境风险识别：水性漆、油性漆、废润滑油、废液压油泄漏污染地下水和土壤环境。</w:t>
            </w:r>
          </w:p>
          <w:p w14:paraId="64896BAA">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spacing w:val="0"/>
                <w:sz w:val="24"/>
                <w:lang w:val="en-US" w:eastAsia="zh-CN"/>
              </w:rPr>
            </w:pPr>
            <w:r>
              <w:rPr>
                <w:rFonts w:hint="eastAsia" w:ascii="Times New Roman" w:hAnsi="Times New Roman" w:eastAsia="宋体" w:cs="Times New Roman"/>
                <w:color w:val="auto"/>
                <w:spacing w:val="0"/>
                <w:sz w:val="24"/>
                <w:lang w:val="en-US" w:eastAsia="zh-CN"/>
              </w:rPr>
              <w:t>（3）环境风险防范措施</w:t>
            </w:r>
          </w:p>
          <w:p w14:paraId="0DE95DDE">
            <w:pPr>
              <w:spacing w:line="360" w:lineRule="auto"/>
              <w:ind w:firstLine="480" w:firstLineChars="200"/>
              <w:rPr>
                <w:rFonts w:hint="eastAsia" w:ascii="Times New Roman" w:hAnsi="Times New Roman" w:eastAsia="宋体" w:cs="Times New Roman"/>
                <w:color w:val="auto"/>
                <w:spacing w:val="0"/>
                <w:sz w:val="24"/>
                <w:lang w:val="en-US" w:eastAsia="zh-CN"/>
              </w:rPr>
            </w:pPr>
            <w:r>
              <w:rPr>
                <w:rFonts w:hint="eastAsia" w:ascii="Times New Roman" w:hAnsi="Times New Roman" w:eastAsia="宋体" w:cs="Times New Roman"/>
                <w:color w:val="auto"/>
                <w:spacing w:val="0"/>
                <w:sz w:val="24"/>
                <w:lang w:val="en-US" w:eastAsia="zh-CN"/>
              </w:rPr>
              <w:t>①火灾风险防范措施</w:t>
            </w:r>
          </w:p>
          <w:p w14:paraId="272003C9">
            <w:pPr>
              <w:spacing w:line="360" w:lineRule="auto"/>
              <w:ind w:firstLine="480" w:firstLineChars="200"/>
              <w:rPr>
                <w:rFonts w:hint="eastAsia" w:ascii="Times New Roman" w:hAnsi="Times New Roman" w:eastAsia="宋体" w:cs="Times New Roman"/>
                <w:color w:val="auto"/>
                <w:spacing w:val="0"/>
                <w:sz w:val="24"/>
                <w:lang w:val="en-US" w:eastAsia="zh-CN"/>
              </w:rPr>
            </w:pPr>
            <w:r>
              <w:rPr>
                <w:rFonts w:hint="eastAsia" w:ascii="Times New Roman" w:hAnsi="Times New Roman" w:eastAsia="宋体" w:cs="Times New Roman"/>
                <w:color w:val="auto"/>
                <w:spacing w:val="0"/>
                <w:sz w:val="24"/>
                <w:lang w:val="en-US" w:eastAsia="zh-CN"/>
              </w:rPr>
              <w:t>本项目运营后建设单位应把物料贮存和喷漆房的防爆防火工作放在首位，确保喷漆房、危废贮存</w:t>
            </w:r>
            <w:r>
              <w:rPr>
                <w:rFonts w:hint="eastAsia" w:cs="Times New Roman"/>
                <w:color w:val="auto"/>
                <w:spacing w:val="0"/>
                <w:sz w:val="24"/>
                <w:lang w:val="en-US" w:eastAsia="zh-CN"/>
              </w:rPr>
              <w:t>点</w:t>
            </w:r>
            <w:r>
              <w:rPr>
                <w:rFonts w:hint="eastAsia" w:ascii="Times New Roman" w:hAnsi="Times New Roman" w:eastAsia="宋体" w:cs="Times New Roman"/>
                <w:color w:val="auto"/>
                <w:spacing w:val="0"/>
                <w:sz w:val="24"/>
                <w:lang w:val="en-US" w:eastAsia="zh-CN"/>
              </w:rPr>
              <w:t>、气瓶放置区不发生火险。</w:t>
            </w:r>
          </w:p>
          <w:p w14:paraId="6221B856">
            <w:pPr>
              <w:spacing w:line="360" w:lineRule="auto"/>
              <w:ind w:firstLine="480" w:firstLineChars="200"/>
              <w:rPr>
                <w:rFonts w:hint="eastAsia" w:ascii="Times New Roman" w:hAnsi="Times New Roman" w:eastAsia="宋体" w:cs="Times New Roman"/>
                <w:color w:val="auto"/>
                <w:spacing w:val="0"/>
                <w:sz w:val="24"/>
                <w:lang w:val="en-US" w:eastAsia="zh-CN"/>
              </w:rPr>
            </w:pPr>
            <w:r>
              <w:rPr>
                <w:rFonts w:hint="eastAsia" w:ascii="Times New Roman" w:hAnsi="Times New Roman" w:eastAsia="宋体" w:cs="Times New Roman"/>
                <w:color w:val="auto"/>
                <w:spacing w:val="0"/>
                <w:sz w:val="24"/>
                <w:lang w:val="en-US" w:eastAsia="zh-CN"/>
              </w:rPr>
              <w:t>A.项目需合理设计规划，生产设施的布置应符合相关防火距离要求；</w:t>
            </w:r>
          </w:p>
          <w:p w14:paraId="74A0BD64">
            <w:pPr>
              <w:spacing w:line="360" w:lineRule="auto"/>
              <w:ind w:firstLine="480" w:firstLineChars="200"/>
              <w:rPr>
                <w:rFonts w:hint="eastAsia" w:ascii="Times New Roman" w:hAnsi="Times New Roman" w:eastAsia="宋体" w:cs="Times New Roman"/>
                <w:color w:val="auto"/>
                <w:spacing w:val="0"/>
                <w:sz w:val="24"/>
                <w:lang w:val="en-US" w:eastAsia="zh-CN"/>
              </w:rPr>
            </w:pPr>
            <w:r>
              <w:rPr>
                <w:rFonts w:hint="eastAsia" w:ascii="Times New Roman" w:hAnsi="Times New Roman" w:eastAsia="宋体" w:cs="Times New Roman"/>
                <w:color w:val="auto"/>
                <w:spacing w:val="0"/>
                <w:sz w:val="24"/>
                <w:lang w:val="en-US" w:eastAsia="zh-CN"/>
              </w:rPr>
              <w:t>B.建议本项目投产前要检查喷漆房、危废贮存</w:t>
            </w:r>
            <w:r>
              <w:rPr>
                <w:rFonts w:hint="eastAsia" w:cs="Times New Roman"/>
                <w:color w:val="auto"/>
                <w:spacing w:val="0"/>
                <w:sz w:val="24"/>
                <w:lang w:val="en-US" w:eastAsia="zh-CN"/>
              </w:rPr>
              <w:t>点</w:t>
            </w:r>
            <w:r>
              <w:rPr>
                <w:rFonts w:hint="eastAsia" w:ascii="Times New Roman" w:hAnsi="Times New Roman" w:eastAsia="宋体" w:cs="Times New Roman"/>
                <w:color w:val="auto"/>
                <w:spacing w:val="0"/>
                <w:sz w:val="24"/>
                <w:lang w:val="en-US" w:eastAsia="zh-CN"/>
              </w:rPr>
              <w:t>、气瓶放置区的消防设施；同时，本项目运营后应进行消防检查；</w:t>
            </w:r>
          </w:p>
          <w:p w14:paraId="3293EADC">
            <w:pPr>
              <w:spacing w:line="360" w:lineRule="auto"/>
              <w:ind w:firstLine="480" w:firstLineChars="200"/>
              <w:rPr>
                <w:rFonts w:hint="eastAsia" w:ascii="Times New Roman" w:hAnsi="Times New Roman" w:eastAsia="宋体" w:cs="Times New Roman"/>
                <w:color w:val="auto"/>
                <w:spacing w:val="0"/>
                <w:sz w:val="24"/>
                <w:lang w:val="en-US" w:eastAsia="zh-CN"/>
              </w:rPr>
            </w:pPr>
            <w:r>
              <w:rPr>
                <w:rFonts w:hint="eastAsia" w:ascii="Times New Roman" w:hAnsi="Times New Roman" w:eastAsia="宋体" w:cs="Times New Roman"/>
                <w:color w:val="auto"/>
                <w:spacing w:val="0"/>
                <w:sz w:val="24"/>
                <w:lang w:val="en-US" w:eastAsia="zh-CN"/>
              </w:rPr>
              <w:t>C.危废贮存</w:t>
            </w:r>
            <w:r>
              <w:rPr>
                <w:rFonts w:hint="eastAsia" w:cs="Times New Roman"/>
                <w:color w:val="auto"/>
                <w:spacing w:val="0"/>
                <w:sz w:val="24"/>
                <w:lang w:val="en-US" w:eastAsia="zh-CN"/>
              </w:rPr>
              <w:t>点</w:t>
            </w:r>
            <w:r>
              <w:rPr>
                <w:rFonts w:hint="eastAsia" w:ascii="Times New Roman" w:hAnsi="Times New Roman" w:eastAsia="宋体" w:cs="Times New Roman"/>
                <w:color w:val="auto"/>
                <w:spacing w:val="0"/>
                <w:sz w:val="24"/>
                <w:lang w:val="en-US" w:eastAsia="zh-CN"/>
              </w:rPr>
              <w:t>、气瓶放置区和喷漆房应设有较为完善的消防系统；</w:t>
            </w:r>
          </w:p>
          <w:p w14:paraId="5C9504E8">
            <w:pPr>
              <w:spacing w:line="360" w:lineRule="auto"/>
              <w:ind w:firstLine="480" w:firstLineChars="200"/>
              <w:rPr>
                <w:rFonts w:hint="eastAsia" w:ascii="Times New Roman" w:hAnsi="Times New Roman" w:eastAsia="宋体" w:cs="Times New Roman"/>
                <w:color w:val="auto"/>
                <w:spacing w:val="0"/>
                <w:sz w:val="24"/>
                <w:lang w:val="en-US" w:eastAsia="zh-CN"/>
              </w:rPr>
            </w:pPr>
            <w:r>
              <w:rPr>
                <w:rFonts w:hint="eastAsia" w:ascii="Times New Roman" w:hAnsi="Times New Roman" w:eastAsia="宋体" w:cs="Times New Roman"/>
                <w:color w:val="auto"/>
                <w:spacing w:val="0"/>
                <w:sz w:val="24"/>
                <w:lang w:val="en-US" w:eastAsia="zh-CN"/>
              </w:rPr>
              <w:t>D.设置火灾报警系统：在本项目喷漆房、气瓶放置区、危废贮存</w:t>
            </w:r>
            <w:r>
              <w:rPr>
                <w:rFonts w:hint="eastAsia" w:cs="Times New Roman"/>
                <w:color w:val="auto"/>
                <w:spacing w:val="0"/>
                <w:sz w:val="24"/>
                <w:lang w:val="en-US" w:eastAsia="zh-CN"/>
              </w:rPr>
              <w:t>点</w:t>
            </w:r>
            <w:r>
              <w:rPr>
                <w:rFonts w:hint="eastAsia" w:ascii="Times New Roman" w:hAnsi="Times New Roman" w:eastAsia="宋体" w:cs="Times New Roman"/>
                <w:color w:val="auto"/>
                <w:spacing w:val="0"/>
                <w:sz w:val="24"/>
                <w:lang w:val="en-US" w:eastAsia="zh-CN"/>
              </w:rPr>
              <w:t>等容易发生火灾区域设置通用火灾报警控制器；</w:t>
            </w:r>
          </w:p>
          <w:p w14:paraId="5E3070D2">
            <w:pPr>
              <w:spacing w:line="360" w:lineRule="auto"/>
              <w:ind w:firstLine="480" w:firstLineChars="200"/>
              <w:rPr>
                <w:rFonts w:hint="eastAsia" w:ascii="Times New Roman" w:hAnsi="Times New Roman" w:eastAsia="宋体" w:cs="Times New Roman"/>
                <w:color w:val="auto"/>
                <w:spacing w:val="0"/>
                <w:sz w:val="24"/>
                <w:lang w:val="en-US" w:eastAsia="zh-CN"/>
              </w:rPr>
            </w:pPr>
            <w:r>
              <w:rPr>
                <w:rFonts w:hint="eastAsia" w:ascii="Times New Roman" w:hAnsi="Times New Roman" w:eastAsia="宋体" w:cs="Times New Roman"/>
                <w:color w:val="auto"/>
                <w:spacing w:val="0"/>
                <w:sz w:val="24"/>
                <w:lang w:val="en-US" w:eastAsia="zh-CN"/>
              </w:rPr>
              <w:t>E.加强工艺系统的自动控制、监测报警的应用，同时应加强对系统设备和密封元件的维护保养，加强喷漆工艺操作人员安全培训；</w:t>
            </w:r>
          </w:p>
          <w:p w14:paraId="70985A1E">
            <w:pPr>
              <w:spacing w:line="360" w:lineRule="auto"/>
              <w:ind w:firstLine="480" w:firstLineChars="200"/>
              <w:rPr>
                <w:rFonts w:hint="eastAsia" w:ascii="Times New Roman" w:hAnsi="Times New Roman" w:eastAsia="宋体" w:cs="Times New Roman"/>
                <w:color w:val="auto"/>
                <w:spacing w:val="0"/>
                <w:sz w:val="24"/>
                <w:lang w:val="en-US" w:eastAsia="zh-CN"/>
              </w:rPr>
            </w:pPr>
            <w:r>
              <w:rPr>
                <w:rFonts w:hint="eastAsia" w:ascii="Times New Roman" w:hAnsi="Times New Roman" w:eastAsia="宋体" w:cs="Times New Roman"/>
                <w:color w:val="auto"/>
                <w:spacing w:val="0"/>
                <w:sz w:val="24"/>
                <w:lang w:val="en-US" w:eastAsia="zh-CN"/>
              </w:rPr>
              <w:t>F.喷漆房、气瓶放置区、危废贮存</w:t>
            </w:r>
            <w:r>
              <w:rPr>
                <w:rFonts w:hint="eastAsia" w:cs="Times New Roman"/>
                <w:color w:val="auto"/>
                <w:spacing w:val="0"/>
                <w:sz w:val="24"/>
                <w:lang w:val="en-US" w:eastAsia="zh-CN"/>
              </w:rPr>
              <w:t>点</w:t>
            </w:r>
            <w:r>
              <w:rPr>
                <w:rFonts w:hint="eastAsia" w:ascii="Times New Roman" w:hAnsi="Times New Roman" w:eastAsia="宋体" w:cs="Times New Roman"/>
                <w:color w:val="auto"/>
                <w:spacing w:val="0"/>
                <w:sz w:val="24"/>
                <w:lang w:val="en-US" w:eastAsia="zh-CN"/>
              </w:rPr>
              <w:t>周围严禁堆放可燃物品，严禁吸烟和使用明火。</w:t>
            </w:r>
          </w:p>
          <w:p w14:paraId="2820CA83">
            <w:pPr>
              <w:spacing w:line="360" w:lineRule="auto"/>
              <w:ind w:firstLine="480" w:firstLineChars="200"/>
              <w:rPr>
                <w:rFonts w:hint="eastAsia" w:ascii="Times New Roman" w:hAnsi="Times New Roman" w:eastAsia="宋体" w:cs="Times New Roman"/>
                <w:color w:val="auto"/>
                <w:spacing w:val="0"/>
                <w:sz w:val="24"/>
                <w:lang w:val="en-US" w:eastAsia="zh-CN"/>
              </w:rPr>
            </w:pPr>
            <w:r>
              <w:rPr>
                <w:rFonts w:hint="eastAsia" w:ascii="Times New Roman" w:hAnsi="Times New Roman" w:eastAsia="宋体" w:cs="Times New Roman"/>
                <w:color w:val="auto"/>
                <w:spacing w:val="0"/>
                <w:sz w:val="24"/>
                <w:lang w:val="en-US" w:eastAsia="zh-CN"/>
              </w:rPr>
              <w:t>②废气处理设施故障风险防范措施</w:t>
            </w:r>
          </w:p>
          <w:p w14:paraId="3A65C924">
            <w:pPr>
              <w:spacing w:line="360" w:lineRule="auto"/>
              <w:ind w:firstLine="480" w:firstLineChars="200"/>
              <w:rPr>
                <w:rFonts w:hint="eastAsia" w:ascii="Times New Roman" w:hAnsi="Times New Roman" w:eastAsia="宋体" w:cs="Times New Roman"/>
                <w:color w:val="auto"/>
                <w:spacing w:val="0"/>
                <w:sz w:val="24"/>
                <w:lang w:val="en-US" w:eastAsia="zh-CN"/>
              </w:rPr>
            </w:pPr>
            <w:r>
              <w:rPr>
                <w:rFonts w:hint="eastAsia" w:ascii="Times New Roman" w:hAnsi="Times New Roman" w:eastAsia="宋体" w:cs="Times New Roman"/>
                <w:color w:val="auto"/>
                <w:spacing w:val="0"/>
                <w:sz w:val="24"/>
                <w:lang w:val="en-US" w:eastAsia="zh-CN"/>
              </w:rPr>
              <w:t>废气处理设施在设计、施工时，应严格按照工程设计规范进行，选用标准管材，保证焊缝质量及连接密封性，并做防腐处理。严格岗位管理，保证废气处理设施正常运行。加强</w:t>
            </w:r>
            <w:r>
              <w:rPr>
                <w:rFonts w:hint="eastAsia" w:cs="Times New Roman"/>
                <w:color w:val="auto"/>
                <w:spacing w:val="0"/>
                <w:sz w:val="24"/>
                <w:lang w:val="en-US" w:eastAsia="zh-CN"/>
              </w:rPr>
              <w:t>处理</w:t>
            </w:r>
            <w:r>
              <w:rPr>
                <w:rFonts w:hint="eastAsia" w:ascii="Times New Roman" w:hAnsi="Times New Roman" w:eastAsia="宋体" w:cs="Times New Roman"/>
                <w:color w:val="auto"/>
                <w:spacing w:val="0"/>
                <w:sz w:val="24"/>
                <w:lang w:val="en-US" w:eastAsia="zh-CN"/>
              </w:rPr>
              <w:t>设施的运行管理和日常维护，若发现废气处理</w:t>
            </w:r>
            <w:r>
              <w:rPr>
                <w:rFonts w:hint="eastAsia" w:cs="Times New Roman"/>
                <w:color w:val="auto"/>
                <w:spacing w:val="0"/>
                <w:sz w:val="24"/>
                <w:lang w:val="en-US" w:eastAsia="zh-CN"/>
              </w:rPr>
              <w:t>设施</w:t>
            </w:r>
            <w:r>
              <w:rPr>
                <w:rFonts w:hint="eastAsia" w:ascii="Times New Roman" w:hAnsi="Times New Roman" w:eastAsia="宋体" w:cs="Times New Roman"/>
                <w:color w:val="auto"/>
                <w:spacing w:val="0"/>
                <w:sz w:val="24"/>
                <w:lang w:val="en-US" w:eastAsia="zh-CN"/>
              </w:rPr>
              <w:t>异常应立即检查，找出原因及时维修，必要情况下停止生产。</w:t>
            </w:r>
          </w:p>
          <w:p w14:paraId="4124E1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pacing w:val="0"/>
                <w:sz w:val="24"/>
                <w:lang w:val="en-US" w:eastAsia="zh-CN"/>
              </w:rPr>
            </w:pPr>
            <w:r>
              <w:rPr>
                <w:rFonts w:hint="eastAsia" w:ascii="Times New Roman" w:hAnsi="Times New Roman" w:eastAsia="宋体" w:cs="Times New Roman"/>
                <w:color w:val="auto"/>
                <w:spacing w:val="0"/>
                <w:sz w:val="24"/>
                <w:lang w:val="en-US" w:eastAsia="zh-CN"/>
              </w:rPr>
              <w:fldChar w:fldCharType="begin"/>
            </w:r>
            <w:r>
              <w:rPr>
                <w:rFonts w:hint="eastAsia" w:ascii="Times New Roman" w:hAnsi="Times New Roman" w:eastAsia="宋体" w:cs="Times New Roman"/>
                <w:color w:val="auto"/>
                <w:spacing w:val="0"/>
                <w:sz w:val="24"/>
                <w:lang w:val="en-US" w:eastAsia="zh-CN"/>
              </w:rPr>
              <w:instrText xml:space="preserve"> = 3 \* GB3 \* MERGEFORMAT </w:instrText>
            </w:r>
            <w:r>
              <w:rPr>
                <w:rFonts w:hint="eastAsia" w:ascii="Times New Roman" w:hAnsi="Times New Roman" w:eastAsia="宋体" w:cs="Times New Roman"/>
                <w:color w:val="auto"/>
                <w:spacing w:val="0"/>
                <w:sz w:val="24"/>
                <w:lang w:val="en-US" w:eastAsia="zh-CN"/>
              </w:rPr>
              <w:fldChar w:fldCharType="separate"/>
            </w:r>
            <w:r>
              <w:rPr>
                <w:rFonts w:hint="eastAsia" w:ascii="Times New Roman" w:hAnsi="Times New Roman" w:eastAsia="宋体" w:cs="Times New Roman"/>
                <w:color w:val="auto"/>
                <w:spacing w:val="0"/>
                <w:sz w:val="24"/>
                <w:lang w:val="en-US" w:eastAsia="zh-CN"/>
              </w:rPr>
              <w:t>③</w:t>
            </w:r>
            <w:r>
              <w:rPr>
                <w:rFonts w:hint="eastAsia" w:ascii="Times New Roman" w:hAnsi="Times New Roman" w:eastAsia="宋体" w:cs="Times New Roman"/>
                <w:color w:val="auto"/>
                <w:spacing w:val="0"/>
                <w:sz w:val="24"/>
                <w:lang w:val="en-US" w:eastAsia="zh-CN"/>
              </w:rPr>
              <w:fldChar w:fldCharType="end"/>
            </w:r>
            <w:r>
              <w:rPr>
                <w:rFonts w:hint="eastAsia" w:ascii="Times New Roman" w:hAnsi="Times New Roman" w:eastAsia="宋体" w:cs="Times New Roman"/>
                <w:color w:val="auto"/>
                <w:spacing w:val="0"/>
                <w:sz w:val="24"/>
                <w:lang w:val="en-US" w:eastAsia="zh-CN"/>
              </w:rPr>
              <w:t>泄漏事故风险防范措施</w:t>
            </w:r>
          </w:p>
          <w:p w14:paraId="23FC9136">
            <w:pPr>
              <w:spacing w:line="360" w:lineRule="auto"/>
              <w:ind w:firstLine="480" w:firstLineChars="200"/>
              <w:rPr>
                <w:rFonts w:hint="eastAsia" w:ascii="Times New Roman" w:hAnsi="Times New Roman" w:eastAsia="宋体" w:cs="Times New Roman"/>
                <w:color w:val="auto"/>
                <w:spacing w:val="0"/>
                <w:sz w:val="24"/>
                <w:lang w:val="en-US" w:eastAsia="zh-CN"/>
              </w:rPr>
            </w:pPr>
            <w:r>
              <w:rPr>
                <w:rFonts w:hint="eastAsia" w:ascii="Times New Roman" w:hAnsi="Times New Roman" w:eastAsia="宋体" w:cs="Times New Roman"/>
                <w:color w:val="auto"/>
                <w:spacing w:val="0"/>
                <w:sz w:val="24"/>
                <w:lang w:val="en-US" w:eastAsia="zh-CN"/>
              </w:rPr>
              <w:t>在喷漆房、气瓶放置区、危废贮存</w:t>
            </w:r>
            <w:r>
              <w:rPr>
                <w:rFonts w:hint="eastAsia" w:cs="Times New Roman"/>
                <w:color w:val="auto"/>
                <w:spacing w:val="0"/>
                <w:sz w:val="24"/>
                <w:lang w:val="en-US" w:eastAsia="zh-CN"/>
              </w:rPr>
              <w:t>点</w:t>
            </w:r>
            <w:r>
              <w:rPr>
                <w:rFonts w:hint="eastAsia" w:ascii="Times New Roman" w:hAnsi="Times New Roman" w:eastAsia="宋体" w:cs="Times New Roman"/>
                <w:color w:val="auto"/>
                <w:spacing w:val="0"/>
                <w:sz w:val="24"/>
                <w:lang w:val="en-US" w:eastAsia="zh-CN"/>
              </w:rPr>
              <w:t>等有可能发生液体泄漏的区域，应储备吸油棉或消防沙等，将扩散物料固定、回收，避免物质泄漏进入雨水和污水系统，防止大量危险废物等进入外界水环境。</w:t>
            </w:r>
          </w:p>
          <w:p w14:paraId="6664B39D">
            <w:pPr>
              <w:spacing w:line="360" w:lineRule="auto"/>
              <w:ind w:firstLine="480" w:firstLineChars="200"/>
              <w:rPr>
                <w:rFonts w:hint="eastAsia" w:ascii="Times New Roman" w:hAnsi="Times New Roman" w:eastAsia="宋体" w:cs="Times New Roman"/>
                <w:color w:val="auto"/>
                <w:spacing w:val="0"/>
                <w:sz w:val="24"/>
                <w:lang w:val="en-US" w:eastAsia="zh-CN"/>
              </w:rPr>
            </w:pPr>
            <w:r>
              <w:rPr>
                <w:rFonts w:hint="eastAsia" w:ascii="Times New Roman" w:hAnsi="Times New Roman" w:eastAsia="宋体" w:cs="Times New Roman"/>
                <w:color w:val="auto"/>
                <w:spacing w:val="0"/>
                <w:sz w:val="24"/>
                <w:lang w:val="en-US" w:eastAsia="zh-CN"/>
              </w:rPr>
              <w:t>④危废贮存</w:t>
            </w:r>
            <w:r>
              <w:rPr>
                <w:rFonts w:hint="eastAsia" w:cs="Times New Roman"/>
                <w:color w:val="auto"/>
                <w:spacing w:val="0"/>
                <w:sz w:val="24"/>
                <w:lang w:val="en-US" w:eastAsia="zh-CN"/>
              </w:rPr>
              <w:t>点</w:t>
            </w:r>
            <w:r>
              <w:rPr>
                <w:rFonts w:hint="eastAsia" w:ascii="Times New Roman" w:hAnsi="Times New Roman" w:eastAsia="宋体" w:cs="Times New Roman"/>
                <w:color w:val="auto"/>
                <w:spacing w:val="0"/>
                <w:sz w:val="24"/>
                <w:lang w:val="en-US" w:eastAsia="zh-CN"/>
              </w:rPr>
              <w:t>的风险防范措施</w:t>
            </w:r>
          </w:p>
          <w:p w14:paraId="517A8970">
            <w:pPr>
              <w:spacing w:line="360" w:lineRule="auto"/>
              <w:ind w:firstLine="480" w:firstLineChars="200"/>
              <w:rPr>
                <w:rFonts w:hint="eastAsia" w:ascii="Times New Roman" w:hAnsi="Times New Roman" w:eastAsia="宋体" w:cs="Times New Roman"/>
                <w:color w:val="auto"/>
                <w:spacing w:val="0"/>
                <w:sz w:val="24"/>
                <w:lang w:val="en-US" w:eastAsia="zh-CN"/>
              </w:rPr>
            </w:pPr>
            <w:r>
              <w:rPr>
                <w:rFonts w:hint="eastAsia" w:ascii="Times New Roman" w:hAnsi="Times New Roman" w:eastAsia="宋体" w:cs="Times New Roman"/>
                <w:color w:val="auto"/>
                <w:spacing w:val="0"/>
                <w:sz w:val="24"/>
                <w:lang w:val="en-US" w:eastAsia="zh-CN"/>
              </w:rPr>
              <w:t>危废贮存</w:t>
            </w:r>
            <w:r>
              <w:rPr>
                <w:rFonts w:hint="eastAsia" w:cs="Times New Roman"/>
                <w:color w:val="auto"/>
                <w:spacing w:val="0"/>
                <w:sz w:val="24"/>
                <w:lang w:val="en-US" w:eastAsia="zh-CN"/>
              </w:rPr>
              <w:t>点</w:t>
            </w:r>
            <w:r>
              <w:rPr>
                <w:rFonts w:hint="eastAsia" w:ascii="Times New Roman" w:hAnsi="Times New Roman" w:eastAsia="宋体" w:cs="Times New Roman"/>
                <w:color w:val="auto"/>
                <w:spacing w:val="0"/>
                <w:sz w:val="24"/>
                <w:lang w:val="en-US" w:eastAsia="zh-CN"/>
              </w:rPr>
              <w:t>按《危险废物贮存污染控制标准》（GB18597-2023）的相关要求在厂房内布置及防渗设计，应设有渗滤液收集系统。</w:t>
            </w:r>
          </w:p>
          <w:p w14:paraId="54097C9A">
            <w:pPr>
              <w:spacing w:line="360" w:lineRule="auto"/>
              <w:ind w:firstLine="480" w:firstLineChars="200"/>
              <w:rPr>
                <w:rFonts w:hint="eastAsia" w:ascii="Times New Roman" w:hAnsi="Times New Roman" w:eastAsia="宋体" w:cs="Times New Roman"/>
                <w:color w:val="auto"/>
                <w:spacing w:val="0"/>
                <w:sz w:val="24"/>
                <w:lang w:val="en-US" w:eastAsia="zh-CN"/>
              </w:rPr>
            </w:pPr>
          </w:p>
          <w:p w14:paraId="4A21D088">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spacing w:val="0"/>
                <w:sz w:val="24"/>
                <w:lang w:val="en-US" w:eastAsia="zh-CN"/>
              </w:rPr>
            </w:pPr>
            <w:r>
              <w:rPr>
                <w:rFonts w:hint="eastAsia" w:ascii="Times New Roman" w:hAnsi="Times New Roman" w:eastAsia="宋体" w:cs="Times New Roman"/>
                <w:color w:val="auto"/>
                <w:spacing w:val="0"/>
                <w:sz w:val="24"/>
                <w:lang w:val="en-US" w:eastAsia="zh-CN"/>
              </w:rPr>
              <w:t>（4）应急预案</w:t>
            </w:r>
          </w:p>
          <w:p w14:paraId="29F07CFC">
            <w:pPr>
              <w:spacing w:line="360" w:lineRule="auto"/>
              <w:ind w:firstLine="480" w:firstLineChars="200"/>
              <w:rPr>
                <w:color w:val="auto"/>
                <w:spacing w:val="-4"/>
              </w:rPr>
            </w:pPr>
            <w:r>
              <w:rPr>
                <w:rFonts w:hint="eastAsia" w:ascii="Times New Roman" w:hAnsi="Times New Roman" w:eastAsia="宋体" w:cs="Times New Roman"/>
                <w:color w:val="auto"/>
                <w:spacing w:val="0"/>
                <w:sz w:val="24"/>
                <w:lang w:val="en-US" w:eastAsia="zh-CN"/>
              </w:rPr>
              <w:t>根据《建设项目环境风险评价技术导则》（HJ169-2018）、《企业突发环境事件风险分级方法》（HJ941-2018）及《国家突发环境事件应急预案》（国办函〔201</w:t>
            </w:r>
            <w:r>
              <w:rPr>
                <w:rFonts w:hint="eastAsia" w:cs="Times New Roman"/>
                <w:color w:val="auto"/>
                <w:spacing w:val="0"/>
                <w:sz w:val="24"/>
                <w:lang w:val="en-US" w:eastAsia="zh-CN"/>
              </w:rPr>
              <w:t>4</w:t>
            </w:r>
            <w:r>
              <w:rPr>
                <w:rFonts w:hint="eastAsia" w:ascii="Times New Roman" w:hAnsi="Times New Roman" w:eastAsia="宋体" w:cs="Times New Roman"/>
                <w:color w:val="auto"/>
                <w:spacing w:val="0"/>
                <w:sz w:val="24"/>
                <w:lang w:val="en-US" w:eastAsia="zh-CN"/>
              </w:rPr>
              <w:t>〕119号）等要求，建设单位应编制企业突发环境事件应急预案，并报生态环境主管部门备案，以便在发生风险事故时，能以最快的速度发挥最大效能，有序</w:t>
            </w:r>
            <w:r>
              <w:rPr>
                <w:rFonts w:hint="eastAsia" w:cs="Times New Roman"/>
                <w:color w:val="auto"/>
                <w:spacing w:val="0"/>
                <w:sz w:val="24"/>
                <w:lang w:val="en-US" w:eastAsia="zh-CN"/>
              </w:rPr>
              <w:t>地</w:t>
            </w:r>
            <w:r>
              <w:rPr>
                <w:rFonts w:hint="eastAsia" w:ascii="Times New Roman" w:hAnsi="Times New Roman" w:eastAsia="宋体" w:cs="Times New Roman"/>
                <w:color w:val="auto"/>
                <w:spacing w:val="0"/>
                <w:sz w:val="24"/>
                <w:lang w:val="en-US" w:eastAsia="zh-CN"/>
              </w:rPr>
              <w:t>实施救援，尽快控制事态的发展，降低事故造成的危害，减少事故造成的损失。</w:t>
            </w:r>
          </w:p>
        </w:tc>
      </w:tr>
    </w:tbl>
    <w:p w14:paraId="21A6FAEC">
      <w:pPr>
        <w:adjustRightInd w:val="0"/>
        <w:snapToGrid w:val="0"/>
        <w:spacing w:line="360" w:lineRule="auto"/>
        <w:rPr>
          <w:b/>
          <w:color w:val="auto"/>
          <w:kern w:val="0"/>
          <w:sz w:val="28"/>
          <w:szCs w:val="28"/>
          <w:highlight w:val="yellow"/>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1953AE39">
      <w:pPr>
        <w:pStyle w:val="23"/>
        <w:jc w:val="center"/>
        <w:outlineLvl w:val="0"/>
        <w:rPr>
          <w:rFonts w:ascii="Times New Roman" w:hAnsi="Times New Roman" w:eastAsia="黑体"/>
          <w:snapToGrid w:val="0"/>
          <w:color w:val="auto"/>
          <w:sz w:val="30"/>
          <w:szCs w:val="30"/>
        </w:rPr>
      </w:pPr>
      <w:bookmarkStart w:id="10" w:name="_Toc5327"/>
      <w:r>
        <w:rPr>
          <w:rFonts w:ascii="Times New Roman" w:hAnsi="Times New Roman" w:eastAsia="黑体"/>
          <w:snapToGrid w:val="0"/>
          <w:color w:val="auto"/>
          <w:sz w:val="30"/>
          <w:szCs w:val="30"/>
        </w:rPr>
        <w:t>五、</w:t>
      </w:r>
      <w:bookmarkStart w:id="11" w:name="_Hlk54167917"/>
      <w:r>
        <w:rPr>
          <w:rFonts w:ascii="Times New Roman" w:hAnsi="Times New Roman" w:eastAsia="黑体"/>
          <w:snapToGrid w:val="0"/>
          <w:color w:val="auto"/>
          <w:sz w:val="30"/>
          <w:szCs w:val="30"/>
        </w:rPr>
        <w:t>环境保护措施监督检查清单</w:t>
      </w:r>
      <w:bookmarkEnd w:id="10"/>
      <w:bookmarkEnd w:id="11"/>
    </w:p>
    <w:tbl>
      <w:tblPr>
        <w:tblStyle w:val="26"/>
        <w:tblW w:w="94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76"/>
        <w:gridCol w:w="1729"/>
        <w:gridCol w:w="1515"/>
        <w:gridCol w:w="2157"/>
        <w:gridCol w:w="2564"/>
      </w:tblGrid>
      <w:tr w14:paraId="685C01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476" w:type="dxa"/>
            <w:tcBorders>
              <w:tl2br w:val="single" w:color="auto" w:sz="4" w:space="0"/>
            </w:tcBorders>
            <w:noWrap w:val="0"/>
            <w:vAlign w:val="top"/>
          </w:tcPr>
          <w:p w14:paraId="231EECF4">
            <w:pPr>
              <w:adjustRightInd w:val="0"/>
              <w:snapToGrid w:val="0"/>
              <w:ind w:firstLine="480" w:firstLineChars="200"/>
              <w:jc w:val="both"/>
              <w:rPr>
                <w:color w:val="auto"/>
                <w:szCs w:val="21"/>
              </w:rPr>
            </w:pPr>
            <w:r>
              <w:rPr>
                <w:rFonts w:hint="eastAsia" w:ascii="宋体" w:hAnsi="宋体" w:cs="宋体"/>
                <w:color w:val="auto"/>
                <w:sz w:val="24"/>
              </w:rPr>
              <w:t>内容</w:t>
            </w:r>
          </w:p>
          <w:p w14:paraId="6D8D7286">
            <w:pPr>
              <w:adjustRightInd w:val="0"/>
              <w:snapToGrid w:val="0"/>
              <w:jc w:val="both"/>
              <w:rPr>
                <w:color w:val="auto"/>
                <w:szCs w:val="21"/>
              </w:rPr>
            </w:pPr>
            <w:r>
              <w:rPr>
                <w:rFonts w:hint="eastAsia" w:ascii="宋体" w:hAnsi="宋体" w:cs="宋体"/>
                <w:color w:val="auto"/>
                <w:sz w:val="24"/>
              </w:rPr>
              <w:t>要素</w:t>
            </w:r>
          </w:p>
        </w:tc>
        <w:tc>
          <w:tcPr>
            <w:tcW w:w="1729" w:type="dxa"/>
            <w:noWrap w:val="0"/>
            <w:vAlign w:val="center"/>
          </w:tcPr>
          <w:p w14:paraId="6133FBDA">
            <w:pPr>
              <w:adjustRightInd w:val="0"/>
              <w:snapToGrid w:val="0"/>
              <w:jc w:val="both"/>
              <w:rPr>
                <w:rFonts w:hint="eastAsia"/>
                <w:color w:val="auto"/>
                <w:szCs w:val="21"/>
              </w:rPr>
            </w:pPr>
            <w:r>
              <w:rPr>
                <w:rFonts w:hint="eastAsia" w:ascii="宋体" w:hAnsi="宋体" w:cs="宋体"/>
                <w:color w:val="auto"/>
                <w:sz w:val="24"/>
              </w:rPr>
              <w:t>排放口(编号、名称)/污染源</w:t>
            </w:r>
          </w:p>
        </w:tc>
        <w:tc>
          <w:tcPr>
            <w:tcW w:w="1515" w:type="dxa"/>
            <w:noWrap w:val="0"/>
            <w:vAlign w:val="center"/>
          </w:tcPr>
          <w:p w14:paraId="58DADB3F">
            <w:pPr>
              <w:adjustRightInd w:val="0"/>
              <w:snapToGrid w:val="0"/>
              <w:jc w:val="center"/>
              <w:rPr>
                <w:rFonts w:hint="eastAsia" w:ascii="宋体" w:hAnsi="宋体" w:cs="宋体"/>
                <w:color w:val="auto"/>
                <w:sz w:val="24"/>
              </w:rPr>
            </w:pPr>
            <w:r>
              <w:rPr>
                <w:rFonts w:hint="eastAsia" w:ascii="宋体" w:hAnsi="宋体" w:cs="宋体"/>
                <w:color w:val="auto"/>
                <w:sz w:val="24"/>
              </w:rPr>
              <w:t>污染物项目</w:t>
            </w:r>
          </w:p>
        </w:tc>
        <w:tc>
          <w:tcPr>
            <w:tcW w:w="2157" w:type="dxa"/>
            <w:noWrap w:val="0"/>
            <w:vAlign w:val="center"/>
          </w:tcPr>
          <w:p w14:paraId="5203223B">
            <w:pPr>
              <w:adjustRightInd w:val="0"/>
              <w:snapToGrid w:val="0"/>
              <w:jc w:val="center"/>
              <w:rPr>
                <w:rFonts w:hint="eastAsia" w:ascii="宋体" w:hAnsi="宋体" w:cs="宋体"/>
                <w:color w:val="auto"/>
                <w:sz w:val="24"/>
              </w:rPr>
            </w:pPr>
            <w:r>
              <w:rPr>
                <w:rFonts w:hint="eastAsia" w:ascii="宋体" w:hAnsi="宋体" w:cs="宋体"/>
                <w:color w:val="auto"/>
                <w:sz w:val="24"/>
              </w:rPr>
              <w:t>环境保护措施</w:t>
            </w:r>
          </w:p>
        </w:tc>
        <w:tc>
          <w:tcPr>
            <w:tcW w:w="2564" w:type="dxa"/>
            <w:noWrap w:val="0"/>
            <w:vAlign w:val="center"/>
          </w:tcPr>
          <w:p w14:paraId="4EDC6E37">
            <w:pPr>
              <w:adjustRightInd w:val="0"/>
              <w:snapToGrid w:val="0"/>
              <w:jc w:val="center"/>
              <w:rPr>
                <w:rFonts w:hint="eastAsia" w:ascii="宋体" w:hAnsi="宋体" w:cs="宋体"/>
                <w:color w:val="auto"/>
                <w:sz w:val="24"/>
              </w:rPr>
            </w:pPr>
            <w:r>
              <w:rPr>
                <w:rFonts w:hint="eastAsia" w:ascii="宋体" w:hAnsi="宋体" w:cs="宋体"/>
                <w:color w:val="auto"/>
                <w:sz w:val="24"/>
              </w:rPr>
              <w:t>执行标准</w:t>
            </w:r>
          </w:p>
        </w:tc>
      </w:tr>
      <w:tr w14:paraId="738CA0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6" w:hRule="atLeast"/>
          <w:jc w:val="center"/>
        </w:trPr>
        <w:tc>
          <w:tcPr>
            <w:tcW w:w="1476" w:type="dxa"/>
            <w:vMerge w:val="restart"/>
            <w:noWrap w:val="0"/>
            <w:vAlign w:val="center"/>
          </w:tcPr>
          <w:p w14:paraId="404CE503">
            <w:pPr>
              <w:adjustRightInd w:val="0"/>
              <w:snapToGrid w:val="0"/>
              <w:jc w:val="center"/>
              <w:rPr>
                <w:rFonts w:hint="eastAsia" w:ascii="宋体" w:hAnsi="宋体" w:cs="宋体"/>
                <w:color w:val="auto"/>
                <w:sz w:val="24"/>
              </w:rPr>
            </w:pPr>
            <w:r>
              <w:rPr>
                <w:rFonts w:hint="eastAsia" w:ascii="宋体" w:hAnsi="宋体" w:cs="宋体"/>
                <w:color w:val="auto"/>
                <w:sz w:val="24"/>
              </w:rPr>
              <w:t>大气环境</w:t>
            </w:r>
          </w:p>
        </w:tc>
        <w:tc>
          <w:tcPr>
            <w:tcW w:w="1729" w:type="dxa"/>
            <w:noWrap w:val="0"/>
            <w:vAlign w:val="center"/>
          </w:tcPr>
          <w:p w14:paraId="1751F519">
            <w:pPr>
              <w:adjustRightInd w:val="0"/>
              <w:snapToGrid w:val="0"/>
              <w:jc w:val="center"/>
              <w:rPr>
                <w:rFonts w:ascii="宋体" w:hAnsi="宋体" w:cs="宋体"/>
                <w:color w:val="auto"/>
                <w:sz w:val="24"/>
              </w:rPr>
            </w:pPr>
            <w:r>
              <w:rPr>
                <w:rFonts w:hint="eastAsia" w:ascii="宋体" w:hAnsi="宋体" w:cs="宋体"/>
                <w:color w:val="auto"/>
                <w:sz w:val="24"/>
                <w:lang w:val="en-US" w:eastAsia="zh-CN"/>
              </w:rPr>
              <w:t>焊接、打磨废气排口</w:t>
            </w:r>
            <w:r>
              <w:rPr>
                <w:rFonts w:hint="eastAsia" w:ascii="宋体" w:hAnsi="宋体" w:cs="宋体"/>
                <w:color w:val="auto"/>
                <w:sz w:val="24"/>
              </w:rPr>
              <w:t>（DA001）</w:t>
            </w:r>
          </w:p>
        </w:tc>
        <w:tc>
          <w:tcPr>
            <w:tcW w:w="1515" w:type="dxa"/>
            <w:noWrap w:val="0"/>
            <w:vAlign w:val="center"/>
          </w:tcPr>
          <w:p w14:paraId="32879C0A">
            <w:pPr>
              <w:adjustRightInd w:val="0"/>
              <w:snapToGrid w:val="0"/>
              <w:jc w:val="center"/>
              <w:rPr>
                <w:rFonts w:hint="eastAsia" w:ascii="宋体" w:hAnsi="宋体" w:cs="宋体"/>
                <w:color w:val="auto"/>
                <w:sz w:val="24"/>
              </w:rPr>
            </w:pPr>
            <w:r>
              <w:rPr>
                <w:rFonts w:hint="eastAsia" w:ascii="宋体" w:hAnsi="宋体" w:cs="宋体"/>
                <w:color w:val="auto"/>
                <w:sz w:val="24"/>
              </w:rPr>
              <w:t>颗粒物</w:t>
            </w:r>
          </w:p>
        </w:tc>
        <w:tc>
          <w:tcPr>
            <w:tcW w:w="2157" w:type="dxa"/>
            <w:noWrap w:val="0"/>
            <w:vAlign w:val="center"/>
          </w:tcPr>
          <w:p w14:paraId="20F51AA4">
            <w:pPr>
              <w:adjustRightInd w:val="0"/>
              <w:snapToGrid w:val="0"/>
              <w:jc w:val="center"/>
              <w:rPr>
                <w:rFonts w:ascii="宋体" w:hAnsi="宋体" w:cs="宋体"/>
                <w:color w:val="auto"/>
                <w:sz w:val="24"/>
              </w:rPr>
            </w:pPr>
            <w:r>
              <w:rPr>
                <w:rFonts w:hint="eastAsia" w:ascii="宋体" w:hAnsi="宋体" w:cs="宋体"/>
                <w:color w:val="0000FF"/>
                <w:sz w:val="24"/>
              </w:rPr>
              <w:t>气箱式脉冲袋式除尘器</w:t>
            </w:r>
            <w:r>
              <w:rPr>
                <w:rFonts w:hint="eastAsia" w:ascii="宋体" w:hAnsi="宋体" w:cs="宋体"/>
                <w:color w:val="auto"/>
                <w:sz w:val="24"/>
              </w:rPr>
              <w:t>+15m排气筒</w:t>
            </w:r>
          </w:p>
        </w:tc>
        <w:tc>
          <w:tcPr>
            <w:tcW w:w="2564" w:type="dxa"/>
            <w:vMerge w:val="restart"/>
            <w:noWrap w:val="0"/>
            <w:vAlign w:val="center"/>
          </w:tcPr>
          <w:p w14:paraId="74C01C71">
            <w:pPr>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《大气污染物综合排放标准》（GB16297-1996）表2新污染源大气污染物二级</w:t>
            </w:r>
            <w:r>
              <w:rPr>
                <w:rFonts w:hint="eastAsia" w:ascii="宋体" w:hAnsi="宋体" w:eastAsia="宋体" w:cs="宋体"/>
                <w:color w:val="auto"/>
                <w:sz w:val="24"/>
                <w:lang w:val="en-US" w:eastAsia="zh-CN"/>
              </w:rPr>
              <w:t>排放限值</w:t>
            </w:r>
          </w:p>
        </w:tc>
      </w:tr>
      <w:tr w14:paraId="3F3E3A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476" w:type="dxa"/>
            <w:vMerge w:val="continue"/>
            <w:noWrap w:val="0"/>
            <w:vAlign w:val="center"/>
          </w:tcPr>
          <w:p w14:paraId="3DDF2A6C">
            <w:pPr>
              <w:adjustRightInd w:val="0"/>
              <w:snapToGrid w:val="0"/>
              <w:jc w:val="center"/>
              <w:rPr>
                <w:rFonts w:hint="eastAsia" w:ascii="宋体" w:hAnsi="宋体" w:cs="宋体"/>
                <w:color w:val="auto"/>
                <w:sz w:val="24"/>
              </w:rPr>
            </w:pPr>
          </w:p>
        </w:tc>
        <w:tc>
          <w:tcPr>
            <w:tcW w:w="1729" w:type="dxa"/>
            <w:noWrap w:val="0"/>
            <w:vAlign w:val="center"/>
          </w:tcPr>
          <w:p w14:paraId="0B03ADC0">
            <w:pPr>
              <w:adjustRightInd w:val="0"/>
              <w:snapToGrid w:val="0"/>
              <w:jc w:val="center"/>
              <w:rPr>
                <w:rFonts w:hint="default" w:ascii="宋体" w:hAnsi="宋体" w:cs="宋体"/>
                <w:color w:val="auto"/>
                <w:sz w:val="24"/>
                <w:lang w:val="en-US" w:eastAsia="zh-CN"/>
              </w:rPr>
            </w:pPr>
            <w:r>
              <w:rPr>
                <w:rFonts w:hint="eastAsia" w:ascii="宋体" w:hAnsi="宋体" w:cs="宋体"/>
                <w:color w:val="auto"/>
                <w:sz w:val="24"/>
                <w:lang w:val="en-US" w:eastAsia="zh-CN"/>
              </w:rPr>
              <w:t>抛丸粉尘排口（DA002）</w:t>
            </w:r>
          </w:p>
        </w:tc>
        <w:tc>
          <w:tcPr>
            <w:tcW w:w="1515" w:type="dxa"/>
            <w:noWrap w:val="0"/>
            <w:vAlign w:val="center"/>
          </w:tcPr>
          <w:p w14:paraId="6B3EC2A0">
            <w:pPr>
              <w:adjustRightInd w:val="0"/>
              <w:snapToGrid w:val="0"/>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颗粒物</w:t>
            </w:r>
          </w:p>
        </w:tc>
        <w:tc>
          <w:tcPr>
            <w:tcW w:w="2157" w:type="dxa"/>
            <w:noWrap w:val="0"/>
            <w:vAlign w:val="center"/>
          </w:tcPr>
          <w:p w14:paraId="69B64118">
            <w:pPr>
              <w:adjustRightInd w:val="0"/>
              <w:snapToGrid w:val="0"/>
              <w:jc w:val="center"/>
              <w:rPr>
                <w:rFonts w:hint="eastAsia" w:ascii="宋体" w:hAnsi="宋体" w:cs="宋体"/>
                <w:color w:val="auto"/>
                <w:sz w:val="24"/>
              </w:rPr>
            </w:pPr>
            <w:r>
              <w:rPr>
                <w:rFonts w:hint="eastAsia" w:ascii="宋体" w:hAnsi="宋体" w:cs="宋体"/>
                <w:color w:val="0000FF"/>
                <w:sz w:val="24"/>
              </w:rPr>
              <w:t>气箱式脉冲袋式除尘器</w:t>
            </w:r>
            <w:r>
              <w:rPr>
                <w:rFonts w:hint="eastAsia" w:ascii="宋体" w:hAnsi="宋体" w:cs="宋体"/>
                <w:color w:val="auto"/>
                <w:sz w:val="24"/>
              </w:rPr>
              <w:t>+15m排气筒</w:t>
            </w:r>
          </w:p>
        </w:tc>
        <w:tc>
          <w:tcPr>
            <w:tcW w:w="2564" w:type="dxa"/>
            <w:vMerge w:val="continue"/>
            <w:noWrap w:val="0"/>
            <w:vAlign w:val="center"/>
          </w:tcPr>
          <w:p w14:paraId="0EA6E953">
            <w:pPr>
              <w:adjustRightInd w:val="0"/>
              <w:snapToGrid w:val="0"/>
              <w:jc w:val="center"/>
              <w:rPr>
                <w:rFonts w:hint="eastAsia" w:ascii="宋体" w:hAnsi="宋体" w:eastAsia="宋体" w:cs="宋体"/>
                <w:color w:val="auto"/>
                <w:sz w:val="24"/>
              </w:rPr>
            </w:pPr>
          </w:p>
        </w:tc>
      </w:tr>
      <w:tr w14:paraId="7CA21D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89" w:hRule="atLeast"/>
          <w:jc w:val="center"/>
        </w:trPr>
        <w:tc>
          <w:tcPr>
            <w:tcW w:w="1476" w:type="dxa"/>
            <w:vMerge w:val="continue"/>
            <w:noWrap w:val="0"/>
            <w:vAlign w:val="center"/>
          </w:tcPr>
          <w:p w14:paraId="32A339E6">
            <w:pPr>
              <w:adjustRightInd w:val="0"/>
              <w:snapToGrid w:val="0"/>
              <w:jc w:val="center"/>
              <w:rPr>
                <w:rFonts w:hint="eastAsia" w:ascii="宋体" w:hAnsi="宋体" w:cs="宋体"/>
                <w:color w:val="auto"/>
                <w:sz w:val="24"/>
              </w:rPr>
            </w:pPr>
          </w:p>
        </w:tc>
        <w:tc>
          <w:tcPr>
            <w:tcW w:w="1729" w:type="dxa"/>
            <w:noWrap w:val="0"/>
            <w:vAlign w:val="center"/>
          </w:tcPr>
          <w:p w14:paraId="23A7AC2B">
            <w:pPr>
              <w:adjustRightInd w:val="0"/>
              <w:snapToGrid w:val="0"/>
              <w:jc w:val="center"/>
              <w:rPr>
                <w:rFonts w:hint="eastAsia" w:ascii="宋体" w:hAnsi="宋体" w:cs="宋体"/>
                <w:color w:val="auto"/>
                <w:sz w:val="24"/>
              </w:rPr>
            </w:pPr>
            <w:r>
              <w:rPr>
                <w:rFonts w:hint="eastAsia" w:ascii="宋体" w:hAnsi="宋体" w:cs="宋体"/>
                <w:color w:val="auto"/>
                <w:sz w:val="24"/>
                <w:lang w:val="en-US" w:eastAsia="zh-CN"/>
              </w:rPr>
              <w:t>涂装</w:t>
            </w:r>
            <w:r>
              <w:rPr>
                <w:rFonts w:hint="eastAsia" w:ascii="宋体" w:hAnsi="宋体" w:cs="宋体"/>
                <w:color w:val="auto"/>
                <w:sz w:val="24"/>
              </w:rPr>
              <w:t>废气</w:t>
            </w:r>
            <w:r>
              <w:rPr>
                <w:rFonts w:hint="eastAsia" w:ascii="宋体" w:hAnsi="宋体" w:cs="宋体"/>
                <w:color w:val="auto"/>
                <w:sz w:val="24"/>
                <w:lang w:val="en-US" w:eastAsia="zh-CN"/>
              </w:rPr>
              <w:t>排口</w:t>
            </w:r>
            <w:r>
              <w:rPr>
                <w:rFonts w:hint="eastAsia" w:ascii="宋体" w:hAnsi="宋体" w:cs="宋体"/>
                <w:color w:val="auto"/>
                <w:sz w:val="24"/>
              </w:rPr>
              <w:t>（DA00</w:t>
            </w:r>
            <w:r>
              <w:rPr>
                <w:rFonts w:hint="eastAsia" w:ascii="宋体" w:hAnsi="宋体" w:cs="宋体"/>
                <w:color w:val="auto"/>
                <w:sz w:val="24"/>
                <w:lang w:val="en-US" w:eastAsia="zh-CN"/>
              </w:rPr>
              <w:t>3</w:t>
            </w:r>
            <w:r>
              <w:rPr>
                <w:rFonts w:hint="eastAsia" w:ascii="宋体" w:hAnsi="宋体" w:cs="宋体"/>
                <w:color w:val="auto"/>
                <w:sz w:val="24"/>
              </w:rPr>
              <w:t>）</w:t>
            </w:r>
          </w:p>
        </w:tc>
        <w:tc>
          <w:tcPr>
            <w:tcW w:w="1515" w:type="dxa"/>
            <w:noWrap w:val="0"/>
            <w:vAlign w:val="center"/>
          </w:tcPr>
          <w:p w14:paraId="1F5F0EDA">
            <w:pPr>
              <w:adjustRightInd w:val="0"/>
              <w:snapToGrid w:val="0"/>
              <w:jc w:val="center"/>
              <w:rPr>
                <w:rFonts w:hint="default" w:ascii="宋体" w:hAnsi="宋体" w:eastAsia="宋体" w:cs="宋体"/>
                <w:color w:val="auto"/>
                <w:sz w:val="24"/>
                <w:lang w:val="en-US" w:eastAsia="zh-CN"/>
              </w:rPr>
            </w:pPr>
            <w:r>
              <w:rPr>
                <w:rFonts w:hint="eastAsia" w:ascii="宋体" w:hAnsi="宋体" w:cs="宋体"/>
                <w:color w:val="auto"/>
                <w:spacing w:val="-6"/>
                <w:sz w:val="24"/>
              </w:rPr>
              <w:t>颗粒物、非甲烷总烃</w:t>
            </w:r>
            <w:r>
              <w:rPr>
                <w:rFonts w:hint="eastAsia" w:ascii="宋体" w:hAnsi="宋体" w:cs="宋体"/>
                <w:color w:val="auto"/>
                <w:spacing w:val="-6"/>
                <w:sz w:val="24"/>
                <w:lang w:eastAsia="zh-CN"/>
              </w:rPr>
              <w:t>、</w:t>
            </w:r>
            <w:r>
              <w:rPr>
                <w:rFonts w:hint="eastAsia" w:ascii="宋体" w:hAnsi="宋体" w:cs="宋体"/>
                <w:color w:val="auto"/>
                <w:spacing w:val="-6"/>
                <w:sz w:val="24"/>
                <w:lang w:val="en-US" w:eastAsia="zh-CN"/>
              </w:rPr>
              <w:t>甲苯、二甲苯</w:t>
            </w:r>
          </w:p>
        </w:tc>
        <w:tc>
          <w:tcPr>
            <w:tcW w:w="2157" w:type="dxa"/>
            <w:noWrap w:val="0"/>
            <w:vAlign w:val="center"/>
          </w:tcPr>
          <w:p w14:paraId="6CD26173">
            <w:pPr>
              <w:adjustRightInd w:val="0"/>
              <w:snapToGrid w:val="0"/>
              <w:jc w:val="center"/>
              <w:rPr>
                <w:rFonts w:hint="eastAsia" w:ascii="宋体" w:hAnsi="宋体" w:cs="宋体"/>
                <w:color w:val="auto"/>
                <w:sz w:val="24"/>
              </w:rPr>
            </w:pPr>
            <w:r>
              <w:rPr>
                <w:rFonts w:hint="eastAsia" w:ascii="宋体" w:hAnsi="宋体" w:cs="宋体"/>
                <w:color w:val="auto"/>
                <w:sz w:val="24"/>
              </w:rPr>
              <w:t>干式漆雾过滤模组+活性炭吸附-脱附+催化燃烧装置+</w:t>
            </w:r>
            <w:r>
              <w:rPr>
                <w:rFonts w:hint="eastAsia" w:ascii="宋体" w:hAnsi="宋体" w:cs="宋体"/>
                <w:color w:val="auto"/>
                <w:sz w:val="24"/>
                <w:lang w:val="en-US" w:eastAsia="zh-CN"/>
              </w:rPr>
              <w:t>20</w:t>
            </w:r>
            <w:r>
              <w:rPr>
                <w:rFonts w:hint="eastAsia" w:ascii="宋体" w:hAnsi="宋体" w:cs="宋体"/>
                <w:color w:val="auto"/>
                <w:sz w:val="24"/>
              </w:rPr>
              <w:t>m排气筒</w:t>
            </w:r>
          </w:p>
        </w:tc>
        <w:tc>
          <w:tcPr>
            <w:tcW w:w="2564" w:type="dxa"/>
            <w:vMerge w:val="continue"/>
            <w:noWrap w:val="0"/>
            <w:vAlign w:val="center"/>
          </w:tcPr>
          <w:p w14:paraId="1CD0DD84">
            <w:pPr>
              <w:adjustRightInd w:val="0"/>
              <w:snapToGrid w:val="0"/>
              <w:jc w:val="center"/>
              <w:rPr>
                <w:rFonts w:hint="eastAsia" w:ascii="宋体" w:hAnsi="宋体" w:eastAsia="宋体" w:cs="宋体"/>
                <w:color w:val="auto"/>
                <w:sz w:val="24"/>
              </w:rPr>
            </w:pPr>
          </w:p>
        </w:tc>
      </w:tr>
      <w:tr w14:paraId="6CC372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89" w:hRule="atLeast"/>
          <w:jc w:val="center"/>
        </w:trPr>
        <w:tc>
          <w:tcPr>
            <w:tcW w:w="1476" w:type="dxa"/>
            <w:vMerge w:val="continue"/>
            <w:noWrap w:val="0"/>
            <w:vAlign w:val="center"/>
          </w:tcPr>
          <w:p w14:paraId="05D3B521">
            <w:pPr>
              <w:adjustRightInd w:val="0"/>
              <w:snapToGrid w:val="0"/>
              <w:jc w:val="center"/>
              <w:rPr>
                <w:rFonts w:hint="eastAsia" w:ascii="宋体" w:hAnsi="宋体" w:cs="宋体"/>
                <w:color w:val="auto"/>
                <w:sz w:val="24"/>
              </w:rPr>
            </w:pPr>
          </w:p>
        </w:tc>
        <w:tc>
          <w:tcPr>
            <w:tcW w:w="1729" w:type="dxa"/>
            <w:noWrap w:val="0"/>
            <w:vAlign w:val="center"/>
          </w:tcPr>
          <w:p w14:paraId="4B148D1D">
            <w:pPr>
              <w:adjustRightInd w:val="0"/>
              <w:snapToGrid w:val="0"/>
              <w:jc w:val="center"/>
              <w:rPr>
                <w:rFonts w:hint="eastAsia" w:ascii="宋体" w:hAnsi="宋体" w:cs="宋体"/>
                <w:color w:val="auto"/>
                <w:sz w:val="24"/>
                <w:lang w:val="en-US" w:eastAsia="zh-CN"/>
              </w:rPr>
            </w:pPr>
            <w:r>
              <w:rPr>
                <w:rFonts w:hint="eastAsia" w:ascii="宋体" w:hAnsi="宋体" w:cs="宋体"/>
                <w:color w:val="auto"/>
                <w:sz w:val="24"/>
                <w:lang w:val="en-US" w:eastAsia="zh-CN"/>
              </w:rPr>
              <w:t>切割粉尘</w:t>
            </w:r>
          </w:p>
          <w:p w14:paraId="2479D990">
            <w:pPr>
              <w:adjustRightInd w:val="0"/>
              <w:snapToGrid w:val="0"/>
              <w:jc w:val="center"/>
              <w:rPr>
                <w:rFonts w:ascii="宋体" w:hAnsi="宋体" w:cs="宋体"/>
                <w:color w:val="auto"/>
                <w:sz w:val="24"/>
              </w:rPr>
            </w:pPr>
            <w:r>
              <w:rPr>
                <w:rFonts w:hint="eastAsia" w:ascii="宋体" w:hAnsi="宋体" w:cs="宋体"/>
                <w:color w:val="auto"/>
                <w:sz w:val="24"/>
              </w:rPr>
              <w:t>（无组织）</w:t>
            </w:r>
          </w:p>
        </w:tc>
        <w:tc>
          <w:tcPr>
            <w:tcW w:w="1515" w:type="dxa"/>
            <w:noWrap w:val="0"/>
            <w:vAlign w:val="center"/>
          </w:tcPr>
          <w:p w14:paraId="16429887">
            <w:pPr>
              <w:adjustRightInd w:val="0"/>
              <w:snapToGrid w:val="0"/>
              <w:jc w:val="center"/>
              <w:rPr>
                <w:rFonts w:ascii="宋体" w:hAnsi="宋体" w:cs="宋体"/>
                <w:color w:val="auto"/>
                <w:sz w:val="24"/>
              </w:rPr>
            </w:pPr>
            <w:r>
              <w:rPr>
                <w:rFonts w:hint="eastAsia" w:ascii="宋体" w:hAnsi="宋体" w:cs="宋体"/>
                <w:color w:val="auto"/>
                <w:sz w:val="24"/>
              </w:rPr>
              <w:t>颗粒物</w:t>
            </w:r>
          </w:p>
        </w:tc>
        <w:tc>
          <w:tcPr>
            <w:tcW w:w="2157" w:type="dxa"/>
            <w:noWrap w:val="0"/>
            <w:vAlign w:val="center"/>
          </w:tcPr>
          <w:p w14:paraId="07402092">
            <w:pPr>
              <w:adjustRightInd w:val="0"/>
              <w:snapToGrid w:val="0"/>
              <w:jc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激光切割机自带袋式除尘器，火焰切割机设移动式烟尘净化器。</w:t>
            </w:r>
          </w:p>
        </w:tc>
        <w:tc>
          <w:tcPr>
            <w:tcW w:w="2564" w:type="dxa"/>
            <w:vMerge w:val="restart"/>
            <w:noWrap w:val="0"/>
            <w:vAlign w:val="center"/>
          </w:tcPr>
          <w:p w14:paraId="760222A2">
            <w:pPr>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《大气污染物综合排放标准》（GB16297-1996）</w:t>
            </w:r>
            <w:r>
              <w:rPr>
                <w:rFonts w:hint="eastAsia" w:ascii="宋体" w:hAnsi="宋体" w:eastAsia="宋体" w:cs="宋体"/>
                <w:color w:val="auto"/>
                <w:sz w:val="24"/>
                <w:lang w:val="en-US" w:eastAsia="zh-CN"/>
              </w:rPr>
              <w:t>表2无组织排放监控浓度限值</w:t>
            </w:r>
          </w:p>
        </w:tc>
      </w:tr>
      <w:tr w14:paraId="7C501D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6" w:hRule="atLeast"/>
          <w:jc w:val="center"/>
        </w:trPr>
        <w:tc>
          <w:tcPr>
            <w:tcW w:w="1476" w:type="dxa"/>
            <w:vMerge w:val="continue"/>
            <w:noWrap w:val="0"/>
            <w:vAlign w:val="center"/>
          </w:tcPr>
          <w:p w14:paraId="3F5C3BD9">
            <w:pPr>
              <w:adjustRightInd w:val="0"/>
              <w:snapToGrid w:val="0"/>
              <w:jc w:val="center"/>
              <w:rPr>
                <w:rFonts w:hint="eastAsia" w:ascii="宋体" w:hAnsi="宋体" w:cs="宋体"/>
                <w:color w:val="auto"/>
                <w:sz w:val="24"/>
              </w:rPr>
            </w:pPr>
          </w:p>
        </w:tc>
        <w:tc>
          <w:tcPr>
            <w:tcW w:w="1729" w:type="dxa"/>
            <w:noWrap w:val="0"/>
            <w:vAlign w:val="center"/>
          </w:tcPr>
          <w:p w14:paraId="61909BBE">
            <w:pPr>
              <w:adjustRightInd w:val="0"/>
              <w:snapToGrid w:val="0"/>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厂界无组织</w:t>
            </w:r>
          </w:p>
        </w:tc>
        <w:tc>
          <w:tcPr>
            <w:tcW w:w="1515" w:type="dxa"/>
            <w:noWrap w:val="0"/>
            <w:vAlign w:val="center"/>
          </w:tcPr>
          <w:p w14:paraId="04823330">
            <w:pPr>
              <w:adjustRightInd w:val="0"/>
              <w:snapToGrid w:val="0"/>
              <w:jc w:val="center"/>
              <w:rPr>
                <w:rFonts w:hint="eastAsia" w:ascii="宋体" w:hAnsi="宋体" w:cs="宋体"/>
                <w:color w:val="auto"/>
                <w:sz w:val="24"/>
              </w:rPr>
            </w:pPr>
            <w:r>
              <w:rPr>
                <w:rFonts w:hint="eastAsia" w:ascii="宋体" w:hAnsi="宋体" w:cs="宋体"/>
                <w:color w:val="auto"/>
                <w:spacing w:val="-6"/>
                <w:sz w:val="24"/>
              </w:rPr>
              <w:t>颗粒物、非甲烷总烃</w:t>
            </w:r>
            <w:r>
              <w:rPr>
                <w:rFonts w:hint="eastAsia" w:ascii="宋体" w:hAnsi="宋体" w:cs="宋体"/>
                <w:color w:val="auto"/>
                <w:spacing w:val="-6"/>
                <w:sz w:val="24"/>
                <w:lang w:eastAsia="zh-CN"/>
              </w:rPr>
              <w:t>、</w:t>
            </w:r>
            <w:r>
              <w:rPr>
                <w:rFonts w:hint="eastAsia" w:ascii="宋体" w:hAnsi="宋体" w:cs="宋体"/>
                <w:color w:val="auto"/>
                <w:spacing w:val="-6"/>
                <w:sz w:val="24"/>
                <w:lang w:val="en-US" w:eastAsia="zh-CN"/>
              </w:rPr>
              <w:t>甲苯、二甲苯</w:t>
            </w:r>
          </w:p>
        </w:tc>
        <w:tc>
          <w:tcPr>
            <w:tcW w:w="2157" w:type="dxa"/>
            <w:noWrap w:val="0"/>
            <w:vAlign w:val="center"/>
          </w:tcPr>
          <w:p w14:paraId="7E75E714">
            <w:pPr>
              <w:adjustRightInd w:val="0"/>
              <w:snapToGrid w:val="0"/>
              <w:jc w:val="center"/>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封闭式厂房，加强生产管理。</w:t>
            </w:r>
          </w:p>
        </w:tc>
        <w:tc>
          <w:tcPr>
            <w:tcW w:w="2564" w:type="dxa"/>
            <w:vMerge w:val="continue"/>
            <w:noWrap w:val="0"/>
            <w:vAlign w:val="center"/>
          </w:tcPr>
          <w:p w14:paraId="38F89C01">
            <w:pPr>
              <w:adjustRightInd w:val="0"/>
              <w:snapToGrid w:val="0"/>
              <w:jc w:val="center"/>
              <w:rPr>
                <w:rFonts w:hint="eastAsia" w:ascii="宋体" w:hAnsi="宋体" w:eastAsia="宋体" w:cs="宋体"/>
                <w:color w:val="auto"/>
                <w:sz w:val="24"/>
              </w:rPr>
            </w:pPr>
          </w:p>
        </w:tc>
      </w:tr>
      <w:tr w14:paraId="3FAA91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72" w:hRule="atLeast"/>
          <w:jc w:val="center"/>
        </w:trPr>
        <w:tc>
          <w:tcPr>
            <w:tcW w:w="1476" w:type="dxa"/>
            <w:vMerge w:val="continue"/>
            <w:noWrap w:val="0"/>
            <w:vAlign w:val="center"/>
          </w:tcPr>
          <w:p w14:paraId="0D21262B">
            <w:pPr>
              <w:adjustRightInd w:val="0"/>
              <w:snapToGrid w:val="0"/>
              <w:jc w:val="center"/>
              <w:rPr>
                <w:rFonts w:hint="eastAsia" w:ascii="宋体" w:hAnsi="宋体" w:cs="宋体"/>
                <w:color w:val="auto"/>
                <w:sz w:val="24"/>
              </w:rPr>
            </w:pPr>
          </w:p>
        </w:tc>
        <w:tc>
          <w:tcPr>
            <w:tcW w:w="1729" w:type="dxa"/>
            <w:noWrap w:val="0"/>
            <w:vAlign w:val="center"/>
          </w:tcPr>
          <w:p w14:paraId="4D5A0E17">
            <w:pPr>
              <w:adjustRightInd w:val="0"/>
              <w:snapToGrid w:val="0"/>
              <w:jc w:val="center"/>
              <w:rPr>
                <w:rFonts w:ascii="宋体" w:hAnsi="宋体" w:cs="宋体"/>
                <w:color w:val="auto"/>
                <w:sz w:val="24"/>
              </w:rPr>
            </w:pPr>
            <w:r>
              <w:rPr>
                <w:rFonts w:hint="eastAsia" w:ascii="宋体" w:hAnsi="宋体" w:cs="宋体"/>
                <w:color w:val="auto"/>
                <w:sz w:val="24"/>
                <w:lang w:val="en-US" w:eastAsia="zh-CN"/>
              </w:rPr>
              <w:t>厂区内</w:t>
            </w:r>
            <w:r>
              <w:rPr>
                <w:rFonts w:hint="eastAsia" w:ascii="宋体" w:hAnsi="宋体" w:cs="宋体"/>
                <w:color w:val="auto"/>
                <w:sz w:val="24"/>
              </w:rPr>
              <w:t>无组织</w:t>
            </w:r>
          </w:p>
        </w:tc>
        <w:tc>
          <w:tcPr>
            <w:tcW w:w="1515" w:type="dxa"/>
            <w:noWrap w:val="0"/>
            <w:vAlign w:val="center"/>
          </w:tcPr>
          <w:p w14:paraId="2ADA5533">
            <w:pPr>
              <w:adjustRightInd w:val="0"/>
              <w:snapToGrid w:val="0"/>
              <w:jc w:val="center"/>
              <w:rPr>
                <w:rFonts w:ascii="宋体" w:hAnsi="宋体" w:cs="宋体"/>
                <w:color w:val="auto"/>
                <w:sz w:val="24"/>
              </w:rPr>
            </w:pPr>
            <w:r>
              <w:rPr>
                <w:rFonts w:hint="eastAsia" w:ascii="宋体" w:hAnsi="宋体" w:cs="宋体"/>
                <w:color w:val="auto"/>
                <w:sz w:val="24"/>
              </w:rPr>
              <w:t>非甲烷总烃</w:t>
            </w:r>
          </w:p>
        </w:tc>
        <w:tc>
          <w:tcPr>
            <w:tcW w:w="2157" w:type="dxa"/>
            <w:noWrap w:val="0"/>
            <w:vAlign w:val="center"/>
          </w:tcPr>
          <w:p w14:paraId="5EE6C736">
            <w:pPr>
              <w:adjustRightInd w:val="0"/>
              <w:snapToGrid w:val="0"/>
              <w:jc w:val="center"/>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封闭式喷漆房，加强生产管理。</w:t>
            </w:r>
          </w:p>
        </w:tc>
        <w:tc>
          <w:tcPr>
            <w:tcW w:w="2564" w:type="dxa"/>
            <w:noWrap w:val="0"/>
            <w:vAlign w:val="center"/>
          </w:tcPr>
          <w:p w14:paraId="4F1D65CD">
            <w:pPr>
              <w:adjustRightInd w:val="0"/>
              <w:snapToGrid w:val="0"/>
              <w:jc w:val="center"/>
              <w:rPr>
                <w:rFonts w:hint="default" w:ascii="宋体" w:hAnsi="宋体" w:eastAsia="宋体" w:cs="宋体"/>
                <w:color w:val="auto"/>
                <w:sz w:val="24"/>
                <w:lang w:val="en-US"/>
              </w:rPr>
            </w:pPr>
            <w:r>
              <w:rPr>
                <w:rFonts w:hint="eastAsia" w:ascii="宋体" w:hAnsi="宋体" w:eastAsia="宋体" w:cs="宋体"/>
                <w:color w:val="auto"/>
                <w:sz w:val="24"/>
                <w:lang w:val="en-US" w:eastAsia="zh-CN"/>
              </w:rPr>
              <w:t>《挥发性有机物无组织排放控制标准》（GB37822-2019）附录A表A.1厂区内VOC</w:t>
            </w:r>
            <w:r>
              <w:rPr>
                <w:rFonts w:hint="eastAsia" w:ascii="宋体" w:hAnsi="宋体" w:eastAsia="宋体" w:cs="宋体"/>
                <w:color w:val="auto"/>
                <w:sz w:val="24"/>
                <w:vertAlign w:val="subscript"/>
                <w:lang w:val="en-US" w:eastAsia="zh-CN"/>
              </w:rPr>
              <w:t>S</w:t>
            </w:r>
            <w:r>
              <w:rPr>
                <w:rFonts w:hint="eastAsia" w:ascii="宋体" w:hAnsi="宋体" w:eastAsia="宋体" w:cs="宋体"/>
                <w:color w:val="auto"/>
                <w:sz w:val="24"/>
                <w:lang w:val="en-US" w:eastAsia="zh-CN"/>
              </w:rPr>
              <w:t>无组织</w:t>
            </w:r>
            <w:r>
              <w:rPr>
                <w:rFonts w:hint="eastAsia" w:ascii="宋体" w:hAnsi="宋体" w:cs="宋体"/>
                <w:color w:val="auto"/>
                <w:sz w:val="24"/>
                <w:lang w:val="en-US" w:eastAsia="zh-CN"/>
              </w:rPr>
              <w:t>特别</w:t>
            </w:r>
            <w:r>
              <w:rPr>
                <w:rFonts w:hint="eastAsia" w:ascii="宋体" w:hAnsi="宋体" w:eastAsia="宋体" w:cs="宋体"/>
                <w:color w:val="auto"/>
                <w:sz w:val="24"/>
                <w:lang w:val="en-US" w:eastAsia="zh-CN"/>
              </w:rPr>
              <w:t>排放限值</w:t>
            </w:r>
          </w:p>
        </w:tc>
      </w:tr>
      <w:tr w14:paraId="30673E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96" w:hRule="atLeast"/>
          <w:jc w:val="center"/>
        </w:trPr>
        <w:tc>
          <w:tcPr>
            <w:tcW w:w="1476" w:type="dxa"/>
            <w:noWrap w:val="0"/>
            <w:vAlign w:val="center"/>
          </w:tcPr>
          <w:p w14:paraId="657C12FC">
            <w:pPr>
              <w:adjustRightInd w:val="0"/>
              <w:snapToGrid w:val="0"/>
              <w:jc w:val="center"/>
              <w:rPr>
                <w:rFonts w:hint="eastAsia" w:ascii="宋体" w:hAnsi="宋体" w:cs="宋体"/>
                <w:color w:val="auto"/>
                <w:sz w:val="24"/>
              </w:rPr>
            </w:pPr>
            <w:r>
              <w:rPr>
                <w:rFonts w:hint="eastAsia" w:ascii="宋体" w:hAnsi="宋体" w:cs="宋体"/>
                <w:color w:val="auto"/>
                <w:sz w:val="24"/>
                <w:lang w:val="en-US" w:eastAsia="zh-CN"/>
              </w:rPr>
              <w:t>地表</w:t>
            </w:r>
            <w:r>
              <w:rPr>
                <w:rFonts w:hint="eastAsia" w:ascii="宋体" w:hAnsi="宋体" w:cs="宋体"/>
                <w:color w:val="auto"/>
                <w:sz w:val="24"/>
              </w:rPr>
              <w:t>水环境</w:t>
            </w:r>
          </w:p>
        </w:tc>
        <w:tc>
          <w:tcPr>
            <w:tcW w:w="1729" w:type="dxa"/>
            <w:noWrap w:val="0"/>
            <w:vAlign w:val="center"/>
          </w:tcPr>
          <w:p w14:paraId="1546DB66">
            <w:pPr>
              <w:adjustRightInd w:val="0"/>
              <w:snapToGrid w:val="0"/>
              <w:jc w:val="center"/>
              <w:rPr>
                <w:rFonts w:ascii="宋体" w:hAnsi="宋体" w:cs="宋体"/>
                <w:color w:val="auto"/>
                <w:sz w:val="24"/>
              </w:rPr>
            </w:pPr>
            <w:r>
              <w:rPr>
                <w:rFonts w:hint="eastAsia" w:ascii="宋体" w:hAnsi="宋体" w:cs="宋体"/>
                <w:color w:val="auto"/>
                <w:sz w:val="24"/>
              </w:rPr>
              <w:t>生活污水</w:t>
            </w:r>
          </w:p>
        </w:tc>
        <w:tc>
          <w:tcPr>
            <w:tcW w:w="1515" w:type="dxa"/>
            <w:noWrap w:val="0"/>
            <w:vAlign w:val="center"/>
          </w:tcPr>
          <w:p w14:paraId="5FDDDB2D">
            <w:pPr>
              <w:adjustRightInd w:val="0"/>
              <w:snapToGrid w:val="0"/>
              <w:jc w:val="center"/>
              <w:rPr>
                <w:rFonts w:hint="eastAsia" w:ascii="宋体" w:hAnsi="宋体" w:cs="宋体"/>
                <w:color w:val="auto"/>
                <w:sz w:val="24"/>
              </w:rPr>
            </w:pPr>
            <w:r>
              <w:rPr>
                <w:rFonts w:hint="eastAsia" w:ascii="宋体" w:hAnsi="宋体" w:cs="宋体"/>
                <w:color w:val="auto"/>
                <w:sz w:val="24"/>
              </w:rPr>
              <w:t>pH、COD、SS、</w:t>
            </w:r>
            <w:r>
              <w:rPr>
                <w:rFonts w:hint="eastAsia" w:ascii="宋体" w:hAnsi="宋体" w:cs="宋体"/>
                <w:color w:val="auto"/>
                <w:sz w:val="24"/>
                <w:lang w:val="en-US" w:eastAsia="zh-CN"/>
              </w:rPr>
              <w:t>BOD</w:t>
            </w:r>
            <w:r>
              <w:rPr>
                <w:rFonts w:hint="eastAsia" w:ascii="宋体" w:hAnsi="宋体" w:cs="宋体"/>
                <w:color w:val="auto"/>
                <w:sz w:val="24"/>
                <w:vertAlign w:val="subscript"/>
                <w:lang w:val="en-US" w:eastAsia="zh-CN"/>
              </w:rPr>
              <w:t>5</w:t>
            </w:r>
            <w:r>
              <w:rPr>
                <w:rFonts w:hint="eastAsia" w:ascii="宋体" w:hAnsi="宋体" w:cs="宋体"/>
                <w:color w:val="auto"/>
                <w:sz w:val="24"/>
                <w:lang w:val="en-US" w:eastAsia="zh-CN"/>
              </w:rPr>
              <w:t>、</w:t>
            </w:r>
            <w:r>
              <w:rPr>
                <w:rFonts w:hint="eastAsia" w:ascii="宋体" w:hAnsi="宋体" w:cs="宋体"/>
                <w:color w:val="auto"/>
                <w:sz w:val="24"/>
              </w:rPr>
              <w:t>氨氮</w:t>
            </w:r>
          </w:p>
        </w:tc>
        <w:tc>
          <w:tcPr>
            <w:tcW w:w="2157" w:type="dxa"/>
            <w:noWrap w:val="0"/>
            <w:vAlign w:val="center"/>
          </w:tcPr>
          <w:p w14:paraId="65185A64">
            <w:pPr>
              <w:adjustRightInd w:val="0"/>
              <w:snapToGrid w:val="0"/>
              <w:jc w:val="center"/>
              <w:rPr>
                <w:rFonts w:hint="eastAsia" w:ascii="宋体" w:hAnsi="宋体" w:eastAsia="宋体" w:cs="宋体"/>
                <w:color w:val="auto"/>
                <w:sz w:val="24"/>
                <w:lang w:val="en-US" w:eastAsia="zh-CN"/>
              </w:rPr>
            </w:pPr>
            <w:r>
              <w:rPr>
                <w:rFonts w:hint="default" w:ascii="宋体" w:hAnsi="宋体" w:eastAsia="宋体" w:cs="宋体"/>
                <w:color w:val="auto"/>
                <w:sz w:val="24"/>
                <w:lang w:val="en-US" w:eastAsia="zh-CN"/>
              </w:rPr>
              <w:t>排入园区污水管网，最终进入园区污水处理厂处理。</w:t>
            </w:r>
          </w:p>
        </w:tc>
        <w:tc>
          <w:tcPr>
            <w:tcW w:w="2564" w:type="dxa"/>
            <w:noWrap w:val="0"/>
            <w:vAlign w:val="center"/>
          </w:tcPr>
          <w:p w14:paraId="04E3A610">
            <w:pPr>
              <w:adjustRightInd w:val="0"/>
              <w:snapToGrid w:val="0"/>
              <w:jc w:val="center"/>
              <w:rPr>
                <w:rFonts w:hint="default" w:ascii="宋体" w:hAnsi="宋体" w:eastAsia="宋体" w:cs="宋体"/>
                <w:color w:val="auto"/>
                <w:sz w:val="24"/>
                <w:lang w:val="en-US" w:eastAsia="zh-CN"/>
              </w:rPr>
            </w:pPr>
            <w:r>
              <w:rPr>
                <w:rFonts w:hint="eastAsia" w:ascii="宋体" w:hAnsi="宋体" w:cs="宋体"/>
                <w:color w:val="auto"/>
                <w:sz w:val="24"/>
              </w:rPr>
              <w:t>《污水综合排放标准》（GB8978-1996）表4</w:t>
            </w:r>
            <w:r>
              <w:rPr>
                <w:rFonts w:hint="eastAsia" w:ascii="宋体" w:hAnsi="宋体" w:cs="宋体"/>
                <w:color w:val="auto"/>
                <w:sz w:val="24"/>
                <w:lang w:val="en-US" w:eastAsia="zh-CN"/>
              </w:rPr>
              <w:t>中</w:t>
            </w:r>
            <w:r>
              <w:rPr>
                <w:rFonts w:hint="eastAsia" w:ascii="宋体" w:hAnsi="宋体" w:cs="宋体"/>
                <w:color w:val="auto"/>
                <w:sz w:val="24"/>
              </w:rPr>
              <w:t>三级</w:t>
            </w:r>
            <w:r>
              <w:rPr>
                <w:rFonts w:hint="eastAsia" w:ascii="宋体" w:hAnsi="宋体" w:cs="宋体"/>
                <w:color w:val="auto"/>
                <w:sz w:val="24"/>
                <w:lang w:val="en-US" w:eastAsia="zh-CN"/>
              </w:rPr>
              <w:t>标准；其中氨氮执行《污水排入城镇下水道水质标准》</w:t>
            </w:r>
            <w:r>
              <w:rPr>
                <w:rFonts w:hint="eastAsia"/>
                <w:color w:val="auto"/>
                <w:sz w:val="24"/>
                <w:lang w:val="en-US" w:eastAsia="zh-CN"/>
              </w:rPr>
              <w:t>（GB/T31962-2015）表1中B级标准</w:t>
            </w:r>
          </w:p>
        </w:tc>
      </w:tr>
      <w:tr w14:paraId="1FC46D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6" w:hRule="atLeast"/>
          <w:jc w:val="center"/>
        </w:trPr>
        <w:tc>
          <w:tcPr>
            <w:tcW w:w="1476" w:type="dxa"/>
            <w:noWrap w:val="0"/>
            <w:vAlign w:val="center"/>
          </w:tcPr>
          <w:p w14:paraId="5FB047A4">
            <w:pPr>
              <w:adjustRightInd w:val="0"/>
              <w:snapToGrid w:val="0"/>
              <w:jc w:val="center"/>
              <w:rPr>
                <w:rFonts w:hint="eastAsia" w:ascii="宋体" w:hAnsi="宋体" w:cs="宋体"/>
                <w:color w:val="auto"/>
                <w:sz w:val="24"/>
              </w:rPr>
            </w:pPr>
            <w:r>
              <w:rPr>
                <w:rFonts w:hint="eastAsia" w:ascii="宋体" w:hAnsi="宋体" w:cs="宋体"/>
                <w:color w:val="auto"/>
                <w:sz w:val="24"/>
              </w:rPr>
              <w:t>声环境</w:t>
            </w:r>
          </w:p>
        </w:tc>
        <w:tc>
          <w:tcPr>
            <w:tcW w:w="1729" w:type="dxa"/>
            <w:noWrap w:val="0"/>
            <w:vAlign w:val="center"/>
          </w:tcPr>
          <w:p w14:paraId="5ED4AC4C">
            <w:pPr>
              <w:adjustRightInd w:val="0"/>
              <w:snapToGrid w:val="0"/>
              <w:jc w:val="center"/>
              <w:rPr>
                <w:rFonts w:hint="eastAsia" w:ascii="宋体" w:hAnsi="宋体" w:cs="宋体"/>
                <w:color w:val="auto"/>
                <w:sz w:val="24"/>
              </w:rPr>
            </w:pPr>
            <w:r>
              <w:rPr>
                <w:rFonts w:hint="eastAsia" w:ascii="宋体" w:hAnsi="宋体" w:cs="宋体"/>
                <w:color w:val="auto"/>
                <w:sz w:val="24"/>
              </w:rPr>
              <w:t>设备噪声</w:t>
            </w:r>
          </w:p>
        </w:tc>
        <w:tc>
          <w:tcPr>
            <w:tcW w:w="1515" w:type="dxa"/>
            <w:noWrap w:val="0"/>
            <w:vAlign w:val="center"/>
          </w:tcPr>
          <w:p w14:paraId="775DD42E">
            <w:pPr>
              <w:adjustRightInd w:val="0"/>
              <w:snapToGrid w:val="0"/>
              <w:jc w:val="center"/>
              <w:rPr>
                <w:rFonts w:hint="eastAsia" w:ascii="宋体" w:hAnsi="宋体" w:cs="宋体"/>
                <w:color w:val="auto"/>
                <w:sz w:val="24"/>
              </w:rPr>
            </w:pPr>
            <w:r>
              <w:rPr>
                <w:rFonts w:hint="eastAsia" w:ascii="宋体" w:hAnsi="宋体" w:cs="宋体"/>
                <w:color w:val="auto"/>
                <w:sz w:val="24"/>
              </w:rPr>
              <w:t>等效连续A声级</w:t>
            </w:r>
          </w:p>
        </w:tc>
        <w:tc>
          <w:tcPr>
            <w:tcW w:w="2157" w:type="dxa"/>
            <w:noWrap w:val="0"/>
            <w:vAlign w:val="center"/>
          </w:tcPr>
          <w:p w14:paraId="4B58C741">
            <w:pPr>
              <w:adjustRightInd w:val="0"/>
              <w:snapToGrid w:val="0"/>
              <w:jc w:val="center"/>
              <w:rPr>
                <w:rFonts w:hint="eastAsia" w:ascii="宋体" w:hAnsi="宋体" w:cs="宋体"/>
                <w:color w:val="auto"/>
                <w:sz w:val="24"/>
              </w:rPr>
            </w:pPr>
            <w:r>
              <w:rPr>
                <w:rFonts w:hint="eastAsia" w:ascii="宋体" w:hAnsi="宋体" w:cs="宋体"/>
                <w:color w:val="auto"/>
                <w:sz w:val="24"/>
              </w:rPr>
              <w:t>选用低噪声设备、基础减振、隔声</w:t>
            </w:r>
          </w:p>
        </w:tc>
        <w:tc>
          <w:tcPr>
            <w:tcW w:w="2564" w:type="dxa"/>
            <w:noWrap w:val="0"/>
            <w:vAlign w:val="center"/>
          </w:tcPr>
          <w:p w14:paraId="13827921">
            <w:pPr>
              <w:adjustRightInd w:val="0"/>
              <w:snapToGrid w:val="0"/>
              <w:jc w:val="center"/>
              <w:rPr>
                <w:rFonts w:hint="eastAsia" w:ascii="宋体" w:hAnsi="宋体" w:cs="宋体"/>
                <w:color w:val="auto"/>
                <w:sz w:val="24"/>
              </w:rPr>
            </w:pPr>
            <w:r>
              <w:rPr>
                <w:rFonts w:hint="eastAsia" w:ascii="宋体" w:hAnsi="宋体" w:cs="宋体"/>
                <w:color w:val="auto"/>
                <w:sz w:val="24"/>
              </w:rPr>
              <w:t>《工业企业厂界环境噪声排放标准》（GB 12348-2008）3类标准</w:t>
            </w:r>
          </w:p>
        </w:tc>
      </w:tr>
      <w:tr w14:paraId="3CA33E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476" w:type="dxa"/>
            <w:noWrap w:val="0"/>
            <w:vAlign w:val="center"/>
          </w:tcPr>
          <w:p w14:paraId="61DA58EF">
            <w:pPr>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电磁辐射</w:t>
            </w:r>
          </w:p>
        </w:tc>
        <w:tc>
          <w:tcPr>
            <w:tcW w:w="7965" w:type="dxa"/>
            <w:gridSpan w:val="4"/>
            <w:noWrap w:val="0"/>
            <w:vAlign w:val="center"/>
          </w:tcPr>
          <w:p w14:paraId="49A14BA9">
            <w:pPr>
              <w:adjustRightInd w:val="0"/>
              <w:snapToGrid w:val="0"/>
              <w:jc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无</w:t>
            </w:r>
          </w:p>
        </w:tc>
      </w:tr>
      <w:tr w14:paraId="29E62A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69" w:hRule="atLeast"/>
          <w:jc w:val="center"/>
        </w:trPr>
        <w:tc>
          <w:tcPr>
            <w:tcW w:w="1476" w:type="dxa"/>
            <w:noWrap w:val="0"/>
            <w:vAlign w:val="center"/>
          </w:tcPr>
          <w:p w14:paraId="0941548D">
            <w:pPr>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固体废物</w:t>
            </w:r>
          </w:p>
        </w:tc>
        <w:tc>
          <w:tcPr>
            <w:tcW w:w="7965" w:type="dxa"/>
            <w:gridSpan w:val="4"/>
            <w:noWrap w:val="0"/>
            <w:vAlign w:val="center"/>
          </w:tcPr>
          <w:p w14:paraId="14876B61">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宋体" w:hAnsi="宋体" w:cs="宋体"/>
                <w:color w:val="auto"/>
                <w:sz w:val="24"/>
              </w:rPr>
            </w:pPr>
            <w:r>
              <w:rPr>
                <w:rFonts w:hint="eastAsia" w:ascii="Times New Roman" w:hAnsi="Times New Roman" w:eastAsia="宋体" w:cs="Times New Roman"/>
                <w:color w:val="auto"/>
                <w:sz w:val="24"/>
                <w:lang w:val="en-US" w:eastAsia="zh-CN"/>
              </w:rPr>
              <w:t>金属屑及废边角料、焊渣、金属磨屑、铁锈渣、除尘设备收集尘</w:t>
            </w:r>
            <w:r>
              <w:rPr>
                <w:rFonts w:hint="eastAsia" w:cs="Times New Roman"/>
                <w:color w:val="auto"/>
                <w:sz w:val="24"/>
                <w:lang w:val="en-US" w:eastAsia="zh-CN"/>
              </w:rPr>
              <w:t>及</w:t>
            </w:r>
            <w:r>
              <w:rPr>
                <w:rFonts w:hint="eastAsia" w:ascii="Times New Roman" w:hAnsi="Times New Roman" w:eastAsia="宋体" w:cs="Times New Roman"/>
                <w:color w:val="auto"/>
                <w:sz w:val="24"/>
                <w:lang w:val="en-US" w:eastAsia="zh-CN"/>
              </w:rPr>
              <w:t>废布袋等一般固废分类收集暂存于一般固废暂存区，外售综合利用；漆渣及废过滤棉、废包装桶、废活性炭、废催化剂、废润滑油、废油桶、废液压油等危险废物分类收集暂存于危废贮存</w:t>
            </w:r>
            <w:r>
              <w:rPr>
                <w:rFonts w:hint="eastAsia" w:cs="Times New Roman"/>
                <w:color w:val="auto"/>
                <w:sz w:val="24"/>
                <w:lang w:val="en-US" w:eastAsia="zh-CN"/>
              </w:rPr>
              <w:t>点</w:t>
            </w:r>
            <w:r>
              <w:rPr>
                <w:rFonts w:hint="eastAsia" w:ascii="Times New Roman" w:hAnsi="Times New Roman" w:eastAsia="宋体" w:cs="Times New Roman"/>
                <w:color w:val="auto"/>
                <w:sz w:val="24"/>
                <w:lang w:val="en-US" w:eastAsia="zh-CN"/>
              </w:rPr>
              <w:t>，委托有资质单位处置；生活垃圾厂内集中收集，由环卫部门统一拉运至生活垃圾填埋场处置。</w:t>
            </w:r>
          </w:p>
        </w:tc>
      </w:tr>
      <w:tr w14:paraId="701574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69" w:hRule="atLeast"/>
          <w:jc w:val="center"/>
        </w:trPr>
        <w:tc>
          <w:tcPr>
            <w:tcW w:w="1476" w:type="dxa"/>
            <w:noWrap w:val="0"/>
            <w:vAlign w:val="center"/>
          </w:tcPr>
          <w:p w14:paraId="5B28E6BA">
            <w:pPr>
              <w:adjustRightInd w:val="0"/>
              <w:snapToGrid w:val="0"/>
              <w:spacing w:line="264" w:lineRule="auto"/>
              <w:ind w:left="21" w:leftChars="10"/>
              <w:jc w:val="center"/>
              <w:rPr>
                <w:rFonts w:hint="eastAsia" w:ascii="宋体" w:hAnsi="宋体" w:eastAsia="宋体" w:cs="宋体"/>
                <w:color w:val="auto"/>
                <w:sz w:val="24"/>
              </w:rPr>
            </w:pPr>
            <w:r>
              <w:rPr>
                <w:rFonts w:hint="eastAsia" w:ascii="宋体" w:hAnsi="宋体" w:eastAsia="宋体" w:cs="宋体"/>
                <w:color w:val="auto"/>
                <w:sz w:val="24"/>
              </w:rPr>
              <w:t>土壤及地下水污染防治措施</w:t>
            </w:r>
          </w:p>
        </w:tc>
        <w:tc>
          <w:tcPr>
            <w:tcW w:w="7965" w:type="dxa"/>
            <w:gridSpan w:val="4"/>
            <w:noWrap w:val="0"/>
            <w:vAlign w:val="center"/>
          </w:tcPr>
          <w:p w14:paraId="7BA9FE01">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项目产生的颗粒物、挥发性有机物经处理后达标排放，且不涉及重金属污染物，无生产废水产生，加强环境管理，不会对周边土壤环境造成影响。</w:t>
            </w:r>
          </w:p>
          <w:p w14:paraId="7208D3C3">
            <w:pPr>
              <w:spacing w:line="360" w:lineRule="auto"/>
              <w:rPr>
                <w:rFonts w:ascii="宋体" w:hAnsi="宋体" w:cs="宋体"/>
                <w:color w:val="auto"/>
                <w:sz w:val="24"/>
              </w:rPr>
            </w:pPr>
            <w:r>
              <w:rPr>
                <w:rFonts w:hint="eastAsia" w:ascii="Times New Roman" w:hAnsi="Times New Roman" w:eastAsia="宋体" w:cs="Times New Roman"/>
                <w:color w:val="auto"/>
                <w:sz w:val="24"/>
                <w:lang w:val="en-US" w:eastAsia="zh-CN"/>
              </w:rPr>
              <w:t>项目区采取分区防渗措施：危废贮存</w:t>
            </w:r>
            <w:r>
              <w:rPr>
                <w:rFonts w:hint="eastAsia" w:cs="Times New Roman"/>
                <w:color w:val="auto"/>
                <w:sz w:val="24"/>
                <w:lang w:val="en-US" w:eastAsia="zh-CN"/>
              </w:rPr>
              <w:t>点</w:t>
            </w:r>
            <w:r>
              <w:rPr>
                <w:rFonts w:hint="eastAsia" w:ascii="Times New Roman" w:hAnsi="Times New Roman" w:eastAsia="宋体" w:cs="Times New Roman"/>
                <w:color w:val="auto"/>
                <w:sz w:val="24"/>
                <w:lang w:val="en-US" w:eastAsia="zh-CN"/>
              </w:rPr>
              <w:t>、喷漆房、油漆库为重点防渗区，厂房（含一般固废暂存区、辅材配件区）、消防水池等为一般防渗区，综合楼、厂内道路等地面为简单防渗区。</w:t>
            </w:r>
          </w:p>
        </w:tc>
      </w:tr>
      <w:tr w14:paraId="3B8F99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476" w:type="dxa"/>
            <w:noWrap w:val="0"/>
            <w:vAlign w:val="center"/>
          </w:tcPr>
          <w:p w14:paraId="1FFF0D3C">
            <w:pPr>
              <w:adjustRightInd w:val="0"/>
              <w:snapToGrid w:val="0"/>
              <w:spacing w:line="264" w:lineRule="auto"/>
              <w:ind w:left="21" w:leftChars="10"/>
              <w:jc w:val="center"/>
              <w:rPr>
                <w:rFonts w:hint="eastAsia" w:ascii="宋体" w:hAnsi="宋体" w:eastAsia="宋体" w:cs="宋体"/>
                <w:color w:val="auto"/>
                <w:sz w:val="24"/>
              </w:rPr>
            </w:pPr>
            <w:r>
              <w:rPr>
                <w:rFonts w:hint="eastAsia" w:ascii="宋体" w:hAnsi="宋体" w:eastAsia="宋体" w:cs="宋体"/>
                <w:color w:val="auto"/>
                <w:sz w:val="24"/>
              </w:rPr>
              <w:t>生态保护</w:t>
            </w:r>
          </w:p>
          <w:p w14:paraId="68FAA137">
            <w:pPr>
              <w:adjustRightInd w:val="0"/>
              <w:snapToGrid w:val="0"/>
              <w:spacing w:line="264" w:lineRule="auto"/>
              <w:ind w:left="21" w:leftChars="10"/>
              <w:jc w:val="center"/>
              <w:rPr>
                <w:rFonts w:hint="eastAsia" w:ascii="宋体" w:hAnsi="宋体" w:eastAsia="宋体" w:cs="宋体"/>
                <w:color w:val="auto"/>
                <w:sz w:val="24"/>
              </w:rPr>
            </w:pPr>
            <w:r>
              <w:rPr>
                <w:rFonts w:hint="eastAsia" w:ascii="宋体" w:hAnsi="宋体" w:eastAsia="宋体" w:cs="宋体"/>
                <w:color w:val="auto"/>
                <w:sz w:val="24"/>
              </w:rPr>
              <w:t>措施</w:t>
            </w:r>
          </w:p>
        </w:tc>
        <w:tc>
          <w:tcPr>
            <w:tcW w:w="7965" w:type="dxa"/>
            <w:gridSpan w:val="4"/>
            <w:noWrap w:val="0"/>
            <w:vAlign w:val="center"/>
          </w:tcPr>
          <w:p w14:paraId="36CBAA3B">
            <w:pPr>
              <w:adjustRightInd w:val="0"/>
              <w:snapToGrid w:val="0"/>
              <w:spacing w:line="264" w:lineRule="auto"/>
              <w:ind w:left="21" w:leftChars="10"/>
              <w:jc w:val="center"/>
              <w:rPr>
                <w:rFonts w:hint="eastAsia" w:ascii="宋体" w:hAnsi="宋体" w:cs="宋体"/>
                <w:color w:val="auto"/>
                <w:sz w:val="24"/>
              </w:rPr>
            </w:pPr>
            <w:r>
              <w:rPr>
                <w:rFonts w:hint="eastAsia" w:ascii="宋体" w:hAnsi="宋体" w:cs="宋体"/>
                <w:color w:val="auto"/>
                <w:sz w:val="24"/>
              </w:rPr>
              <w:t>无</w:t>
            </w:r>
          </w:p>
        </w:tc>
      </w:tr>
      <w:tr w14:paraId="27E6A3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76" w:hRule="atLeast"/>
          <w:jc w:val="center"/>
        </w:trPr>
        <w:tc>
          <w:tcPr>
            <w:tcW w:w="1476" w:type="dxa"/>
            <w:noWrap w:val="0"/>
            <w:vAlign w:val="center"/>
          </w:tcPr>
          <w:p w14:paraId="396B2FD7">
            <w:pPr>
              <w:adjustRightInd w:val="0"/>
              <w:snapToGrid w:val="0"/>
              <w:spacing w:line="264" w:lineRule="auto"/>
              <w:ind w:left="21" w:leftChars="10"/>
              <w:jc w:val="center"/>
              <w:rPr>
                <w:rFonts w:hint="eastAsia" w:ascii="宋体" w:hAnsi="宋体" w:cs="宋体"/>
                <w:color w:val="auto"/>
                <w:sz w:val="24"/>
              </w:rPr>
            </w:pPr>
            <w:r>
              <w:rPr>
                <w:rFonts w:hint="eastAsia" w:ascii="宋体" w:hAnsi="宋体" w:cs="宋体"/>
                <w:color w:val="auto"/>
                <w:sz w:val="24"/>
              </w:rPr>
              <w:t>环境风险</w:t>
            </w:r>
          </w:p>
          <w:p w14:paraId="78D95888">
            <w:pPr>
              <w:adjustRightInd w:val="0"/>
              <w:snapToGrid w:val="0"/>
              <w:spacing w:line="264" w:lineRule="auto"/>
              <w:ind w:left="21" w:leftChars="10"/>
              <w:jc w:val="center"/>
              <w:rPr>
                <w:rFonts w:hint="eastAsia" w:ascii="宋体" w:hAnsi="宋体" w:cs="宋体"/>
                <w:color w:val="auto"/>
                <w:sz w:val="24"/>
              </w:rPr>
            </w:pPr>
            <w:r>
              <w:rPr>
                <w:rFonts w:hint="eastAsia" w:ascii="宋体" w:hAnsi="宋体" w:cs="宋体"/>
                <w:color w:val="auto"/>
                <w:sz w:val="24"/>
              </w:rPr>
              <w:t>防范措施</w:t>
            </w:r>
          </w:p>
        </w:tc>
        <w:tc>
          <w:tcPr>
            <w:tcW w:w="7965" w:type="dxa"/>
            <w:gridSpan w:val="4"/>
            <w:noWrap w:val="0"/>
            <w:vAlign w:val="center"/>
          </w:tcPr>
          <w:p w14:paraId="17F878F7">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①火灾风险防范措施：厂房安装可燃气体浓度检测仪及火灾自动报警装置。</w:t>
            </w:r>
          </w:p>
          <w:p w14:paraId="70B52464">
            <w:pPr>
              <w:spacing w:line="360" w:lineRule="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②废气处理设施故障风险防范措施：加强处理设施的运行管理和日常维护。</w:t>
            </w:r>
          </w:p>
          <w:p w14:paraId="4E4B91A9">
            <w:pPr>
              <w:spacing w:line="360" w:lineRule="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③</w:t>
            </w:r>
            <w:r>
              <w:rPr>
                <w:rFonts w:hint="eastAsia" w:cs="Times New Roman"/>
                <w:color w:val="auto"/>
                <w:sz w:val="24"/>
                <w:lang w:val="en-US" w:eastAsia="zh-CN"/>
              </w:rPr>
              <w:t>泄漏</w:t>
            </w:r>
            <w:r>
              <w:rPr>
                <w:rFonts w:hint="eastAsia" w:ascii="Times New Roman" w:hAnsi="Times New Roman" w:eastAsia="宋体" w:cs="Times New Roman"/>
                <w:color w:val="auto"/>
                <w:sz w:val="24"/>
                <w:lang w:val="en-US" w:eastAsia="zh-CN"/>
              </w:rPr>
              <w:t>风险防范措施：配备泄漏应急物资，防止危险废物泄漏。</w:t>
            </w:r>
          </w:p>
          <w:p w14:paraId="5BB46466">
            <w:pPr>
              <w:spacing w:line="360" w:lineRule="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④危废贮存</w:t>
            </w:r>
            <w:r>
              <w:rPr>
                <w:rFonts w:hint="eastAsia" w:cs="Times New Roman"/>
                <w:color w:val="auto"/>
                <w:sz w:val="24"/>
                <w:lang w:val="en-US" w:eastAsia="zh-CN"/>
              </w:rPr>
              <w:t>点</w:t>
            </w:r>
            <w:r>
              <w:rPr>
                <w:rFonts w:hint="eastAsia" w:ascii="Times New Roman" w:hAnsi="Times New Roman" w:eastAsia="宋体" w:cs="Times New Roman"/>
                <w:color w:val="auto"/>
                <w:sz w:val="24"/>
                <w:lang w:val="en-US" w:eastAsia="zh-CN"/>
              </w:rPr>
              <w:t>按照《危险废物贮存污染控制标准》（GB18597-2023）相关要求</w:t>
            </w:r>
            <w:r>
              <w:rPr>
                <w:rFonts w:hint="eastAsia" w:cs="Times New Roman"/>
                <w:color w:val="auto"/>
                <w:sz w:val="24"/>
                <w:lang w:val="en-US" w:eastAsia="zh-CN"/>
              </w:rPr>
              <w:t>规范设置</w:t>
            </w:r>
            <w:r>
              <w:rPr>
                <w:rFonts w:hint="eastAsia" w:ascii="Times New Roman" w:hAnsi="Times New Roman" w:eastAsia="宋体" w:cs="Times New Roman"/>
                <w:color w:val="auto"/>
                <w:sz w:val="24"/>
                <w:lang w:val="en-US" w:eastAsia="zh-CN"/>
              </w:rPr>
              <w:t>。</w:t>
            </w:r>
          </w:p>
          <w:p w14:paraId="1B3FAAB3">
            <w:pPr>
              <w:spacing w:line="360" w:lineRule="auto"/>
              <w:rPr>
                <w:rFonts w:hint="eastAsia" w:ascii="宋体" w:hAnsi="宋体" w:cs="宋体"/>
                <w:color w:val="auto"/>
                <w:sz w:val="24"/>
              </w:rPr>
            </w:pPr>
            <w:r>
              <w:rPr>
                <w:rFonts w:hint="eastAsia" w:ascii="Times New Roman" w:hAnsi="Times New Roman" w:eastAsia="宋体" w:cs="Times New Roman"/>
                <w:color w:val="auto"/>
                <w:sz w:val="24"/>
                <w:lang w:val="en-US" w:eastAsia="zh-CN"/>
              </w:rPr>
              <w:fldChar w:fldCharType="begin"/>
            </w:r>
            <w:r>
              <w:rPr>
                <w:rFonts w:hint="eastAsia" w:ascii="Times New Roman" w:hAnsi="Times New Roman" w:eastAsia="宋体" w:cs="Times New Roman"/>
                <w:color w:val="auto"/>
                <w:sz w:val="24"/>
                <w:lang w:val="en-US" w:eastAsia="zh-CN"/>
              </w:rPr>
              <w:instrText xml:space="preserve"> = 5 \* GB3 \* MERGEFORMAT </w:instrText>
            </w:r>
            <w:r>
              <w:rPr>
                <w:rFonts w:hint="eastAsia" w:ascii="Times New Roman" w:hAnsi="Times New Roman" w:eastAsia="宋体" w:cs="Times New Roman"/>
                <w:color w:val="auto"/>
                <w:sz w:val="24"/>
                <w:lang w:val="en-US" w:eastAsia="zh-CN"/>
              </w:rPr>
              <w:fldChar w:fldCharType="separate"/>
            </w:r>
            <w:r>
              <w:rPr>
                <w:rFonts w:hint="eastAsia" w:ascii="Times New Roman" w:hAnsi="Times New Roman" w:eastAsia="宋体" w:cs="Times New Roman"/>
                <w:color w:val="auto"/>
                <w:sz w:val="24"/>
                <w:lang w:val="en-US" w:eastAsia="zh-CN"/>
              </w:rPr>
              <w:t>⑤</w:t>
            </w:r>
            <w:r>
              <w:rPr>
                <w:rFonts w:hint="eastAsia" w:ascii="Times New Roman" w:hAnsi="Times New Roman" w:eastAsia="宋体" w:cs="Times New Roman"/>
                <w:color w:val="auto"/>
                <w:sz w:val="24"/>
                <w:lang w:val="en-US" w:eastAsia="zh-CN"/>
              </w:rPr>
              <w:fldChar w:fldCharType="end"/>
            </w:r>
            <w:r>
              <w:rPr>
                <w:rFonts w:hint="eastAsia" w:ascii="Times New Roman" w:hAnsi="Times New Roman" w:eastAsia="宋体" w:cs="Times New Roman"/>
                <w:color w:val="auto"/>
                <w:sz w:val="24"/>
                <w:lang w:val="en-US" w:eastAsia="zh-CN"/>
              </w:rPr>
              <w:t>开展突发环境事件风险评估和应急预案编制工作，避免突发环境事件的发生。</w:t>
            </w:r>
          </w:p>
        </w:tc>
      </w:tr>
      <w:tr w14:paraId="48065A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00" w:hRule="atLeast"/>
          <w:jc w:val="center"/>
        </w:trPr>
        <w:tc>
          <w:tcPr>
            <w:tcW w:w="1476" w:type="dxa"/>
            <w:noWrap w:val="0"/>
            <w:vAlign w:val="center"/>
          </w:tcPr>
          <w:p w14:paraId="3688881E">
            <w:pPr>
              <w:adjustRightInd w:val="0"/>
              <w:snapToGrid w:val="0"/>
              <w:spacing w:line="264" w:lineRule="auto"/>
              <w:ind w:left="21" w:leftChars="10"/>
              <w:jc w:val="center"/>
              <w:rPr>
                <w:rFonts w:hint="eastAsia" w:ascii="宋体" w:hAnsi="宋体" w:cs="宋体"/>
                <w:color w:val="auto"/>
                <w:sz w:val="24"/>
              </w:rPr>
            </w:pPr>
            <w:r>
              <w:rPr>
                <w:rFonts w:hint="eastAsia" w:ascii="宋体" w:hAnsi="宋体" w:cs="宋体"/>
                <w:color w:val="auto"/>
                <w:sz w:val="24"/>
              </w:rPr>
              <w:t>其他环境</w:t>
            </w:r>
          </w:p>
          <w:p w14:paraId="7DADC726">
            <w:pPr>
              <w:adjustRightInd w:val="0"/>
              <w:snapToGrid w:val="0"/>
              <w:spacing w:line="264" w:lineRule="auto"/>
              <w:ind w:left="21" w:leftChars="10"/>
              <w:jc w:val="center"/>
              <w:rPr>
                <w:rFonts w:hint="eastAsia" w:ascii="宋体" w:hAnsi="宋体" w:cs="宋体"/>
                <w:color w:val="auto"/>
                <w:sz w:val="24"/>
              </w:rPr>
            </w:pPr>
            <w:r>
              <w:rPr>
                <w:rFonts w:hint="eastAsia" w:ascii="宋体" w:hAnsi="宋体" w:cs="宋体"/>
                <w:color w:val="auto"/>
                <w:sz w:val="24"/>
              </w:rPr>
              <w:t>管理要求</w:t>
            </w:r>
          </w:p>
        </w:tc>
        <w:tc>
          <w:tcPr>
            <w:tcW w:w="7965" w:type="dxa"/>
            <w:gridSpan w:val="4"/>
            <w:noWrap w:val="0"/>
            <w:vAlign w:val="center"/>
          </w:tcPr>
          <w:p w14:paraId="5051200F">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（1）排污许可制度</w:t>
            </w:r>
          </w:p>
          <w:p w14:paraId="29EDCCC6">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根据《固定污染源排污许可分类管理名录（2019年版）》，本项目属于第二十八项“金属制品业33”中第80条“结构性金属制品制造331”的“其他”，因此，排污许可证管理类别为“登记管理”。</w:t>
            </w:r>
          </w:p>
          <w:p w14:paraId="6BE5366F">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（2）竣工环境保护验收</w:t>
            </w:r>
          </w:p>
          <w:p w14:paraId="5465ED4F">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根据《建设项目竣工环境保护验收暂行办法》，建设项目竣工后建设单位应自主开展环境保护验收。建设单位是建设项目竣工环境保护验收的责任主体，应当按照本办法规定的程序和标准，组织对配套建设的环境保</w:t>
            </w:r>
          </w:p>
          <w:p w14:paraId="7239095E">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护设施进行验收，编制验收报告，确保建设项目需要配套建设的环境保护设施与主体工程同时投产或者使用。</w:t>
            </w:r>
          </w:p>
          <w:p w14:paraId="30179709">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（3）环境管理要求</w:t>
            </w:r>
          </w:p>
          <w:p w14:paraId="624DEF89">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①环境管理制度</w:t>
            </w:r>
          </w:p>
          <w:p w14:paraId="086E1011">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环境管理是环境保护领域的重要手段，为认真贯彻执行国家有关的环境保护法律法规，建设单位应做好以下几个方面的环境管理工作：</w:t>
            </w:r>
          </w:p>
          <w:p w14:paraId="27771F80">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A.结合工程工艺状况，制定并贯彻落实符合建设项目特点的环保方针。遵守国</w:t>
            </w:r>
            <w:r>
              <w:rPr>
                <w:rFonts w:hint="eastAsia" w:cs="Times New Roman"/>
                <w:color w:val="auto"/>
                <w:sz w:val="24"/>
                <w:lang w:val="en-US" w:eastAsia="zh-CN"/>
              </w:rPr>
              <w:t>家和</w:t>
            </w:r>
            <w:r>
              <w:rPr>
                <w:rFonts w:hint="eastAsia" w:ascii="Times New Roman" w:hAnsi="Times New Roman" w:eastAsia="宋体" w:cs="Times New Roman"/>
                <w:color w:val="auto"/>
                <w:sz w:val="24"/>
                <w:lang w:val="en-US" w:eastAsia="zh-CN"/>
              </w:rPr>
              <w:t>地方的有关</w:t>
            </w:r>
            <w:r>
              <w:rPr>
                <w:rFonts w:hint="eastAsia" w:cs="Times New Roman"/>
                <w:color w:val="auto"/>
                <w:sz w:val="24"/>
                <w:lang w:val="en-US" w:eastAsia="zh-CN"/>
              </w:rPr>
              <w:t>法律法规</w:t>
            </w:r>
            <w:r>
              <w:rPr>
                <w:rFonts w:hint="eastAsia" w:ascii="Times New Roman" w:hAnsi="Times New Roman" w:eastAsia="宋体" w:cs="Times New Roman"/>
                <w:color w:val="auto"/>
                <w:sz w:val="24"/>
                <w:lang w:val="en-US" w:eastAsia="zh-CN"/>
              </w:rPr>
              <w:t>以及其他的有关规定。</w:t>
            </w:r>
          </w:p>
          <w:p w14:paraId="5A570F01">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B.根据制定的环保方针，确定本项目的环保工程目标和可量化的环保指标，使全体员工都参与到环保工作中。</w:t>
            </w:r>
          </w:p>
          <w:p w14:paraId="17319EF8">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C.宣传、贯彻国家及地方的环境保护方针、法规、政策，不断</w:t>
            </w:r>
            <w:r>
              <w:rPr>
                <w:rFonts w:hint="eastAsia" w:cs="Times New Roman"/>
                <w:color w:val="auto"/>
                <w:sz w:val="24"/>
                <w:lang w:val="en-US" w:eastAsia="zh-CN"/>
              </w:rPr>
              <w:t>增强</w:t>
            </w:r>
            <w:r>
              <w:rPr>
                <w:rFonts w:hint="eastAsia" w:ascii="Times New Roman" w:hAnsi="Times New Roman" w:eastAsia="宋体" w:cs="Times New Roman"/>
                <w:color w:val="auto"/>
                <w:sz w:val="24"/>
                <w:lang w:val="en-US" w:eastAsia="zh-CN"/>
              </w:rPr>
              <w:t>全体员工的环保意识和遵守环保法规的自觉性。</w:t>
            </w:r>
          </w:p>
          <w:p w14:paraId="36D537AB">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D.组织实施环境保护工作计划和环境监测计划。</w:t>
            </w:r>
          </w:p>
          <w:p w14:paraId="35C5E06C">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E.环保设施运行管理，保证其正常运行；掌握运行过程中存在的问题，及时提出解决办法和改进措施，监督检查环保设施的日常维护工作。</w:t>
            </w:r>
          </w:p>
          <w:p w14:paraId="6D73AEFA">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F.建立项目环保设施运行情况、污染物排放情况的记录工作。</w:t>
            </w:r>
          </w:p>
          <w:p w14:paraId="27A00BC4">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G.按监测计划，配合检测机构完成“三废”污染源监测或环境监测。</w:t>
            </w:r>
          </w:p>
          <w:p w14:paraId="31BFF039">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H.准备和接受环保部门对项目的排污监理、环保监察、执法检查等工作，并协调处理工作中出现的问题。</w:t>
            </w:r>
          </w:p>
          <w:p w14:paraId="3CF5417A">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I.开展环保管理评审工作，总结存在的问题，提出改进措施。</w:t>
            </w:r>
          </w:p>
          <w:p w14:paraId="57126502">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②环境管理台账记录要求</w:t>
            </w:r>
          </w:p>
          <w:p w14:paraId="3D98B33A">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A.排污单位应建立环境管理台账制度，落实环境管理台账记录的责任部门和责任人，明确工作职责，包括台账的记录、整理、维护和管理等，并对台账记录结果的真实性、完整性和规范性负责。环境管理台账应当按照纸质储存和电子化储存两种形式同步管理。</w:t>
            </w:r>
          </w:p>
          <w:p w14:paraId="05E99461">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B.记录内容包括基本信息、生产设施运行管理信息、污染治理设施运行管理信息、监测记录信息及其他环境管理信息等。</w:t>
            </w:r>
          </w:p>
          <w:p w14:paraId="1C45592E">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C.记录保存时间原则上应存档5年以上。</w:t>
            </w:r>
          </w:p>
          <w:p w14:paraId="0F8AC56F">
            <w:pPr>
              <w:keepNext w:val="0"/>
              <w:keepLines w:val="0"/>
              <w:pageBreakBefore w:val="0"/>
              <w:widowControl w:val="0"/>
              <w:kinsoku/>
              <w:wordWrap/>
              <w:overflowPunct/>
              <w:topLinePunct w:val="0"/>
              <w:autoSpaceDE/>
              <w:autoSpaceDN/>
              <w:bidi w:val="0"/>
              <w:adjustRightInd/>
              <w:snapToGrid/>
              <w:spacing w:before="157" w:beforeLines="50" w:line="348"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③自行监测要求</w:t>
            </w:r>
          </w:p>
          <w:p w14:paraId="36D5B923">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建设单位应查清项目污染源、污染物指标及潜在的环境影响，制定监测方案，设置和维护监测设施，按照监测方案开展自行监测，做好质量保证和质量控制，记录和保存监测信息，依法向社会公开监测结果。</w:t>
            </w:r>
          </w:p>
          <w:p w14:paraId="2AE75C60">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④排污许可证执行报告内容要求</w:t>
            </w:r>
          </w:p>
          <w:p w14:paraId="59735E4D">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A.说明排污许可证执行情况，包括排污单位基本信息及产排污环节、污染物及污染治理设施等。</w:t>
            </w:r>
          </w:p>
          <w:p w14:paraId="187C95A1">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B.说明固体废物贮存场所合规情况，包括固体废物贮存点编号，减少固体废物产生、促进综合利用的具体措施，是否存在超能力贮存、超种类贮存、超期贮存、不符合排污许可证规定的污染防控技术要求等问题，如果存在问题需要说明原因。</w:t>
            </w:r>
          </w:p>
          <w:p w14:paraId="38DA5B58">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（4）环保投资</w:t>
            </w:r>
          </w:p>
          <w:p w14:paraId="04E8A511">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本项目总投资7200万元，其中环保投资为260万元，约占总投资的3.61%，环保投资估算详见表5-1。</w:t>
            </w:r>
          </w:p>
          <w:p w14:paraId="44F1D7D7">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表</w:t>
            </w:r>
            <w:r>
              <w:rPr>
                <w:rFonts w:hint="eastAsia" w:ascii="Times New Roman" w:hAnsi="Times New Roman" w:eastAsia="宋体" w:cs="Times New Roman"/>
                <w:b/>
                <w:bCs/>
                <w:color w:val="auto"/>
                <w:lang w:val="en-US" w:eastAsia="zh-CN"/>
              </w:rPr>
              <w:t xml:space="preserve">5-1 </w:t>
            </w:r>
            <w:r>
              <w:rPr>
                <w:rFonts w:hint="default" w:ascii="Times New Roman" w:hAnsi="Times New Roman" w:eastAsia="宋体" w:cs="Times New Roman"/>
                <w:b/>
                <w:bCs/>
                <w:color w:val="auto"/>
                <w:lang w:val="en-US" w:eastAsia="zh-CN"/>
              </w:rPr>
              <w:t>项目环保投资一览表</w:t>
            </w:r>
          </w:p>
          <w:tbl>
            <w:tblPr>
              <w:tblStyle w:val="26"/>
              <w:tblW w:w="7799" w:type="dxa"/>
              <w:jc w:val="center"/>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Layout w:type="fixed"/>
              <w:tblCellMar>
                <w:top w:w="0" w:type="dxa"/>
                <w:left w:w="28" w:type="dxa"/>
                <w:bottom w:w="0" w:type="dxa"/>
                <w:right w:w="28" w:type="dxa"/>
              </w:tblCellMar>
            </w:tblPr>
            <w:tblGrid>
              <w:gridCol w:w="709"/>
              <w:gridCol w:w="1461"/>
              <w:gridCol w:w="4706"/>
              <w:gridCol w:w="923"/>
            </w:tblGrid>
            <w:tr w14:paraId="02314DD3">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567" w:hRule="atLeast"/>
                <w:jc w:val="center"/>
              </w:trPr>
              <w:tc>
                <w:tcPr>
                  <w:tcW w:w="709" w:type="dxa"/>
                  <w:noWrap w:val="0"/>
                  <w:vAlign w:val="center"/>
                </w:tcPr>
                <w:p w14:paraId="2B6961F3">
                  <w:pPr>
                    <w:adjustRightInd w:val="0"/>
                    <w:snapToGrid w:val="0"/>
                    <w:jc w:val="center"/>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rPr>
                    <w:t>类别</w:t>
                  </w:r>
                </w:p>
              </w:tc>
              <w:tc>
                <w:tcPr>
                  <w:tcW w:w="1461" w:type="dxa"/>
                  <w:noWrap w:val="0"/>
                  <w:vAlign w:val="center"/>
                </w:tcPr>
                <w:p w14:paraId="658787DF">
                  <w:pPr>
                    <w:adjustRightInd w:val="0"/>
                    <w:snapToGrid w:val="0"/>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治理</w:t>
                  </w:r>
                  <w:r>
                    <w:rPr>
                      <w:rFonts w:hint="eastAsia" w:ascii="Times New Roman" w:hAnsi="Times New Roman" w:eastAsia="宋体" w:cs="Times New Roman"/>
                      <w:b/>
                      <w:bCs/>
                      <w:color w:val="auto"/>
                      <w:lang w:val="en-US" w:eastAsia="zh-CN"/>
                    </w:rPr>
                    <w:t>项目</w:t>
                  </w:r>
                </w:p>
              </w:tc>
              <w:tc>
                <w:tcPr>
                  <w:tcW w:w="4706" w:type="dxa"/>
                  <w:noWrap w:val="0"/>
                  <w:vAlign w:val="center"/>
                </w:tcPr>
                <w:p w14:paraId="695BD4F7">
                  <w:pPr>
                    <w:adjustRightInd w:val="0"/>
                    <w:snapToGrid w:val="0"/>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lang w:val="en-US" w:eastAsia="zh-CN"/>
                    </w:rPr>
                    <w:t>环保设施/</w:t>
                  </w:r>
                  <w:r>
                    <w:rPr>
                      <w:rFonts w:hint="eastAsia" w:ascii="Times New Roman" w:hAnsi="Times New Roman" w:eastAsia="宋体" w:cs="Times New Roman"/>
                      <w:b/>
                      <w:bCs/>
                      <w:color w:val="auto"/>
                    </w:rPr>
                    <w:t>治理措施</w:t>
                  </w:r>
                </w:p>
              </w:tc>
              <w:tc>
                <w:tcPr>
                  <w:tcW w:w="923" w:type="dxa"/>
                  <w:noWrap w:val="0"/>
                  <w:vAlign w:val="center"/>
                </w:tcPr>
                <w:p w14:paraId="2375BC0C">
                  <w:pPr>
                    <w:adjustRightInd w:val="0"/>
                    <w:snapToGrid w:val="0"/>
                    <w:jc w:val="center"/>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投资概算（万元）</w:t>
                  </w:r>
                </w:p>
              </w:tc>
            </w:tr>
            <w:tr w14:paraId="55F088E1">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595" w:hRule="atLeast"/>
                <w:jc w:val="center"/>
              </w:trPr>
              <w:tc>
                <w:tcPr>
                  <w:tcW w:w="709" w:type="dxa"/>
                  <w:vMerge w:val="restart"/>
                  <w:noWrap w:val="0"/>
                  <w:vAlign w:val="center"/>
                </w:tcPr>
                <w:p w14:paraId="0295E553">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废气</w:t>
                  </w:r>
                </w:p>
              </w:tc>
              <w:tc>
                <w:tcPr>
                  <w:tcW w:w="1461" w:type="dxa"/>
                  <w:noWrap w:val="0"/>
                  <w:vAlign w:val="center"/>
                </w:tcPr>
                <w:p w14:paraId="7EE47B65">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切割粉尘</w:t>
                  </w:r>
                </w:p>
              </w:tc>
              <w:tc>
                <w:tcPr>
                  <w:tcW w:w="4706" w:type="dxa"/>
                  <w:shd w:val="clear" w:color="auto" w:fill="auto"/>
                  <w:noWrap w:val="0"/>
                  <w:vAlign w:val="center"/>
                </w:tcPr>
                <w:p w14:paraId="09CBF3C5">
                  <w:pPr>
                    <w:adjustRightInd w:val="0"/>
                    <w:snapToGrid w:val="0"/>
                    <w:jc w:val="left"/>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激光切割机自带袋式除尘器，火焰切割机设移动式烟尘净化器。</w:t>
                  </w:r>
                </w:p>
              </w:tc>
              <w:tc>
                <w:tcPr>
                  <w:tcW w:w="923" w:type="dxa"/>
                  <w:shd w:val="clear" w:color="auto" w:fill="auto"/>
                  <w:noWrap w:val="0"/>
                  <w:vAlign w:val="center"/>
                </w:tcPr>
                <w:p w14:paraId="6F28948E">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15</w:t>
                  </w:r>
                </w:p>
              </w:tc>
            </w:tr>
            <w:tr w14:paraId="754E30E1">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595" w:hRule="atLeast"/>
                <w:jc w:val="center"/>
              </w:trPr>
              <w:tc>
                <w:tcPr>
                  <w:tcW w:w="709" w:type="dxa"/>
                  <w:vMerge w:val="continue"/>
                  <w:noWrap w:val="0"/>
                  <w:vAlign w:val="center"/>
                </w:tcPr>
                <w:p w14:paraId="081C0846">
                  <w:pPr>
                    <w:adjustRightInd w:val="0"/>
                    <w:snapToGrid w:val="0"/>
                    <w:jc w:val="center"/>
                    <w:rPr>
                      <w:rFonts w:hint="default" w:ascii="Times New Roman" w:hAnsi="Times New Roman" w:eastAsia="宋体" w:cs="Times New Roman"/>
                      <w:color w:val="auto"/>
                      <w:lang w:val="en-US" w:eastAsia="zh-CN"/>
                    </w:rPr>
                  </w:pPr>
                </w:p>
              </w:tc>
              <w:tc>
                <w:tcPr>
                  <w:tcW w:w="1461" w:type="dxa"/>
                  <w:noWrap w:val="0"/>
                  <w:vAlign w:val="center"/>
                </w:tcPr>
                <w:p w14:paraId="5E28E23A">
                  <w:pPr>
                    <w:adjustRightInd w:val="0"/>
                    <w:snapToGrid w:val="0"/>
                    <w:jc w:val="center"/>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焊接、打磨</w:t>
                  </w:r>
                  <w:r>
                    <w:rPr>
                      <w:rFonts w:hint="eastAsia" w:ascii="Times New Roman" w:hAnsi="Times New Roman" w:eastAsia="宋体" w:cs="Times New Roman"/>
                      <w:color w:val="auto"/>
                      <w:lang w:val="en-US" w:eastAsia="zh-CN"/>
                    </w:rPr>
                    <w:t>废气</w:t>
                  </w:r>
                </w:p>
              </w:tc>
              <w:tc>
                <w:tcPr>
                  <w:tcW w:w="4706" w:type="dxa"/>
                  <w:shd w:val="clear" w:color="auto" w:fill="auto"/>
                  <w:noWrap w:val="0"/>
                  <w:vAlign w:val="center"/>
                </w:tcPr>
                <w:p w14:paraId="524C69C0">
                  <w:pPr>
                    <w:adjustRightInd w:val="0"/>
                    <w:snapToGrid w:val="0"/>
                    <w:jc w:val="left"/>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高效集气设施+</w:t>
                  </w:r>
                  <w:r>
                    <w:rPr>
                      <w:rFonts w:hint="eastAsia" w:ascii="Times New Roman" w:hAnsi="Times New Roman" w:eastAsia="宋体" w:cs="Times New Roman"/>
                      <w:color w:val="0000FF"/>
                      <w:lang w:val="en-US" w:eastAsia="zh-CN"/>
                    </w:rPr>
                    <w:t>气箱式脉冲袋式除尘器</w:t>
                  </w:r>
                  <w:r>
                    <w:rPr>
                      <w:rFonts w:hint="eastAsia" w:ascii="Times New Roman" w:hAnsi="Times New Roman" w:eastAsia="宋体" w:cs="Times New Roman"/>
                      <w:color w:val="auto"/>
                      <w:lang w:val="en-US" w:eastAsia="zh-CN"/>
                    </w:rPr>
                    <w:t>+15m排气筒（DA001）</w:t>
                  </w:r>
                </w:p>
              </w:tc>
              <w:tc>
                <w:tcPr>
                  <w:tcW w:w="923" w:type="dxa"/>
                  <w:shd w:val="clear" w:color="auto" w:fill="auto"/>
                  <w:noWrap w:val="0"/>
                  <w:vAlign w:val="center"/>
                </w:tcPr>
                <w:p w14:paraId="088B8A1B">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20</w:t>
                  </w:r>
                </w:p>
              </w:tc>
            </w:tr>
            <w:tr w14:paraId="589CCE49">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595" w:hRule="atLeast"/>
                <w:jc w:val="center"/>
              </w:trPr>
              <w:tc>
                <w:tcPr>
                  <w:tcW w:w="709" w:type="dxa"/>
                  <w:vMerge w:val="continue"/>
                  <w:noWrap w:val="0"/>
                  <w:vAlign w:val="center"/>
                </w:tcPr>
                <w:p w14:paraId="175E668C">
                  <w:pPr>
                    <w:adjustRightInd w:val="0"/>
                    <w:snapToGrid w:val="0"/>
                    <w:jc w:val="center"/>
                    <w:rPr>
                      <w:rFonts w:hint="default" w:ascii="Times New Roman" w:hAnsi="Times New Roman" w:eastAsia="宋体" w:cs="Times New Roman"/>
                      <w:color w:val="auto"/>
                      <w:lang w:val="en-US" w:eastAsia="zh-CN"/>
                    </w:rPr>
                  </w:pPr>
                </w:p>
              </w:tc>
              <w:tc>
                <w:tcPr>
                  <w:tcW w:w="1461" w:type="dxa"/>
                  <w:noWrap w:val="0"/>
                  <w:vAlign w:val="center"/>
                </w:tcPr>
                <w:p w14:paraId="0910DCAE">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抛丸粉尘</w:t>
                  </w:r>
                </w:p>
              </w:tc>
              <w:tc>
                <w:tcPr>
                  <w:tcW w:w="4706" w:type="dxa"/>
                  <w:shd w:val="clear" w:color="auto" w:fill="auto"/>
                  <w:noWrap w:val="0"/>
                  <w:vAlign w:val="center"/>
                </w:tcPr>
                <w:p w14:paraId="5717E192">
                  <w:pPr>
                    <w:adjustRightInd w:val="0"/>
                    <w:snapToGrid w:val="0"/>
                    <w:jc w:val="left"/>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密闭负压+</w:t>
                  </w:r>
                  <w:r>
                    <w:rPr>
                      <w:rFonts w:hint="eastAsia" w:ascii="Times New Roman" w:hAnsi="Times New Roman" w:eastAsia="宋体" w:cs="Times New Roman"/>
                      <w:color w:val="0000FF"/>
                      <w:lang w:val="en-US" w:eastAsia="zh-CN"/>
                    </w:rPr>
                    <w:t>气箱式脉冲袋式除尘器</w:t>
                  </w:r>
                  <w:r>
                    <w:rPr>
                      <w:rFonts w:hint="eastAsia" w:ascii="Times New Roman" w:hAnsi="Times New Roman" w:eastAsia="宋体" w:cs="Times New Roman"/>
                      <w:color w:val="auto"/>
                      <w:lang w:val="en-US" w:eastAsia="zh-CN"/>
                    </w:rPr>
                    <w:t>+15m排气筒（DA002）</w:t>
                  </w:r>
                </w:p>
              </w:tc>
              <w:tc>
                <w:tcPr>
                  <w:tcW w:w="923" w:type="dxa"/>
                  <w:shd w:val="clear" w:color="auto" w:fill="auto"/>
                  <w:noWrap w:val="0"/>
                  <w:vAlign w:val="center"/>
                </w:tcPr>
                <w:p w14:paraId="5F7755D9">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20</w:t>
                  </w:r>
                </w:p>
              </w:tc>
            </w:tr>
            <w:tr w14:paraId="50FA8AE8">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595" w:hRule="atLeast"/>
                <w:jc w:val="center"/>
              </w:trPr>
              <w:tc>
                <w:tcPr>
                  <w:tcW w:w="709" w:type="dxa"/>
                  <w:vMerge w:val="continue"/>
                  <w:noWrap w:val="0"/>
                  <w:vAlign w:val="center"/>
                </w:tcPr>
                <w:p w14:paraId="1398DFF9">
                  <w:pPr>
                    <w:adjustRightInd w:val="0"/>
                    <w:snapToGrid w:val="0"/>
                    <w:jc w:val="center"/>
                    <w:rPr>
                      <w:rFonts w:hint="eastAsia" w:ascii="Times New Roman" w:hAnsi="Times New Roman" w:eastAsia="宋体" w:cs="Times New Roman"/>
                      <w:color w:val="auto"/>
                      <w:lang w:val="en-US" w:eastAsia="zh-CN"/>
                    </w:rPr>
                  </w:pPr>
                </w:p>
              </w:tc>
              <w:tc>
                <w:tcPr>
                  <w:tcW w:w="1461" w:type="dxa"/>
                  <w:noWrap w:val="0"/>
                  <w:vAlign w:val="center"/>
                </w:tcPr>
                <w:p w14:paraId="1B992E41">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涂装</w:t>
                  </w:r>
                  <w:r>
                    <w:rPr>
                      <w:rFonts w:hint="default" w:ascii="Times New Roman" w:hAnsi="Times New Roman" w:eastAsia="宋体" w:cs="Times New Roman"/>
                      <w:color w:val="auto"/>
                      <w:lang w:val="en-US" w:eastAsia="zh-CN"/>
                    </w:rPr>
                    <w:t>废气</w:t>
                  </w:r>
                </w:p>
              </w:tc>
              <w:tc>
                <w:tcPr>
                  <w:tcW w:w="4706" w:type="dxa"/>
                  <w:shd w:val="clear" w:color="auto" w:fill="auto"/>
                  <w:noWrap w:val="0"/>
                  <w:vAlign w:val="center"/>
                </w:tcPr>
                <w:p w14:paraId="6385E235">
                  <w:pPr>
                    <w:adjustRightInd w:val="0"/>
                    <w:snapToGrid w:val="0"/>
                    <w:jc w:val="left"/>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密闭负压+干式漆雾过滤模组+活性炭吸附-脱附+催化燃烧装置+20m排气筒（DA003）</w:t>
                  </w:r>
                </w:p>
              </w:tc>
              <w:tc>
                <w:tcPr>
                  <w:tcW w:w="923" w:type="dxa"/>
                  <w:shd w:val="clear" w:color="auto" w:fill="auto"/>
                  <w:noWrap w:val="0"/>
                  <w:vAlign w:val="center"/>
                </w:tcPr>
                <w:p w14:paraId="56F8C5E1">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80</w:t>
                  </w:r>
                </w:p>
              </w:tc>
            </w:tr>
            <w:tr w14:paraId="141E2FB1">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369" w:hRule="atLeast"/>
                <w:jc w:val="center"/>
              </w:trPr>
              <w:tc>
                <w:tcPr>
                  <w:tcW w:w="709" w:type="dxa"/>
                  <w:noWrap w:val="0"/>
                  <w:vAlign w:val="center"/>
                </w:tcPr>
                <w:p w14:paraId="318BD02C">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废水</w:t>
                  </w:r>
                </w:p>
              </w:tc>
              <w:tc>
                <w:tcPr>
                  <w:tcW w:w="1461" w:type="dxa"/>
                  <w:noWrap w:val="0"/>
                  <w:vAlign w:val="center"/>
                </w:tcPr>
                <w:p w14:paraId="13A89F5C">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生活污水</w:t>
                  </w:r>
                </w:p>
              </w:tc>
              <w:tc>
                <w:tcPr>
                  <w:tcW w:w="4706" w:type="dxa"/>
                  <w:shd w:val="clear" w:color="auto" w:fill="auto"/>
                  <w:noWrap w:val="0"/>
                  <w:vAlign w:val="center"/>
                </w:tcPr>
                <w:p w14:paraId="6B25631C">
                  <w:pPr>
                    <w:adjustRightInd w:val="0"/>
                    <w:snapToGrid w:val="0"/>
                    <w:jc w:val="left"/>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排入园区</w:t>
                  </w:r>
                  <w:r>
                    <w:rPr>
                      <w:rFonts w:hint="default" w:ascii="Times New Roman" w:hAnsi="Times New Roman" w:eastAsia="宋体" w:cs="Times New Roman"/>
                      <w:color w:val="auto"/>
                      <w:lang w:val="en-US" w:eastAsia="zh-CN"/>
                    </w:rPr>
                    <w:t>污水管网，进入园区污水处理厂处理</w:t>
                  </w:r>
                </w:p>
              </w:tc>
              <w:tc>
                <w:tcPr>
                  <w:tcW w:w="923" w:type="dxa"/>
                  <w:shd w:val="clear" w:color="auto" w:fill="auto"/>
                  <w:noWrap w:val="0"/>
                  <w:vAlign w:val="center"/>
                </w:tcPr>
                <w:p w14:paraId="307FEC82">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w:t>
                  </w:r>
                </w:p>
              </w:tc>
            </w:tr>
            <w:tr w14:paraId="43ECACF7">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369" w:hRule="atLeast"/>
                <w:jc w:val="center"/>
              </w:trPr>
              <w:tc>
                <w:tcPr>
                  <w:tcW w:w="709" w:type="dxa"/>
                  <w:noWrap w:val="0"/>
                  <w:vAlign w:val="center"/>
                </w:tcPr>
                <w:p w14:paraId="2C820A34">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噪声</w:t>
                  </w:r>
                </w:p>
              </w:tc>
              <w:tc>
                <w:tcPr>
                  <w:tcW w:w="1461" w:type="dxa"/>
                  <w:noWrap w:val="0"/>
                  <w:vAlign w:val="center"/>
                </w:tcPr>
                <w:p w14:paraId="27E6E7F8">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设备</w:t>
                  </w:r>
                  <w:r>
                    <w:rPr>
                      <w:rFonts w:hint="default" w:ascii="Times New Roman" w:hAnsi="Times New Roman" w:eastAsia="宋体" w:cs="Times New Roman"/>
                      <w:color w:val="auto"/>
                      <w:lang w:val="en-US" w:eastAsia="zh-CN"/>
                    </w:rPr>
                    <w:t>噪声</w:t>
                  </w:r>
                </w:p>
              </w:tc>
              <w:tc>
                <w:tcPr>
                  <w:tcW w:w="4706" w:type="dxa"/>
                  <w:noWrap w:val="0"/>
                  <w:vAlign w:val="center"/>
                </w:tcPr>
                <w:p w14:paraId="50903416">
                  <w:pPr>
                    <w:adjustRightInd w:val="0"/>
                    <w:snapToGrid w:val="0"/>
                    <w:jc w:val="left"/>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设备基础减振，厂房隔声等</w:t>
                  </w:r>
                </w:p>
              </w:tc>
              <w:tc>
                <w:tcPr>
                  <w:tcW w:w="923" w:type="dxa"/>
                  <w:noWrap w:val="0"/>
                  <w:vAlign w:val="center"/>
                </w:tcPr>
                <w:p w14:paraId="7918C383">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w:t>
                  </w:r>
                </w:p>
              </w:tc>
            </w:tr>
            <w:tr w14:paraId="5413D834">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369" w:hRule="atLeast"/>
                <w:jc w:val="center"/>
              </w:trPr>
              <w:tc>
                <w:tcPr>
                  <w:tcW w:w="709" w:type="dxa"/>
                  <w:vMerge w:val="restart"/>
                  <w:noWrap w:val="0"/>
                  <w:vAlign w:val="center"/>
                </w:tcPr>
                <w:p w14:paraId="3B692D15">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固废</w:t>
                  </w:r>
                </w:p>
              </w:tc>
              <w:tc>
                <w:tcPr>
                  <w:tcW w:w="1461" w:type="dxa"/>
                  <w:noWrap w:val="0"/>
                  <w:vAlign w:val="center"/>
                </w:tcPr>
                <w:p w14:paraId="5360D8EC">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生产固废</w:t>
                  </w:r>
                </w:p>
              </w:tc>
              <w:tc>
                <w:tcPr>
                  <w:tcW w:w="4706" w:type="dxa"/>
                  <w:noWrap w:val="0"/>
                  <w:vAlign w:val="center"/>
                </w:tcPr>
                <w:p w14:paraId="21274E4E">
                  <w:pPr>
                    <w:adjustRightInd w:val="0"/>
                    <w:snapToGrid w:val="0"/>
                    <w:jc w:val="left"/>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一般固废暂存区、</w:t>
                  </w:r>
                  <w:r>
                    <w:rPr>
                      <w:rFonts w:hint="default" w:ascii="Times New Roman" w:hAnsi="Times New Roman" w:eastAsia="宋体" w:cs="Times New Roman"/>
                      <w:color w:val="auto"/>
                      <w:lang w:val="en-US" w:eastAsia="zh-CN"/>
                    </w:rPr>
                    <w:t>危废</w:t>
                  </w:r>
                  <w:r>
                    <w:rPr>
                      <w:rFonts w:hint="eastAsia" w:ascii="Times New Roman" w:hAnsi="Times New Roman" w:eastAsia="宋体" w:cs="Times New Roman"/>
                      <w:color w:val="auto"/>
                      <w:lang w:val="en-US" w:eastAsia="zh-CN"/>
                    </w:rPr>
                    <w:t>贮存</w:t>
                  </w:r>
                  <w:r>
                    <w:rPr>
                      <w:rFonts w:hint="eastAsia" w:cs="Times New Roman"/>
                      <w:color w:val="auto"/>
                      <w:lang w:val="en-US" w:eastAsia="zh-CN"/>
                    </w:rPr>
                    <w:t>点</w:t>
                  </w:r>
                  <w:r>
                    <w:rPr>
                      <w:rFonts w:hint="eastAsia" w:ascii="Times New Roman" w:hAnsi="Times New Roman" w:eastAsia="宋体" w:cs="Times New Roman"/>
                      <w:color w:val="auto"/>
                      <w:lang w:val="en-US" w:eastAsia="zh-CN"/>
                    </w:rPr>
                    <w:t>，签订委托处置协议。</w:t>
                  </w:r>
                </w:p>
              </w:tc>
              <w:tc>
                <w:tcPr>
                  <w:tcW w:w="923" w:type="dxa"/>
                  <w:shd w:val="clear" w:color="auto" w:fill="auto"/>
                  <w:noWrap w:val="0"/>
                  <w:vAlign w:val="center"/>
                </w:tcPr>
                <w:p w14:paraId="1947E135">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18</w:t>
                  </w:r>
                </w:p>
              </w:tc>
            </w:tr>
            <w:tr w14:paraId="1D91D5A0">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369" w:hRule="atLeast"/>
                <w:jc w:val="center"/>
              </w:trPr>
              <w:tc>
                <w:tcPr>
                  <w:tcW w:w="709" w:type="dxa"/>
                  <w:vMerge w:val="continue"/>
                  <w:noWrap w:val="0"/>
                  <w:vAlign w:val="center"/>
                </w:tcPr>
                <w:p w14:paraId="06599260">
                  <w:pPr>
                    <w:adjustRightInd w:val="0"/>
                    <w:snapToGrid w:val="0"/>
                    <w:jc w:val="center"/>
                    <w:rPr>
                      <w:rFonts w:hint="eastAsia" w:ascii="Times New Roman" w:hAnsi="Times New Roman" w:eastAsia="宋体" w:cs="Times New Roman"/>
                      <w:color w:val="auto"/>
                      <w:lang w:val="en-US" w:eastAsia="zh-CN"/>
                    </w:rPr>
                  </w:pPr>
                </w:p>
              </w:tc>
              <w:tc>
                <w:tcPr>
                  <w:tcW w:w="1461" w:type="dxa"/>
                  <w:noWrap w:val="0"/>
                  <w:vAlign w:val="center"/>
                </w:tcPr>
                <w:p w14:paraId="0A52F0C6">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生活垃圾</w:t>
                  </w:r>
                </w:p>
              </w:tc>
              <w:tc>
                <w:tcPr>
                  <w:tcW w:w="4706" w:type="dxa"/>
                  <w:noWrap w:val="0"/>
                  <w:vAlign w:val="center"/>
                </w:tcPr>
                <w:p w14:paraId="1E70BA3B">
                  <w:pPr>
                    <w:adjustRightInd w:val="0"/>
                    <w:snapToGrid w:val="0"/>
                    <w:jc w:val="left"/>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厂内设</w:t>
                  </w:r>
                  <w:r>
                    <w:rPr>
                      <w:rFonts w:hint="default" w:ascii="Times New Roman" w:hAnsi="Times New Roman" w:eastAsia="宋体" w:cs="Times New Roman"/>
                      <w:color w:val="auto"/>
                      <w:lang w:val="en-US" w:eastAsia="zh-CN"/>
                    </w:rPr>
                    <w:t>生活垃圾</w:t>
                  </w:r>
                  <w:r>
                    <w:rPr>
                      <w:rFonts w:hint="eastAsia" w:ascii="Times New Roman" w:hAnsi="Times New Roman" w:eastAsia="宋体" w:cs="Times New Roman"/>
                      <w:color w:val="auto"/>
                      <w:lang w:val="en-US" w:eastAsia="zh-CN"/>
                    </w:rPr>
                    <w:t>桶，由环卫部门统一拉运。</w:t>
                  </w:r>
                </w:p>
              </w:tc>
              <w:tc>
                <w:tcPr>
                  <w:tcW w:w="923" w:type="dxa"/>
                  <w:shd w:val="clear" w:color="auto" w:fill="auto"/>
                  <w:noWrap w:val="0"/>
                  <w:vAlign w:val="center"/>
                </w:tcPr>
                <w:p w14:paraId="3DE61480">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p>
              </w:tc>
            </w:tr>
            <w:tr w14:paraId="56E4038F">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595" w:hRule="atLeast"/>
                <w:jc w:val="center"/>
              </w:trPr>
              <w:tc>
                <w:tcPr>
                  <w:tcW w:w="2170" w:type="dxa"/>
                  <w:gridSpan w:val="2"/>
                  <w:noWrap w:val="0"/>
                  <w:vAlign w:val="center"/>
                </w:tcPr>
                <w:p w14:paraId="2381BB51">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风险防范</w:t>
                  </w:r>
                </w:p>
              </w:tc>
              <w:tc>
                <w:tcPr>
                  <w:tcW w:w="4706" w:type="dxa"/>
                  <w:noWrap w:val="0"/>
                  <w:vAlign w:val="center"/>
                </w:tcPr>
                <w:p w14:paraId="025EDCE1">
                  <w:pPr>
                    <w:adjustRightInd w:val="0"/>
                    <w:snapToGrid w:val="0"/>
                    <w:jc w:val="left"/>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项目区分区防渗，建消防水池，厂房配备应急物资，安装可燃气体浓度检测仪及火灾自动报警装置。</w:t>
                  </w:r>
                </w:p>
              </w:tc>
              <w:tc>
                <w:tcPr>
                  <w:tcW w:w="923" w:type="dxa"/>
                  <w:noWrap w:val="0"/>
                  <w:vAlign w:val="center"/>
                </w:tcPr>
                <w:p w14:paraId="3C8372FA">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80</w:t>
                  </w:r>
                </w:p>
              </w:tc>
            </w:tr>
            <w:tr w14:paraId="5D46C0AF">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595" w:hRule="atLeast"/>
                <w:jc w:val="center"/>
              </w:trPr>
              <w:tc>
                <w:tcPr>
                  <w:tcW w:w="2170" w:type="dxa"/>
                  <w:gridSpan w:val="2"/>
                  <w:noWrap w:val="0"/>
                  <w:vAlign w:val="center"/>
                </w:tcPr>
                <w:p w14:paraId="450C5542">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排污口规范化设置</w:t>
                  </w:r>
                </w:p>
              </w:tc>
              <w:tc>
                <w:tcPr>
                  <w:tcW w:w="4706" w:type="dxa"/>
                  <w:noWrap w:val="0"/>
                  <w:vAlign w:val="center"/>
                </w:tcPr>
                <w:p w14:paraId="1F41474D">
                  <w:pPr>
                    <w:adjustRightInd w:val="0"/>
                    <w:snapToGrid w:val="0"/>
                    <w:jc w:val="left"/>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按照相关要求设置废气排放口标识牌、检测孔、监测平台；危险废物识别标志等。</w:t>
                  </w:r>
                </w:p>
              </w:tc>
              <w:tc>
                <w:tcPr>
                  <w:tcW w:w="923" w:type="dxa"/>
                  <w:noWrap w:val="0"/>
                  <w:vAlign w:val="center"/>
                </w:tcPr>
                <w:p w14:paraId="46D5C4C4">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12</w:t>
                  </w:r>
                </w:p>
              </w:tc>
            </w:tr>
            <w:tr w14:paraId="6B5A3E5D">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369" w:hRule="atLeast"/>
                <w:jc w:val="center"/>
              </w:trPr>
              <w:tc>
                <w:tcPr>
                  <w:tcW w:w="2170" w:type="dxa"/>
                  <w:gridSpan w:val="2"/>
                  <w:noWrap w:val="0"/>
                  <w:vAlign w:val="center"/>
                </w:tcPr>
                <w:p w14:paraId="7872952E">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绿化</w:t>
                  </w:r>
                </w:p>
              </w:tc>
              <w:tc>
                <w:tcPr>
                  <w:tcW w:w="4706" w:type="dxa"/>
                  <w:noWrap w:val="0"/>
                  <w:vAlign w:val="center"/>
                </w:tcPr>
                <w:p w14:paraId="4E767100">
                  <w:pPr>
                    <w:adjustRightInd w:val="0"/>
                    <w:snapToGrid w:val="0"/>
                    <w:jc w:val="left"/>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厂区内部绿化面积956.18m²。</w:t>
                  </w:r>
                </w:p>
              </w:tc>
              <w:tc>
                <w:tcPr>
                  <w:tcW w:w="923" w:type="dxa"/>
                  <w:noWrap w:val="0"/>
                  <w:vAlign w:val="center"/>
                </w:tcPr>
                <w:p w14:paraId="06D90293">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r>
            <w:tr w14:paraId="519F3F80">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28" w:type="dxa"/>
                  <w:bottom w:w="0" w:type="dxa"/>
                  <w:right w:w="28" w:type="dxa"/>
                </w:tblCellMar>
              </w:tblPrEx>
              <w:trPr>
                <w:cantSplit/>
                <w:trHeight w:val="369" w:hRule="atLeast"/>
                <w:jc w:val="center"/>
              </w:trPr>
              <w:tc>
                <w:tcPr>
                  <w:tcW w:w="2170" w:type="dxa"/>
                  <w:gridSpan w:val="2"/>
                  <w:noWrap w:val="0"/>
                  <w:vAlign w:val="center"/>
                </w:tcPr>
                <w:p w14:paraId="4CAC12BF">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合计</w:t>
                  </w:r>
                </w:p>
              </w:tc>
              <w:tc>
                <w:tcPr>
                  <w:tcW w:w="4706" w:type="dxa"/>
                  <w:noWrap w:val="0"/>
                  <w:vAlign w:val="center"/>
                </w:tcPr>
                <w:p w14:paraId="1308ED32">
                  <w:pPr>
                    <w:adjustRightInd w:val="0"/>
                    <w:snapToGrid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923" w:type="dxa"/>
                  <w:noWrap w:val="0"/>
                  <w:vAlign w:val="center"/>
                </w:tcPr>
                <w:p w14:paraId="4DAAD14D">
                  <w:pPr>
                    <w:adjustRightInd w:val="0"/>
                    <w:snapToGrid w:val="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260</w:t>
                  </w:r>
                </w:p>
              </w:tc>
            </w:tr>
          </w:tbl>
          <w:p w14:paraId="2806E1FC">
            <w:pPr>
              <w:keepNext w:val="0"/>
              <w:keepLines w:val="0"/>
              <w:pageBreakBefore w:val="0"/>
              <w:widowControl w:val="0"/>
              <w:kinsoku/>
              <w:wordWrap/>
              <w:overflowPunct/>
              <w:topLinePunct w:val="0"/>
              <w:autoSpaceDE/>
              <w:autoSpaceDN/>
              <w:bidi w:val="0"/>
              <w:adjustRightInd/>
              <w:snapToGrid/>
              <w:spacing w:before="157" w:beforeLines="50" w:line="348" w:lineRule="auto"/>
              <w:ind w:firstLine="480" w:firstLineChars="200"/>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（5）排污口规范化管理</w:t>
            </w:r>
          </w:p>
          <w:p w14:paraId="0C6C1CE7">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应按照</w:t>
            </w:r>
            <w:r>
              <w:rPr>
                <w:rFonts w:hint="eastAsia" w:ascii="Times New Roman" w:hAnsi="Times New Roman" w:eastAsia="宋体" w:cs="Times New Roman"/>
                <w:color w:val="auto"/>
                <w:sz w:val="24"/>
              </w:rPr>
              <w:t>《环境保护图形</w:t>
            </w:r>
            <w:r>
              <w:rPr>
                <w:rFonts w:hint="eastAsia" w:ascii="Times New Roman" w:hAnsi="Times New Roman" w:eastAsia="宋体" w:cs="Times New Roman"/>
                <w:color w:val="auto"/>
                <w:sz w:val="24"/>
                <w:lang w:val="en-US" w:eastAsia="zh-CN"/>
              </w:rPr>
              <w:t>标志——</w:t>
            </w:r>
            <w:r>
              <w:rPr>
                <w:rFonts w:hint="eastAsia" w:ascii="Times New Roman" w:hAnsi="Times New Roman" w:eastAsia="宋体" w:cs="Times New Roman"/>
                <w:color w:val="auto"/>
                <w:sz w:val="24"/>
              </w:rPr>
              <w:t>排放口（源）》（GB15562.1-1995）</w:t>
            </w:r>
            <w:r>
              <w:rPr>
                <w:rFonts w:hint="eastAsia" w:ascii="Times New Roman" w:hAnsi="Times New Roman" w:eastAsia="宋体" w:cs="Times New Roman"/>
                <w:color w:val="auto"/>
                <w:sz w:val="24"/>
                <w:lang w:val="en-US" w:eastAsia="zh-CN"/>
              </w:rPr>
              <w:t>、《环境保护图形标志 固体废物贮存（处置）场》（GB15562.2-1995）及其修改单、《危险废物识别标志设置技术规范》（HJ1276-2022）等规定，设置环境保护图形标志牌，具体设置图形见表5-2和表5-3。</w:t>
            </w:r>
          </w:p>
          <w:p w14:paraId="5FE8DA71">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表</w:t>
            </w:r>
            <w:r>
              <w:rPr>
                <w:rFonts w:hint="eastAsia" w:ascii="Times New Roman" w:hAnsi="Times New Roman" w:eastAsia="宋体" w:cs="Times New Roman"/>
                <w:b/>
                <w:bCs/>
                <w:color w:val="auto"/>
                <w:lang w:val="en-US" w:eastAsia="zh-CN"/>
              </w:rPr>
              <w:t xml:space="preserve">5-2 </w:t>
            </w:r>
            <w:r>
              <w:rPr>
                <w:rFonts w:hint="default" w:ascii="Times New Roman" w:hAnsi="Times New Roman" w:eastAsia="宋体" w:cs="Times New Roman"/>
                <w:b/>
                <w:bCs/>
                <w:color w:val="auto"/>
                <w:lang w:val="en-US" w:eastAsia="zh-CN"/>
              </w:rPr>
              <w:t>各排放口（源）</w:t>
            </w:r>
            <w:r>
              <w:rPr>
                <w:rFonts w:hint="eastAsia" w:ascii="Times New Roman" w:hAnsi="Times New Roman" w:eastAsia="宋体" w:cs="Times New Roman"/>
                <w:b/>
                <w:bCs/>
                <w:color w:val="auto"/>
                <w:lang w:val="en-US" w:eastAsia="zh-CN"/>
              </w:rPr>
              <w:t>提示图形</w:t>
            </w:r>
            <w:r>
              <w:rPr>
                <w:rFonts w:hint="default" w:ascii="Times New Roman" w:hAnsi="Times New Roman" w:eastAsia="宋体" w:cs="Times New Roman"/>
                <w:b/>
                <w:bCs/>
                <w:color w:val="auto"/>
                <w:lang w:val="en-US" w:eastAsia="zh-CN"/>
              </w:rPr>
              <w:t>表</w:t>
            </w:r>
          </w:p>
          <w:p w14:paraId="59116B31">
            <w:pPr>
              <w:keepNext w:val="0"/>
              <w:keepLines w:val="0"/>
              <w:pageBreakBefore w:val="0"/>
              <w:widowControl w:val="0"/>
              <w:kinsoku/>
              <w:wordWrap/>
              <w:overflowPunct/>
              <w:topLinePunct w:val="0"/>
              <w:autoSpaceDE/>
              <w:autoSpaceDN/>
              <w:bidi w:val="0"/>
              <w:adjustRightInd/>
              <w:snapToGrid/>
              <w:spacing w:before="63" w:beforeLines="20" w:line="300" w:lineRule="auto"/>
              <w:jc w:val="center"/>
              <w:textAlignment w:val="auto"/>
              <w:rPr>
                <w:rFonts w:hint="default" w:ascii="Times New Roman" w:hAnsi="Times New Roman" w:eastAsia="宋体" w:cs="Times New Roman"/>
                <w:b/>
                <w:bCs/>
                <w:color w:val="auto"/>
                <w:lang w:val="en-US" w:eastAsia="zh-CN"/>
              </w:rPr>
            </w:pPr>
            <w:r>
              <w:rPr>
                <w:color w:val="auto"/>
              </w:rPr>
              <w:drawing>
                <wp:anchor distT="0" distB="0" distL="114300" distR="114300" simplePos="0" relativeHeight="251698176" behindDoc="0" locked="0" layoutInCell="1" allowOverlap="1">
                  <wp:simplePos x="0" y="0"/>
                  <wp:positionH relativeFrom="column">
                    <wp:posOffset>54610</wp:posOffset>
                  </wp:positionH>
                  <wp:positionV relativeFrom="paragraph">
                    <wp:posOffset>19050</wp:posOffset>
                  </wp:positionV>
                  <wp:extent cx="4808220" cy="1911350"/>
                  <wp:effectExtent l="0" t="0" r="11430" b="12700"/>
                  <wp:wrapTopAndBottom/>
                  <wp:docPr id="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
                          <pic:cNvPicPr>
                            <a:picLocks noChangeAspect="1"/>
                          </pic:cNvPicPr>
                        </pic:nvPicPr>
                        <pic:blipFill>
                          <a:blip r:embed="rId23"/>
                          <a:stretch>
                            <a:fillRect/>
                          </a:stretch>
                        </pic:blipFill>
                        <pic:spPr>
                          <a:xfrm>
                            <a:off x="0" y="0"/>
                            <a:ext cx="4808220" cy="1911350"/>
                          </a:xfrm>
                          <a:prstGeom prst="rect">
                            <a:avLst/>
                          </a:prstGeom>
                          <a:noFill/>
                          <a:ln>
                            <a:noFill/>
                          </a:ln>
                        </pic:spPr>
                      </pic:pic>
                    </a:graphicData>
                  </a:graphic>
                </wp:anchor>
              </w:drawing>
            </w:r>
            <w:r>
              <w:rPr>
                <w:rFonts w:hint="default" w:ascii="Times New Roman" w:hAnsi="Times New Roman" w:eastAsia="宋体" w:cs="Times New Roman"/>
                <w:b/>
                <w:bCs/>
                <w:color w:val="auto"/>
                <w:lang w:val="en-US" w:eastAsia="zh-CN"/>
              </w:rPr>
              <w:t>表</w:t>
            </w:r>
            <w:r>
              <w:rPr>
                <w:rFonts w:hint="eastAsia" w:ascii="Times New Roman" w:hAnsi="Times New Roman" w:eastAsia="宋体" w:cs="Times New Roman"/>
                <w:b/>
                <w:bCs/>
                <w:color w:val="auto"/>
                <w:lang w:val="en-US" w:eastAsia="zh-CN"/>
              </w:rPr>
              <w:t xml:space="preserve">5-3 </w:t>
            </w:r>
            <w:r>
              <w:rPr>
                <w:rFonts w:hint="default" w:ascii="Times New Roman" w:hAnsi="Times New Roman" w:eastAsia="宋体" w:cs="Times New Roman"/>
                <w:b/>
                <w:bCs/>
                <w:color w:val="auto"/>
                <w:lang w:val="en-US" w:eastAsia="zh-CN"/>
              </w:rPr>
              <w:t>各排放口（源）警告图形</w:t>
            </w:r>
            <w:r>
              <w:rPr>
                <w:rFonts w:hint="eastAsia" w:ascii="Times New Roman" w:hAnsi="Times New Roman" w:eastAsia="宋体" w:cs="Times New Roman"/>
                <w:b/>
                <w:bCs/>
                <w:color w:val="auto"/>
                <w:lang w:val="en-US" w:eastAsia="zh-CN"/>
              </w:rPr>
              <w:t>表</w:t>
            </w:r>
          </w:p>
          <w:p w14:paraId="4F1E69CA">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drawing>
                <wp:anchor distT="0" distB="0" distL="114300" distR="114300" simplePos="0" relativeHeight="251699200" behindDoc="0" locked="0" layoutInCell="1" allowOverlap="1">
                  <wp:simplePos x="0" y="0"/>
                  <wp:positionH relativeFrom="column">
                    <wp:posOffset>66040</wp:posOffset>
                  </wp:positionH>
                  <wp:positionV relativeFrom="paragraph">
                    <wp:posOffset>13970</wp:posOffset>
                  </wp:positionV>
                  <wp:extent cx="4806950" cy="1484630"/>
                  <wp:effectExtent l="0" t="0" r="12700" b="1270"/>
                  <wp:wrapTopAndBottom/>
                  <wp:docPr id="4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
                          <pic:cNvPicPr>
                            <a:picLocks noChangeAspect="1"/>
                          </pic:cNvPicPr>
                        </pic:nvPicPr>
                        <pic:blipFill>
                          <a:blip r:embed="rId24"/>
                          <a:stretch>
                            <a:fillRect/>
                          </a:stretch>
                        </pic:blipFill>
                        <pic:spPr>
                          <a:xfrm>
                            <a:off x="0" y="0"/>
                            <a:ext cx="4806950" cy="1484630"/>
                          </a:xfrm>
                          <a:prstGeom prst="rect">
                            <a:avLst/>
                          </a:prstGeom>
                          <a:noFill/>
                          <a:ln>
                            <a:noFill/>
                          </a:ln>
                        </pic:spPr>
                      </pic:pic>
                    </a:graphicData>
                  </a:graphic>
                </wp:anchor>
              </w:drawing>
            </w:r>
            <w:r>
              <w:rPr>
                <w:rFonts w:hint="default" w:ascii="Times New Roman" w:hAnsi="Times New Roman" w:eastAsia="宋体" w:cs="Times New Roman"/>
                <w:color w:val="auto"/>
                <w:sz w:val="24"/>
                <w:lang w:val="en-US" w:eastAsia="zh-CN"/>
              </w:rPr>
              <w:t>按照污染源监测技术规范</w:t>
            </w:r>
            <w:r>
              <w:rPr>
                <w:rFonts w:hint="eastAsia" w:ascii="Times New Roman" w:hAnsi="Times New Roman" w:eastAsia="宋体" w:cs="Times New Roman"/>
                <w:color w:val="auto"/>
                <w:sz w:val="24"/>
                <w:lang w:val="en-US" w:eastAsia="zh-CN"/>
              </w:rPr>
              <w:t>相关要求</w:t>
            </w:r>
            <w:r>
              <w:rPr>
                <w:rFonts w:hint="default" w:ascii="Times New Roman" w:hAnsi="Times New Roman" w:eastAsia="宋体" w:cs="Times New Roman"/>
                <w:color w:val="auto"/>
                <w:sz w:val="24"/>
                <w:lang w:val="en-US" w:eastAsia="zh-CN"/>
              </w:rPr>
              <w:t>设置规范的、便于测量流量、流速的测流段和采样点，</w:t>
            </w:r>
            <w:r>
              <w:rPr>
                <w:rFonts w:hint="eastAsia" w:ascii="Times New Roman" w:hAnsi="Times New Roman" w:eastAsia="宋体" w:cs="Times New Roman"/>
                <w:color w:val="auto"/>
                <w:sz w:val="24"/>
                <w:lang w:val="en-US" w:eastAsia="zh-CN"/>
              </w:rPr>
              <w:t>排污口</w:t>
            </w:r>
            <w:r>
              <w:rPr>
                <w:rFonts w:hint="default" w:ascii="Times New Roman" w:hAnsi="Times New Roman" w:eastAsia="宋体" w:cs="Times New Roman"/>
                <w:color w:val="auto"/>
                <w:sz w:val="24"/>
                <w:lang w:val="en-US" w:eastAsia="zh-CN"/>
              </w:rPr>
              <w:t xml:space="preserve">规范化要求如下： </w:t>
            </w:r>
          </w:p>
          <w:p w14:paraId="59584A50">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（1）废气排放口要求</w:t>
            </w:r>
          </w:p>
          <w:p w14:paraId="74C33AAA">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废气的进气口及排气口均应设置便于采样、监测的采样口和监测平台，设置直径不小于75mm的采样口。</w:t>
            </w:r>
          </w:p>
          <w:p w14:paraId="1FFAE1C0">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w:t>
            </w:r>
            <w:r>
              <w:rPr>
                <w:rFonts w:hint="eastAsia" w:ascii="Times New Roman" w:hAnsi="Times New Roman" w:eastAsia="宋体" w:cs="Times New Roman"/>
                <w:color w:val="auto"/>
                <w:sz w:val="24"/>
                <w:lang w:val="en-US" w:eastAsia="zh-CN"/>
              </w:rPr>
              <w:t>2</w:t>
            </w:r>
            <w:r>
              <w:rPr>
                <w:rFonts w:hint="default" w:ascii="Times New Roman" w:hAnsi="Times New Roman" w:eastAsia="宋体" w:cs="Times New Roman"/>
                <w:color w:val="auto"/>
                <w:sz w:val="24"/>
                <w:lang w:val="en-US" w:eastAsia="zh-CN"/>
              </w:rPr>
              <w:t>）设置标识牌</w:t>
            </w:r>
          </w:p>
          <w:p w14:paraId="57CAA8ED">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ascii="宋体" w:hAnsi="宋体" w:cs="宋体"/>
                <w:color w:val="auto"/>
                <w:sz w:val="24"/>
              </w:rPr>
            </w:pPr>
            <w:r>
              <w:rPr>
                <w:rFonts w:hint="default" w:ascii="Times New Roman" w:hAnsi="Times New Roman" w:eastAsia="宋体" w:cs="Times New Roman"/>
                <w:color w:val="auto"/>
                <w:sz w:val="24"/>
                <w:lang w:val="en-US" w:eastAsia="zh-CN"/>
              </w:rPr>
              <w:t>污染物排放口的环境保护图形标志牌应设置在靠近采样点的醒目处，标志牌设置高度为其上缘距地面2m。排污口附近1m范围内有建筑物的</w:t>
            </w:r>
            <w:r>
              <w:rPr>
                <w:rFonts w:hint="eastAsia"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lang w:val="en-US" w:eastAsia="zh-CN"/>
              </w:rPr>
              <w:t>设平面式标志牌，无建筑物设立式标志牌。规范化排污口的有关设置（如图形标志牌、计量装置、监控装置等）属生态环境保护设施，排污单位必须负责日常的维护保养，任何单位和个人不得擅自拆除。</w:t>
            </w:r>
          </w:p>
        </w:tc>
      </w:tr>
    </w:tbl>
    <w:p w14:paraId="78430688">
      <w:pPr>
        <w:pStyle w:val="23"/>
        <w:jc w:val="center"/>
        <w:outlineLvl w:val="0"/>
        <w:rPr>
          <w:rFonts w:ascii="Times New Roman" w:hAnsi="Times New Roman" w:eastAsia="黑体"/>
          <w:snapToGrid w:val="0"/>
          <w:color w:val="auto"/>
          <w:sz w:val="30"/>
          <w:szCs w:val="30"/>
        </w:rPr>
      </w:pPr>
      <w:r>
        <w:rPr>
          <w:rFonts w:ascii="Times New Roman" w:hAnsi="Times New Roman"/>
          <w:snapToGrid w:val="0"/>
          <w:color w:val="auto"/>
          <w:highlight w:val="yellow"/>
        </w:rPr>
        <w:br w:type="page"/>
      </w:r>
      <w:bookmarkStart w:id="12" w:name="_Toc17764"/>
      <w:r>
        <w:rPr>
          <w:rFonts w:ascii="Times New Roman" w:hAnsi="Times New Roman" w:eastAsia="黑体"/>
          <w:snapToGrid w:val="0"/>
          <w:color w:val="auto"/>
          <w:sz w:val="30"/>
          <w:szCs w:val="30"/>
        </w:rPr>
        <w:t>六、结论</w:t>
      </w:r>
      <w:bookmarkEnd w:id="12"/>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4C32D8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14:paraId="71D94BAC">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 xml:space="preserve">本项目符合国家、地方产业政策要求，且满足生态环境分区管控相关要求，选址可行。在认真落实本评价提出的各项环保措施后，各污染物排放可满足相关排放标准和控制标准要求。环境影响分析表明项目建设对大气环境、水环境的影响可接受，对土壤、地下水环境影响较小，环境风险在可接受程度。从环境保护角度分析，本项目的环境影响可行。 </w:t>
            </w:r>
          </w:p>
          <w:p w14:paraId="670D4319">
            <w:pPr>
              <w:pStyle w:val="12"/>
              <w:rPr>
                <w:rFonts w:hint="eastAsia"/>
                <w:color w:val="auto"/>
              </w:rPr>
            </w:pPr>
          </w:p>
          <w:p w14:paraId="7FE8BE13">
            <w:pPr>
              <w:pStyle w:val="44"/>
              <w:spacing w:line="360" w:lineRule="auto"/>
              <w:ind w:firstLine="480" w:firstLineChars="200"/>
              <w:jc w:val="both"/>
              <w:rPr>
                <w:color w:val="auto"/>
              </w:rPr>
            </w:pPr>
          </w:p>
        </w:tc>
      </w:tr>
    </w:tbl>
    <w:p w14:paraId="4B683500">
      <w:pPr>
        <w:rPr>
          <w:color w:val="auto"/>
          <w:highlight w:val="yellow"/>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410D00F2">
      <w:pPr>
        <w:pStyle w:val="23"/>
        <w:keepNext w:val="0"/>
        <w:keepLines w:val="0"/>
        <w:pageBreakBefore w:val="0"/>
        <w:widowControl/>
        <w:kinsoku/>
        <w:wordWrap/>
        <w:overflowPunct/>
        <w:topLinePunct w:val="0"/>
        <w:autoSpaceDE/>
        <w:autoSpaceDN/>
        <w:bidi w:val="0"/>
        <w:adjustRightInd w:val="0"/>
        <w:snapToGrid w:val="0"/>
        <w:spacing w:before="0" w:beforeAutospacing="0" w:after="0" w:afterAutospacing="0" w:line="204" w:lineRule="auto"/>
        <w:textAlignment w:val="auto"/>
        <w:outlineLvl w:val="0"/>
        <w:rPr>
          <w:rFonts w:ascii="Times New Roman" w:hAnsi="Times New Roman" w:eastAsia="黑体"/>
          <w:snapToGrid w:val="0"/>
          <w:color w:val="auto"/>
          <w:sz w:val="32"/>
          <w:szCs w:val="32"/>
        </w:rPr>
      </w:pPr>
      <w:bookmarkStart w:id="13" w:name="_Toc766"/>
      <w:r>
        <w:rPr>
          <w:rFonts w:ascii="Times New Roman" w:hAnsi="Times New Roman" w:eastAsia="黑体"/>
          <w:snapToGrid w:val="0"/>
          <w:color w:val="auto"/>
          <w:sz w:val="32"/>
          <w:szCs w:val="32"/>
        </w:rPr>
        <w:t>附表</w:t>
      </w:r>
      <w:bookmarkEnd w:id="13"/>
    </w:p>
    <w:p w14:paraId="39C0BD18">
      <w:pPr>
        <w:keepNext w:val="0"/>
        <w:keepLines w:val="0"/>
        <w:pageBreakBefore w:val="0"/>
        <w:widowControl w:val="0"/>
        <w:kinsoku/>
        <w:wordWrap/>
        <w:overflowPunct/>
        <w:topLinePunct w:val="0"/>
        <w:autoSpaceDE/>
        <w:autoSpaceDN/>
        <w:bidi w:val="0"/>
        <w:adjustRightInd/>
        <w:snapToGrid/>
        <w:spacing w:line="204" w:lineRule="auto"/>
        <w:jc w:val="center"/>
        <w:textAlignment w:val="auto"/>
        <w:rPr>
          <w:rFonts w:hint="eastAsia" w:ascii="方正小标宋简体" w:hAnsi="方正小标宋简体" w:eastAsia="方正小标宋简体" w:cs="方正小标宋简体"/>
          <w:color w:val="auto"/>
          <w:sz w:val="40"/>
          <w:szCs w:val="40"/>
        </w:rPr>
      </w:pPr>
      <w:r>
        <w:rPr>
          <w:rFonts w:hint="eastAsia" w:ascii="方正小标宋简体" w:hAnsi="方正小标宋简体" w:eastAsia="方正小标宋简体" w:cs="方正小标宋简体"/>
          <w:color w:val="auto"/>
          <w:sz w:val="40"/>
          <w:szCs w:val="40"/>
        </w:rPr>
        <w:t>建设项目污染物排放量汇总表</w:t>
      </w:r>
    </w:p>
    <w:tbl>
      <w:tblPr>
        <w:tblStyle w:val="26"/>
        <w:tblW w:w="13895" w:type="dxa"/>
        <w:tblInd w:w="-159"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66"/>
        <w:gridCol w:w="444"/>
        <w:gridCol w:w="1968"/>
        <w:gridCol w:w="1469"/>
        <w:gridCol w:w="1228"/>
        <w:gridCol w:w="1554"/>
        <w:gridCol w:w="1650"/>
        <w:gridCol w:w="1623"/>
        <w:gridCol w:w="1786"/>
        <w:gridCol w:w="1507"/>
      </w:tblGrid>
      <w:tr w14:paraId="4EC7C2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110" w:type="dxa"/>
            <w:gridSpan w:val="2"/>
            <w:tcBorders>
              <w:tl2br w:val="single" w:color="auto" w:sz="4" w:space="0"/>
            </w:tcBorders>
            <w:noWrap w:val="0"/>
            <w:tcMar>
              <w:left w:w="28" w:type="dxa"/>
              <w:right w:w="28" w:type="dxa"/>
            </w:tcMar>
            <w:vAlign w:val="center"/>
          </w:tcPr>
          <w:p w14:paraId="08FFB5E2">
            <w:pPr>
              <w:pStyle w:val="48"/>
              <w:keepNext w:val="0"/>
              <w:keepLines w:val="0"/>
              <w:pageBreakBefore w:val="0"/>
              <w:widowControl w:val="0"/>
              <w:kinsoku/>
              <w:wordWrap/>
              <w:overflowPunct/>
              <w:topLinePunct w:val="0"/>
              <w:autoSpaceDE/>
              <w:autoSpaceDN/>
              <w:bidi w:val="0"/>
              <w:adjustRightInd w:val="0"/>
              <w:snapToGrid w:val="0"/>
              <w:spacing w:beforeLines="0" w:afterLines="0" w:line="192" w:lineRule="auto"/>
              <w:jc w:val="right"/>
              <w:textAlignment w:val="auto"/>
              <w:rPr>
                <w:rFonts w:ascii="Times New Roman" w:eastAsia="黑体"/>
                <w:snapToGrid w:val="0"/>
                <w:color w:val="auto"/>
                <w:spacing w:val="-6"/>
                <w:kern w:val="21"/>
                <w:szCs w:val="21"/>
              </w:rPr>
            </w:pPr>
            <w:r>
              <w:rPr>
                <w:rFonts w:ascii="Times New Roman" w:eastAsia="黑体"/>
                <w:snapToGrid w:val="0"/>
                <w:color w:val="auto"/>
                <w:spacing w:val="-6"/>
                <w:kern w:val="21"/>
                <w:szCs w:val="21"/>
              </w:rPr>
              <w:t>项目</w:t>
            </w:r>
          </w:p>
          <w:p w14:paraId="0E307C49">
            <w:pPr>
              <w:pStyle w:val="48"/>
              <w:keepNext w:val="0"/>
              <w:keepLines w:val="0"/>
              <w:pageBreakBefore w:val="0"/>
              <w:widowControl w:val="0"/>
              <w:kinsoku/>
              <w:wordWrap/>
              <w:overflowPunct/>
              <w:topLinePunct w:val="0"/>
              <w:autoSpaceDE/>
              <w:autoSpaceDN/>
              <w:bidi w:val="0"/>
              <w:adjustRightInd w:val="0"/>
              <w:snapToGrid w:val="0"/>
              <w:spacing w:beforeLines="0" w:afterLines="0" w:line="192" w:lineRule="auto"/>
              <w:jc w:val="left"/>
              <w:textAlignment w:val="auto"/>
              <w:rPr>
                <w:rFonts w:ascii="Times New Roman" w:eastAsia="黑体"/>
                <w:snapToGrid w:val="0"/>
                <w:color w:val="auto"/>
                <w:spacing w:val="-6"/>
                <w:kern w:val="21"/>
                <w:szCs w:val="21"/>
              </w:rPr>
            </w:pPr>
            <w:r>
              <w:rPr>
                <w:rFonts w:ascii="Times New Roman" w:eastAsia="黑体"/>
                <w:snapToGrid w:val="0"/>
                <w:color w:val="auto"/>
                <w:spacing w:val="-6"/>
                <w:kern w:val="21"/>
                <w:szCs w:val="21"/>
              </w:rPr>
              <w:t>分类</w:t>
            </w:r>
          </w:p>
        </w:tc>
        <w:tc>
          <w:tcPr>
            <w:tcW w:w="1968" w:type="dxa"/>
            <w:noWrap w:val="0"/>
            <w:tcMar>
              <w:left w:w="28" w:type="dxa"/>
              <w:right w:w="28" w:type="dxa"/>
            </w:tcMar>
            <w:vAlign w:val="center"/>
          </w:tcPr>
          <w:p w14:paraId="662ED58D">
            <w:pPr>
              <w:pStyle w:val="48"/>
              <w:keepNext w:val="0"/>
              <w:keepLines w:val="0"/>
              <w:pageBreakBefore w:val="0"/>
              <w:widowControl w:val="0"/>
              <w:kinsoku/>
              <w:wordWrap/>
              <w:overflowPunct/>
              <w:topLinePunct w:val="0"/>
              <w:autoSpaceDE/>
              <w:autoSpaceDN/>
              <w:bidi w:val="0"/>
              <w:adjustRightInd w:val="0"/>
              <w:snapToGrid w:val="0"/>
              <w:spacing w:beforeLines="0" w:afterLines="0" w:line="192" w:lineRule="auto"/>
              <w:textAlignment w:val="auto"/>
              <w:rPr>
                <w:rFonts w:ascii="Times New Roman" w:eastAsia="黑体"/>
                <w:snapToGrid w:val="0"/>
                <w:color w:val="auto"/>
                <w:spacing w:val="-6"/>
                <w:kern w:val="21"/>
                <w:szCs w:val="21"/>
              </w:rPr>
            </w:pPr>
            <w:r>
              <w:rPr>
                <w:rFonts w:ascii="Times New Roman" w:eastAsia="黑体"/>
                <w:snapToGrid w:val="0"/>
                <w:color w:val="auto"/>
                <w:spacing w:val="-6"/>
                <w:kern w:val="21"/>
                <w:szCs w:val="21"/>
              </w:rPr>
              <w:t>污染物名称</w:t>
            </w:r>
          </w:p>
        </w:tc>
        <w:tc>
          <w:tcPr>
            <w:tcW w:w="1469" w:type="dxa"/>
            <w:noWrap w:val="0"/>
            <w:tcMar>
              <w:left w:w="28" w:type="dxa"/>
              <w:right w:w="28" w:type="dxa"/>
            </w:tcMar>
            <w:vAlign w:val="center"/>
          </w:tcPr>
          <w:p w14:paraId="1E79F4F7">
            <w:pPr>
              <w:pStyle w:val="48"/>
              <w:keepNext w:val="0"/>
              <w:keepLines w:val="0"/>
              <w:pageBreakBefore w:val="0"/>
              <w:widowControl w:val="0"/>
              <w:kinsoku/>
              <w:wordWrap/>
              <w:overflowPunct/>
              <w:topLinePunct w:val="0"/>
              <w:autoSpaceDE/>
              <w:autoSpaceDN/>
              <w:bidi w:val="0"/>
              <w:adjustRightInd w:val="0"/>
              <w:snapToGrid w:val="0"/>
              <w:spacing w:beforeLines="0" w:afterLines="0" w:line="192" w:lineRule="auto"/>
              <w:textAlignment w:val="auto"/>
              <w:rPr>
                <w:rFonts w:ascii="Times New Roman" w:eastAsia="黑体"/>
                <w:snapToGrid w:val="0"/>
                <w:color w:val="auto"/>
                <w:spacing w:val="-6"/>
                <w:kern w:val="21"/>
                <w:szCs w:val="21"/>
              </w:rPr>
            </w:pPr>
            <w:r>
              <w:rPr>
                <w:rFonts w:ascii="Times New Roman" w:eastAsia="黑体"/>
                <w:snapToGrid w:val="0"/>
                <w:color w:val="auto"/>
                <w:spacing w:val="-6"/>
                <w:kern w:val="21"/>
                <w:szCs w:val="21"/>
              </w:rPr>
              <w:t>现有工程</w:t>
            </w:r>
          </w:p>
          <w:p w14:paraId="0314A6AC">
            <w:pPr>
              <w:pStyle w:val="48"/>
              <w:keepNext w:val="0"/>
              <w:keepLines w:val="0"/>
              <w:pageBreakBefore w:val="0"/>
              <w:widowControl w:val="0"/>
              <w:kinsoku/>
              <w:wordWrap/>
              <w:overflowPunct/>
              <w:topLinePunct w:val="0"/>
              <w:autoSpaceDE/>
              <w:autoSpaceDN/>
              <w:bidi w:val="0"/>
              <w:adjustRightInd w:val="0"/>
              <w:snapToGrid w:val="0"/>
              <w:spacing w:beforeLines="0" w:afterLines="0" w:line="192" w:lineRule="auto"/>
              <w:textAlignment w:val="auto"/>
              <w:rPr>
                <w:rFonts w:ascii="Times New Roman" w:eastAsia="黑体"/>
                <w:snapToGrid w:val="0"/>
                <w:color w:val="auto"/>
                <w:spacing w:val="-6"/>
                <w:kern w:val="21"/>
                <w:szCs w:val="21"/>
              </w:rPr>
            </w:pPr>
            <w:r>
              <w:rPr>
                <w:rFonts w:ascii="Times New Roman" w:eastAsia="黑体"/>
                <w:snapToGrid w:val="0"/>
                <w:color w:val="auto"/>
                <w:spacing w:val="-6"/>
                <w:kern w:val="21"/>
                <w:szCs w:val="21"/>
              </w:rPr>
              <w:t>排放量（固体废物产生量）①</w:t>
            </w:r>
          </w:p>
        </w:tc>
        <w:tc>
          <w:tcPr>
            <w:tcW w:w="1228" w:type="dxa"/>
            <w:noWrap w:val="0"/>
            <w:tcMar>
              <w:left w:w="28" w:type="dxa"/>
              <w:right w:w="28" w:type="dxa"/>
            </w:tcMar>
            <w:vAlign w:val="center"/>
          </w:tcPr>
          <w:p w14:paraId="016FD74C">
            <w:pPr>
              <w:pStyle w:val="48"/>
              <w:keepNext w:val="0"/>
              <w:keepLines w:val="0"/>
              <w:pageBreakBefore w:val="0"/>
              <w:widowControl w:val="0"/>
              <w:kinsoku/>
              <w:wordWrap/>
              <w:overflowPunct/>
              <w:topLinePunct w:val="0"/>
              <w:autoSpaceDE/>
              <w:autoSpaceDN/>
              <w:bidi w:val="0"/>
              <w:adjustRightInd w:val="0"/>
              <w:snapToGrid w:val="0"/>
              <w:spacing w:beforeLines="0" w:afterLines="0" w:line="192" w:lineRule="auto"/>
              <w:textAlignment w:val="auto"/>
              <w:rPr>
                <w:rFonts w:ascii="Times New Roman" w:eastAsia="黑体"/>
                <w:snapToGrid w:val="0"/>
                <w:color w:val="auto"/>
                <w:spacing w:val="-6"/>
                <w:kern w:val="21"/>
                <w:szCs w:val="21"/>
              </w:rPr>
            </w:pPr>
            <w:r>
              <w:rPr>
                <w:rFonts w:ascii="Times New Roman" w:eastAsia="黑体"/>
                <w:snapToGrid w:val="0"/>
                <w:color w:val="auto"/>
                <w:spacing w:val="-6"/>
                <w:kern w:val="21"/>
                <w:szCs w:val="21"/>
              </w:rPr>
              <w:t>现有工程</w:t>
            </w:r>
          </w:p>
          <w:p w14:paraId="7F50507B">
            <w:pPr>
              <w:pStyle w:val="48"/>
              <w:keepNext w:val="0"/>
              <w:keepLines w:val="0"/>
              <w:pageBreakBefore w:val="0"/>
              <w:widowControl w:val="0"/>
              <w:kinsoku/>
              <w:wordWrap/>
              <w:overflowPunct/>
              <w:topLinePunct w:val="0"/>
              <w:autoSpaceDE/>
              <w:autoSpaceDN/>
              <w:bidi w:val="0"/>
              <w:adjustRightInd w:val="0"/>
              <w:snapToGrid w:val="0"/>
              <w:spacing w:beforeLines="0" w:afterLines="0" w:line="192" w:lineRule="auto"/>
              <w:textAlignment w:val="auto"/>
              <w:rPr>
                <w:rFonts w:ascii="Times New Roman" w:eastAsia="黑体"/>
                <w:snapToGrid w:val="0"/>
                <w:color w:val="auto"/>
                <w:spacing w:val="-6"/>
                <w:kern w:val="21"/>
                <w:szCs w:val="21"/>
              </w:rPr>
            </w:pPr>
            <w:r>
              <w:rPr>
                <w:rFonts w:ascii="Times New Roman" w:eastAsia="黑体"/>
                <w:snapToGrid w:val="0"/>
                <w:color w:val="auto"/>
                <w:spacing w:val="-6"/>
                <w:kern w:val="21"/>
                <w:szCs w:val="21"/>
              </w:rPr>
              <w:t>许可排放量</w:t>
            </w:r>
          </w:p>
          <w:p w14:paraId="4D00FE74">
            <w:pPr>
              <w:pStyle w:val="48"/>
              <w:keepNext w:val="0"/>
              <w:keepLines w:val="0"/>
              <w:pageBreakBefore w:val="0"/>
              <w:widowControl w:val="0"/>
              <w:kinsoku/>
              <w:wordWrap/>
              <w:overflowPunct/>
              <w:topLinePunct w:val="0"/>
              <w:autoSpaceDE/>
              <w:autoSpaceDN/>
              <w:bidi w:val="0"/>
              <w:adjustRightInd w:val="0"/>
              <w:snapToGrid w:val="0"/>
              <w:spacing w:beforeLines="0" w:afterLines="0" w:line="192" w:lineRule="auto"/>
              <w:textAlignment w:val="auto"/>
              <w:rPr>
                <w:rFonts w:ascii="Times New Roman" w:eastAsia="黑体"/>
                <w:snapToGrid w:val="0"/>
                <w:color w:val="auto"/>
                <w:spacing w:val="-6"/>
                <w:kern w:val="21"/>
                <w:szCs w:val="21"/>
              </w:rPr>
            </w:pPr>
            <w:r>
              <w:rPr>
                <w:rFonts w:ascii="Times New Roman" w:eastAsia="黑体"/>
                <w:snapToGrid w:val="0"/>
                <w:color w:val="auto"/>
                <w:spacing w:val="-6"/>
                <w:kern w:val="21"/>
                <w:szCs w:val="21"/>
              </w:rPr>
              <w:t>②</w:t>
            </w:r>
          </w:p>
        </w:tc>
        <w:tc>
          <w:tcPr>
            <w:tcW w:w="1554" w:type="dxa"/>
            <w:noWrap w:val="0"/>
            <w:tcMar>
              <w:left w:w="28" w:type="dxa"/>
              <w:right w:w="28" w:type="dxa"/>
            </w:tcMar>
            <w:vAlign w:val="center"/>
          </w:tcPr>
          <w:p w14:paraId="2C462E03">
            <w:pPr>
              <w:pStyle w:val="48"/>
              <w:keepNext w:val="0"/>
              <w:keepLines w:val="0"/>
              <w:pageBreakBefore w:val="0"/>
              <w:widowControl w:val="0"/>
              <w:kinsoku/>
              <w:wordWrap/>
              <w:overflowPunct/>
              <w:topLinePunct w:val="0"/>
              <w:autoSpaceDE/>
              <w:autoSpaceDN/>
              <w:bidi w:val="0"/>
              <w:adjustRightInd w:val="0"/>
              <w:snapToGrid w:val="0"/>
              <w:spacing w:beforeLines="0" w:afterLines="0" w:line="192" w:lineRule="auto"/>
              <w:textAlignment w:val="auto"/>
              <w:rPr>
                <w:rFonts w:ascii="Times New Roman" w:eastAsia="黑体"/>
                <w:snapToGrid w:val="0"/>
                <w:color w:val="auto"/>
                <w:spacing w:val="-6"/>
                <w:kern w:val="21"/>
                <w:szCs w:val="21"/>
              </w:rPr>
            </w:pPr>
            <w:r>
              <w:rPr>
                <w:rFonts w:ascii="Times New Roman" w:eastAsia="黑体"/>
                <w:snapToGrid w:val="0"/>
                <w:color w:val="auto"/>
                <w:spacing w:val="-6"/>
                <w:kern w:val="21"/>
                <w:szCs w:val="21"/>
              </w:rPr>
              <w:t>在建工程</w:t>
            </w:r>
          </w:p>
          <w:p w14:paraId="27FAE849">
            <w:pPr>
              <w:pStyle w:val="48"/>
              <w:keepNext w:val="0"/>
              <w:keepLines w:val="0"/>
              <w:pageBreakBefore w:val="0"/>
              <w:widowControl w:val="0"/>
              <w:kinsoku/>
              <w:wordWrap/>
              <w:overflowPunct/>
              <w:topLinePunct w:val="0"/>
              <w:autoSpaceDE/>
              <w:autoSpaceDN/>
              <w:bidi w:val="0"/>
              <w:adjustRightInd w:val="0"/>
              <w:snapToGrid w:val="0"/>
              <w:spacing w:beforeLines="0" w:afterLines="0" w:line="192" w:lineRule="auto"/>
              <w:textAlignment w:val="auto"/>
              <w:rPr>
                <w:rFonts w:ascii="Times New Roman" w:eastAsia="黑体"/>
                <w:snapToGrid w:val="0"/>
                <w:color w:val="auto"/>
                <w:spacing w:val="-6"/>
                <w:kern w:val="21"/>
                <w:szCs w:val="21"/>
              </w:rPr>
            </w:pPr>
            <w:r>
              <w:rPr>
                <w:rFonts w:ascii="Times New Roman" w:eastAsia="黑体"/>
                <w:snapToGrid w:val="0"/>
                <w:color w:val="auto"/>
                <w:spacing w:val="-6"/>
                <w:kern w:val="21"/>
                <w:szCs w:val="21"/>
              </w:rPr>
              <w:t>排放量（固体废物产生量）③</w:t>
            </w:r>
          </w:p>
        </w:tc>
        <w:tc>
          <w:tcPr>
            <w:tcW w:w="1650" w:type="dxa"/>
            <w:noWrap w:val="0"/>
            <w:tcMar>
              <w:left w:w="28" w:type="dxa"/>
              <w:right w:w="28" w:type="dxa"/>
            </w:tcMar>
            <w:vAlign w:val="center"/>
          </w:tcPr>
          <w:p w14:paraId="773B5495">
            <w:pPr>
              <w:pStyle w:val="48"/>
              <w:keepNext w:val="0"/>
              <w:keepLines w:val="0"/>
              <w:pageBreakBefore w:val="0"/>
              <w:widowControl w:val="0"/>
              <w:kinsoku/>
              <w:wordWrap/>
              <w:overflowPunct/>
              <w:topLinePunct w:val="0"/>
              <w:autoSpaceDE/>
              <w:autoSpaceDN/>
              <w:bidi w:val="0"/>
              <w:adjustRightInd w:val="0"/>
              <w:snapToGrid w:val="0"/>
              <w:spacing w:beforeLines="0" w:afterLines="0" w:line="192" w:lineRule="auto"/>
              <w:textAlignment w:val="auto"/>
              <w:rPr>
                <w:rFonts w:ascii="Times New Roman" w:eastAsia="黑体"/>
                <w:snapToGrid w:val="0"/>
                <w:color w:val="auto"/>
                <w:spacing w:val="-6"/>
                <w:kern w:val="21"/>
                <w:szCs w:val="21"/>
              </w:rPr>
            </w:pPr>
            <w:r>
              <w:rPr>
                <w:rFonts w:ascii="Times New Roman" w:eastAsia="黑体"/>
                <w:snapToGrid w:val="0"/>
                <w:color w:val="auto"/>
                <w:spacing w:val="-6"/>
                <w:kern w:val="21"/>
                <w:szCs w:val="21"/>
              </w:rPr>
              <w:t>本项目</w:t>
            </w:r>
          </w:p>
          <w:p w14:paraId="3C8BD564">
            <w:pPr>
              <w:pStyle w:val="48"/>
              <w:keepNext w:val="0"/>
              <w:keepLines w:val="0"/>
              <w:pageBreakBefore w:val="0"/>
              <w:widowControl w:val="0"/>
              <w:kinsoku/>
              <w:wordWrap/>
              <w:overflowPunct/>
              <w:topLinePunct w:val="0"/>
              <w:autoSpaceDE/>
              <w:autoSpaceDN/>
              <w:bidi w:val="0"/>
              <w:adjustRightInd w:val="0"/>
              <w:snapToGrid w:val="0"/>
              <w:spacing w:beforeLines="0" w:afterLines="0" w:line="192" w:lineRule="auto"/>
              <w:textAlignment w:val="auto"/>
              <w:rPr>
                <w:rFonts w:ascii="Times New Roman" w:eastAsia="黑体"/>
                <w:snapToGrid w:val="0"/>
                <w:color w:val="auto"/>
                <w:spacing w:val="-6"/>
                <w:kern w:val="21"/>
                <w:szCs w:val="21"/>
              </w:rPr>
            </w:pPr>
            <w:r>
              <w:rPr>
                <w:rFonts w:ascii="Times New Roman" w:eastAsia="黑体"/>
                <w:snapToGrid w:val="0"/>
                <w:color w:val="auto"/>
                <w:spacing w:val="-6"/>
                <w:kern w:val="21"/>
                <w:szCs w:val="21"/>
              </w:rPr>
              <w:t>排放量（固体废物产生量）</w:t>
            </w:r>
            <w:r>
              <w:rPr>
                <w:rFonts w:hint="eastAsia" w:ascii="Times New Roman" w:eastAsia="黑体"/>
                <w:snapToGrid w:val="0"/>
                <w:color w:val="auto"/>
                <w:spacing w:val="-6"/>
                <w:kern w:val="21"/>
                <w:szCs w:val="21"/>
              </w:rPr>
              <w:t>④</w:t>
            </w:r>
          </w:p>
        </w:tc>
        <w:tc>
          <w:tcPr>
            <w:tcW w:w="1623" w:type="dxa"/>
            <w:noWrap w:val="0"/>
            <w:tcMar>
              <w:left w:w="28" w:type="dxa"/>
              <w:right w:w="28" w:type="dxa"/>
            </w:tcMar>
            <w:vAlign w:val="center"/>
          </w:tcPr>
          <w:p w14:paraId="2385F12D">
            <w:pPr>
              <w:pStyle w:val="48"/>
              <w:keepNext w:val="0"/>
              <w:keepLines w:val="0"/>
              <w:pageBreakBefore w:val="0"/>
              <w:widowControl w:val="0"/>
              <w:kinsoku/>
              <w:wordWrap/>
              <w:overflowPunct/>
              <w:topLinePunct w:val="0"/>
              <w:autoSpaceDE/>
              <w:autoSpaceDN/>
              <w:bidi w:val="0"/>
              <w:adjustRightInd w:val="0"/>
              <w:snapToGrid w:val="0"/>
              <w:spacing w:beforeLines="0" w:afterLines="0" w:line="192" w:lineRule="auto"/>
              <w:textAlignment w:val="auto"/>
              <w:rPr>
                <w:rFonts w:ascii="Times New Roman" w:eastAsia="黑体"/>
                <w:snapToGrid w:val="0"/>
                <w:color w:val="auto"/>
                <w:spacing w:val="-6"/>
                <w:kern w:val="21"/>
                <w:szCs w:val="21"/>
              </w:rPr>
            </w:pPr>
            <w:r>
              <w:rPr>
                <w:rFonts w:ascii="Times New Roman" w:eastAsia="黑体"/>
                <w:snapToGrid w:val="0"/>
                <w:color w:val="auto"/>
                <w:spacing w:val="-6"/>
                <w:kern w:val="21"/>
                <w:szCs w:val="21"/>
              </w:rPr>
              <w:t>以新带老削减量</w:t>
            </w:r>
          </w:p>
          <w:p w14:paraId="315F2BD7">
            <w:pPr>
              <w:pStyle w:val="48"/>
              <w:keepNext w:val="0"/>
              <w:keepLines w:val="0"/>
              <w:pageBreakBefore w:val="0"/>
              <w:widowControl w:val="0"/>
              <w:kinsoku/>
              <w:wordWrap/>
              <w:overflowPunct/>
              <w:topLinePunct w:val="0"/>
              <w:autoSpaceDE/>
              <w:autoSpaceDN/>
              <w:bidi w:val="0"/>
              <w:adjustRightInd w:val="0"/>
              <w:snapToGrid w:val="0"/>
              <w:spacing w:beforeLines="0" w:afterLines="0" w:line="192" w:lineRule="auto"/>
              <w:textAlignment w:val="auto"/>
              <w:rPr>
                <w:rFonts w:ascii="Times New Roman" w:eastAsia="黑体"/>
                <w:snapToGrid w:val="0"/>
                <w:color w:val="auto"/>
                <w:spacing w:val="-6"/>
                <w:kern w:val="21"/>
                <w:szCs w:val="21"/>
              </w:rPr>
            </w:pPr>
            <w:r>
              <w:rPr>
                <w:rFonts w:ascii="Times New Roman" w:eastAsia="黑体"/>
                <w:snapToGrid w:val="0"/>
                <w:color w:val="auto"/>
                <w:spacing w:val="-6"/>
                <w:kern w:val="21"/>
                <w:szCs w:val="21"/>
              </w:rPr>
              <w:t>（新建项目不填）</w:t>
            </w:r>
            <w:r>
              <w:rPr>
                <w:rFonts w:hint="eastAsia" w:ascii="Times New Roman" w:eastAsia="黑体"/>
                <w:snapToGrid w:val="0"/>
                <w:color w:val="auto"/>
                <w:spacing w:val="-6"/>
                <w:kern w:val="21"/>
                <w:szCs w:val="21"/>
              </w:rPr>
              <w:t>⑤</w:t>
            </w:r>
          </w:p>
        </w:tc>
        <w:tc>
          <w:tcPr>
            <w:tcW w:w="1786" w:type="dxa"/>
            <w:noWrap w:val="0"/>
            <w:tcMar>
              <w:left w:w="28" w:type="dxa"/>
              <w:right w:w="28" w:type="dxa"/>
            </w:tcMar>
            <w:vAlign w:val="center"/>
          </w:tcPr>
          <w:p w14:paraId="21EAF10B">
            <w:pPr>
              <w:pStyle w:val="48"/>
              <w:keepNext w:val="0"/>
              <w:keepLines w:val="0"/>
              <w:pageBreakBefore w:val="0"/>
              <w:widowControl w:val="0"/>
              <w:kinsoku/>
              <w:wordWrap/>
              <w:overflowPunct/>
              <w:topLinePunct w:val="0"/>
              <w:autoSpaceDE/>
              <w:autoSpaceDN/>
              <w:bidi w:val="0"/>
              <w:adjustRightInd w:val="0"/>
              <w:snapToGrid w:val="0"/>
              <w:spacing w:beforeLines="0" w:afterLines="0" w:line="192" w:lineRule="auto"/>
              <w:textAlignment w:val="auto"/>
              <w:rPr>
                <w:rFonts w:ascii="Times New Roman" w:eastAsia="黑体"/>
                <w:snapToGrid w:val="0"/>
                <w:color w:val="auto"/>
                <w:spacing w:val="-6"/>
                <w:kern w:val="21"/>
                <w:szCs w:val="21"/>
              </w:rPr>
            </w:pPr>
            <w:r>
              <w:rPr>
                <w:rFonts w:ascii="Times New Roman" w:eastAsia="黑体"/>
                <w:snapToGrid w:val="0"/>
                <w:color w:val="auto"/>
                <w:spacing w:val="-6"/>
                <w:kern w:val="21"/>
                <w:szCs w:val="21"/>
              </w:rPr>
              <w:t>本项目建成后</w:t>
            </w:r>
          </w:p>
          <w:p w14:paraId="530C8F10">
            <w:pPr>
              <w:pStyle w:val="48"/>
              <w:keepNext w:val="0"/>
              <w:keepLines w:val="0"/>
              <w:pageBreakBefore w:val="0"/>
              <w:widowControl w:val="0"/>
              <w:kinsoku/>
              <w:wordWrap/>
              <w:overflowPunct/>
              <w:topLinePunct w:val="0"/>
              <w:autoSpaceDE/>
              <w:autoSpaceDN/>
              <w:bidi w:val="0"/>
              <w:adjustRightInd w:val="0"/>
              <w:snapToGrid w:val="0"/>
              <w:spacing w:beforeLines="0" w:afterLines="0" w:line="192" w:lineRule="auto"/>
              <w:textAlignment w:val="auto"/>
              <w:rPr>
                <w:rFonts w:ascii="Times New Roman" w:eastAsia="黑体"/>
                <w:snapToGrid w:val="0"/>
                <w:color w:val="auto"/>
                <w:spacing w:val="-6"/>
                <w:kern w:val="21"/>
                <w:szCs w:val="21"/>
              </w:rPr>
            </w:pPr>
            <w:r>
              <w:rPr>
                <w:rFonts w:ascii="Times New Roman" w:eastAsia="黑体"/>
                <w:snapToGrid w:val="0"/>
                <w:color w:val="auto"/>
                <w:spacing w:val="-6"/>
                <w:kern w:val="21"/>
                <w:szCs w:val="21"/>
              </w:rPr>
              <w:t>全厂排放量（固体废物产生量）</w:t>
            </w:r>
            <w:r>
              <w:rPr>
                <w:rFonts w:hint="eastAsia" w:ascii="Times New Roman" w:eastAsia="黑体"/>
                <w:snapToGrid w:val="0"/>
                <w:color w:val="auto"/>
                <w:spacing w:val="-6"/>
                <w:kern w:val="21"/>
                <w:szCs w:val="21"/>
              </w:rPr>
              <w:t>⑥</w:t>
            </w:r>
          </w:p>
        </w:tc>
        <w:tc>
          <w:tcPr>
            <w:tcW w:w="1507" w:type="dxa"/>
            <w:noWrap w:val="0"/>
            <w:tcMar>
              <w:left w:w="28" w:type="dxa"/>
              <w:right w:w="28" w:type="dxa"/>
            </w:tcMar>
            <w:vAlign w:val="center"/>
          </w:tcPr>
          <w:p w14:paraId="6566A2C4">
            <w:pPr>
              <w:pStyle w:val="48"/>
              <w:keepNext w:val="0"/>
              <w:keepLines w:val="0"/>
              <w:pageBreakBefore w:val="0"/>
              <w:widowControl w:val="0"/>
              <w:kinsoku/>
              <w:wordWrap/>
              <w:overflowPunct/>
              <w:topLinePunct w:val="0"/>
              <w:autoSpaceDE/>
              <w:autoSpaceDN/>
              <w:bidi w:val="0"/>
              <w:adjustRightInd w:val="0"/>
              <w:snapToGrid w:val="0"/>
              <w:spacing w:beforeLines="0" w:afterLines="0" w:line="192" w:lineRule="auto"/>
              <w:textAlignment w:val="auto"/>
              <w:rPr>
                <w:rFonts w:ascii="Times New Roman" w:eastAsia="黑体"/>
                <w:snapToGrid w:val="0"/>
                <w:color w:val="auto"/>
                <w:spacing w:val="-6"/>
                <w:kern w:val="21"/>
                <w:szCs w:val="21"/>
              </w:rPr>
            </w:pPr>
            <w:r>
              <w:rPr>
                <w:rFonts w:ascii="Times New Roman" w:eastAsia="黑体"/>
                <w:snapToGrid w:val="0"/>
                <w:color w:val="auto"/>
                <w:spacing w:val="-6"/>
                <w:kern w:val="21"/>
                <w:szCs w:val="21"/>
              </w:rPr>
              <w:t>变化量</w:t>
            </w:r>
          </w:p>
          <w:p w14:paraId="17BB2ED9">
            <w:pPr>
              <w:pStyle w:val="48"/>
              <w:keepNext w:val="0"/>
              <w:keepLines w:val="0"/>
              <w:pageBreakBefore w:val="0"/>
              <w:widowControl w:val="0"/>
              <w:kinsoku/>
              <w:wordWrap/>
              <w:overflowPunct/>
              <w:topLinePunct w:val="0"/>
              <w:autoSpaceDE/>
              <w:autoSpaceDN/>
              <w:bidi w:val="0"/>
              <w:adjustRightInd w:val="0"/>
              <w:snapToGrid w:val="0"/>
              <w:spacing w:beforeLines="0" w:afterLines="0" w:line="192" w:lineRule="auto"/>
              <w:textAlignment w:val="auto"/>
              <w:rPr>
                <w:rFonts w:ascii="Times New Roman" w:eastAsia="黑体"/>
                <w:snapToGrid w:val="0"/>
                <w:color w:val="auto"/>
                <w:spacing w:val="-6"/>
                <w:kern w:val="21"/>
                <w:szCs w:val="21"/>
              </w:rPr>
            </w:pPr>
            <w:r>
              <w:rPr>
                <w:rFonts w:hint="eastAsia" w:ascii="Times New Roman" w:eastAsia="黑体"/>
                <w:snapToGrid w:val="0"/>
                <w:color w:val="auto"/>
                <w:spacing w:val="-6"/>
                <w:kern w:val="21"/>
                <w:szCs w:val="21"/>
              </w:rPr>
              <w:t>⑦</w:t>
            </w:r>
          </w:p>
        </w:tc>
      </w:tr>
      <w:tr w14:paraId="64EE02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6" w:type="dxa"/>
            <w:vMerge w:val="restart"/>
            <w:noWrap w:val="0"/>
            <w:vAlign w:val="center"/>
          </w:tcPr>
          <w:p w14:paraId="7D637FED">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废气</w:t>
            </w:r>
          </w:p>
        </w:tc>
        <w:tc>
          <w:tcPr>
            <w:tcW w:w="444" w:type="dxa"/>
            <w:vMerge w:val="restart"/>
            <w:noWrap w:val="0"/>
            <w:vAlign w:val="center"/>
          </w:tcPr>
          <w:p w14:paraId="666C3C35">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有组织</w:t>
            </w:r>
          </w:p>
        </w:tc>
        <w:tc>
          <w:tcPr>
            <w:tcW w:w="1968" w:type="dxa"/>
            <w:noWrap w:val="0"/>
            <w:vAlign w:val="center"/>
          </w:tcPr>
          <w:p w14:paraId="7B4D959A">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颗粒物</w:t>
            </w:r>
          </w:p>
        </w:tc>
        <w:tc>
          <w:tcPr>
            <w:tcW w:w="1469" w:type="dxa"/>
            <w:noWrap w:val="0"/>
            <w:vAlign w:val="center"/>
          </w:tcPr>
          <w:p w14:paraId="4B3A26EF">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p>
        </w:tc>
        <w:tc>
          <w:tcPr>
            <w:tcW w:w="1228" w:type="dxa"/>
            <w:noWrap w:val="0"/>
            <w:vAlign w:val="center"/>
          </w:tcPr>
          <w:p w14:paraId="2FDAF928">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p>
        </w:tc>
        <w:tc>
          <w:tcPr>
            <w:tcW w:w="1554" w:type="dxa"/>
            <w:noWrap w:val="0"/>
            <w:vAlign w:val="center"/>
          </w:tcPr>
          <w:p w14:paraId="3C84DA27">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p>
        </w:tc>
        <w:tc>
          <w:tcPr>
            <w:tcW w:w="1650" w:type="dxa"/>
            <w:noWrap w:val="0"/>
            <w:vAlign w:val="center"/>
          </w:tcPr>
          <w:p w14:paraId="0FBF2249">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cs="Times New Roman"/>
                <w:snapToGrid w:val="0"/>
                <w:color w:val="0000FF"/>
                <w:kern w:val="21"/>
                <w:szCs w:val="21"/>
                <w:lang w:val="en-US" w:eastAsia="zh-CN"/>
              </w:rPr>
              <w:t>0.37</w:t>
            </w:r>
            <w:r>
              <w:rPr>
                <w:rFonts w:hint="eastAsia" w:ascii="Times New Roman" w:hAnsi="Times New Roman" w:eastAsia="宋体" w:cs="Times New Roman"/>
                <w:snapToGrid w:val="0"/>
                <w:color w:val="0000FF"/>
                <w:kern w:val="21"/>
                <w:szCs w:val="21"/>
              </w:rPr>
              <w:t>t/a</w:t>
            </w:r>
          </w:p>
        </w:tc>
        <w:tc>
          <w:tcPr>
            <w:tcW w:w="1623" w:type="dxa"/>
            <w:noWrap w:val="0"/>
            <w:vAlign w:val="center"/>
          </w:tcPr>
          <w:p w14:paraId="04EEA20E">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p>
        </w:tc>
        <w:tc>
          <w:tcPr>
            <w:tcW w:w="1786" w:type="dxa"/>
            <w:noWrap w:val="0"/>
            <w:vAlign w:val="center"/>
          </w:tcPr>
          <w:p w14:paraId="0B0A527B">
            <w:pPr>
              <w:pStyle w:val="48"/>
              <w:spacing w:beforeLines="0" w:afterLines="0" w:line="240" w:lineRule="auto"/>
              <w:rPr>
                <w:rFonts w:hint="eastAsia" w:ascii="Times New Roman" w:hAnsi="Times New Roman" w:eastAsia="宋体" w:cs="Times New Roman"/>
                <w:snapToGrid w:val="0"/>
                <w:color w:val="0000FF"/>
                <w:kern w:val="21"/>
                <w:szCs w:val="21"/>
              </w:rPr>
            </w:pPr>
            <w:r>
              <w:rPr>
                <w:rFonts w:hint="eastAsia" w:ascii="Times New Roman" w:cs="Times New Roman"/>
                <w:snapToGrid w:val="0"/>
                <w:color w:val="0000FF"/>
                <w:kern w:val="21"/>
                <w:szCs w:val="21"/>
                <w:lang w:val="en-US" w:eastAsia="zh-CN"/>
              </w:rPr>
              <w:t>0.37</w:t>
            </w:r>
            <w:r>
              <w:rPr>
                <w:rFonts w:hint="eastAsia" w:ascii="Times New Roman" w:hAnsi="Times New Roman" w:eastAsia="宋体" w:cs="Times New Roman"/>
                <w:snapToGrid w:val="0"/>
                <w:color w:val="0000FF"/>
                <w:kern w:val="21"/>
                <w:szCs w:val="21"/>
              </w:rPr>
              <w:t>t/a</w:t>
            </w:r>
          </w:p>
        </w:tc>
        <w:tc>
          <w:tcPr>
            <w:tcW w:w="1507" w:type="dxa"/>
            <w:noWrap w:val="0"/>
            <w:vAlign w:val="center"/>
          </w:tcPr>
          <w:p w14:paraId="634EF3BE">
            <w:pPr>
              <w:pStyle w:val="48"/>
              <w:spacing w:beforeLines="0" w:afterLines="0" w:line="240" w:lineRule="auto"/>
              <w:rPr>
                <w:rFonts w:hint="eastAsia" w:ascii="Times New Roman" w:hAnsi="Times New Roman" w:eastAsia="宋体" w:cs="Times New Roman"/>
                <w:snapToGrid w:val="0"/>
                <w:color w:val="0000FF"/>
                <w:kern w:val="21"/>
                <w:szCs w:val="21"/>
              </w:rPr>
            </w:pPr>
            <w:r>
              <w:rPr>
                <w:rFonts w:hint="eastAsia" w:ascii="Times New Roman" w:hAnsi="Times New Roman" w:eastAsia="宋体" w:cs="Times New Roman"/>
                <w:snapToGrid w:val="0"/>
                <w:color w:val="0000FF"/>
                <w:kern w:val="21"/>
                <w:szCs w:val="21"/>
              </w:rPr>
              <w:t>+</w:t>
            </w:r>
            <w:r>
              <w:rPr>
                <w:rFonts w:hint="eastAsia" w:ascii="Times New Roman" w:cs="Times New Roman"/>
                <w:snapToGrid w:val="0"/>
                <w:color w:val="0000FF"/>
                <w:kern w:val="21"/>
                <w:szCs w:val="21"/>
                <w:lang w:val="en-US" w:eastAsia="zh-CN"/>
              </w:rPr>
              <w:t>0.37</w:t>
            </w:r>
            <w:r>
              <w:rPr>
                <w:rFonts w:hint="eastAsia" w:ascii="Times New Roman" w:hAnsi="Times New Roman" w:eastAsia="宋体" w:cs="Times New Roman"/>
                <w:snapToGrid w:val="0"/>
                <w:color w:val="0000FF"/>
                <w:kern w:val="21"/>
                <w:szCs w:val="21"/>
              </w:rPr>
              <w:t>t/a</w:t>
            </w:r>
          </w:p>
        </w:tc>
      </w:tr>
      <w:tr w14:paraId="64EE02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6" w:type="dxa"/>
            <w:vMerge w:val="continue"/>
            <w:noWrap w:val="0"/>
            <w:vAlign w:val="center"/>
          </w:tcPr>
          <w:p w14:paraId="259E8EFA">
            <w:pPr>
              <w:pStyle w:val="48"/>
              <w:spacing w:beforeLines="0" w:afterLines="0" w:line="240" w:lineRule="auto"/>
              <w:rPr>
                <w:rFonts w:hint="eastAsia" w:ascii="Times New Roman" w:hAnsi="Times New Roman" w:eastAsia="宋体" w:cs="Times New Roman"/>
                <w:snapToGrid w:val="0"/>
                <w:color w:val="auto"/>
                <w:kern w:val="21"/>
                <w:szCs w:val="21"/>
              </w:rPr>
            </w:pPr>
          </w:p>
        </w:tc>
        <w:tc>
          <w:tcPr>
            <w:tcW w:w="444" w:type="dxa"/>
            <w:vMerge w:val="continue"/>
            <w:noWrap w:val="0"/>
            <w:vAlign w:val="center"/>
          </w:tcPr>
          <w:p w14:paraId="374B0589">
            <w:pPr>
              <w:pStyle w:val="48"/>
              <w:spacing w:beforeLines="0" w:afterLines="0" w:line="240" w:lineRule="auto"/>
              <w:rPr>
                <w:rFonts w:hint="eastAsia" w:ascii="Times New Roman" w:hAnsi="Times New Roman" w:eastAsia="宋体" w:cs="Times New Roman"/>
                <w:snapToGrid w:val="0"/>
                <w:color w:val="auto"/>
                <w:kern w:val="21"/>
                <w:szCs w:val="21"/>
              </w:rPr>
            </w:pPr>
          </w:p>
        </w:tc>
        <w:tc>
          <w:tcPr>
            <w:tcW w:w="1968" w:type="dxa"/>
            <w:shd w:val="clear" w:color="auto" w:fill="auto"/>
            <w:noWrap w:val="0"/>
            <w:vAlign w:val="center"/>
          </w:tcPr>
          <w:p w14:paraId="49EA1AD1">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非甲烷总烃</w:t>
            </w:r>
          </w:p>
        </w:tc>
        <w:tc>
          <w:tcPr>
            <w:tcW w:w="1469" w:type="dxa"/>
            <w:shd w:val="clear" w:color="auto" w:fill="auto"/>
            <w:noWrap w:val="0"/>
            <w:vAlign w:val="center"/>
          </w:tcPr>
          <w:p w14:paraId="128C89FB">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228" w:type="dxa"/>
            <w:shd w:val="clear" w:color="auto" w:fill="auto"/>
            <w:noWrap w:val="0"/>
            <w:vAlign w:val="center"/>
          </w:tcPr>
          <w:p w14:paraId="66E43D9A">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554" w:type="dxa"/>
            <w:shd w:val="clear" w:color="auto" w:fill="auto"/>
            <w:noWrap w:val="0"/>
            <w:vAlign w:val="center"/>
          </w:tcPr>
          <w:p w14:paraId="09597FA7">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650" w:type="dxa"/>
            <w:shd w:val="clear" w:color="auto" w:fill="auto"/>
            <w:noWrap w:val="0"/>
            <w:vAlign w:val="center"/>
          </w:tcPr>
          <w:p w14:paraId="0A9AD831">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cs="Times New Roman"/>
                <w:snapToGrid w:val="0"/>
                <w:color w:val="0000FF"/>
                <w:kern w:val="21"/>
                <w:szCs w:val="21"/>
                <w:lang w:val="en-US" w:eastAsia="zh-CN"/>
              </w:rPr>
              <w:t>0.79</w:t>
            </w:r>
            <w:r>
              <w:rPr>
                <w:rFonts w:hint="eastAsia" w:ascii="Times New Roman" w:hAnsi="Times New Roman" w:eastAsia="宋体" w:cs="Times New Roman"/>
                <w:snapToGrid w:val="0"/>
                <w:color w:val="0000FF"/>
                <w:kern w:val="21"/>
                <w:szCs w:val="21"/>
              </w:rPr>
              <w:t>t/a</w:t>
            </w:r>
          </w:p>
        </w:tc>
        <w:tc>
          <w:tcPr>
            <w:tcW w:w="1623" w:type="dxa"/>
            <w:shd w:val="clear" w:color="auto" w:fill="auto"/>
            <w:noWrap w:val="0"/>
            <w:vAlign w:val="center"/>
          </w:tcPr>
          <w:p w14:paraId="5B775572">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786" w:type="dxa"/>
            <w:shd w:val="clear" w:color="auto" w:fill="auto"/>
            <w:noWrap w:val="0"/>
            <w:vAlign w:val="center"/>
          </w:tcPr>
          <w:p w14:paraId="3D451A48">
            <w:pPr>
              <w:pStyle w:val="48"/>
              <w:spacing w:beforeLines="0" w:afterLines="0" w:line="240" w:lineRule="auto"/>
              <w:rPr>
                <w:rFonts w:hint="eastAsia" w:ascii="Times New Roman" w:hAnsi="Times New Roman" w:eastAsia="宋体" w:cs="Times New Roman"/>
                <w:snapToGrid w:val="0"/>
                <w:color w:val="0000FF"/>
                <w:kern w:val="21"/>
                <w:szCs w:val="21"/>
                <w:lang w:val="en-US" w:eastAsia="zh-CN"/>
              </w:rPr>
            </w:pPr>
            <w:r>
              <w:rPr>
                <w:rFonts w:hint="eastAsia" w:ascii="Times New Roman" w:cs="Times New Roman"/>
                <w:snapToGrid w:val="0"/>
                <w:color w:val="0000FF"/>
                <w:kern w:val="21"/>
                <w:szCs w:val="21"/>
                <w:lang w:val="en-US" w:eastAsia="zh-CN"/>
              </w:rPr>
              <w:t>0.79</w:t>
            </w:r>
            <w:r>
              <w:rPr>
                <w:rFonts w:hint="eastAsia" w:ascii="Times New Roman" w:hAnsi="Times New Roman" w:eastAsia="宋体" w:cs="Times New Roman"/>
                <w:snapToGrid w:val="0"/>
                <w:color w:val="0000FF"/>
                <w:kern w:val="21"/>
                <w:szCs w:val="21"/>
              </w:rPr>
              <w:t>t/a</w:t>
            </w:r>
          </w:p>
        </w:tc>
        <w:tc>
          <w:tcPr>
            <w:tcW w:w="1507" w:type="dxa"/>
            <w:shd w:val="clear" w:color="auto" w:fill="auto"/>
            <w:noWrap w:val="0"/>
            <w:vAlign w:val="center"/>
          </w:tcPr>
          <w:p w14:paraId="7E947130">
            <w:pPr>
              <w:pStyle w:val="48"/>
              <w:spacing w:beforeLines="0" w:afterLines="0" w:line="240" w:lineRule="auto"/>
              <w:rPr>
                <w:rFonts w:hint="eastAsia" w:ascii="Times New Roman" w:hAnsi="Times New Roman" w:eastAsia="宋体" w:cs="Times New Roman"/>
                <w:snapToGrid w:val="0"/>
                <w:color w:val="0000FF"/>
                <w:kern w:val="21"/>
                <w:szCs w:val="21"/>
                <w:lang w:val="en-US" w:eastAsia="zh-CN"/>
              </w:rPr>
            </w:pPr>
            <w:r>
              <w:rPr>
                <w:rFonts w:hint="eastAsia" w:ascii="Times New Roman" w:hAnsi="Times New Roman" w:eastAsia="宋体" w:cs="Times New Roman"/>
                <w:snapToGrid w:val="0"/>
                <w:color w:val="0000FF"/>
                <w:kern w:val="21"/>
                <w:szCs w:val="21"/>
              </w:rPr>
              <w:t>+</w:t>
            </w:r>
            <w:r>
              <w:rPr>
                <w:rFonts w:hint="eastAsia" w:ascii="Times New Roman" w:cs="Times New Roman"/>
                <w:snapToGrid w:val="0"/>
                <w:color w:val="0000FF"/>
                <w:kern w:val="21"/>
                <w:szCs w:val="21"/>
                <w:lang w:val="en-US" w:eastAsia="zh-CN"/>
              </w:rPr>
              <w:t>0.79</w:t>
            </w:r>
            <w:r>
              <w:rPr>
                <w:rFonts w:hint="eastAsia" w:ascii="Times New Roman" w:hAnsi="Times New Roman" w:eastAsia="宋体" w:cs="Times New Roman"/>
                <w:snapToGrid w:val="0"/>
                <w:color w:val="0000FF"/>
                <w:kern w:val="21"/>
                <w:szCs w:val="21"/>
              </w:rPr>
              <w:t>t/a</w:t>
            </w:r>
          </w:p>
        </w:tc>
      </w:tr>
      <w:tr w14:paraId="29E9C3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6" w:type="dxa"/>
            <w:vMerge w:val="continue"/>
            <w:noWrap w:val="0"/>
            <w:vAlign w:val="center"/>
          </w:tcPr>
          <w:p w14:paraId="3FDEAE8D">
            <w:pPr>
              <w:pStyle w:val="48"/>
              <w:spacing w:beforeLines="0" w:afterLines="0" w:line="240" w:lineRule="auto"/>
              <w:rPr>
                <w:rFonts w:hint="eastAsia" w:ascii="Times New Roman" w:hAnsi="Times New Roman" w:eastAsia="宋体" w:cs="Times New Roman"/>
                <w:snapToGrid w:val="0"/>
                <w:color w:val="auto"/>
                <w:kern w:val="21"/>
                <w:szCs w:val="21"/>
              </w:rPr>
            </w:pPr>
          </w:p>
        </w:tc>
        <w:tc>
          <w:tcPr>
            <w:tcW w:w="444" w:type="dxa"/>
            <w:vMerge w:val="continue"/>
            <w:noWrap w:val="0"/>
            <w:vAlign w:val="center"/>
          </w:tcPr>
          <w:p w14:paraId="0BD94EFE">
            <w:pPr>
              <w:pStyle w:val="48"/>
              <w:spacing w:beforeLines="0" w:afterLines="0" w:line="240" w:lineRule="auto"/>
              <w:rPr>
                <w:rFonts w:hint="eastAsia" w:ascii="Times New Roman" w:hAnsi="Times New Roman" w:eastAsia="宋体" w:cs="Times New Roman"/>
                <w:snapToGrid w:val="0"/>
                <w:color w:val="auto"/>
                <w:kern w:val="21"/>
                <w:szCs w:val="21"/>
              </w:rPr>
            </w:pPr>
          </w:p>
        </w:tc>
        <w:tc>
          <w:tcPr>
            <w:tcW w:w="1968" w:type="dxa"/>
            <w:noWrap w:val="0"/>
            <w:vAlign w:val="center"/>
          </w:tcPr>
          <w:p w14:paraId="4B52A299">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甲苯</w:t>
            </w:r>
          </w:p>
        </w:tc>
        <w:tc>
          <w:tcPr>
            <w:tcW w:w="1469" w:type="dxa"/>
            <w:shd w:val="clear" w:color="auto" w:fill="auto"/>
            <w:noWrap w:val="0"/>
            <w:vAlign w:val="center"/>
          </w:tcPr>
          <w:p w14:paraId="3B3C1132">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hAnsi="Times New Roman" w:eastAsia="宋体" w:cs="Times New Roman"/>
                <w:snapToGrid w:val="0"/>
                <w:color w:val="auto"/>
                <w:kern w:val="21"/>
                <w:szCs w:val="21"/>
              </w:rPr>
              <w:t>/</w:t>
            </w:r>
          </w:p>
        </w:tc>
        <w:tc>
          <w:tcPr>
            <w:tcW w:w="1228" w:type="dxa"/>
            <w:shd w:val="clear" w:color="auto" w:fill="auto"/>
            <w:noWrap w:val="0"/>
            <w:vAlign w:val="center"/>
          </w:tcPr>
          <w:p w14:paraId="1544C543">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hAnsi="Times New Roman" w:eastAsia="宋体" w:cs="Times New Roman"/>
                <w:snapToGrid w:val="0"/>
                <w:color w:val="auto"/>
                <w:kern w:val="21"/>
                <w:szCs w:val="21"/>
              </w:rPr>
              <w:t>/</w:t>
            </w:r>
          </w:p>
        </w:tc>
        <w:tc>
          <w:tcPr>
            <w:tcW w:w="1554" w:type="dxa"/>
            <w:shd w:val="clear" w:color="auto" w:fill="auto"/>
            <w:noWrap w:val="0"/>
            <w:vAlign w:val="center"/>
          </w:tcPr>
          <w:p w14:paraId="583070C2">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hAnsi="Times New Roman" w:eastAsia="宋体" w:cs="Times New Roman"/>
                <w:snapToGrid w:val="0"/>
                <w:color w:val="auto"/>
                <w:kern w:val="21"/>
                <w:szCs w:val="21"/>
              </w:rPr>
              <w:t>/</w:t>
            </w:r>
          </w:p>
        </w:tc>
        <w:tc>
          <w:tcPr>
            <w:tcW w:w="1650" w:type="dxa"/>
            <w:noWrap w:val="0"/>
            <w:vAlign w:val="center"/>
          </w:tcPr>
          <w:p w14:paraId="33DDC7C4">
            <w:pPr>
              <w:pStyle w:val="48"/>
              <w:spacing w:beforeLines="0" w:afterLines="0" w:line="240" w:lineRule="auto"/>
              <w:rPr>
                <w:rFonts w:hint="default" w:ascii="Times New Roman" w:hAnsi="Times New Roman" w:eastAsia="宋体" w:cs="Times New Roman"/>
                <w:snapToGrid w:val="0"/>
                <w:color w:val="auto"/>
                <w:kern w:val="21"/>
                <w:szCs w:val="21"/>
                <w:lang w:val="en-US" w:eastAsia="zh-CN"/>
              </w:rPr>
            </w:pPr>
            <w:r>
              <w:rPr>
                <w:rFonts w:hint="eastAsia" w:ascii="Times New Roman" w:cs="Times New Roman"/>
                <w:snapToGrid w:val="0"/>
                <w:color w:val="0000FF"/>
                <w:kern w:val="21"/>
                <w:szCs w:val="21"/>
                <w:lang w:val="en-US" w:eastAsia="zh-CN"/>
              </w:rPr>
              <w:t>0.08</w:t>
            </w:r>
            <w:r>
              <w:rPr>
                <w:rFonts w:hint="eastAsia" w:ascii="Times New Roman" w:hAnsi="Times New Roman" w:eastAsia="宋体" w:cs="Times New Roman"/>
                <w:snapToGrid w:val="0"/>
                <w:color w:val="0000FF"/>
                <w:kern w:val="21"/>
                <w:szCs w:val="21"/>
              </w:rPr>
              <w:t>/a</w:t>
            </w:r>
          </w:p>
        </w:tc>
        <w:tc>
          <w:tcPr>
            <w:tcW w:w="1623" w:type="dxa"/>
            <w:shd w:val="clear" w:color="auto" w:fill="auto"/>
            <w:noWrap w:val="0"/>
            <w:vAlign w:val="center"/>
          </w:tcPr>
          <w:p w14:paraId="1C1FBC88">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hAnsi="Times New Roman" w:eastAsia="宋体" w:cs="Times New Roman"/>
                <w:snapToGrid w:val="0"/>
                <w:color w:val="auto"/>
                <w:kern w:val="21"/>
                <w:szCs w:val="21"/>
              </w:rPr>
              <w:t>/</w:t>
            </w:r>
          </w:p>
        </w:tc>
        <w:tc>
          <w:tcPr>
            <w:tcW w:w="1786" w:type="dxa"/>
            <w:shd w:val="clear" w:color="auto" w:fill="auto"/>
            <w:noWrap w:val="0"/>
            <w:vAlign w:val="center"/>
          </w:tcPr>
          <w:p w14:paraId="25406700">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cs="Times New Roman"/>
                <w:snapToGrid w:val="0"/>
                <w:color w:val="0000FF"/>
                <w:kern w:val="21"/>
                <w:szCs w:val="21"/>
                <w:lang w:val="en-US" w:eastAsia="zh-CN"/>
              </w:rPr>
              <w:t>0.08</w:t>
            </w:r>
            <w:r>
              <w:rPr>
                <w:rFonts w:hint="eastAsia" w:ascii="Times New Roman" w:hAnsi="Times New Roman" w:eastAsia="宋体" w:cs="Times New Roman"/>
                <w:snapToGrid w:val="0"/>
                <w:color w:val="0000FF"/>
                <w:kern w:val="21"/>
                <w:szCs w:val="21"/>
              </w:rPr>
              <w:t>/a</w:t>
            </w:r>
          </w:p>
        </w:tc>
        <w:tc>
          <w:tcPr>
            <w:tcW w:w="1507" w:type="dxa"/>
            <w:shd w:val="clear" w:color="auto" w:fill="auto"/>
            <w:noWrap w:val="0"/>
            <w:vAlign w:val="center"/>
          </w:tcPr>
          <w:p w14:paraId="3C77C7A5">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cs="Times New Roman"/>
                <w:snapToGrid w:val="0"/>
                <w:color w:val="0000FF"/>
                <w:kern w:val="21"/>
                <w:szCs w:val="21"/>
                <w:lang w:val="en-US" w:eastAsia="zh-CN"/>
              </w:rPr>
              <w:t>+0.08</w:t>
            </w:r>
            <w:r>
              <w:rPr>
                <w:rFonts w:hint="eastAsia" w:ascii="Times New Roman" w:hAnsi="Times New Roman" w:eastAsia="宋体" w:cs="Times New Roman"/>
                <w:snapToGrid w:val="0"/>
                <w:color w:val="0000FF"/>
                <w:kern w:val="21"/>
                <w:szCs w:val="21"/>
              </w:rPr>
              <w:t>/a</w:t>
            </w:r>
          </w:p>
        </w:tc>
      </w:tr>
      <w:tr w14:paraId="210230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6" w:type="dxa"/>
            <w:vMerge w:val="continue"/>
            <w:noWrap w:val="0"/>
            <w:vAlign w:val="center"/>
          </w:tcPr>
          <w:p w14:paraId="5131A2D1">
            <w:pPr>
              <w:pStyle w:val="48"/>
              <w:spacing w:beforeLines="0" w:afterLines="0" w:line="240" w:lineRule="auto"/>
              <w:rPr>
                <w:rFonts w:hint="eastAsia" w:ascii="Times New Roman" w:hAnsi="Times New Roman" w:eastAsia="宋体" w:cs="Times New Roman"/>
                <w:snapToGrid w:val="0"/>
                <w:color w:val="auto"/>
                <w:kern w:val="21"/>
                <w:szCs w:val="21"/>
              </w:rPr>
            </w:pPr>
          </w:p>
        </w:tc>
        <w:tc>
          <w:tcPr>
            <w:tcW w:w="444" w:type="dxa"/>
            <w:vMerge w:val="continue"/>
            <w:noWrap w:val="0"/>
            <w:vAlign w:val="center"/>
          </w:tcPr>
          <w:p w14:paraId="74A91690">
            <w:pPr>
              <w:pStyle w:val="48"/>
              <w:spacing w:beforeLines="0" w:afterLines="0" w:line="240" w:lineRule="auto"/>
              <w:rPr>
                <w:rFonts w:hint="eastAsia" w:ascii="Times New Roman" w:hAnsi="Times New Roman" w:eastAsia="宋体" w:cs="Times New Roman"/>
                <w:snapToGrid w:val="0"/>
                <w:color w:val="auto"/>
                <w:kern w:val="21"/>
                <w:szCs w:val="21"/>
              </w:rPr>
            </w:pPr>
          </w:p>
        </w:tc>
        <w:tc>
          <w:tcPr>
            <w:tcW w:w="1968" w:type="dxa"/>
            <w:noWrap w:val="0"/>
            <w:vAlign w:val="center"/>
          </w:tcPr>
          <w:p w14:paraId="1876F28D">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二甲苯</w:t>
            </w:r>
          </w:p>
        </w:tc>
        <w:tc>
          <w:tcPr>
            <w:tcW w:w="1469" w:type="dxa"/>
            <w:shd w:val="clear" w:color="auto" w:fill="auto"/>
            <w:noWrap w:val="0"/>
            <w:vAlign w:val="center"/>
          </w:tcPr>
          <w:p w14:paraId="06DE7AA7">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hAnsi="Times New Roman" w:eastAsia="宋体" w:cs="Times New Roman"/>
                <w:snapToGrid w:val="0"/>
                <w:color w:val="auto"/>
                <w:kern w:val="21"/>
                <w:szCs w:val="21"/>
              </w:rPr>
              <w:t>/</w:t>
            </w:r>
          </w:p>
        </w:tc>
        <w:tc>
          <w:tcPr>
            <w:tcW w:w="1228" w:type="dxa"/>
            <w:shd w:val="clear" w:color="auto" w:fill="auto"/>
            <w:noWrap w:val="0"/>
            <w:vAlign w:val="center"/>
          </w:tcPr>
          <w:p w14:paraId="46702A79">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hAnsi="Times New Roman" w:eastAsia="宋体" w:cs="Times New Roman"/>
                <w:snapToGrid w:val="0"/>
                <w:color w:val="auto"/>
                <w:kern w:val="21"/>
                <w:szCs w:val="21"/>
              </w:rPr>
              <w:t>/</w:t>
            </w:r>
          </w:p>
        </w:tc>
        <w:tc>
          <w:tcPr>
            <w:tcW w:w="1554" w:type="dxa"/>
            <w:shd w:val="clear" w:color="auto" w:fill="auto"/>
            <w:noWrap w:val="0"/>
            <w:vAlign w:val="center"/>
          </w:tcPr>
          <w:p w14:paraId="57441E48">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hAnsi="Times New Roman" w:eastAsia="宋体" w:cs="Times New Roman"/>
                <w:snapToGrid w:val="0"/>
                <w:color w:val="auto"/>
                <w:kern w:val="21"/>
                <w:szCs w:val="21"/>
              </w:rPr>
              <w:t>/</w:t>
            </w:r>
          </w:p>
        </w:tc>
        <w:tc>
          <w:tcPr>
            <w:tcW w:w="1650" w:type="dxa"/>
            <w:noWrap w:val="0"/>
            <w:vAlign w:val="center"/>
          </w:tcPr>
          <w:p w14:paraId="6D7D8B0D">
            <w:pPr>
              <w:pStyle w:val="48"/>
              <w:spacing w:beforeLines="0" w:afterLines="0" w:line="240" w:lineRule="auto"/>
              <w:rPr>
                <w:rFonts w:hint="default" w:ascii="Times New Roman" w:hAnsi="Times New Roman" w:eastAsia="宋体" w:cs="Times New Roman"/>
                <w:snapToGrid w:val="0"/>
                <w:color w:val="auto"/>
                <w:kern w:val="21"/>
                <w:szCs w:val="21"/>
                <w:lang w:val="en-US" w:eastAsia="zh-CN"/>
              </w:rPr>
            </w:pPr>
            <w:r>
              <w:rPr>
                <w:rFonts w:hint="eastAsia" w:ascii="Times New Roman" w:cs="Times New Roman"/>
                <w:snapToGrid w:val="0"/>
                <w:color w:val="0000FF"/>
                <w:kern w:val="21"/>
                <w:szCs w:val="21"/>
                <w:lang w:val="en-US" w:eastAsia="zh-CN"/>
              </w:rPr>
              <w:t>0.069</w:t>
            </w:r>
            <w:r>
              <w:rPr>
                <w:rFonts w:hint="eastAsia" w:ascii="Times New Roman" w:hAnsi="Times New Roman" w:eastAsia="宋体" w:cs="Times New Roman"/>
                <w:snapToGrid w:val="0"/>
                <w:color w:val="0000FF"/>
                <w:kern w:val="21"/>
                <w:szCs w:val="21"/>
              </w:rPr>
              <w:t>t/a</w:t>
            </w:r>
          </w:p>
        </w:tc>
        <w:tc>
          <w:tcPr>
            <w:tcW w:w="1623" w:type="dxa"/>
            <w:shd w:val="clear" w:color="auto" w:fill="auto"/>
            <w:noWrap w:val="0"/>
            <w:vAlign w:val="center"/>
          </w:tcPr>
          <w:p w14:paraId="2F3ADA21">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hAnsi="Times New Roman" w:eastAsia="宋体" w:cs="Times New Roman"/>
                <w:snapToGrid w:val="0"/>
                <w:color w:val="auto"/>
                <w:kern w:val="21"/>
                <w:szCs w:val="21"/>
              </w:rPr>
              <w:t>/</w:t>
            </w:r>
          </w:p>
        </w:tc>
        <w:tc>
          <w:tcPr>
            <w:tcW w:w="1786" w:type="dxa"/>
            <w:shd w:val="clear" w:color="auto" w:fill="auto"/>
            <w:noWrap w:val="0"/>
            <w:vAlign w:val="center"/>
          </w:tcPr>
          <w:p w14:paraId="57A227D7">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cs="Times New Roman"/>
                <w:snapToGrid w:val="0"/>
                <w:color w:val="0000FF"/>
                <w:kern w:val="21"/>
                <w:szCs w:val="21"/>
                <w:lang w:val="en-US" w:eastAsia="zh-CN"/>
              </w:rPr>
              <w:t>0.069</w:t>
            </w:r>
            <w:r>
              <w:rPr>
                <w:rFonts w:hint="eastAsia" w:ascii="Times New Roman" w:hAnsi="Times New Roman" w:eastAsia="宋体" w:cs="Times New Roman"/>
                <w:snapToGrid w:val="0"/>
                <w:color w:val="0000FF"/>
                <w:kern w:val="21"/>
                <w:szCs w:val="21"/>
              </w:rPr>
              <w:t>t/a</w:t>
            </w:r>
          </w:p>
        </w:tc>
        <w:tc>
          <w:tcPr>
            <w:tcW w:w="1507" w:type="dxa"/>
            <w:shd w:val="clear" w:color="auto" w:fill="auto"/>
            <w:noWrap w:val="0"/>
            <w:vAlign w:val="center"/>
          </w:tcPr>
          <w:p w14:paraId="1707C5C8">
            <w:pPr>
              <w:pStyle w:val="48"/>
              <w:spacing w:beforeLines="0" w:afterLines="0" w:line="240" w:lineRule="auto"/>
              <w:rPr>
                <w:rFonts w:hint="eastAsia" w:ascii="Times New Roman" w:hAnsi="Times New Roman" w:eastAsia="宋体" w:cs="Times New Roman"/>
                <w:snapToGrid w:val="0"/>
                <w:color w:val="0000FF"/>
                <w:kern w:val="21"/>
                <w:sz w:val="21"/>
                <w:szCs w:val="21"/>
                <w:lang w:val="en-US" w:eastAsia="zh-CN" w:bidi="ar-SA"/>
              </w:rPr>
            </w:pPr>
            <w:r>
              <w:rPr>
                <w:rFonts w:hint="eastAsia" w:ascii="Times New Roman" w:cs="Times New Roman"/>
                <w:snapToGrid w:val="0"/>
                <w:color w:val="0000FF"/>
                <w:kern w:val="21"/>
                <w:szCs w:val="21"/>
                <w:lang w:val="en-US" w:eastAsia="zh-CN"/>
              </w:rPr>
              <w:t>+0.069</w:t>
            </w:r>
            <w:r>
              <w:rPr>
                <w:rFonts w:hint="eastAsia" w:ascii="Times New Roman" w:hAnsi="Times New Roman" w:eastAsia="宋体" w:cs="Times New Roman"/>
                <w:snapToGrid w:val="0"/>
                <w:color w:val="0000FF"/>
                <w:kern w:val="21"/>
                <w:szCs w:val="21"/>
              </w:rPr>
              <w:t>t/a</w:t>
            </w:r>
          </w:p>
        </w:tc>
      </w:tr>
      <w:tr w14:paraId="60A929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6" w:type="dxa"/>
            <w:vMerge w:val="continue"/>
            <w:noWrap w:val="0"/>
            <w:vAlign w:val="center"/>
          </w:tcPr>
          <w:p w14:paraId="267782C9">
            <w:pPr>
              <w:pStyle w:val="48"/>
              <w:spacing w:beforeLines="0" w:afterLines="0" w:line="240" w:lineRule="auto"/>
              <w:rPr>
                <w:rFonts w:hint="eastAsia" w:ascii="Times New Roman" w:hAnsi="Times New Roman" w:eastAsia="宋体" w:cs="Times New Roman"/>
                <w:snapToGrid w:val="0"/>
                <w:color w:val="auto"/>
                <w:kern w:val="21"/>
                <w:szCs w:val="21"/>
              </w:rPr>
            </w:pPr>
          </w:p>
        </w:tc>
        <w:tc>
          <w:tcPr>
            <w:tcW w:w="444" w:type="dxa"/>
            <w:vMerge w:val="restart"/>
            <w:noWrap w:val="0"/>
            <w:vAlign w:val="center"/>
          </w:tcPr>
          <w:p w14:paraId="67BF5BDE">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无组织</w:t>
            </w:r>
          </w:p>
        </w:tc>
        <w:tc>
          <w:tcPr>
            <w:tcW w:w="1968" w:type="dxa"/>
            <w:noWrap w:val="0"/>
            <w:vAlign w:val="center"/>
          </w:tcPr>
          <w:p w14:paraId="4F670EFE">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颗粒物</w:t>
            </w:r>
          </w:p>
        </w:tc>
        <w:tc>
          <w:tcPr>
            <w:tcW w:w="1469" w:type="dxa"/>
            <w:noWrap w:val="0"/>
            <w:vAlign w:val="center"/>
          </w:tcPr>
          <w:p w14:paraId="78B0247C">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p>
        </w:tc>
        <w:tc>
          <w:tcPr>
            <w:tcW w:w="1228" w:type="dxa"/>
            <w:noWrap w:val="0"/>
            <w:vAlign w:val="center"/>
          </w:tcPr>
          <w:p w14:paraId="57F4813D">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p>
        </w:tc>
        <w:tc>
          <w:tcPr>
            <w:tcW w:w="1554" w:type="dxa"/>
            <w:noWrap w:val="0"/>
            <w:vAlign w:val="center"/>
          </w:tcPr>
          <w:p w14:paraId="2B1FE808">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p>
        </w:tc>
        <w:tc>
          <w:tcPr>
            <w:tcW w:w="1650" w:type="dxa"/>
            <w:noWrap w:val="0"/>
            <w:vAlign w:val="center"/>
          </w:tcPr>
          <w:p w14:paraId="16D15A82">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cs="Times New Roman"/>
                <w:snapToGrid w:val="0"/>
                <w:color w:val="0000FF"/>
                <w:kern w:val="21"/>
                <w:szCs w:val="21"/>
                <w:lang w:val="en-US" w:eastAsia="zh-CN"/>
              </w:rPr>
              <w:t>0.72</w:t>
            </w:r>
            <w:r>
              <w:rPr>
                <w:rFonts w:hint="eastAsia" w:ascii="Times New Roman" w:hAnsi="Times New Roman" w:eastAsia="宋体" w:cs="Times New Roman"/>
                <w:snapToGrid w:val="0"/>
                <w:color w:val="0000FF"/>
                <w:kern w:val="21"/>
                <w:szCs w:val="21"/>
              </w:rPr>
              <w:t>t/a</w:t>
            </w:r>
          </w:p>
        </w:tc>
        <w:tc>
          <w:tcPr>
            <w:tcW w:w="1623" w:type="dxa"/>
            <w:noWrap w:val="0"/>
            <w:vAlign w:val="center"/>
          </w:tcPr>
          <w:p w14:paraId="0422D8FC">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p>
        </w:tc>
        <w:tc>
          <w:tcPr>
            <w:tcW w:w="1786" w:type="dxa"/>
            <w:noWrap w:val="0"/>
            <w:vAlign w:val="center"/>
          </w:tcPr>
          <w:p w14:paraId="236E13AA">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cs="Times New Roman"/>
                <w:snapToGrid w:val="0"/>
                <w:color w:val="0000FF"/>
                <w:kern w:val="21"/>
                <w:szCs w:val="21"/>
                <w:lang w:val="en-US" w:eastAsia="zh-CN"/>
              </w:rPr>
              <w:t>0.72</w:t>
            </w:r>
            <w:r>
              <w:rPr>
                <w:rFonts w:hint="eastAsia" w:ascii="Times New Roman" w:hAnsi="Times New Roman" w:eastAsia="宋体" w:cs="Times New Roman"/>
                <w:snapToGrid w:val="0"/>
                <w:color w:val="0000FF"/>
                <w:kern w:val="21"/>
                <w:szCs w:val="21"/>
              </w:rPr>
              <w:t>t/a</w:t>
            </w:r>
          </w:p>
        </w:tc>
        <w:tc>
          <w:tcPr>
            <w:tcW w:w="1507" w:type="dxa"/>
            <w:noWrap w:val="0"/>
            <w:vAlign w:val="center"/>
          </w:tcPr>
          <w:p w14:paraId="3FBE5A73">
            <w:pPr>
              <w:pStyle w:val="48"/>
              <w:spacing w:beforeLines="0" w:afterLines="0" w:line="240" w:lineRule="auto"/>
              <w:rPr>
                <w:rFonts w:hint="eastAsia" w:ascii="Times New Roman" w:hAnsi="Times New Roman" w:eastAsia="宋体" w:cs="Times New Roman"/>
                <w:snapToGrid w:val="0"/>
                <w:color w:val="0000FF"/>
                <w:kern w:val="21"/>
                <w:szCs w:val="21"/>
              </w:rPr>
            </w:pPr>
            <w:r>
              <w:rPr>
                <w:rFonts w:hint="eastAsia" w:ascii="Times New Roman" w:hAnsi="Times New Roman" w:eastAsia="宋体" w:cs="Times New Roman"/>
                <w:snapToGrid w:val="0"/>
                <w:color w:val="0000FF"/>
                <w:kern w:val="21"/>
                <w:szCs w:val="21"/>
              </w:rPr>
              <w:t>+</w:t>
            </w:r>
            <w:r>
              <w:rPr>
                <w:rFonts w:hint="eastAsia" w:ascii="Times New Roman" w:cs="Times New Roman"/>
                <w:snapToGrid w:val="0"/>
                <w:color w:val="0000FF"/>
                <w:kern w:val="21"/>
                <w:szCs w:val="21"/>
                <w:lang w:val="en-US" w:eastAsia="zh-CN"/>
              </w:rPr>
              <w:t>0.72</w:t>
            </w:r>
            <w:r>
              <w:rPr>
                <w:rFonts w:hint="eastAsia" w:ascii="Times New Roman" w:hAnsi="Times New Roman" w:eastAsia="宋体" w:cs="Times New Roman"/>
                <w:snapToGrid w:val="0"/>
                <w:color w:val="0000FF"/>
                <w:kern w:val="21"/>
                <w:szCs w:val="21"/>
              </w:rPr>
              <w:t>t/a</w:t>
            </w:r>
          </w:p>
        </w:tc>
      </w:tr>
      <w:tr w14:paraId="1ACFEB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6" w:type="dxa"/>
            <w:vMerge w:val="continue"/>
            <w:noWrap w:val="0"/>
            <w:vAlign w:val="center"/>
          </w:tcPr>
          <w:p w14:paraId="401E15FD">
            <w:pPr>
              <w:pStyle w:val="48"/>
              <w:spacing w:beforeLines="0" w:afterLines="0" w:line="240" w:lineRule="auto"/>
              <w:rPr>
                <w:rFonts w:hint="eastAsia" w:ascii="Times New Roman" w:hAnsi="Times New Roman" w:eastAsia="宋体" w:cs="Times New Roman"/>
                <w:snapToGrid w:val="0"/>
                <w:color w:val="auto"/>
                <w:kern w:val="21"/>
                <w:szCs w:val="21"/>
              </w:rPr>
            </w:pPr>
          </w:p>
        </w:tc>
        <w:tc>
          <w:tcPr>
            <w:tcW w:w="444" w:type="dxa"/>
            <w:vMerge w:val="continue"/>
            <w:noWrap w:val="0"/>
            <w:vAlign w:val="center"/>
          </w:tcPr>
          <w:p w14:paraId="0027F16A">
            <w:pPr>
              <w:pStyle w:val="48"/>
              <w:spacing w:beforeLines="0" w:afterLines="0" w:line="240" w:lineRule="auto"/>
              <w:rPr>
                <w:rFonts w:hint="eastAsia" w:ascii="Times New Roman" w:hAnsi="Times New Roman" w:eastAsia="宋体" w:cs="Times New Roman"/>
                <w:snapToGrid w:val="0"/>
                <w:color w:val="auto"/>
                <w:kern w:val="21"/>
                <w:szCs w:val="21"/>
              </w:rPr>
            </w:pPr>
          </w:p>
        </w:tc>
        <w:tc>
          <w:tcPr>
            <w:tcW w:w="1968" w:type="dxa"/>
            <w:shd w:val="clear" w:color="auto" w:fill="auto"/>
            <w:noWrap w:val="0"/>
            <w:vAlign w:val="center"/>
          </w:tcPr>
          <w:p w14:paraId="06E47F26">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非甲烷总烃</w:t>
            </w:r>
          </w:p>
        </w:tc>
        <w:tc>
          <w:tcPr>
            <w:tcW w:w="1469" w:type="dxa"/>
            <w:shd w:val="clear" w:color="auto" w:fill="auto"/>
            <w:noWrap w:val="0"/>
            <w:vAlign w:val="center"/>
          </w:tcPr>
          <w:p w14:paraId="09F1BD2F">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228" w:type="dxa"/>
            <w:shd w:val="clear" w:color="auto" w:fill="auto"/>
            <w:noWrap w:val="0"/>
            <w:vAlign w:val="center"/>
          </w:tcPr>
          <w:p w14:paraId="0282BCB8">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554" w:type="dxa"/>
            <w:shd w:val="clear" w:color="auto" w:fill="auto"/>
            <w:noWrap w:val="0"/>
            <w:vAlign w:val="center"/>
          </w:tcPr>
          <w:p w14:paraId="41E0F0B8">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650" w:type="dxa"/>
            <w:shd w:val="clear" w:color="auto" w:fill="auto"/>
            <w:noWrap w:val="0"/>
            <w:vAlign w:val="center"/>
          </w:tcPr>
          <w:p w14:paraId="56D79B0C">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0.08</w:t>
            </w:r>
            <w:r>
              <w:rPr>
                <w:rFonts w:hint="eastAsia" w:ascii="Times New Roman" w:hAnsi="Times New Roman" w:eastAsia="宋体" w:cs="Times New Roman"/>
                <w:snapToGrid w:val="0"/>
                <w:color w:val="auto"/>
                <w:kern w:val="21"/>
                <w:szCs w:val="21"/>
              </w:rPr>
              <w:t>t/a</w:t>
            </w:r>
          </w:p>
        </w:tc>
        <w:tc>
          <w:tcPr>
            <w:tcW w:w="1623" w:type="dxa"/>
            <w:shd w:val="clear" w:color="auto" w:fill="auto"/>
            <w:noWrap w:val="0"/>
            <w:vAlign w:val="center"/>
          </w:tcPr>
          <w:p w14:paraId="2B28A777">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786" w:type="dxa"/>
            <w:shd w:val="clear" w:color="auto" w:fill="auto"/>
            <w:noWrap w:val="0"/>
            <w:vAlign w:val="center"/>
          </w:tcPr>
          <w:p w14:paraId="16B8AC34">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0.08</w:t>
            </w:r>
            <w:r>
              <w:rPr>
                <w:rFonts w:hint="eastAsia" w:ascii="Times New Roman" w:hAnsi="Times New Roman" w:eastAsia="宋体" w:cs="Times New Roman"/>
                <w:snapToGrid w:val="0"/>
                <w:color w:val="auto"/>
                <w:kern w:val="21"/>
                <w:szCs w:val="21"/>
              </w:rPr>
              <w:t>t/a</w:t>
            </w:r>
          </w:p>
        </w:tc>
        <w:tc>
          <w:tcPr>
            <w:tcW w:w="1507" w:type="dxa"/>
            <w:shd w:val="clear" w:color="auto" w:fill="auto"/>
            <w:noWrap w:val="0"/>
            <w:vAlign w:val="center"/>
          </w:tcPr>
          <w:p w14:paraId="468BBA8C">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r>
              <w:rPr>
                <w:rFonts w:hint="eastAsia" w:ascii="Times New Roman" w:hAnsi="Times New Roman" w:eastAsia="宋体" w:cs="Times New Roman"/>
                <w:snapToGrid w:val="0"/>
                <w:color w:val="auto"/>
                <w:kern w:val="21"/>
                <w:szCs w:val="21"/>
                <w:lang w:val="en-US" w:eastAsia="zh-CN"/>
              </w:rPr>
              <w:t>0.08</w:t>
            </w:r>
            <w:r>
              <w:rPr>
                <w:rFonts w:hint="eastAsia" w:ascii="Times New Roman" w:hAnsi="Times New Roman" w:eastAsia="宋体" w:cs="Times New Roman"/>
                <w:snapToGrid w:val="0"/>
                <w:color w:val="auto"/>
                <w:kern w:val="21"/>
                <w:szCs w:val="21"/>
              </w:rPr>
              <w:t>t/a</w:t>
            </w:r>
          </w:p>
        </w:tc>
      </w:tr>
      <w:tr w14:paraId="1565E7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6" w:type="dxa"/>
            <w:vMerge w:val="continue"/>
            <w:noWrap w:val="0"/>
            <w:vAlign w:val="center"/>
          </w:tcPr>
          <w:p w14:paraId="15D8F39E">
            <w:pPr>
              <w:pStyle w:val="48"/>
              <w:spacing w:beforeLines="0" w:afterLines="0" w:line="240" w:lineRule="auto"/>
              <w:rPr>
                <w:rFonts w:hint="eastAsia" w:ascii="Times New Roman" w:hAnsi="Times New Roman" w:eastAsia="宋体" w:cs="Times New Roman"/>
                <w:snapToGrid w:val="0"/>
                <w:color w:val="auto"/>
                <w:kern w:val="21"/>
                <w:szCs w:val="21"/>
              </w:rPr>
            </w:pPr>
          </w:p>
        </w:tc>
        <w:tc>
          <w:tcPr>
            <w:tcW w:w="444" w:type="dxa"/>
            <w:vMerge w:val="continue"/>
            <w:noWrap w:val="0"/>
            <w:vAlign w:val="center"/>
          </w:tcPr>
          <w:p w14:paraId="68BA227A">
            <w:pPr>
              <w:pStyle w:val="48"/>
              <w:spacing w:beforeLines="0" w:afterLines="0" w:line="240" w:lineRule="auto"/>
              <w:rPr>
                <w:rFonts w:hint="eastAsia" w:ascii="Times New Roman" w:hAnsi="Times New Roman" w:eastAsia="宋体" w:cs="Times New Roman"/>
                <w:snapToGrid w:val="0"/>
                <w:color w:val="auto"/>
                <w:kern w:val="21"/>
                <w:szCs w:val="21"/>
              </w:rPr>
            </w:pPr>
          </w:p>
        </w:tc>
        <w:tc>
          <w:tcPr>
            <w:tcW w:w="1968" w:type="dxa"/>
            <w:shd w:val="clear" w:color="auto" w:fill="auto"/>
            <w:noWrap w:val="0"/>
            <w:vAlign w:val="center"/>
          </w:tcPr>
          <w:p w14:paraId="56382A07">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甲苯</w:t>
            </w:r>
          </w:p>
        </w:tc>
        <w:tc>
          <w:tcPr>
            <w:tcW w:w="1469" w:type="dxa"/>
            <w:shd w:val="clear" w:color="auto" w:fill="auto"/>
            <w:noWrap w:val="0"/>
            <w:vAlign w:val="center"/>
          </w:tcPr>
          <w:p w14:paraId="35850284">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hAnsi="Times New Roman" w:eastAsia="宋体" w:cs="Times New Roman"/>
                <w:snapToGrid w:val="0"/>
                <w:color w:val="auto"/>
                <w:kern w:val="21"/>
                <w:szCs w:val="21"/>
              </w:rPr>
              <w:t>/</w:t>
            </w:r>
          </w:p>
        </w:tc>
        <w:tc>
          <w:tcPr>
            <w:tcW w:w="1228" w:type="dxa"/>
            <w:shd w:val="clear" w:color="auto" w:fill="auto"/>
            <w:noWrap w:val="0"/>
            <w:vAlign w:val="center"/>
          </w:tcPr>
          <w:p w14:paraId="74D7CD0E">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hAnsi="Times New Roman" w:eastAsia="宋体" w:cs="Times New Roman"/>
                <w:snapToGrid w:val="0"/>
                <w:color w:val="auto"/>
                <w:kern w:val="21"/>
                <w:szCs w:val="21"/>
              </w:rPr>
              <w:t>/</w:t>
            </w:r>
          </w:p>
        </w:tc>
        <w:tc>
          <w:tcPr>
            <w:tcW w:w="1554" w:type="dxa"/>
            <w:shd w:val="clear" w:color="auto" w:fill="auto"/>
            <w:noWrap w:val="0"/>
            <w:vAlign w:val="center"/>
          </w:tcPr>
          <w:p w14:paraId="6C93F123">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hAnsi="Times New Roman" w:eastAsia="宋体" w:cs="Times New Roman"/>
                <w:snapToGrid w:val="0"/>
                <w:color w:val="auto"/>
                <w:kern w:val="21"/>
                <w:szCs w:val="21"/>
              </w:rPr>
              <w:t>/</w:t>
            </w:r>
          </w:p>
        </w:tc>
        <w:tc>
          <w:tcPr>
            <w:tcW w:w="1650" w:type="dxa"/>
            <w:noWrap w:val="0"/>
            <w:vAlign w:val="center"/>
          </w:tcPr>
          <w:p w14:paraId="3A0ADF8E">
            <w:pPr>
              <w:pStyle w:val="48"/>
              <w:spacing w:beforeLines="0" w:afterLines="0" w:line="240" w:lineRule="auto"/>
              <w:rPr>
                <w:rFonts w:hint="default"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0.001</w:t>
            </w:r>
            <w:r>
              <w:rPr>
                <w:rFonts w:hint="eastAsia" w:ascii="Times New Roman" w:hAnsi="Times New Roman" w:eastAsia="宋体" w:cs="Times New Roman"/>
                <w:snapToGrid w:val="0"/>
                <w:color w:val="auto"/>
                <w:kern w:val="21"/>
                <w:szCs w:val="21"/>
              </w:rPr>
              <w:t>t/a</w:t>
            </w:r>
          </w:p>
        </w:tc>
        <w:tc>
          <w:tcPr>
            <w:tcW w:w="1623" w:type="dxa"/>
            <w:shd w:val="clear" w:color="auto" w:fill="auto"/>
            <w:noWrap w:val="0"/>
            <w:vAlign w:val="center"/>
          </w:tcPr>
          <w:p w14:paraId="05A32380">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hAnsi="Times New Roman" w:eastAsia="宋体" w:cs="Times New Roman"/>
                <w:snapToGrid w:val="0"/>
                <w:color w:val="auto"/>
                <w:kern w:val="21"/>
                <w:szCs w:val="21"/>
              </w:rPr>
              <w:t>/</w:t>
            </w:r>
          </w:p>
        </w:tc>
        <w:tc>
          <w:tcPr>
            <w:tcW w:w="1786" w:type="dxa"/>
            <w:shd w:val="clear" w:color="auto" w:fill="auto"/>
            <w:noWrap w:val="0"/>
            <w:vAlign w:val="center"/>
          </w:tcPr>
          <w:p w14:paraId="347C9557">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hAnsi="Times New Roman" w:eastAsia="宋体" w:cs="Times New Roman"/>
                <w:snapToGrid w:val="0"/>
                <w:color w:val="auto"/>
                <w:kern w:val="21"/>
                <w:szCs w:val="21"/>
                <w:lang w:val="en-US" w:eastAsia="zh-CN"/>
              </w:rPr>
              <w:t>0.001</w:t>
            </w:r>
            <w:r>
              <w:rPr>
                <w:rFonts w:hint="eastAsia" w:ascii="Times New Roman" w:hAnsi="Times New Roman" w:eastAsia="宋体" w:cs="Times New Roman"/>
                <w:snapToGrid w:val="0"/>
                <w:color w:val="auto"/>
                <w:kern w:val="21"/>
                <w:szCs w:val="21"/>
              </w:rPr>
              <w:t>t/a</w:t>
            </w:r>
          </w:p>
        </w:tc>
        <w:tc>
          <w:tcPr>
            <w:tcW w:w="1507" w:type="dxa"/>
            <w:shd w:val="clear" w:color="auto" w:fill="auto"/>
            <w:noWrap w:val="0"/>
            <w:vAlign w:val="center"/>
          </w:tcPr>
          <w:p w14:paraId="76B4CA33">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hAnsi="Times New Roman" w:eastAsia="宋体" w:cs="Times New Roman"/>
                <w:snapToGrid w:val="0"/>
                <w:color w:val="auto"/>
                <w:kern w:val="21"/>
                <w:szCs w:val="21"/>
                <w:lang w:val="en-US" w:eastAsia="zh-CN"/>
              </w:rPr>
              <w:t>+0.001</w:t>
            </w:r>
            <w:r>
              <w:rPr>
                <w:rFonts w:hint="eastAsia" w:ascii="Times New Roman" w:hAnsi="Times New Roman" w:eastAsia="宋体" w:cs="Times New Roman"/>
                <w:snapToGrid w:val="0"/>
                <w:color w:val="auto"/>
                <w:kern w:val="21"/>
                <w:szCs w:val="21"/>
              </w:rPr>
              <w:t>t/a</w:t>
            </w:r>
          </w:p>
        </w:tc>
      </w:tr>
      <w:tr w14:paraId="51AFD2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6" w:type="dxa"/>
            <w:vMerge w:val="continue"/>
            <w:noWrap w:val="0"/>
            <w:vAlign w:val="center"/>
          </w:tcPr>
          <w:p w14:paraId="65476086">
            <w:pPr>
              <w:pStyle w:val="48"/>
              <w:spacing w:beforeLines="0" w:afterLines="0" w:line="240" w:lineRule="auto"/>
              <w:rPr>
                <w:rFonts w:hint="eastAsia" w:ascii="Times New Roman" w:hAnsi="Times New Roman" w:eastAsia="宋体" w:cs="Times New Roman"/>
                <w:snapToGrid w:val="0"/>
                <w:color w:val="auto"/>
                <w:kern w:val="21"/>
                <w:szCs w:val="21"/>
              </w:rPr>
            </w:pPr>
          </w:p>
        </w:tc>
        <w:tc>
          <w:tcPr>
            <w:tcW w:w="444" w:type="dxa"/>
            <w:vMerge w:val="continue"/>
            <w:noWrap w:val="0"/>
            <w:vAlign w:val="center"/>
          </w:tcPr>
          <w:p w14:paraId="7C1991DD">
            <w:pPr>
              <w:pStyle w:val="48"/>
              <w:spacing w:beforeLines="0" w:afterLines="0" w:line="240" w:lineRule="auto"/>
              <w:rPr>
                <w:rFonts w:hint="eastAsia" w:ascii="Times New Roman" w:hAnsi="Times New Roman" w:eastAsia="宋体" w:cs="Times New Roman"/>
                <w:snapToGrid w:val="0"/>
                <w:color w:val="auto"/>
                <w:kern w:val="21"/>
                <w:szCs w:val="21"/>
              </w:rPr>
            </w:pPr>
          </w:p>
        </w:tc>
        <w:tc>
          <w:tcPr>
            <w:tcW w:w="1968" w:type="dxa"/>
            <w:shd w:val="clear" w:color="auto" w:fill="auto"/>
            <w:noWrap w:val="0"/>
            <w:vAlign w:val="center"/>
          </w:tcPr>
          <w:p w14:paraId="36280A6E">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二甲苯</w:t>
            </w:r>
          </w:p>
        </w:tc>
        <w:tc>
          <w:tcPr>
            <w:tcW w:w="1469" w:type="dxa"/>
            <w:shd w:val="clear" w:color="auto" w:fill="auto"/>
            <w:noWrap w:val="0"/>
            <w:vAlign w:val="center"/>
          </w:tcPr>
          <w:p w14:paraId="289E288A">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hAnsi="Times New Roman" w:eastAsia="宋体" w:cs="Times New Roman"/>
                <w:snapToGrid w:val="0"/>
                <w:color w:val="auto"/>
                <w:kern w:val="21"/>
                <w:szCs w:val="21"/>
              </w:rPr>
              <w:t>/</w:t>
            </w:r>
          </w:p>
        </w:tc>
        <w:tc>
          <w:tcPr>
            <w:tcW w:w="1228" w:type="dxa"/>
            <w:shd w:val="clear" w:color="auto" w:fill="auto"/>
            <w:noWrap w:val="0"/>
            <w:vAlign w:val="center"/>
          </w:tcPr>
          <w:p w14:paraId="531205DE">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hAnsi="Times New Roman" w:eastAsia="宋体" w:cs="Times New Roman"/>
                <w:snapToGrid w:val="0"/>
                <w:color w:val="auto"/>
                <w:kern w:val="21"/>
                <w:szCs w:val="21"/>
              </w:rPr>
              <w:t>/</w:t>
            </w:r>
          </w:p>
        </w:tc>
        <w:tc>
          <w:tcPr>
            <w:tcW w:w="1554" w:type="dxa"/>
            <w:shd w:val="clear" w:color="auto" w:fill="auto"/>
            <w:noWrap w:val="0"/>
            <w:vAlign w:val="center"/>
          </w:tcPr>
          <w:p w14:paraId="7D674FDE">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hAnsi="Times New Roman" w:eastAsia="宋体" w:cs="Times New Roman"/>
                <w:snapToGrid w:val="0"/>
                <w:color w:val="auto"/>
                <w:kern w:val="21"/>
                <w:szCs w:val="21"/>
              </w:rPr>
              <w:t>/</w:t>
            </w:r>
          </w:p>
        </w:tc>
        <w:tc>
          <w:tcPr>
            <w:tcW w:w="1650" w:type="dxa"/>
            <w:noWrap w:val="0"/>
            <w:vAlign w:val="center"/>
          </w:tcPr>
          <w:p w14:paraId="72465326">
            <w:pPr>
              <w:pStyle w:val="48"/>
              <w:spacing w:beforeLines="0" w:afterLines="0" w:line="240" w:lineRule="auto"/>
              <w:rPr>
                <w:rFonts w:hint="default"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0.007</w:t>
            </w:r>
            <w:r>
              <w:rPr>
                <w:rFonts w:hint="eastAsia" w:ascii="Times New Roman" w:hAnsi="Times New Roman" w:eastAsia="宋体" w:cs="Times New Roman"/>
                <w:snapToGrid w:val="0"/>
                <w:color w:val="auto"/>
                <w:kern w:val="21"/>
                <w:szCs w:val="21"/>
              </w:rPr>
              <w:t>t/a</w:t>
            </w:r>
          </w:p>
        </w:tc>
        <w:tc>
          <w:tcPr>
            <w:tcW w:w="1623" w:type="dxa"/>
            <w:shd w:val="clear" w:color="auto" w:fill="auto"/>
            <w:noWrap w:val="0"/>
            <w:vAlign w:val="center"/>
          </w:tcPr>
          <w:p w14:paraId="7DAD1A8A">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hAnsi="Times New Roman" w:eastAsia="宋体" w:cs="Times New Roman"/>
                <w:snapToGrid w:val="0"/>
                <w:color w:val="auto"/>
                <w:kern w:val="21"/>
                <w:szCs w:val="21"/>
              </w:rPr>
              <w:t>/</w:t>
            </w:r>
          </w:p>
        </w:tc>
        <w:tc>
          <w:tcPr>
            <w:tcW w:w="1786" w:type="dxa"/>
            <w:shd w:val="clear" w:color="auto" w:fill="auto"/>
            <w:noWrap w:val="0"/>
            <w:vAlign w:val="center"/>
          </w:tcPr>
          <w:p w14:paraId="74F4AB60">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hAnsi="Times New Roman" w:eastAsia="宋体" w:cs="Times New Roman"/>
                <w:snapToGrid w:val="0"/>
                <w:color w:val="auto"/>
                <w:kern w:val="21"/>
                <w:szCs w:val="21"/>
                <w:lang w:val="en-US" w:eastAsia="zh-CN"/>
              </w:rPr>
              <w:t>0.007</w:t>
            </w:r>
            <w:r>
              <w:rPr>
                <w:rFonts w:hint="eastAsia" w:ascii="Times New Roman" w:hAnsi="Times New Roman" w:eastAsia="宋体" w:cs="Times New Roman"/>
                <w:snapToGrid w:val="0"/>
                <w:color w:val="auto"/>
                <w:kern w:val="21"/>
                <w:szCs w:val="21"/>
              </w:rPr>
              <w:t>t/a</w:t>
            </w:r>
          </w:p>
        </w:tc>
        <w:tc>
          <w:tcPr>
            <w:tcW w:w="1507" w:type="dxa"/>
            <w:shd w:val="clear" w:color="auto" w:fill="auto"/>
            <w:noWrap w:val="0"/>
            <w:vAlign w:val="center"/>
          </w:tcPr>
          <w:p w14:paraId="2C0A9CBD">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hAnsi="Times New Roman" w:eastAsia="宋体" w:cs="Times New Roman"/>
                <w:snapToGrid w:val="0"/>
                <w:color w:val="auto"/>
                <w:kern w:val="21"/>
                <w:szCs w:val="21"/>
                <w:lang w:val="en-US" w:eastAsia="zh-CN"/>
              </w:rPr>
              <w:t>+0.007</w:t>
            </w:r>
            <w:r>
              <w:rPr>
                <w:rFonts w:hint="eastAsia" w:ascii="Times New Roman" w:hAnsi="Times New Roman" w:eastAsia="宋体" w:cs="Times New Roman"/>
                <w:snapToGrid w:val="0"/>
                <w:color w:val="auto"/>
                <w:kern w:val="21"/>
                <w:szCs w:val="21"/>
              </w:rPr>
              <w:t>t/a</w:t>
            </w:r>
          </w:p>
        </w:tc>
      </w:tr>
      <w:tr w14:paraId="7964B2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10" w:type="dxa"/>
            <w:gridSpan w:val="2"/>
            <w:noWrap w:val="0"/>
            <w:vAlign w:val="center"/>
          </w:tcPr>
          <w:p w14:paraId="189D66EA">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废水</w:t>
            </w:r>
          </w:p>
        </w:tc>
        <w:tc>
          <w:tcPr>
            <w:tcW w:w="1968" w:type="dxa"/>
            <w:noWrap w:val="0"/>
            <w:vAlign w:val="center"/>
          </w:tcPr>
          <w:p w14:paraId="2F24A5E1">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废水量</w:t>
            </w:r>
          </w:p>
        </w:tc>
        <w:tc>
          <w:tcPr>
            <w:tcW w:w="1469" w:type="dxa"/>
            <w:noWrap w:val="0"/>
            <w:vAlign w:val="center"/>
          </w:tcPr>
          <w:p w14:paraId="4D190B78">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p>
        </w:tc>
        <w:tc>
          <w:tcPr>
            <w:tcW w:w="1228" w:type="dxa"/>
            <w:noWrap w:val="0"/>
            <w:vAlign w:val="center"/>
          </w:tcPr>
          <w:p w14:paraId="1CD61336">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p>
        </w:tc>
        <w:tc>
          <w:tcPr>
            <w:tcW w:w="1554" w:type="dxa"/>
            <w:noWrap w:val="0"/>
            <w:vAlign w:val="center"/>
          </w:tcPr>
          <w:p w14:paraId="22A65D96">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p>
        </w:tc>
        <w:tc>
          <w:tcPr>
            <w:tcW w:w="1650" w:type="dxa"/>
            <w:noWrap w:val="0"/>
            <w:vAlign w:val="center"/>
          </w:tcPr>
          <w:p w14:paraId="7819903A">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lang w:val="en-US" w:eastAsia="zh-CN"/>
              </w:rPr>
              <w:t>1200</w:t>
            </w:r>
            <w:r>
              <w:rPr>
                <w:rFonts w:hint="eastAsia" w:ascii="Times New Roman" w:hAnsi="Times New Roman" w:eastAsia="宋体" w:cs="Times New Roman"/>
                <w:snapToGrid w:val="0"/>
                <w:color w:val="auto"/>
                <w:kern w:val="21"/>
                <w:szCs w:val="21"/>
              </w:rPr>
              <w:t>m³/a</w:t>
            </w:r>
          </w:p>
        </w:tc>
        <w:tc>
          <w:tcPr>
            <w:tcW w:w="1623" w:type="dxa"/>
            <w:noWrap w:val="0"/>
            <w:vAlign w:val="center"/>
          </w:tcPr>
          <w:p w14:paraId="3CDDE7AB">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p>
        </w:tc>
        <w:tc>
          <w:tcPr>
            <w:tcW w:w="1786" w:type="dxa"/>
            <w:noWrap w:val="0"/>
            <w:vAlign w:val="center"/>
          </w:tcPr>
          <w:p w14:paraId="2CD42167">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1</w:t>
            </w:r>
            <w:r>
              <w:rPr>
                <w:rFonts w:hint="eastAsia" w:ascii="Times New Roman" w:hAnsi="Times New Roman" w:eastAsia="宋体" w:cs="Times New Roman"/>
                <w:snapToGrid w:val="0"/>
                <w:color w:val="auto"/>
                <w:kern w:val="21"/>
                <w:szCs w:val="21"/>
                <w:lang w:val="en-US" w:eastAsia="zh-CN"/>
              </w:rPr>
              <w:t>200</w:t>
            </w:r>
            <w:r>
              <w:rPr>
                <w:rFonts w:hint="eastAsia" w:ascii="Times New Roman" w:hAnsi="Times New Roman" w:eastAsia="宋体" w:cs="Times New Roman"/>
                <w:snapToGrid w:val="0"/>
                <w:color w:val="auto"/>
                <w:kern w:val="21"/>
                <w:szCs w:val="21"/>
              </w:rPr>
              <w:t>m³/a</w:t>
            </w:r>
          </w:p>
        </w:tc>
        <w:tc>
          <w:tcPr>
            <w:tcW w:w="1507" w:type="dxa"/>
            <w:noWrap w:val="0"/>
            <w:vAlign w:val="center"/>
          </w:tcPr>
          <w:p w14:paraId="3A13E864">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+1</w:t>
            </w:r>
            <w:r>
              <w:rPr>
                <w:rFonts w:hint="eastAsia" w:ascii="Times New Roman" w:hAnsi="Times New Roman" w:eastAsia="宋体" w:cs="Times New Roman"/>
                <w:snapToGrid w:val="0"/>
                <w:color w:val="auto"/>
                <w:kern w:val="21"/>
                <w:szCs w:val="21"/>
                <w:lang w:val="en-US" w:eastAsia="zh-CN"/>
              </w:rPr>
              <w:t>20</w:t>
            </w:r>
            <w:r>
              <w:rPr>
                <w:rFonts w:hint="eastAsia" w:ascii="Times New Roman" w:hAnsi="Times New Roman" w:eastAsia="宋体" w:cs="Times New Roman"/>
                <w:snapToGrid w:val="0"/>
                <w:color w:val="auto"/>
                <w:kern w:val="21"/>
                <w:szCs w:val="21"/>
              </w:rPr>
              <w:t>0m³/a</w:t>
            </w:r>
          </w:p>
        </w:tc>
      </w:tr>
      <w:tr w14:paraId="738B23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10" w:type="dxa"/>
            <w:gridSpan w:val="2"/>
            <w:vMerge w:val="restart"/>
            <w:noWrap w:val="0"/>
            <w:vAlign w:val="center"/>
          </w:tcPr>
          <w:p w14:paraId="632043B3">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一般工业固体废物</w:t>
            </w:r>
          </w:p>
        </w:tc>
        <w:tc>
          <w:tcPr>
            <w:tcW w:w="1968" w:type="dxa"/>
            <w:noWrap w:val="0"/>
            <w:vAlign w:val="center"/>
          </w:tcPr>
          <w:p w14:paraId="4514409C">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lang w:val="en-US" w:eastAsia="zh-CN"/>
              </w:rPr>
              <w:t>金属屑及</w:t>
            </w:r>
            <w:r>
              <w:rPr>
                <w:rFonts w:hint="eastAsia" w:ascii="Times New Roman" w:hAnsi="Times New Roman" w:eastAsia="宋体" w:cs="Times New Roman"/>
                <w:snapToGrid w:val="0"/>
                <w:color w:val="auto"/>
                <w:kern w:val="21"/>
                <w:szCs w:val="21"/>
              </w:rPr>
              <w:t>废边角料</w:t>
            </w:r>
          </w:p>
        </w:tc>
        <w:tc>
          <w:tcPr>
            <w:tcW w:w="1469" w:type="dxa"/>
            <w:noWrap w:val="0"/>
            <w:vAlign w:val="center"/>
          </w:tcPr>
          <w:p w14:paraId="2F38901C">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p>
        </w:tc>
        <w:tc>
          <w:tcPr>
            <w:tcW w:w="1228" w:type="dxa"/>
            <w:noWrap w:val="0"/>
            <w:vAlign w:val="center"/>
          </w:tcPr>
          <w:p w14:paraId="26EBB331">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p>
        </w:tc>
        <w:tc>
          <w:tcPr>
            <w:tcW w:w="1554" w:type="dxa"/>
            <w:noWrap w:val="0"/>
            <w:vAlign w:val="center"/>
          </w:tcPr>
          <w:p w14:paraId="45EC8ADD">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p>
        </w:tc>
        <w:tc>
          <w:tcPr>
            <w:tcW w:w="1650" w:type="dxa"/>
            <w:noWrap w:val="0"/>
            <w:vAlign w:val="center"/>
          </w:tcPr>
          <w:p w14:paraId="37D40F91">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lang w:val="en-US" w:eastAsia="zh-CN"/>
              </w:rPr>
              <w:t>113.5</w:t>
            </w:r>
            <w:r>
              <w:rPr>
                <w:rFonts w:hint="eastAsia" w:ascii="Times New Roman" w:hAnsi="Times New Roman" w:eastAsia="宋体" w:cs="Times New Roman"/>
                <w:snapToGrid w:val="0"/>
                <w:color w:val="auto"/>
                <w:kern w:val="21"/>
                <w:szCs w:val="21"/>
              </w:rPr>
              <w:t>t/a</w:t>
            </w:r>
          </w:p>
        </w:tc>
        <w:tc>
          <w:tcPr>
            <w:tcW w:w="1623" w:type="dxa"/>
            <w:noWrap w:val="0"/>
            <w:vAlign w:val="center"/>
          </w:tcPr>
          <w:p w14:paraId="1418C53F">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p>
        </w:tc>
        <w:tc>
          <w:tcPr>
            <w:tcW w:w="1786" w:type="dxa"/>
            <w:noWrap w:val="0"/>
            <w:vAlign w:val="center"/>
          </w:tcPr>
          <w:p w14:paraId="6B1B05BF">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lang w:val="en-US" w:eastAsia="zh-CN"/>
              </w:rPr>
              <w:t>113.5</w:t>
            </w:r>
            <w:r>
              <w:rPr>
                <w:rFonts w:hint="eastAsia" w:ascii="Times New Roman" w:hAnsi="Times New Roman" w:eastAsia="宋体" w:cs="Times New Roman"/>
                <w:snapToGrid w:val="0"/>
                <w:color w:val="auto"/>
                <w:kern w:val="21"/>
                <w:szCs w:val="21"/>
              </w:rPr>
              <w:t>t/a</w:t>
            </w:r>
          </w:p>
        </w:tc>
        <w:tc>
          <w:tcPr>
            <w:tcW w:w="1507" w:type="dxa"/>
            <w:noWrap w:val="0"/>
            <w:vAlign w:val="center"/>
          </w:tcPr>
          <w:p w14:paraId="36F9A567">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r>
              <w:rPr>
                <w:rFonts w:hint="eastAsia" w:ascii="Times New Roman" w:hAnsi="Times New Roman" w:eastAsia="宋体" w:cs="Times New Roman"/>
                <w:snapToGrid w:val="0"/>
                <w:color w:val="auto"/>
                <w:kern w:val="21"/>
                <w:szCs w:val="21"/>
                <w:lang w:val="en-US" w:eastAsia="zh-CN"/>
              </w:rPr>
              <w:t>113.5</w:t>
            </w:r>
            <w:r>
              <w:rPr>
                <w:rFonts w:hint="eastAsia" w:ascii="Times New Roman" w:hAnsi="Times New Roman" w:eastAsia="宋体" w:cs="Times New Roman"/>
                <w:snapToGrid w:val="0"/>
                <w:color w:val="auto"/>
                <w:kern w:val="21"/>
                <w:szCs w:val="21"/>
              </w:rPr>
              <w:t>t/a</w:t>
            </w:r>
          </w:p>
        </w:tc>
      </w:tr>
      <w:tr w14:paraId="31756B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10" w:type="dxa"/>
            <w:gridSpan w:val="2"/>
            <w:vMerge w:val="continue"/>
            <w:noWrap w:val="0"/>
            <w:vAlign w:val="center"/>
          </w:tcPr>
          <w:p w14:paraId="2475E181">
            <w:pPr>
              <w:pStyle w:val="48"/>
              <w:spacing w:beforeLines="0" w:afterLines="0" w:line="240" w:lineRule="auto"/>
              <w:rPr>
                <w:rFonts w:hint="eastAsia" w:ascii="Times New Roman" w:hAnsi="Times New Roman" w:eastAsia="宋体" w:cs="Times New Roman"/>
                <w:snapToGrid w:val="0"/>
                <w:color w:val="auto"/>
                <w:kern w:val="21"/>
                <w:szCs w:val="21"/>
              </w:rPr>
            </w:pPr>
          </w:p>
        </w:tc>
        <w:tc>
          <w:tcPr>
            <w:tcW w:w="1968" w:type="dxa"/>
            <w:noWrap w:val="0"/>
            <w:vAlign w:val="center"/>
          </w:tcPr>
          <w:p w14:paraId="743E9799">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焊渣</w:t>
            </w:r>
          </w:p>
        </w:tc>
        <w:tc>
          <w:tcPr>
            <w:tcW w:w="1469" w:type="dxa"/>
            <w:noWrap w:val="0"/>
            <w:vAlign w:val="center"/>
          </w:tcPr>
          <w:p w14:paraId="221C0D24">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p>
        </w:tc>
        <w:tc>
          <w:tcPr>
            <w:tcW w:w="1228" w:type="dxa"/>
            <w:noWrap w:val="0"/>
            <w:vAlign w:val="center"/>
          </w:tcPr>
          <w:p w14:paraId="19965838">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p>
        </w:tc>
        <w:tc>
          <w:tcPr>
            <w:tcW w:w="1554" w:type="dxa"/>
            <w:noWrap w:val="0"/>
            <w:vAlign w:val="center"/>
          </w:tcPr>
          <w:p w14:paraId="6AF5C54A">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p>
        </w:tc>
        <w:tc>
          <w:tcPr>
            <w:tcW w:w="1650" w:type="dxa"/>
            <w:noWrap w:val="0"/>
            <w:vAlign w:val="center"/>
          </w:tcPr>
          <w:p w14:paraId="1CF40C1D">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lang w:val="en-US" w:eastAsia="zh-CN"/>
              </w:rPr>
              <w:t>8.51</w:t>
            </w:r>
            <w:r>
              <w:rPr>
                <w:rFonts w:hint="eastAsia" w:ascii="Times New Roman" w:hAnsi="Times New Roman" w:eastAsia="宋体" w:cs="Times New Roman"/>
                <w:snapToGrid w:val="0"/>
                <w:color w:val="auto"/>
                <w:kern w:val="21"/>
                <w:szCs w:val="21"/>
              </w:rPr>
              <w:t>t/a</w:t>
            </w:r>
          </w:p>
        </w:tc>
        <w:tc>
          <w:tcPr>
            <w:tcW w:w="1623" w:type="dxa"/>
            <w:noWrap w:val="0"/>
            <w:vAlign w:val="center"/>
          </w:tcPr>
          <w:p w14:paraId="3C79B290">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p>
        </w:tc>
        <w:tc>
          <w:tcPr>
            <w:tcW w:w="1786" w:type="dxa"/>
            <w:noWrap w:val="0"/>
            <w:vAlign w:val="center"/>
          </w:tcPr>
          <w:p w14:paraId="3318186E">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lang w:val="en-US" w:eastAsia="zh-CN"/>
              </w:rPr>
              <w:t>8.51</w:t>
            </w:r>
            <w:r>
              <w:rPr>
                <w:rFonts w:hint="eastAsia" w:ascii="Times New Roman" w:hAnsi="Times New Roman" w:eastAsia="宋体" w:cs="Times New Roman"/>
                <w:snapToGrid w:val="0"/>
                <w:color w:val="auto"/>
                <w:kern w:val="21"/>
                <w:szCs w:val="21"/>
              </w:rPr>
              <w:t>t/a</w:t>
            </w:r>
          </w:p>
        </w:tc>
        <w:tc>
          <w:tcPr>
            <w:tcW w:w="1507" w:type="dxa"/>
            <w:noWrap w:val="0"/>
            <w:vAlign w:val="center"/>
          </w:tcPr>
          <w:p w14:paraId="6EA1ACF1">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r>
              <w:rPr>
                <w:rFonts w:hint="eastAsia" w:ascii="Times New Roman" w:hAnsi="Times New Roman" w:eastAsia="宋体" w:cs="Times New Roman"/>
                <w:snapToGrid w:val="0"/>
                <w:color w:val="auto"/>
                <w:kern w:val="21"/>
                <w:szCs w:val="21"/>
                <w:lang w:val="en-US" w:eastAsia="zh-CN"/>
              </w:rPr>
              <w:t>8.51</w:t>
            </w:r>
            <w:r>
              <w:rPr>
                <w:rFonts w:hint="eastAsia" w:ascii="Times New Roman" w:hAnsi="Times New Roman" w:eastAsia="宋体" w:cs="Times New Roman"/>
                <w:snapToGrid w:val="0"/>
                <w:color w:val="auto"/>
                <w:kern w:val="21"/>
                <w:szCs w:val="21"/>
              </w:rPr>
              <w:t>t/a</w:t>
            </w:r>
          </w:p>
        </w:tc>
      </w:tr>
      <w:tr w14:paraId="1D9DDC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10" w:type="dxa"/>
            <w:gridSpan w:val="2"/>
            <w:vMerge w:val="continue"/>
            <w:noWrap w:val="0"/>
            <w:vAlign w:val="center"/>
          </w:tcPr>
          <w:p w14:paraId="57621FF5">
            <w:pPr>
              <w:pStyle w:val="48"/>
              <w:spacing w:beforeLines="0" w:afterLines="0" w:line="240" w:lineRule="auto"/>
              <w:rPr>
                <w:rFonts w:hint="eastAsia" w:ascii="Times New Roman" w:hAnsi="Times New Roman" w:eastAsia="宋体" w:cs="Times New Roman"/>
                <w:snapToGrid w:val="0"/>
                <w:color w:val="auto"/>
                <w:kern w:val="21"/>
                <w:szCs w:val="21"/>
              </w:rPr>
            </w:pPr>
          </w:p>
        </w:tc>
        <w:tc>
          <w:tcPr>
            <w:tcW w:w="1968" w:type="dxa"/>
            <w:noWrap w:val="0"/>
            <w:vAlign w:val="center"/>
          </w:tcPr>
          <w:p w14:paraId="4CE22050">
            <w:pPr>
              <w:pStyle w:val="48"/>
              <w:spacing w:beforeLines="0" w:afterLines="0" w:line="240" w:lineRule="auto"/>
              <w:rPr>
                <w:rFonts w:hint="default" w:ascii="Times New Roman" w:hAnsi="Times New Roman" w:eastAsia="宋体" w:cs="Times New Roman"/>
                <w:snapToGrid w:val="0"/>
                <w:color w:val="auto"/>
                <w:kern w:val="21"/>
                <w:szCs w:val="21"/>
                <w:lang w:val="en-US" w:eastAsia="zh-CN"/>
              </w:rPr>
            </w:pPr>
            <w:r>
              <w:rPr>
                <w:rFonts w:hint="eastAsia" w:ascii="宋体" w:hAnsi="Times New Roman" w:eastAsia="宋体" w:cs="Times New Roman"/>
                <w:color w:val="auto"/>
                <w:kern w:val="2"/>
                <w:sz w:val="21"/>
                <w:szCs w:val="24"/>
                <w:lang w:val="en-US" w:eastAsia="zh-CN" w:bidi="ar-SA"/>
              </w:rPr>
              <w:t>金属磨屑</w:t>
            </w:r>
          </w:p>
        </w:tc>
        <w:tc>
          <w:tcPr>
            <w:tcW w:w="1469" w:type="dxa"/>
            <w:shd w:val="clear" w:color="auto" w:fill="auto"/>
            <w:noWrap w:val="0"/>
            <w:vAlign w:val="center"/>
          </w:tcPr>
          <w:p w14:paraId="35E859DD">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228" w:type="dxa"/>
            <w:shd w:val="clear" w:color="auto" w:fill="auto"/>
            <w:noWrap w:val="0"/>
            <w:vAlign w:val="center"/>
          </w:tcPr>
          <w:p w14:paraId="6C935A5B">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554" w:type="dxa"/>
            <w:shd w:val="clear" w:color="auto" w:fill="auto"/>
            <w:noWrap w:val="0"/>
            <w:vAlign w:val="center"/>
          </w:tcPr>
          <w:p w14:paraId="36ADD23E">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650" w:type="dxa"/>
            <w:shd w:val="clear" w:color="auto" w:fill="auto"/>
            <w:noWrap w:val="0"/>
            <w:vAlign w:val="center"/>
          </w:tcPr>
          <w:p w14:paraId="752F1C2F">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cs="Times New Roman"/>
                <w:snapToGrid w:val="0"/>
                <w:color w:val="0000FF"/>
                <w:kern w:val="21"/>
                <w:szCs w:val="21"/>
                <w:lang w:val="en-US" w:eastAsia="zh-CN"/>
              </w:rPr>
              <w:t>5.62</w:t>
            </w:r>
            <w:r>
              <w:rPr>
                <w:rFonts w:hint="eastAsia" w:ascii="Times New Roman" w:hAnsi="Times New Roman" w:eastAsia="宋体" w:cs="Times New Roman"/>
                <w:snapToGrid w:val="0"/>
                <w:color w:val="0000FF"/>
                <w:kern w:val="21"/>
                <w:szCs w:val="21"/>
              </w:rPr>
              <w:t>t/a</w:t>
            </w:r>
          </w:p>
        </w:tc>
        <w:tc>
          <w:tcPr>
            <w:tcW w:w="1623" w:type="dxa"/>
            <w:shd w:val="clear" w:color="auto" w:fill="auto"/>
            <w:noWrap w:val="0"/>
            <w:vAlign w:val="center"/>
          </w:tcPr>
          <w:p w14:paraId="732CE30D">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786" w:type="dxa"/>
            <w:shd w:val="clear" w:color="auto" w:fill="auto"/>
            <w:noWrap w:val="0"/>
            <w:vAlign w:val="center"/>
          </w:tcPr>
          <w:p w14:paraId="0A207279">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cs="Times New Roman"/>
                <w:snapToGrid w:val="0"/>
                <w:color w:val="0000FF"/>
                <w:kern w:val="21"/>
                <w:szCs w:val="21"/>
                <w:lang w:val="en-US" w:eastAsia="zh-CN"/>
              </w:rPr>
              <w:t>5.62</w:t>
            </w:r>
            <w:r>
              <w:rPr>
                <w:rFonts w:hint="eastAsia" w:ascii="Times New Roman" w:hAnsi="Times New Roman" w:eastAsia="宋体" w:cs="Times New Roman"/>
                <w:snapToGrid w:val="0"/>
                <w:color w:val="0000FF"/>
                <w:kern w:val="21"/>
                <w:szCs w:val="21"/>
              </w:rPr>
              <w:t>t/a</w:t>
            </w:r>
          </w:p>
        </w:tc>
        <w:tc>
          <w:tcPr>
            <w:tcW w:w="1507" w:type="dxa"/>
            <w:shd w:val="clear" w:color="auto" w:fill="auto"/>
            <w:noWrap w:val="0"/>
            <w:vAlign w:val="center"/>
          </w:tcPr>
          <w:p w14:paraId="67981C8A">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cs="Times New Roman"/>
                <w:snapToGrid w:val="0"/>
                <w:color w:val="0000FF"/>
                <w:kern w:val="21"/>
                <w:szCs w:val="21"/>
                <w:lang w:val="en-US" w:eastAsia="zh-CN"/>
              </w:rPr>
              <w:t>+5.62</w:t>
            </w:r>
            <w:r>
              <w:rPr>
                <w:rFonts w:hint="eastAsia" w:ascii="Times New Roman" w:hAnsi="Times New Roman" w:eastAsia="宋体" w:cs="Times New Roman"/>
                <w:snapToGrid w:val="0"/>
                <w:color w:val="0000FF"/>
                <w:kern w:val="21"/>
                <w:szCs w:val="21"/>
              </w:rPr>
              <w:t>t/a</w:t>
            </w:r>
          </w:p>
        </w:tc>
      </w:tr>
      <w:tr w14:paraId="59AC09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10" w:type="dxa"/>
            <w:gridSpan w:val="2"/>
            <w:vMerge w:val="continue"/>
            <w:noWrap w:val="0"/>
            <w:vAlign w:val="center"/>
          </w:tcPr>
          <w:p w14:paraId="02B32631">
            <w:pPr>
              <w:pStyle w:val="48"/>
              <w:spacing w:beforeLines="0" w:afterLines="0" w:line="240" w:lineRule="auto"/>
              <w:rPr>
                <w:rFonts w:hint="eastAsia" w:ascii="Times New Roman" w:hAnsi="Times New Roman" w:eastAsia="宋体" w:cs="Times New Roman"/>
                <w:snapToGrid w:val="0"/>
                <w:color w:val="auto"/>
                <w:kern w:val="21"/>
                <w:szCs w:val="21"/>
              </w:rPr>
            </w:pPr>
          </w:p>
        </w:tc>
        <w:tc>
          <w:tcPr>
            <w:tcW w:w="1968" w:type="dxa"/>
            <w:noWrap w:val="0"/>
            <w:vAlign w:val="center"/>
          </w:tcPr>
          <w:p w14:paraId="5E63444E">
            <w:pPr>
              <w:pStyle w:val="48"/>
              <w:spacing w:beforeLines="0" w:afterLines="0" w:line="240" w:lineRule="auto"/>
              <w:rPr>
                <w:rFonts w:hint="eastAsia" w:cs="Times New Roman"/>
                <w:color w:val="auto"/>
                <w:kern w:val="2"/>
                <w:sz w:val="21"/>
                <w:szCs w:val="24"/>
                <w:highlight w:val="yellow"/>
                <w:lang w:val="en-US" w:eastAsia="zh-CN" w:bidi="ar-SA"/>
              </w:rPr>
            </w:pPr>
            <w:r>
              <w:rPr>
                <w:rFonts w:hint="eastAsia" w:cs="Times New Roman"/>
                <w:color w:val="auto"/>
                <w:kern w:val="2"/>
                <w:sz w:val="21"/>
                <w:szCs w:val="24"/>
                <w:lang w:val="en-US" w:eastAsia="zh-CN" w:bidi="ar-SA"/>
              </w:rPr>
              <w:t>铁锈渣</w:t>
            </w:r>
          </w:p>
        </w:tc>
        <w:tc>
          <w:tcPr>
            <w:tcW w:w="1469" w:type="dxa"/>
            <w:shd w:val="clear" w:color="auto" w:fill="auto"/>
            <w:noWrap w:val="0"/>
            <w:vAlign w:val="center"/>
          </w:tcPr>
          <w:p w14:paraId="6F392A05">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hAnsi="Times New Roman" w:eastAsia="宋体" w:cs="Times New Roman"/>
                <w:snapToGrid w:val="0"/>
                <w:color w:val="auto"/>
                <w:kern w:val="21"/>
                <w:szCs w:val="21"/>
              </w:rPr>
              <w:t>/</w:t>
            </w:r>
          </w:p>
        </w:tc>
        <w:tc>
          <w:tcPr>
            <w:tcW w:w="1228" w:type="dxa"/>
            <w:shd w:val="clear" w:color="auto" w:fill="auto"/>
            <w:noWrap w:val="0"/>
            <w:vAlign w:val="center"/>
          </w:tcPr>
          <w:p w14:paraId="1DC4E274">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hAnsi="Times New Roman" w:eastAsia="宋体" w:cs="Times New Roman"/>
                <w:snapToGrid w:val="0"/>
                <w:color w:val="auto"/>
                <w:kern w:val="21"/>
                <w:szCs w:val="21"/>
              </w:rPr>
              <w:t>/</w:t>
            </w:r>
          </w:p>
        </w:tc>
        <w:tc>
          <w:tcPr>
            <w:tcW w:w="1554" w:type="dxa"/>
            <w:shd w:val="clear" w:color="auto" w:fill="auto"/>
            <w:noWrap w:val="0"/>
            <w:vAlign w:val="center"/>
          </w:tcPr>
          <w:p w14:paraId="2C4E3CF3">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hAnsi="Times New Roman" w:eastAsia="宋体" w:cs="Times New Roman"/>
                <w:snapToGrid w:val="0"/>
                <w:color w:val="auto"/>
                <w:kern w:val="21"/>
                <w:szCs w:val="21"/>
              </w:rPr>
              <w:t>/</w:t>
            </w:r>
          </w:p>
        </w:tc>
        <w:tc>
          <w:tcPr>
            <w:tcW w:w="1650" w:type="dxa"/>
            <w:shd w:val="clear" w:color="auto" w:fill="auto"/>
            <w:noWrap w:val="0"/>
            <w:vAlign w:val="center"/>
          </w:tcPr>
          <w:p w14:paraId="4BA3886F">
            <w:pPr>
              <w:pStyle w:val="48"/>
              <w:spacing w:beforeLines="0" w:afterLines="0" w:line="240" w:lineRule="auto"/>
              <w:rPr>
                <w:rFonts w:hint="default" w:ascii="Times New Roman" w:hAnsi="Times New Roman" w:eastAsia="宋体" w:cs="Times New Roman"/>
                <w:snapToGrid w:val="0"/>
                <w:color w:val="auto"/>
                <w:kern w:val="21"/>
                <w:szCs w:val="21"/>
                <w:lang w:val="en-US" w:eastAsia="zh-CN"/>
              </w:rPr>
            </w:pPr>
            <w:r>
              <w:rPr>
                <w:rFonts w:hint="eastAsia" w:ascii="Times New Roman" w:cs="Times New Roman"/>
                <w:snapToGrid w:val="0"/>
                <w:color w:val="0000FF"/>
                <w:kern w:val="21"/>
                <w:szCs w:val="21"/>
                <w:lang w:val="en-US" w:eastAsia="zh-CN"/>
              </w:rPr>
              <w:t>6.24</w:t>
            </w:r>
            <w:r>
              <w:rPr>
                <w:rFonts w:hint="eastAsia" w:ascii="Times New Roman" w:hAnsi="Times New Roman" w:eastAsia="宋体" w:cs="Times New Roman"/>
                <w:snapToGrid w:val="0"/>
                <w:color w:val="0000FF"/>
                <w:kern w:val="21"/>
                <w:szCs w:val="21"/>
              </w:rPr>
              <w:t>t/a</w:t>
            </w:r>
          </w:p>
        </w:tc>
        <w:tc>
          <w:tcPr>
            <w:tcW w:w="1623" w:type="dxa"/>
            <w:shd w:val="clear" w:color="auto" w:fill="auto"/>
            <w:noWrap w:val="0"/>
            <w:vAlign w:val="center"/>
          </w:tcPr>
          <w:p w14:paraId="22358608">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p>
        </w:tc>
        <w:tc>
          <w:tcPr>
            <w:tcW w:w="1786" w:type="dxa"/>
            <w:shd w:val="clear" w:color="auto" w:fill="auto"/>
            <w:noWrap w:val="0"/>
            <w:vAlign w:val="center"/>
          </w:tcPr>
          <w:p w14:paraId="441EBACE">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cs="Times New Roman"/>
                <w:snapToGrid w:val="0"/>
                <w:color w:val="0000FF"/>
                <w:kern w:val="21"/>
                <w:szCs w:val="21"/>
                <w:lang w:val="en-US" w:eastAsia="zh-CN"/>
              </w:rPr>
              <w:t>6.24</w:t>
            </w:r>
            <w:r>
              <w:rPr>
                <w:rFonts w:hint="eastAsia" w:ascii="Times New Roman" w:hAnsi="Times New Roman" w:eastAsia="宋体" w:cs="Times New Roman"/>
                <w:snapToGrid w:val="0"/>
                <w:color w:val="0000FF"/>
                <w:kern w:val="21"/>
                <w:szCs w:val="21"/>
              </w:rPr>
              <w:t>t/a</w:t>
            </w:r>
          </w:p>
        </w:tc>
        <w:tc>
          <w:tcPr>
            <w:tcW w:w="1507" w:type="dxa"/>
            <w:shd w:val="clear" w:color="auto" w:fill="auto"/>
            <w:noWrap w:val="0"/>
            <w:vAlign w:val="center"/>
          </w:tcPr>
          <w:p w14:paraId="383FA5E5">
            <w:pPr>
              <w:pStyle w:val="48"/>
              <w:spacing w:beforeLines="0" w:afterLines="0" w:line="240" w:lineRule="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cs="Times New Roman"/>
                <w:snapToGrid w:val="0"/>
                <w:color w:val="0000FF"/>
                <w:kern w:val="21"/>
                <w:szCs w:val="21"/>
                <w:lang w:val="en-US" w:eastAsia="zh-CN"/>
              </w:rPr>
              <w:t>+6.24</w:t>
            </w:r>
            <w:r>
              <w:rPr>
                <w:rFonts w:hint="eastAsia" w:ascii="Times New Roman" w:hAnsi="Times New Roman" w:eastAsia="宋体" w:cs="Times New Roman"/>
                <w:snapToGrid w:val="0"/>
                <w:color w:val="0000FF"/>
                <w:kern w:val="21"/>
                <w:szCs w:val="21"/>
              </w:rPr>
              <w:t>t/a</w:t>
            </w:r>
          </w:p>
        </w:tc>
      </w:tr>
      <w:tr w14:paraId="5824FC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10" w:type="dxa"/>
            <w:gridSpan w:val="2"/>
            <w:vMerge w:val="continue"/>
            <w:noWrap w:val="0"/>
            <w:vAlign w:val="center"/>
          </w:tcPr>
          <w:p w14:paraId="69A15F3E">
            <w:pPr>
              <w:pStyle w:val="48"/>
              <w:spacing w:beforeLines="0" w:afterLines="0" w:line="240" w:lineRule="auto"/>
              <w:rPr>
                <w:rFonts w:hint="eastAsia" w:ascii="Times New Roman" w:hAnsi="Times New Roman" w:eastAsia="宋体" w:cs="Times New Roman"/>
                <w:snapToGrid w:val="0"/>
                <w:color w:val="auto"/>
                <w:kern w:val="21"/>
                <w:szCs w:val="21"/>
              </w:rPr>
            </w:pPr>
          </w:p>
        </w:tc>
        <w:tc>
          <w:tcPr>
            <w:tcW w:w="1968" w:type="dxa"/>
            <w:noWrap w:val="0"/>
            <w:vAlign w:val="center"/>
          </w:tcPr>
          <w:p w14:paraId="45E49533">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lang w:val="en-US" w:eastAsia="zh-CN"/>
              </w:rPr>
              <w:t>除尘设备</w:t>
            </w:r>
            <w:r>
              <w:rPr>
                <w:rFonts w:hint="eastAsia" w:ascii="Times New Roman" w:hAnsi="Times New Roman" w:eastAsia="宋体" w:cs="Times New Roman"/>
                <w:snapToGrid w:val="0"/>
                <w:color w:val="auto"/>
                <w:kern w:val="21"/>
                <w:szCs w:val="21"/>
              </w:rPr>
              <w:t>收集尘</w:t>
            </w:r>
          </w:p>
        </w:tc>
        <w:tc>
          <w:tcPr>
            <w:tcW w:w="1469" w:type="dxa"/>
            <w:noWrap w:val="0"/>
            <w:vAlign w:val="center"/>
          </w:tcPr>
          <w:p w14:paraId="15730EAF">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p>
        </w:tc>
        <w:tc>
          <w:tcPr>
            <w:tcW w:w="1228" w:type="dxa"/>
            <w:noWrap w:val="0"/>
            <w:vAlign w:val="center"/>
          </w:tcPr>
          <w:p w14:paraId="5469808B">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p>
        </w:tc>
        <w:tc>
          <w:tcPr>
            <w:tcW w:w="1554" w:type="dxa"/>
            <w:noWrap w:val="0"/>
            <w:vAlign w:val="center"/>
          </w:tcPr>
          <w:p w14:paraId="0B168CC9">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p>
        </w:tc>
        <w:tc>
          <w:tcPr>
            <w:tcW w:w="1650" w:type="dxa"/>
            <w:noWrap w:val="0"/>
            <w:vAlign w:val="center"/>
          </w:tcPr>
          <w:p w14:paraId="5803AAD0">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cs="Times New Roman"/>
                <w:snapToGrid w:val="0"/>
                <w:color w:val="0000FF"/>
                <w:kern w:val="21"/>
                <w:szCs w:val="21"/>
                <w:lang w:val="en-US" w:eastAsia="zh-CN"/>
              </w:rPr>
              <w:t>25.44</w:t>
            </w:r>
            <w:r>
              <w:rPr>
                <w:rFonts w:hint="eastAsia" w:ascii="Times New Roman" w:hAnsi="Times New Roman" w:eastAsia="宋体" w:cs="Times New Roman"/>
                <w:snapToGrid w:val="0"/>
                <w:color w:val="0000FF"/>
                <w:kern w:val="21"/>
                <w:szCs w:val="21"/>
              </w:rPr>
              <w:t>t/a</w:t>
            </w:r>
          </w:p>
        </w:tc>
        <w:tc>
          <w:tcPr>
            <w:tcW w:w="1623" w:type="dxa"/>
            <w:noWrap w:val="0"/>
            <w:vAlign w:val="center"/>
          </w:tcPr>
          <w:p w14:paraId="40560047">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p>
        </w:tc>
        <w:tc>
          <w:tcPr>
            <w:tcW w:w="1786" w:type="dxa"/>
            <w:noWrap w:val="0"/>
            <w:vAlign w:val="center"/>
          </w:tcPr>
          <w:p w14:paraId="05711FD5">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cs="Times New Roman"/>
                <w:snapToGrid w:val="0"/>
                <w:color w:val="0000FF"/>
                <w:kern w:val="21"/>
                <w:szCs w:val="21"/>
                <w:lang w:val="en-US" w:eastAsia="zh-CN"/>
              </w:rPr>
              <w:t>25.44</w:t>
            </w:r>
            <w:r>
              <w:rPr>
                <w:rFonts w:hint="eastAsia" w:ascii="Times New Roman" w:hAnsi="Times New Roman" w:eastAsia="宋体" w:cs="Times New Roman"/>
                <w:snapToGrid w:val="0"/>
                <w:color w:val="0000FF"/>
                <w:kern w:val="21"/>
                <w:szCs w:val="21"/>
              </w:rPr>
              <w:t>t/a</w:t>
            </w:r>
          </w:p>
        </w:tc>
        <w:tc>
          <w:tcPr>
            <w:tcW w:w="1507" w:type="dxa"/>
            <w:noWrap w:val="0"/>
            <w:vAlign w:val="center"/>
          </w:tcPr>
          <w:p w14:paraId="5A6B414A">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cs="Times New Roman"/>
                <w:snapToGrid w:val="0"/>
                <w:color w:val="0000FF"/>
                <w:kern w:val="21"/>
                <w:szCs w:val="21"/>
                <w:lang w:val="en-US" w:eastAsia="zh-CN"/>
              </w:rPr>
              <w:t>+25.44</w:t>
            </w:r>
            <w:r>
              <w:rPr>
                <w:rFonts w:hint="eastAsia" w:ascii="Times New Roman" w:hAnsi="Times New Roman" w:eastAsia="宋体" w:cs="Times New Roman"/>
                <w:snapToGrid w:val="0"/>
                <w:color w:val="0000FF"/>
                <w:kern w:val="21"/>
                <w:szCs w:val="21"/>
              </w:rPr>
              <w:t>t/a</w:t>
            </w:r>
          </w:p>
        </w:tc>
      </w:tr>
      <w:tr w14:paraId="48C0D7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10" w:type="dxa"/>
            <w:gridSpan w:val="2"/>
            <w:vMerge w:val="continue"/>
            <w:noWrap w:val="0"/>
            <w:vAlign w:val="center"/>
          </w:tcPr>
          <w:p w14:paraId="5CE6CEAE">
            <w:pPr>
              <w:pStyle w:val="48"/>
              <w:spacing w:beforeLines="0" w:afterLines="0" w:line="240" w:lineRule="auto"/>
              <w:rPr>
                <w:rFonts w:hint="eastAsia" w:ascii="Times New Roman" w:hAnsi="Times New Roman" w:eastAsia="宋体" w:cs="Times New Roman"/>
                <w:snapToGrid w:val="0"/>
                <w:color w:val="auto"/>
                <w:kern w:val="21"/>
                <w:szCs w:val="21"/>
              </w:rPr>
            </w:pPr>
          </w:p>
        </w:tc>
        <w:tc>
          <w:tcPr>
            <w:tcW w:w="1968" w:type="dxa"/>
            <w:noWrap w:val="0"/>
            <w:vAlign w:val="center"/>
          </w:tcPr>
          <w:p w14:paraId="04D5290A">
            <w:pPr>
              <w:pStyle w:val="48"/>
              <w:spacing w:beforeLines="0" w:afterLines="0" w:line="240" w:lineRule="auto"/>
              <w:rPr>
                <w:rFonts w:hint="default"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废布袋</w:t>
            </w:r>
          </w:p>
        </w:tc>
        <w:tc>
          <w:tcPr>
            <w:tcW w:w="1469" w:type="dxa"/>
            <w:shd w:val="clear" w:color="auto" w:fill="auto"/>
            <w:noWrap w:val="0"/>
            <w:vAlign w:val="center"/>
          </w:tcPr>
          <w:p w14:paraId="2FC5D398">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228" w:type="dxa"/>
            <w:shd w:val="clear" w:color="auto" w:fill="auto"/>
            <w:noWrap w:val="0"/>
            <w:vAlign w:val="center"/>
          </w:tcPr>
          <w:p w14:paraId="70F3B96A">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554" w:type="dxa"/>
            <w:shd w:val="clear" w:color="auto" w:fill="auto"/>
            <w:noWrap w:val="0"/>
            <w:vAlign w:val="center"/>
          </w:tcPr>
          <w:p w14:paraId="5B48F6A4">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650" w:type="dxa"/>
            <w:shd w:val="clear" w:color="auto" w:fill="auto"/>
            <w:noWrap w:val="0"/>
            <w:vAlign w:val="center"/>
          </w:tcPr>
          <w:p w14:paraId="419CE2C1">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0.</w:t>
            </w:r>
            <w:r>
              <w:rPr>
                <w:rFonts w:hint="eastAsia" w:ascii="Times New Roman" w:cs="Times New Roman"/>
                <w:snapToGrid w:val="0"/>
                <w:color w:val="auto"/>
                <w:kern w:val="21"/>
                <w:szCs w:val="21"/>
                <w:lang w:val="en-US" w:eastAsia="zh-CN"/>
              </w:rPr>
              <w:t>46</w:t>
            </w:r>
            <w:r>
              <w:rPr>
                <w:rFonts w:hint="eastAsia" w:ascii="Times New Roman" w:hAnsi="Times New Roman" w:eastAsia="宋体" w:cs="Times New Roman"/>
                <w:snapToGrid w:val="0"/>
                <w:color w:val="auto"/>
                <w:kern w:val="21"/>
                <w:szCs w:val="21"/>
                <w:lang w:val="en-US" w:eastAsia="zh-CN"/>
              </w:rPr>
              <w:t>t/</w:t>
            </w:r>
            <w:r>
              <w:rPr>
                <w:rFonts w:hint="eastAsia" w:ascii="Times New Roman" w:cs="Times New Roman"/>
                <w:snapToGrid w:val="0"/>
                <w:color w:val="auto"/>
                <w:kern w:val="21"/>
                <w:szCs w:val="21"/>
                <w:lang w:val="en-US" w:eastAsia="zh-CN"/>
              </w:rPr>
              <w:t>2</w:t>
            </w:r>
            <w:r>
              <w:rPr>
                <w:rFonts w:hint="eastAsia" w:ascii="Times New Roman" w:hAnsi="Times New Roman" w:eastAsia="宋体" w:cs="Times New Roman"/>
                <w:snapToGrid w:val="0"/>
                <w:color w:val="auto"/>
                <w:kern w:val="21"/>
                <w:szCs w:val="21"/>
                <w:lang w:val="en-US" w:eastAsia="zh-CN"/>
              </w:rPr>
              <w:t>a</w:t>
            </w:r>
          </w:p>
        </w:tc>
        <w:tc>
          <w:tcPr>
            <w:tcW w:w="1623" w:type="dxa"/>
            <w:shd w:val="clear" w:color="auto" w:fill="auto"/>
            <w:noWrap w:val="0"/>
            <w:vAlign w:val="center"/>
          </w:tcPr>
          <w:p w14:paraId="1B8329BD">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786" w:type="dxa"/>
            <w:shd w:val="clear" w:color="auto" w:fill="auto"/>
            <w:noWrap w:val="0"/>
            <w:vAlign w:val="center"/>
          </w:tcPr>
          <w:p w14:paraId="769BDB33">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0.</w:t>
            </w:r>
            <w:r>
              <w:rPr>
                <w:rFonts w:hint="eastAsia" w:ascii="Times New Roman" w:cs="Times New Roman"/>
                <w:snapToGrid w:val="0"/>
                <w:color w:val="auto"/>
                <w:kern w:val="21"/>
                <w:szCs w:val="21"/>
                <w:lang w:val="en-US" w:eastAsia="zh-CN"/>
              </w:rPr>
              <w:t>46</w:t>
            </w:r>
            <w:r>
              <w:rPr>
                <w:rFonts w:hint="eastAsia" w:ascii="Times New Roman" w:hAnsi="Times New Roman" w:eastAsia="宋体" w:cs="Times New Roman"/>
                <w:snapToGrid w:val="0"/>
                <w:color w:val="auto"/>
                <w:kern w:val="21"/>
                <w:szCs w:val="21"/>
                <w:lang w:val="en-US" w:eastAsia="zh-CN"/>
              </w:rPr>
              <w:t>t/</w:t>
            </w:r>
            <w:r>
              <w:rPr>
                <w:rFonts w:hint="eastAsia" w:ascii="Times New Roman" w:cs="Times New Roman"/>
                <w:snapToGrid w:val="0"/>
                <w:color w:val="auto"/>
                <w:kern w:val="21"/>
                <w:szCs w:val="21"/>
                <w:lang w:val="en-US" w:eastAsia="zh-CN"/>
              </w:rPr>
              <w:t>2</w:t>
            </w:r>
            <w:r>
              <w:rPr>
                <w:rFonts w:hint="eastAsia" w:ascii="Times New Roman" w:hAnsi="Times New Roman" w:eastAsia="宋体" w:cs="Times New Roman"/>
                <w:snapToGrid w:val="0"/>
                <w:color w:val="auto"/>
                <w:kern w:val="21"/>
                <w:szCs w:val="21"/>
                <w:lang w:val="en-US" w:eastAsia="zh-CN"/>
              </w:rPr>
              <w:t>a</w:t>
            </w:r>
          </w:p>
        </w:tc>
        <w:tc>
          <w:tcPr>
            <w:tcW w:w="1507" w:type="dxa"/>
            <w:shd w:val="clear" w:color="auto" w:fill="auto"/>
            <w:noWrap w:val="0"/>
            <w:vAlign w:val="center"/>
          </w:tcPr>
          <w:p w14:paraId="406E1E59">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r>
              <w:rPr>
                <w:rFonts w:hint="eastAsia" w:ascii="Times New Roman" w:hAnsi="Times New Roman" w:eastAsia="宋体" w:cs="Times New Roman"/>
                <w:snapToGrid w:val="0"/>
                <w:color w:val="auto"/>
                <w:kern w:val="21"/>
                <w:szCs w:val="21"/>
                <w:lang w:val="en-US" w:eastAsia="zh-CN"/>
              </w:rPr>
              <w:t>0.</w:t>
            </w:r>
            <w:r>
              <w:rPr>
                <w:rFonts w:hint="eastAsia" w:ascii="Times New Roman" w:cs="Times New Roman"/>
                <w:snapToGrid w:val="0"/>
                <w:color w:val="auto"/>
                <w:kern w:val="21"/>
                <w:szCs w:val="21"/>
                <w:lang w:val="en-US" w:eastAsia="zh-CN"/>
              </w:rPr>
              <w:t>46</w:t>
            </w:r>
            <w:r>
              <w:rPr>
                <w:rFonts w:hint="eastAsia" w:ascii="Times New Roman" w:hAnsi="Times New Roman" w:eastAsia="宋体" w:cs="Times New Roman"/>
                <w:snapToGrid w:val="0"/>
                <w:color w:val="auto"/>
                <w:kern w:val="21"/>
                <w:szCs w:val="21"/>
                <w:lang w:val="en-US" w:eastAsia="zh-CN"/>
              </w:rPr>
              <w:t>t/</w:t>
            </w:r>
            <w:r>
              <w:rPr>
                <w:rFonts w:hint="eastAsia" w:ascii="Times New Roman" w:cs="Times New Roman"/>
                <w:snapToGrid w:val="0"/>
                <w:color w:val="auto"/>
                <w:kern w:val="21"/>
                <w:szCs w:val="21"/>
                <w:lang w:val="en-US" w:eastAsia="zh-CN"/>
              </w:rPr>
              <w:t>2</w:t>
            </w:r>
            <w:r>
              <w:rPr>
                <w:rFonts w:hint="eastAsia" w:ascii="Times New Roman" w:hAnsi="Times New Roman" w:eastAsia="宋体" w:cs="Times New Roman"/>
                <w:snapToGrid w:val="0"/>
                <w:color w:val="auto"/>
                <w:kern w:val="21"/>
                <w:szCs w:val="21"/>
                <w:lang w:val="en-US" w:eastAsia="zh-CN"/>
              </w:rPr>
              <w:t>a</w:t>
            </w:r>
          </w:p>
        </w:tc>
      </w:tr>
      <w:tr w14:paraId="14B74F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10" w:type="dxa"/>
            <w:gridSpan w:val="2"/>
            <w:vMerge w:val="restart"/>
            <w:noWrap w:val="0"/>
            <w:vAlign w:val="center"/>
          </w:tcPr>
          <w:p w14:paraId="3A1170E7">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危险废物</w:t>
            </w:r>
          </w:p>
        </w:tc>
        <w:tc>
          <w:tcPr>
            <w:tcW w:w="1968" w:type="dxa"/>
            <w:shd w:val="clear" w:color="auto" w:fill="auto"/>
            <w:noWrap w:val="0"/>
            <w:vAlign w:val="center"/>
          </w:tcPr>
          <w:p w14:paraId="014DA7E9">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漆渣及废过滤棉</w:t>
            </w:r>
          </w:p>
        </w:tc>
        <w:tc>
          <w:tcPr>
            <w:tcW w:w="1469" w:type="dxa"/>
            <w:shd w:val="clear" w:color="auto" w:fill="auto"/>
            <w:noWrap w:val="0"/>
            <w:vAlign w:val="center"/>
          </w:tcPr>
          <w:p w14:paraId="784C8388">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228" w:type="dxa"/>
            <w:shd w:val="clear" w:color="auto" w:fill="auto"/>
            <w:noWrap w:val="0"/>
            <w:vAlign w:val="center"/>
          </w:tcPr>
          <w:p w14:paraId="67056BA5">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554" w:type="dxa"/>
            <w:shd w:val="clear" w:color="auto" w:fill="auto"/>
            <w:noWrap w:val="0"/>
            <w:vAlign w:val="center"/>
          </w:tcPr>
          <w:p w14:paraId="7EEECE6D">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650" w:type="dxa"/>
            <w:shd w:val="clear" w:color="auto" w:fill="auto"/>
            <w:noWrap w:val="0"/>
            <w:vAlign w:val="center"/>
          </w:tcPr>
          <w:p w14:paraId="5029B2E4">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cs="Times New Roman"/>
                <w:snapToGrid w:val="0"/>
                <w:color w:val="0000FF"/>
                <w:kern w:val="21"/>
                <w:szCs w:val="21"/>
                <w:lang w:val="en-US" w:eastAsia="zh-CN"/>
              </w:rPr>
              <w:t>4.77</w:t>
            </w:r>
            <w:r>
              <w:rPr>
                <w:rFonts w:hint="eastAsia" w:ascii="Times New Roman" w:hAnsi="Times New Roman" w:eastAsia="宋体" w:cs="Times New Roman"/>
                <w:snapToGrid w:val="0"/>
                <w:color w:val="0000FF"/>
                <w:kern w:val="21"/>
                <w:szCs w:val="21"/>
                <w:lang w:val="en-US" w:eastAsia="zh-CN"/>
              </w:rPr>
              <w:t>t/a</w:t>
            </w:r>
          </w:p>
        </w:tc>
        <w:tc>
          <w:tcPr>
            <w:tcW w:w="1623" w:type="dxa"/>
            <w:shd w:val="clear" w:color="auto" w:fill="auto"/>
            <w:noWrap w:val="0"/>
            <w:vAlign w:val="center"/>
          </w:tcPr>
          <w:p w14:paraId="7E276494">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786" w:type="dxa"/>
            <w:shd w:val="clear" w:color="auto" w:fill="auto"/>
            <w:noWrap w:val="0"/>
            <w:vAlign w:val="center"/>
          </w:tcPr>
          <w:p w14:paraId="030C8EBB">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cs="Times New Roman"/>
                <w:snapToGrid w:val="0"/>
                <w:color w:val="0000FF"/>
                <w:kern w:val="21"/>
                <w:szCs w:val="21"/>
                <w:lang w:val="en-US" w:eastAsia="zh-CN"/>
              </w:rPr>
              <w:t>4.77</w:t>
            </w:r>
            <w:r>
              <w:rPr>
                <w:rFonts w:hint="eastAsia" w:ascii="Times New Roman" w:hAnsi="Times New Roman" w:eastAsia="宋体" w:cs="Times New Roman"/>
                <w:snapToGrid w:val="0"/>
                <w:color w:val="0000FF"/>
                <w:kern w:val="21"/>
                <w:szCs w:val="21"/>
                <w:lang w:val="en-US" w:eastAsia="zh-CN"/>
              </w:rPr>
              <w:t>t/a</w:t>
            </w:r>
          </w:p>
        </w:tc>
        <w:tc>
          <w:tcPr>
            <w:tcW w:w="1507" w:type="dxa"/>
            <w:shd w:val="clear" w:color="auto" w:fill="auto"/>
            <w:noWrap w:val="0"/>
            <w:vAlign w:val="center"/>
          </w:tcPr>
          <w:p w14:paraId="477CA9C9">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0000FF"/>
                <w:kern w:val="21"/>
                <w:szCs w:val="21"/>
                <w:lang w:val="en-US" w:eastAsia="zh-CN"/>
              </w:rPr>
              <w:t>+</w:t>
            </w:r>
            <w:r>
              <w:rPr>
                <w:rFonts w:hint="eastAsia" w:ascii="Times New Roman" w:cs="Times New Roman"/>
                <w:snapToGrid w:val="0"/>
                <w:color w:val="0000FF"/>
                <w:kern w:val="21"/>
                <w:szCs w:val="21"/>
                <w:lang w:val="en-US" w:eastAsia="zh-CN"/>
              </w:rPr>
              <w:t>4.77</w:t>
            </w:r>
            <w:r>
              <w:rPr>
                <w:rFonts w:hint="eastAsia" w:ascii="Times New Roman" w:hAnsi="Times New Roman" w:eastAsia="宋体" w:cs="Times New Roman"/>
                <w:snapToGrid w:val="0"/>
                <w:color w:val="0000FF"/>
                <w:kern w:val="21"/>
                <w:szCs w:val="21"/>
                <w:lang w:val="en-US" w:eastAsia="zh-CN"/>
              </w:rPr>
              <w:t>t/a</w:t>
            </w:r>
          </w:p>
        </w:tc>
      </w:tr>
      <w:tr w14:paraId="5A229B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10" w:type="dxa"/>
            <w:gridSpan w:val="2"/>
            <w:vMerge w:val="continue"/>
            <w:noWrap w:val="0"/>
            <w:vAlign w:val="center"/>
          </w:tcPr>
          <w:p w14:paraId="2A7F06C8">
            <w:pPr>
              <w:pStyle w:val="48"/>
              <w:spacing w:beforeLines="0" w:afterLines="0" w:line="240" w:lineRule="auto"/>
              <w:rPr>
                <w:rFonts w:hint="eastAsia" w:ascii="Times New Roman" w:hAnsi="Times New Roman" w:eastAsia="宋体" w:cs="Times New Roman"/>
                <w:snapToGrid w:val="0"/>
                <w:color w:val="auto"/>
                <w:kern w:val="21"/>
                <w:szCs w:val="21"/>
              </w:rPr>
            </w:pPr>
          </w:p>
        </w:tc>
        <w:tc>
          <w:tcPr>
            <w:tcW w:w="1968" w:type="dxa"/>
            <w:shd w:val="clear" w:color="auto" w:fill="auto"/>
            <w:noWrap w:val="0"/>
            <w:vAlign w:val="center"/>
          </w:tcPr>
          <w:p w14:paraId="52A43434">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废包装桶</w:t>
            </w:r>
          </w:p>
        </w:tc>
        <w:tc>
          <w:tcPr>
            <w:tcW w:w="1469" w:type="dxa"/>
            <w:shd w:val="clear" w:color="auto" w:fill="auto"/>
            <w:noWrap w:val="0"/>
            <w:vAlign w:val="center"/>
          </w:tcPr>
          <w:p w14:paraId="7D025932">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228" w:type="dxa"/>
            <w:shd w:val="clear" w:color="auto" w:fill="auto"/>
            <w:noWrap w:val="0"/>
            <w:vAlign w:val="center"/>
          </w:tcPr>
          <w:p w14:paraId="2903DE49">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554" w:type="dxa"/>
            <w:shd w:val="clear" w:color="auto" w:fill="auto"/>
            <w:noWrap w:val="0"/>
            <w:vAlign w:val="center"/>
          </w:tcPr>
          <w:p w14:paraId="3DCA1E35">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650" w:type="dxa"/>
            <w:shd w:val="clear" w:color="auto" w:fill="auto"/>
            <w:noWrap w:val="0"/>
            <w:vAlign w:val="center"/>
          </w:tcPr>
          <w:p w14:paraId="5F8BDE1F">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0.74t/a</w:t>
            </w:r>
          </w:p>
        </w:tc>
        <w:tc>
          <w:tcPr>
            <w:tcW w:w="1623" w:type="dxa"/>
            <w:shd w:val="clear" w:color="auto" w:fill="auto"/>
            <w:noWrap w:val="0"/>
            <w:vAlign w:val="center"/>
          </w:tcPr>
          <w:p w14:paraId="164ACFE2">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786" w:type="dxa"/>
            <w:shd w:val="clear" w:color="auto" w:fill="auto"/>
            <w:noWrap w:val="0"/>
            <w:vAlign w:val="center"/>
          </w:tcPr>
          <w:p w14:paraId="5AA89BC6">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0.74t/a</w:t>
            </w:r>
          </w:p>
        </w:tc>
        <w:tc>
          <w:tcPr>
            <w:tcW w:w="1507" w:type="dxa"/>
            <w:shd w:val="clear" w:color="auto" w:fill="auto"/>
            <w:noWrap w:val="0"/>
            <w:vAlign w:val="center"/>
          </w:tcPr>
          <w:p w14:paraId="18DA1EF9">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+0.74t/a</w:t>
            </w:r>
          </w:p>
        </w:tc>
      </w:tr>
      <w:tr w14:paraId="7C6B9B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10" w:type="dxa"/>
            <w:gridSpan w:val="2"/>
            <w:vMerge w:val="continue"/>
            <w:noWrap w:val="0"/>
            <w:vAlign w:val="center"/>
          </w:tcPr>
          <w:p w14:paraId="01E1C64C">
            <w:pPr>
              <w:pStyle w:val="48"/>
              <w:spacing w:beforeLines="0" w:afterLines="0" w:line="240" w:lineRule="auto"/>
              <w:rPr>
                <w:rFonts w:hint="eastAsia" w:ascii="Times New Roman" w:hAnsi="Times New Roman" w:eastAsia="宋体" w:cs="Times New Roman"/>
                <w:snapToGrid w:val="0"/>
                <w:color w:val="auto"/>
                <w:kern w:val="21"/>
                <w:szCs w:val="21"/>
              </w:rPr>
            </w:pPr>
          </w:p>
        </w:tc>
        <w:tc>
          <w:tcPr>
            <w:tcW w:w="1968" w:type="dxa"/>
            <w:shd w:val="clear" w:color="auto" w:fill="auto"/>
            <w:noWrap w:val="0"/>
            <w:vAlign w:val="center"/>
          </w:tcPr>
          <w:p w14:paraId="5F4F74FC">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废活性炭</w:t>
            </w:r>
          </w:p>
        </w:tc>
        <w:tc>
          <w:tcPr>
            <w:tcW w:w="1469" w:type="dxa"/>
            <w:shd w:val="clear" w:color="auto" w:fill="auto"/>
            <w:noWrap w:val="0"/>
            <w:vAlign w:val="center"/>
          </w:tcPr>
          <w:p w14:paraId="012B154B">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228" w:type="dxa"/>
            <w:shd w:val="clear" w:color="auto" w:fill="auto"/>
            <w:noWrap w:val="0"/>
            <w:vAlign w:val="center"/>
          </w:tcPr>
          <w:p w14:paraId="27F84081">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554" w:type="dxa"/>
            <w:shd w:val="clear" w:color="auto" w:fill="auto"/>
            <w:noWrap w:val="0"/>
            <w:vAlign w:val="center"/>
          </w:tcPr>
          <w:p w14:paraId="766380F3">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650" w:type="dxa"/>
            <w:shd w:val="clear" w:color="auto" w:fill="auto"/>
            <w:noWrap w:val="0"/>
            <w:vAlign w:val="center"/>
          </w:tcPr>
          <w:p w14:paraId="60C2864A">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cs="Times New Roman"/>
                <w:snapToGrid w:val="0"/>
                <w:color w:val="0000FF"/>
                <w:kern w:val="21"/>
                <w:szCs w:val="21"/>
                <w:lang w:val="en-US" w:eastAsia="zh-CN"/>
              </w:rPr>
              <w:t>2.76</w:t>
            </w:r>
            <w:r>
              <w:rPr>
                <w:rFonts w:hint="eastAsia" w:ascii="Times New Roman" w:hAnsi="Times New Roman" w:eastAsia="宋体" w:cs="Times New Roman"/>
                <w:snapToGrid w:val="0"/>
                <w:color w:val="0000FF"/>
                <w:kern w:val="21"/>
                <w:szCs w:val="21"/>
                <w:lang w:val="en-US" w:eastAsia="zh-CN"/>
              </w:rPr>
              <w:t>t/a</w:t>
            </w:r>
          </w:p>
        </w:tc>
        <w:tc>
          <w:tcPr>
            <w:tcW w:w="1623" w:type="dxa"/>
            <w:shd w:val="clear" w:color="auto" w:fill="auto"/>
            <w:noWrap w:val="0"/>
            <w:vAlign w:val="center"/>
          </w:tcPr>
          <w:p w14:paraId="0BB66297">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786" w:type="dxa"/>
            <w:shd w:val="clear" w:color="auto" w:fill="auto"/>
            <w:noWrap w:val="0"/>
            <w:vAlign w:val="center"/>
          </w:tcPr>
          <w:p w14:paraId="73650051">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cs="Times New Roman"/>
                <w:snapToGrid w:val="0"/>
                <w:color w:val="0000FF"/>
                <w:kern w:val="21"/>
                <w:szCs w:val="21"/>
                <w:lang w:val="en-US" w:eastAsia="zh-CN"/>
              </w:rPr>
              <w:t>2.76</w:t>
            </w:r>
            <w:r>
              <w:rPr>
                <w:rFonts w:hint="eastAsia" w:ascii="Times New Roman" w:hAnsi="Times New Roman" w:eastAsia="宋体" w:cs="Times New Roman"/>
                <w:snapToGrid w:val="0"/>
                <w:color w:val="0000FF"/>
                <w:kern w:val="21"/>
                <w:szCs w:val="21"/>
                <w:lang w:val="en-US" w:eastAsia="zh-CN"/>
              </w:rPr>
              <w:t>t/a</w:t>
            </w:r>
          </w:p>
        </w:tc>
        <w:tc>
          <w:tcPr>
            <w:tcW w:w="1507" w:type="dxa"/>
            <w:shd w:val="clear" w:color="auto" w:fill="auto"/>
            <w:noWrap w:val="0"/>
            <w:vAlign w:val="center"/>
          </w:tcPr>
          <w:p w14:paraId="3F9ACB77">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0000FF"/>
                <w:kern w:val="21"/>
                <w:szCs w:val="21"/>
                <w:lang w:val="en-US" w:eastAsia="zh-CN"/>
              </w:rPr>
              <w:t>+</w:t>
            </w:r>
            <w:r>
              <w:rPr>
                <w:rFonts w:hint="eastAsia" w:ascii="Times New Roman" w:cs="Times New Roman"/>
                <w:snapToGrid w:val="0"/>
                <w:color w:val="0000FF"/>
                <w:kern w:val="21"/>
                <w:szCs w:val="21"/>
                <w:lang w:val="en-US" w:eastAsia="zh-CN"/>
              </w:rPr>
              <w:t>2.76</w:t>
            </w:r>
            <w:r>
              <w:rPr>
                <w:rFonts w:hint="eastAsia" w:ascii="Times New Roman" w:hAnsi="Times New Roman" w:eastAsia="宋体" w:cs="Times New Roman"/>
                <w:snapToGrid w:val="0"/>
                <w:color w:val="0000FF"/>
                <w:kern w:val="21"/>
                <w:szCs w:val="21"/>
                <w:lang w:val="en-US" w:eastAsia="zh-CN"/>
              </w:rPr>
              <w:t>t/a</w:t>
            </w:r>
          </w:p>
        </w:tc>
      </w:tr>
      <w:tr w14:paraId="35BBBE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10" w:type="dxa"/>
            <w:gridSpan w:val="2"/>
            <w:vMerge w:val="continue"/>
            <w:noWrap w:val="0"/>
            <w:vAlign w:val="center"/>
          </w:tcPr>
          <w:p w14:paraId="22ED3B70">
            <w:pPr>
              <w:pStyle w:val="48"/>
              <w:spacing w:beforeLines="0" w:afterLines="0" w:line="240" w:lineRule="auto"/>
              <w:rPr>
                <w:rFonts w:hint="eastAsia" w:ascii="Times New Roman" w:hAnsi="Times New Roman" w:eastAsia="宋体" w:cs="Times New Roman"/>
                <w:snapToGrid w:val="0"/>
                <w:color w:val="auto"/>
                <w:kern w:val="21"/>
                <w:szCs w:val="21"/>
              </w:rPr>
            </w:pPr>
          </w:p>
        </w:tc>
        <w:tc>
          <w:tcPr>
            <w:tcW w:w="1968" w:type="dxa"/>
            <w:shd w:val="clear" w:color="auto" w:fill="auto"/>
            <w:noWrap w:val="0"/>
            <w:vAlign w:val="center"/>
          </w:tcPr>
          <w:p w14:paraId="0AA6DE9C">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废催化剂</w:t>
            </w:r>
          </w:p>
        </w:tc>
        <w:tc>
          <w:tcPr>
            <w:tcW w:w="1469" w:type="dxa"/>
            <w:shd w:val="clear" w:color="auto" w:fill="auto"/>
            <w:noWrap w:val="0"/>
            <w:vAlign w:val="center"/>
          </w:tcPr>
          <w:p w14:paraId="31CEF561">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228" w:type="dxa"/>
            <w:shd w:val="clear" w:color="auto" w:fill="auto"/>
            <w:noWrap w:val="0"/>
            <w:vAlign w:val="center"/>
          </w:tcPr>
          <w:p w14:paraId="485C365C">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554" w:type="dxa"/>
            <w:shd w:val="clear" w:color="auto" w:fill="auto"/>
            <w:noWrap w:val="0"/>
            <w:vAlign w:val="center"/>
          </w:tcPr>
          <w:p w14:paraId="75123376">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650" w:type="dxa"/>
            <w:shd w:val="clear" w:color="auto" w:fill="auto"/>
            <w:noWrap w:val="0"/>
            <w:vAlign w:val="center"/>
          </w:tcPr>
          <w:p w14:paraId="0A03A060">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0.05t/a</w:t>
            </w:r>
          </w:p>
        </w:tc>
        <w:tc>
          <w:tcPr>
            <w:tcW w:w="1623" w:type="dxa"/>
            <w:shd w:val="clear" w:color="auto" w:fill="auto"/>
            <w:noWrap w:val="0"/>
            <w:vAlign w:val="center"/>
          </w:tcPr>
          <w:p w14:paraId="309AFBB5">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786" w:type="dxa"/>
            <w:shd w:val="clear" w:color="auto" w:fill="auto"/>
            <w:noWrap w:val="0"/>
            <w:vAlign w:val="center"/>
          </w:tcPr>
          <w:p w14:paraId="407AE99E">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0.05t/a</w:t>
            </w:r>
          </w:p>
        </w:tc>
        <w:tc>
          <w:tcPr>
            <w:tcW w:w="1507" w:type="dxa"/>
            <w:shd w:val="clear" w:color="auto" w:fill="auto"/>
            <w:noWrap w:val="0"/>
            <w:vAlign w:val="center"/>
          </w:tcPr>
          <w:p w14:paraId="3D8F9E2B">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+0.05t/a</w:t>
            </w:r>
          </w:p>
        </w:tc>
      </w:tr>
      <w:tr w14:paraId="6F4E03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10" w:type="dxa"/>
            <w:gridSpan w:val="2"/>
            <w:vMerge w:val="continue"/>
            <w:noWrap w:val="0"/>
            <w:vAlign w:val="center"/>
          </w:tcPr>
          <w:p w14:paraId="627B7B16">
            <w:pPr>
              <w:pStyle w:val="48"/>
              <w:spacing w:beforeLines="0" w:afterLines="0" w:line="240" w:lineRule="auto"/>
              <w:rPr>
                <w:rFonts w:hint="eastAsia" w:ascii="Times New Roman" w:hAnsi="Times New Roman" w:eastAsia="宋体" w:cs="Times New Roman"/>
                <w:snapToGrid w:val="0"/>
                <w:color w:val="auto"/>
                <w:kern w:val="21"/>
                <w:szCs w:val="21"/>
              </w:rPr>
            </w:pPr>
          </w:p>
        </w:tc>
        <w:tc>
          <w:tcPr>
            <w:tcW w:w="1968" w:type="dxa"/>
            <w:shd w:val="clear" w:color="auto" w:fill="auto"/>
            <w:noWrap w:val="0"/>
            <w:vAlign w:val="center"/>
          </w:tcPr>
          <w:p w14:paraId="32AA0834">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废润滑油</w:t>
            </w:r>
          </w:p>
        </w:tc>
        <w:tc>
          <w:tcPr>
            <w:tcW w:w="1469" w:type="dxa"/>
            <w:shd w:val="clear" w:color="auto" w:fill="auto"/>
            <w:noWrap w:val="0"/>
            <w:vAlign w:val="center"/>
          </w:tcPr>
          <w:p w14:paraId="2D8EFAF6">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228" w:type="dxa"/>
            <w:shd w:val="clear" w:color="auto" w:fill="auto"/>
            <w:noWrap w:val="0"/>
            <w:vAlign w:val="center"/>
          </w:tcPr>
          <w:p w14:paraId="1D76E6E3">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554" w:type="dxa"/>
            <w:shd w:val="clear" w:color="auto" w:fill="auto"/>
            <w:noWrap w:val="0"/>
            <w:vAlign w:val="center"/>
          </w:tcPr>
          <w:p w14:paraId="4EC1E5F5">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650" w:type="dxa"/>
            <w:shd w:val="clear" w:color="auto" w:fill="auto"/>
            <w:noWrap w:val="0"/>
            <w:vAlign w:val="center"/>
          </w:tcPr>
          <w:p w14:paraId="41DE83BE">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0.08t/a</w:t>
            </w:r>
          </w:p>
        </w:tc>
        <w:tc>
          <w:tcPr>
            <w:tcW w:w="1623" w:type="dxa"/>
            <w:noWrap w:val="0"/>
            <w:vAlign w:val="center"/>
          </w:tcPr>
          <w:p w14:paraId="2BD76D35">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p>
        </w:tc>
        <w:tc>
          <w:tcPr>
            <w:tcW w:w="1786" w:type="dxa"/>
            <w:shd w:val="clear" w:color="auto" w:fill="auto"/>
            <w:noWrap w:val="0"/>
            <w:vAlign w:val="center"/>
          </w:tcPr>
          <w:p w14:paraId="0754B56B">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0.08t/a</w:t>
            </w:r>
          </w:p>
        </w:tc>
        <w:tc>
          <w:tcPr>
            <w:tcW w:w="1507" w:type="dxa"/>
            <w:shd w:val="clear" w:color="auto" w:fill="auto"/>
            <w:noWrap w:val="0"/>
            <w:vAlign w:val="center"/>
          </w:tcPr>
          <w:p w14:paraId="009D208E">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+0.08t/a</w:t>
            </w:r>
          </w:p>
        </w:tc>
      </w:tr>
      <w:tr w14:paraId="791814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10" w:type="dxa"/>
            <w:gridSpan w:val="2"/>
            <w:vMerge w:val="continue"/>
            <w:noWrap w:val="0"/>
            <w:vAlign w:val="center"/>
          </w:tcPr>
          <w:p w14:paraId="4F35E693">
            <w:pPr>
              <w:pStyle w:val="48"/>
              <w:spacing w:beforeLines="0" w:afterLines="0" w:line="240" w:lineRule="auto"/>
              <w:rPr>
                <w:rFonts w:hint="eastAsia" w:ascii="Times New Roman" w:hAnsi="Times New Roman" w:eastAsia="宋体" w:cs="Times New Roman"/>
                <w:snapToGrid w:val="0"/>
                <w:color w:val="auto"/>
                <w:kern w:val="21"/>
                <w:szCs w:val="21"/>
              </w:rPr>
            </w:pPr>
          </w:p>
        </w:tc>
        <w:tc>
          <w:tcPr>
            <w:tcW w:w="1968" w:type="dxa"/>
            <w:shd w:val="clear" w:color="auto" w:fill="auto"/>
            <w:noWrap w:val="0"/>
            <w:vAlign w:val="center"/>
          </w:tcPr>
          <w:p w14:paraId="16C80648">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废油桶</w:t>
            </w:r>
          </w:p>
        </w:tc>
        <w:tc>
          <w:tcPr>
            <w:tcW w:w="1469" w:type="dxa"/>
            <w:shd w:val="clear" w:color="auto" w:fill="auto"/>
            <w:noWrap w:val="0"/>
            <w:vAlign w:val="center"/>
          </w:tcPr>
          <w:p w14:paraId="17B1B208">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228" w:type="dxa"/>
            <w:shd w:val="clear" w:color="auto" w:fill="auto"/>
            <w:noWrap w:val="0"/>
            <w:vAlign w:val="center"/>
          </w:tcPr>
          <w:p w14:paraId="22D7AC99">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554" w:type="dxa"/>
            <w:shd w:val="clear" w:color="auto" w:fill="auto"/>
            <w:noWrap w:val="0"/>
            <w:vAlign w:val="center"/>
          </w:tcPr>
          <w:p w14:paraId="7AB18C1D">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650" w:type="dxa"/>
            <w:shd w:val="clear" w:color="auto" w:fill="auto"/>
            <w:noWrap w:val="0"/>
            <w:vAlign w:val="center"/>
          </w:tcPr>
          <w:p w14:paraId="7A6FC85C">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0.03t/a</w:t>
            </w:r>
          </w:p>
        </w:tc>
        <w:tc>
          <w:tcPr>
            <w:tcW w:w="1623" w:type="dxa"/>
            <w:noWrap w:val="0"/>
            <w:vAlign w:val="center"/>
          </w:tcPr>
          <w:p w14:paraId="2C73EF07">
            <w:pPr>
              <w:pStyle w:val="48"/>
              <w:spacing w:beforeLines="0" w:afterLines="0" w:line="240" w:lineRule="auto"/>
              <w:rPr>
                <w:rFonts w:hint="eastAsia"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rPr>
              <w:t>/</w:t>
            </w:r>
          </w:p>
        </w:tc>
        <w:tc>
          <w:tcPr>
            <w:tcW w:w="1786" w:type="dxa"/>
            <w:shd w:val="clear" w:color="auto" w:fill="auto"/>
            <w:noWrap w:val="0"/>
            <w:vAlign w:val="center"/>
          </w:tcPr>
          <w:p w14:paraId="7C805C62">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0.03t/a</w:t>
            </w:r>
          </w:p>
        </w:tc>
        <w:tc>
          <w:tcPr>
            <w:tcW w:w="1507" w:type="dxa"/>
            <w:shd w:val="clear" w:color="auto" w:fill="auto"/>
            <w:noWrap w:val="0"/>
            <w:vAlign w:val="center"/>
          </w:tcPr>
          <w:p w14:paraId="6676C0FF">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+0.03t/a</w:t>
            </w:r>
          </w:p>
        </w:tc>
      </w:tr>
      <w:tr w14:paraId="486D14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10" w:type="dxa"/>
            <w:gridSpan w:val="2"/>
            <w:vMerge w:val="continue"/>
            <w:noWrap w:val="0"/>
            <w:vAlign w:val="center"/>
          </w:tcPr>
          <w:p w14:paraId="1FEDFD66">
            <w:pPr>
              <w:pStyle w:val="48"/>
              <w:spacing w:beforeLines="0" w:afterLines="0" w:line="240" w:lineRule="auto"/>
              <w:rPr>
                <w:rFonts w:hint="eastAsia" w:ascii="Times New Roman" w:hAnsi="Times New Roman" w:eastAsia="宋体" w:cs="Times New Roman"/>
                <w:snapToGrid w:val="0"/>
                <w:color w:val="auto"/>
                <w:kern w:val="21"/>
                <w:szCs w:val="21"/>
              </w:rPr>
            </w:pPr>
          </w:p>
        </w:tc>
        <w:tc>
          <w:tcPr>
            <w:tcW w:w="1968" w:type="dxa"/>
            <w:shd w:val="clear" w:color="auto" w:fill="auto"/>
            <w:noWrap w:val="0"/>
            <w:vAlign w:val="center"/>
          </w:tcPr>
          <w:p w14:paraId="65C6E2AF">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废液压油</w:t>
            </w:r>
          </w:p>
        </w:tc>
        <w:tc>
          <w:tcPr>
            <w:tcW w:w="1469" w:type="dxa"/>
            <w:shd w:val="clear" w:color="auto" w:fill="auto"/>
            <w:noWrap w:val="0"/>
            <w:vAlign w:val="center"/>
          </w:tcPr>
          <w:p w14:paraId="3BF0EBDE">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228" w:type="dxa"/>
            <w:shd w:val="clear" w:color="auto" w:fill="auto"/>
            <w:noWrap w:val="0"/>
            <w:vAlign w:val="center"/>
          </w:tcPr>
          <w:p w14:paraId="3A70F6CA">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554" w:type="dxa"/>
            <w:shd w:val="clear" w:color="auto" w:fill="auto"/>
            <w:noWrap w:val="0"/>
            <w:vAlign w:val="center"/>
          </w:tcPr>
          <w:p w14:paraId="7802574D">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650" w:type="dxa"/>
            <w:shd w:val="clear" w:color="auto" w:fill="auto"/>
            <w:noWrap w:val="0"/>
            <w:vAlign w:val="center"/>
          </w:tcPr>
          <w:p w14:paraId="00C99821">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0.01t/a</w:t>
            </w:r>
          </w:p>
        </w:tc>
        <w:tc>
          <w:tcPr>
            <w:tcW w:w="1623" w:type="dxa"/>
            <w:shd w:val="clear" w:color="auto" w:fill="auto"/>
            <w:noWrap w:val="0"/>
            <w:vAlign w:val="center"/>
          </w:tcPr>
          <w:p w14:paraId="3207C93B">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rPr>
              <w:t>/</w:t>
            </w:r>
          </w:p>
        </w:tc>
        <w:tc>
          <w:tcPr>
            <w:tcW w:w="1786" w:type="dxa"/>
            <w:shd w:val="clear" w:color="auto" w:fill="auto"/>
            <w:noWrap w:val="0"/>
            <w:vAlign w:val="center"/>
          </w:tcPr>
          <w:p w14:paraId="6F79F726">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0.01t/a</w:t>
            </w:r>
          </w:p>
        </w:tc>
        <w:tc>
          <w:tcPr>
            <w:tcW w:w="1507" w:type="dxa"/>
            <w:shd w:val="clear" w:color="auto" w:fill="auto"/>
            <w:noWrap w:val="0"/>
            <w:vAlign w:val="center"/>
          </w:tcPr>
          <w:p w14:paraId="015D3CEB">
            <w:pPr>
              <w:pStyle w:val="48"/>
              <w:spacing w:beforeLines="0" w:afterLines="0" w:line="240" w:lineRule="auto"/>
              <w:rPr>
                <w:rFonts w:hint="eastAsia"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+0.01t/a</w:t>
            </w:r>
          </w:p>
        </w:tc>
      </w:tr>
    </w:tbl>
    <w:p w14:paraId="4AE11F31">
      <w:pPr>
        <w:pStyle w:val="48"/>
        <w:keepNext w:val="0"/>
        <w:keepLines w:val="0"/>
        <w:pageBreakBefore w:val="0"/>
        <w:widowControl w:val="0"/>
        <w:kinsoku/>
        <w:wordWrap/>
        <w:overflowPunct/>
        <w:topLinePunct w:val="0"/>
        <w:autoSpaceDE/>
        <w:autoSpaceDN/>
        <w:bidi w:val="0"/>
        <w:adjustRightInd w:val="0"/>
        <w:snapToGrid w:val="0"/>
        <w:spacing w:before="95" w:beforeLines="30" w:afterLines="0" w:line="240" w:lineRule="auto"/>
        <w:jc w:val="left"/>
        <w:textAlignment w:val="auto"/>
        <w:rPr>
          <w:rFonts w:ascii="Times New Roman"/>
          <w:snapToGrid w:val="0"/>
          <w:color w:val="auto"/>
          <w:spacing w:val="-6"/>
          <w:kern w:val="21"/>
          <w:szCs w:val="21"/>
        </w:rPr>
        <w:sectPr>
          <w:footerReference r:id="rId8" w:type="default"/>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r>
        <w:rPr>
          <w:rFonts w:ascii="Times New Roman"/>
          <w:snapToGrid w:val="0"/>
          <w:color w:val="auto"/>
          <w:kern w:val="21"/>
          <w:szCs w:val="21"/>
        </w:rPr>
        <w:t>注：</w:t>
      </w:r>
      <w:r>
        <w:rPr>
          <w:rFonts w:ascii="Times New Roman"/>
          <w:snapToGrid w:val="0"/>
          <w:color w:val="auto"/>
          <w:spacing w:val="-16"/>
          <w:kern w:val="21"/>
          <w:szCs w:val="21"/>
        </w:rPr>
        <w:fldChar w:fldCharType="begin"/>
      </w:r>
      <w:r>
        <w:rPr>
          <w:rFonts w:ascii="Times New Roman"/>
          <w:snapToGrid w:val="0"/>
          <w:color w:val="auto"/>
          <w:spacing w:val="-16"/>
          <w:kern w:val="21"/>
          <w:szCs w:val="21"/>
        </w:rPr>
        <w:instrText xml:space="preserve"> = 6 \* GB3 \* MERGEFORMAT </w:instrText>
      </w:r>
      <w:r>
        <w:rPr>
          <w:rFonts w:ascii="Times New Roman"/>
          <w:snapToGrid w:val="0"/>
          <w:color w:val="auto"/>
          <w:spacing w:val="-16"/>
          <w:kern w:val="21"/>
          <w:szCs w:val="21"/>
        </w:rPr>
        <w:fldChar w:fldCharType="separate"/>
      </w:r>
      <w:r>
        <w:rPr>
          <w:rFonts w:ascii="Times New Roman"/>
          <w:color w:val="auto"/>
          <w:szCs w:val="21"/>
        </w:rPr>
        <w:t>⑥</w:t>
      </w:r>
      <w:r>
        <w:rPr>
          <w:rFonts w:ascii="Times New Roman"/>
          <w:snapToGrid w:val="0"/>
          <w:color w:val="auto"/>
          <w:spacing w:val="-16"/>
          <w:kern w:val="21"/>
          <w:szCs w:val="21"/>
        </w:rPr>
        <w:fldChar w:fldCharType="end"/>
      </w:r>
      <w:r>
        <w:rPr>
          <w:rFonts w:ascii="Times New Roman"/>
          <w:snapToGrid w:val="0"/>
          <w:color w:val="auto"/>
          <w:spacing w:val="-1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1 \* GB3 \* MERGEFORMAT </w:instrText>
      </w:r>
      <w:r>
        <w:rPr>
          <w:rFonts w:ascii="Times New Roman"/>
          <w:snapToGrid w:val="0"/>
          <w:color w:val="auto"/>
          <w:spacing w:val="-6"/>
          <w:kern w:val="21"/>
          <w:szCs w:val="21"/>
        </w:rPr>
        <w:fldChar w:fldCharType="separate"/>
      </w:r>
      <w:r>
        <w:rPr>
          <w:rFonts w:ascii="Times New Roman"/>
          <w:color w:val="auto"/>
          <w:szCs w:val="21"/>
        </w:rPr>
        <w:t>①</w:t>
      </w:r>
      <w:r>
        <w:rPr>
          <w:rFonts w:ascii="Times New Roman"/>
          <w:snapToGrid w:val="0"/>
          <w:color w:val="auto"/>
          <w:spacing w:val="-6"/>
          <w:kern w:val="21"/>
          <w:szCs w:val="21"/>
        </w:rPr>
        <w:fldChar w:fldCharType="end"/>
      </w:r>
      <w:r>
        <w:rPr>
          <w:rFonts w:ascii="Times New Roman"/>
          <w:snapToGrid w:val="0"/>
          <w:color w:val="auto"/>
          <w:spacing w:val="-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3 \* GB3 \* MERGEFORMAT </w:instrText>
      </w:r>
      <w:r>
        <w:rPr>
          <w:rFonts w:ascii="Times New Roman"/>
          <w:snapToGrid w:val="0"/>
          <w:color w:val="auto"/>
          <w:spacing w:val="-6"/>
          <w:kern w:val="21"/>
          <w:szCs w:val="21"/>
        </w:rPr>
        <w:fldChar w:fldCharType="separate"/>
      </w:r>
      <w:r>
        <w:rPr>
          <w:rFonts w:ascii="Times New Roman"/>
          <w:color w:val="auto"/>
          <w:szCs w:val="21"/>
        </w:rPr>
        <w:t>③</w:t>
      </w:r>
      <w:r>
        <w:rPr>
          <w:rFonts w:ascii="Times New Roman"/>
          <w:snapToGrid w:val="0"/>
          <w:color w:val="auto"/>
          <w:spacing w:val="-6"/>
          <w:kern w:val="21"/>
          <w:szCs w:val="21"/>
        </w:rPr>
        <w:fldChar w:fldCharType="end"/>
      </w:r>
      <w:r>
        <w:rPr>
          <w:rFonts w:ascii="Times New Roman"/>
          <w:snapToGrid w:val="0"/>
          <w:color w:val="auto"/>
          <w:spacing w:val="-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4 \* GB3 \* MERGEFORMAT </w:instrText>
      </w:r>
      <w:r>
        <w:rPr>
          <w:rFonts w:ascii="Times New Roman"/>
          <w:snapToGrid w:val="0"/>
          <w:color w:val="auto"/>
          <w:spacing w:val="-6"/>
          <w:kern w:val="21"/>
          <w:szCs w:val="21"/>
        </w:rPr>
        <w:fldChar w:fldCharType="separate"/>
      </w:r>
      <w:r>
        <w:rPr>
          <w:rFonts w:ascii="Times New Roman"/>
          <w:color w:val="auto"/>
          <w:szCs w:val="21"/>
        </w:rPr>
        <w:t>④</w:t>
      </w:r>
      <w:r>
        <w:rPr>
          <w:rFonts w:ascii="Times New Roman"/>
          <w:snapToGrid w:val="0"/>
          <w:color w:val="auto"/>
          <w:spacing w:val="-6"/>
          <w:kern w:val="21"/>
          <w:szCs w:val="21"/>
        </w:rPr>
        <w:fldChar w:fldCharType="end"/>
      </w:r>
      <w:r>
        <w:rPr>
          <w:rFonts w:ascii="Times New Roman"/>
          <w:snapToGrid w:val="0"/>
          <w:color w:val="auto"/>
          <w:spacing w:val="-6"/>
          <w:kern w:val="21"/>
          <w:szCs w:val="21"/>
        </w:rPr>
        <w:t>-</w:t>
      </w:r>
      <w:r>
        <w:rPr>
          <w:rFonts w:ascii="Times New Roman"/>
          <w:snapToGrid w:val="0"/>
          <w:color w:val="auto"/>
          <w:spacing w:val="-16"/>
          <w:kern w:val="21"/>
          <w:szCs w:val="21"/>
        </w:rPr>
        <w:fldChar w:fldCharType="begin"/>
      </w:r>
      <w:r>
        <w:rPr>
          <w:rFonts w:ascii="Times New Roman"/>
          <w:snapToGrid w:val="0"/>
          <w:color w:val="auto"/>
          <w:spacing w:val="-16"/>
          <w:kern w:val="21"/>
          <w:szCs w:val="21"/>
        </w:rPr>
        <w:instrText xml:space="preserve"> = 5 \* GB3 \* MERGEFORMAT </w:instrText>
      </w:r>
      <w:r>
        <w:rPr>
          <w:rFonts w:ascii="Times New Roman"/>
          <w:snapToGrid w:val="0"/>
          <w:color w:val="auto"/>
          <w:spacing w:val="-16"/>
          <w:kern w:val="21"/>
          <w:szCs w:val="21"/>
        </w:rPr>
        <w:fldChar w:fldCharType="separate"/>
      </w:r>
      <w:r>
        <w:rPr>
          <w:rFonts w:ascii="Times New Roman"/>
          <w:color w:val="auto"/>
          <w:szCs w:val="21"/>
        </w:rPr>
        <w:t>⑤</w:t>
      </w:r>
      <w:r>
        <w:rPr>
          <w:rFonts w:ascii="Times New Roman"/>
          <w:snapToGrid w:val="0"/>
          <w:color w:val="auto"/>
          <w:spacing w:val="-16"/>
          <w:kern w:val="21"/>
          <w:szCs w:val="21"/>
        </w:rPr>
        <w:fldChar w:fldCharType="end"/>
      </w:r>
      <w:r>
        <w:rPr>
          <w:rFonts w:ascii="Times New Roman"/>
          <w:snapToGrid w:val="0"/>
          <w:color w:val="auto"/>
          <w:spacing w:val="-1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7 \* GB3 \* MERGEFORMAT </w:instrText>
      </w:r>
      <w:r>
        <w:rPr>
          <w:rFonts w:ascii="Times New Roman"/>
          <w:snapToGrid w:val="0"/>
          <w:color w:val="auto"/>
          <w:spacing w:val="-6"/>
          <w:kern w:val="21"/>
          <w:szCs w:val="21"/>
        </w:rPr>
        <w:fldChar w:fldCharType="separate"/>
      </w:r>
      <w:r>
        <w:rPr>
          <w:rFonts w:ascii="Times New Roman"/>
          <w:color w:val="auto"/>
          <w:szCs w:val="21"/>
        </w:rPr>
        <w:t>⑦</w:t>
      </w:r>
      <w:r>
        <w:rPr>
          <w:rFonts w:ascii="Times New Roman"/>
          <w:snapToGrid w:val="0"/>
          <w:color w:val="auto"/>
          <w:spacing w:val="-6"/>
          <w:kern w:val="21"/>
          <w:szCs w:val="21"/>
        </w:rPr>
        <w:fldChar w:fldCharType="end"/>
      </w:r>
      <w:r>
        <w:rPr>
          <w:rFonts w:ascii="Times New Roman"/>
          <w:snapToGrid w:val="0"/>
          <w:color w:val="auto"/>
          <w:spacing w:val="-6"/>
          <w:kern w:val="21"/>
          <w:szCs w:val="21"/>
        </w:rPr>
        <w:t>=</w:t>
      </w:r>
      <w:r>
        <w:rPr>
          <w:rFonts w:ascii="Times New Roman"/>
          <w:snapToGrid w:val="0"/>
          <w:color w:val="auto"/>
          <w:spacing w:val="-16"/>
          <w:kern w:val="21"/>
          <w:szCs w:val="21"/>
        </w:rPr>
        <w:fldChar w:fldCharType="begin"/>
      </w:r>
      <w:r>
        <w:rPr>
          <w:rFonts w:ascii="Times New Roman"/>
          <w:snapToGrid w:val="0"/>
          <w:color w:val="auto"/>
          <w:spacing w:val="-16"/>
          <w:kern w:val="21"/>
          <w:szCs w:val="21"/>
        </w:rPr>
        <w:instrText xml:space="preserve"> = 6 \* GB3 \* MERGEFORMAT </w:instrText>
      </w:r>
      <w:r>
        <w:rPr>
          <w:rFonts w:ascii="Times New Roman"/>
          <w:snapToGrid w:val="0"/>
          <w:color w:val="auto"/>
          <w:spacing w:val="-16"/>
          <w:kern w:val="21"/>
          <w:szCs w:val="21"/>
        </w:rPr>
        <w:fldChar w:fldCharType="separate"/>
      </w:r>
      <w:r>
        <w:rPr>
          <w:rFonts w:ascii="Times New Roman"/>
          <w:color w:val="auto"/>
          <w:szCs w:val="21"/>
        </w:rPr>
        <w:t>⑥</w:t>
      </w:r>
      <w:r>
        <w:rPr>
          <w:rFonts w:ascii="Times New Roman"/>
          <w:snapToGrid w:val="0"/>
          <w:color w:val="auto"/>
          <w:spacing w:val="-16"/>
          <w:kern w:val="21"/>
          <w:szCs w:val="21"/>
        </w:rPr>
        <w:fldChar w:fldCharType="end"/>
      </w:r>
      <w:r>
        <w:rPr>
          <w:rFonts w:ascii="Times New Roman"/>
          <w:snapToGrid w:val="0"/>
          <w:color w:val="auto"/>
          <w:spacing w:val="-1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1 \* GB3 \* MERGEFORMAT </w:instrText>
      </w:r>
      <w:r>
        <w:rPr>
          <w:rFonts w:ascii="Times New Roman"/>
          <w:snapToGrid w:val="0"/>
          <w:color w:val="auto"/>
          <w:spacing w:val="-6"/>
          <w:kern w:val="21"/>
          <w:szCs w:val="21"/>
        </w:rPr>
        <w:fldChar w:fldCharType="separate"/>
      </w:r>
      <w:r>
        <w:rPr>
          <w:rFonts w:ascii="Times New Roman"/>
          <w:color w:val="auto"/>
          <w:szCs w:val="21"/>
        </w:rPr>
        <w:t>①</w:t>
      </w:r>
      <w:r>
        <w:rPr>
          <w:rFonts w:ascii="Times New Roman"/>
          <w:snapToGrid w:val="0"/>
          <w:color w:val="auto"/>
          <w:spacing w:val="-6"/>
          <w:kern w:val="21"/>
          <w:szCs w:val="21"/>
        </w:rPr>
        <w:fldChar w:fldCharType="end"/>
      </w:r>
    </w:p>
    <w:p w14:paraId="70CD020E">
      <w:pPr>
        <w:keepNext w:val="0"/>
        <w:keepLines w:val="0"/>
        <w:pageBreakBefore w:val="0"/>
        <w:widowControl w:val="0"/>
        <w:kinsoku/>
        <w:wordWrap/>
        <w:overflowPunct/>
        <w:topLinePunct w:val="0"/>
        <w:autoSpaceDE/>
        <w:autoSpaceDN/>
        <w:bidi w:val="0"/>
        <w:adjustRightInd/>
        <w:snapToGrid/>
        <w:spacing w:before="157" w:beforeLines="50"/>
        <w:ind w:left="0" w:leftChars="0" w:firstLine="0" w:firstLineChars="0"/>
        <w:textAlignment w:val="auto"/>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编制主持人全职证明</w:t>
      </w:r>
    </w:p>
    <w:p w14:paraId="14A5BEE4">
      <w:pPr>
        <w:jc w:val="center"/>
        <w:rPr>
          <w:rFonts w:hint="default"/>
          <w:lang w:val="en-US" w:eastAsia="zh-CN"/>
        </w:rPr>
        <w:sectPr>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default"/>
          <w:lang w:val="en-US" w:eastAsia="zh-CN"/>
        </w:rPr>
        <w:drawing>
          <wp:inline distT="0" distB="0" distL="114300" distR="114300">
            <wp:extent cx="7561580" cy="5349240"/>
            <wp:effectExtent l="0" t="0" r="1270" b="3810"/>
            <wp:docPr id="53" name="图片 53" descr="单据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单据_01"/>
                    <pic:cNvPicPr>
                      <a:picLocks noChangeAspect="1"/>
                    </pic:cNvPicPr>
                  </pic:nvPicPr>
                  <pic:blipFill>
                    <a:blip r:embed="rId25"/>
                    <a:stretch>
                      <a:fillRect/>
                    </a:stretch>
                  </pic:blipFill>
                  <pic:spPr>
                    <a:xfrm>
                      <a:off x="0" y="0"/>
                      <a:ext cx="7561580" cy="5349240"/>
                    </a:xfrm>
                    <a:prstGeom prst="rect">
                      <a:avLst/>
                    </a:prstGeom>
                  </pic:spPr>
                </pic:pic>
              </a:graphicData>
            </a:graphic>
          </wp:inline>
        </w:drawing>
      </w:r>
    </w:p>
    <w:p w14:paraId="7155C57E">
      <w:pPr>
        <w:keepNext w:val="0"/>
        <w:keepLines w:val="0"/>
        <w:pageBreakBefore w:val="0"/>
        <w:widowControl w:val="0"/>
        <w:kinsoku/>
        <w:wordWrap/>
        <w:overflowPunct/>
        <w:topLinePunct w:val="0"/>
        <w:autoSpaceDE/>
        <w:autoSpaceDN/>
        <w:bidi w:val="0"/>
        <w:adjustRightInd/>
        <w:snapToGrid/>
        <w:spacing w:before="157" w:beforeLines="50"/>
        <w:ind w:left="0" w:leftChars="0" w:firstLine="0" w:firstLineChars="0"/>
        <w:textAlignment w:val="auto"/>
        <w:rPr>
          <w:rFonts w:hint="eastAsia" w:ascii="Times New Roman" w:hAnsi="Times New Roman" w:eastAsia="宋体" w:cs="Times New Roman"/>
          <w:color w:val="000000"/>
          <w:lang w:val="en-US" w:eastAsia="zh-CN"/>
        </w:rPr>
      </w:pPr>
      <w:r>
        <w:drawing>
          <wp:anchor distT="0" distB="0" distL="114300" distR="114300" simplePos="0" relativeHeight="251700224" behindDoc="0" locked="0" layoutInCell="1" allowOverlap="1">
            <wp:simplePos x="0" y="0"/>
            <wp:positionH relativeFrom="column">
              <wp:posOffset>-25400</wp:posOffset>
            </wp:positionH>
            <wp:positionV relativeFrom="paragraph">
              <wp:posOffset>409575</wp:posOffset>
            </wp:positionV>
            <wp:extent cx="5614035" cy="7809230"/>
            <wp:effectExtent l="0" t="0" r="5715" b="1270"/>
            <wp:wrapTopAndBottom/>
            <wp:docPr id="5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
                    <pic:cNvPicPr>
                      <a:picLocks noChangeAspect="1"/>
                    </pic:cNvPicPr>
                  </pic:nvPicPr>
                  <pic:blipFill>
                    <a:blip r:embed="rId26"/>
                    <a:stretch>
                      <a:fillRect/>
                    </a:stretch>
                  </pic:blipFill>
                  <pic:spPr>
                    <a:xfrm>
                      <a:off x="0" y="0"/>
                      <a:ext cx="5614035" cy="7809230"/>
                    </a:xfrm>
                    <a:prstGeom prst="rect">
                      <a:avLst/>
                    </a:prstGeom>
                    <a:noFill/>
                    <a:ln>
                      <a:noFill/>
                    </a:ln>
                  </pic:spPr>
                </pic:pic>
              </a:graphicData>
            </a:graphic>
          </wp:anchor>
        </w:drawing>
      </w:r>
      <w:r>
        <w:rPr>
          <w:rFonts w:hint="eastAsia" w:ascii="Times New Roman" w:hAnsi="Times New Roman" w:eastAsia="宋体" w:cs="Times New Roman"/>
          <w:color w:val="000000"/>
          <w:lang w:val="en-US" w:eastAsia="zh-CN"/>
        </w:rPr>
        <w:t>服务合同扫描件</w:t>
      </w:r>
    </w:p>
    <w:p w14:paraId="098606ED">
      <w:pPr>
        <w:pStyle w:val="33"/>
        <w:rPr>
          <w:rFonts w:hint="default"/>
          <w:lang w:val="en-US" w:eastAsia="zh-CN"/>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5191FEB0">
      <w:pPr>
        <w:pStyle w:val="33"/>
        <w:rPr>
          <w:rFonts w:hint="default"/>
          <w:lang w:val="en-US" w:eastAsia="zh-CN"/>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r>
        <w:drawing>
          <wp:anchor distT="0" distB="0" distL="114300" distR="114300" simplePos="0" relativeHeight="251701248" behindDoc="0" locked="0" layoutInCell="1" allowOverlap="1">
            <wp:simplePos x="0" y="0"/>
            <wp:positionH relativeFrom="column">
              <wp:posOffset>48895</wp:posOffset>
            </wp:positionH>
            <wp:positionV relativeFrom="paragraph">
              <wp:posOffset>83820</wp:posOffset>
            </wp:positionV>
            <wp:extent cx="5615940" cy="8331835"/>
            <wp:effectExtent l="0" t="0" r="3810" b="12065"/>
            <wp:wrapTopAndBottom/>
            <wp:docPr id="5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
                    <pic:cNvPicPr>
                      <a:picLocks noChangeAspect="1"/>
                    </pic:cNvPicPr>
                  </pic:nvPicPr>
                  <pic:blipFill>
                    <a:blip r:embed="rId27"/>
                    <a:stretch>
                      <a:fillRect/>
                    </a:stretch>
                  </pic:blipFill>
                  <pic:spPr>
                    <a:xfrm>
                      <a:off x="0" y="0"/>
                      <a:ext cx="5615940" cy="8331835"/>
                    </a:xfrm>
                    <a:prstGeom prst="rect">
                      <a:avLst/>
                    </a:prstGeom>
                    <a:noFill/>
                    <a:ln>
                      <a:noFill/>
                    </a:ln>
                  </pic:spPr>
                </pic:pic>
              </a:graphicData>
            </a:graphic>
          </wp:anchor>
        </w:drawing>
      </w:r>
    </w:p>
    <w:p w14:paraId="4B898274">
      <w:pPr>
        <w:pStyle w:val="33"/>
        <w:rPr>
          <w:rFonts w:hint="default"/>
          <w:lang w:val="en-US" w:eastAsia="zh-CN"/>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r>
        <w:drawing>
          <wp:anchor distT="0" distB="0" distL="114300" distR="114300" simplePos="0" relativeHeight="251702272" behindDoc="0" locked="0" layoutInCell="1" allowOverlap="1">
            <wp:simplePos x="0" y="0"/>
            <wp:positionH relativeFrom="column">
              <wp:posOffset>37465</wp:posOffset>
            </wp:positionH>
            <wp:positionV relativeFrom="paragraph">
              <wp:posOffset>88900</wp:posOffset>
            </wp:positionV>
            <wp:extent cx="5610225" cy="8344535"/>
            <wp:effectExtent l="0" t="0" r="9525" b="18415"/>
            <wp:wrapTopAndBottom/>
            <wp:docPr id="5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4"/>
                    <pic:cNvPicPr>
                      <a:picLocks noChangeAspect="1"/>
                    </pic:cNvPicPr>
                  </pic:nvPicPr>
                  <pic:blipFill>
                    <a:blip r:embed="rId28"/>
                    <a:stretch>
                      <a:fillRect/>
                    </a:stretch>
                  </pic:blipFill>
                  <pic:spPr>
                    <a:xfrm>
                      <a:off x="0" y="0"/>
                      <a:ext cx="5610225" cy="8344535"/>
                    </a:xfrm>
                    <a:prstGeom prst="rect">
                      <a:avLst/>
                    </a:prstGeom>
                    <a:noFill/>
                    <a:ln>
                      <a:noFill/>
                    </a:ln>
                  </pic:spPr>
                </pic:pic>
              </a:graphicData>
            </a:graphic>
          </wp:anchor>
        </w:drawing>
      </w:r>
    </w:p>
    <w:p w14:paraId="2829D17F">
      <w:pPr>
        <w:pStyle w:val="33"/>
        <w:rPr>
          <w:rFonts w:hint="default"/>
          <w:lang w:val="en-US" w:eastAsia="zh-CN"/>
        </w:rPr>
      </w:pPr>
      <w:r>
        <w:drawing>
          <wp:anchor distT="0" distB="0" distL="114300" distR="114300" simplePos="0" relativeHeight="251703296" behindDoc="0" locked="0" layoutInCell="1" allowOverlap="1">
            <wp:simplePos x="0" y="0"/>
            <wp:positionH relativeFrom="column">
              <wp:posOffset>36830</wp:posOffset>
            </wp:positionH>
            <wp:positionV relativeFrom="paragraph">
              <wp:posOffset>56515</wp:posOffset>
            </wp:positionV>
            <wp:extent cx="5612765" cy="8245475"/>
            <wp:effectExtent l="0" t="0" r="6985" b="3175"/>
            <wp:wrapTopAndBottom/>
            <wp:docPr id="5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
                    <pic:cNvPicPr>
                      <a:picLocks noChangeAspect="1"/>
                    </pic:cNvPicPr>
                  </pic:nvPicPr>
                  <pic:blipFill>
                    <a:blip r:embed="rId29"/>
                    <a:stretch>
                      <a:fillRect/>
                    </a:stretch>
                  </pic:blipFill>
                  <pic:spPr>
                    <a:xfrm>
                      <a:off x="0" y="0"/>
                      <a:ext cx="5612765" cy="8245475"/>
                    </a:xfrm>
                    <a:prstGeom prst="rect">
                      <a:avLst/>
                    </a:prstGeom>
                    <a:noFill/>
                    <a:ln>
                      <a:noFill/>
                    </a:ln>
                  </pic:spPr>
                </pic:pic>
              </a:graphicData>
            </a:graphic>
          </wp:anchor>
        </w:drawing>
      </w:r>
    </w:p>
    <w:p w14:paraId="4BC30D04">
      <w:pPr>
        <w:pStyle w:val="33"/>
        <w:rPr>
          <w:rFonts w:hint="default"/>
          <w:lang w:val="en-US" w:eastAsia="zh-CN"/>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1BEBDD28">
      <w:pPr>
        <w:pStyle w:val="33"/>
        <w:rPr>
          <w:rFonts w:hint="default"/>
          <w:lang w:val="en-US" w:eastAsia="zh-CN"/>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r>
        <w:drawing>
          <wp:anchor distT="0" distB="0" distL="114300" distR="114300" simplePos="0" relativeHeight="251704320" behindDoc="0" locked="0" layoutInCell="1" allowOverlap="1">
            <wp:simplePos x="0" y="0"/>
            <wp:positionH relativeFrom="column">
              <wp:posOffset>24765</wp:posOffset>
            </wp:positionH>
            <wp:positionV relativeFrom="paragraph">
              <wp:posOffset>60325</wp:posOffset>
            </wp:positionV>
            <wp:extent cx="5607050" cy="8472170"/>
            <wp:effectExtent l="0" t="0" r="12700" b="5080"/>
            <wp:wrapTopAndBottom/>
            <wp:docPr id="5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6"/>
                    <pic:cNvPicPr>
                      <a:picLocks noChangeAspect="1"/>
                    </pic:cNvPicPr>
                  </pic:nvPicPr>
                  <pic:blipFill>
                    <a:blip r:embed="rId30"/>
                    <a:stretch>
                      <a:fillRect/>
                    </a:stretch>
                  </pic:blipFill>
                  <pic:spPr>
                    <a:xfrm>
                      <a:off x="0" y="0"/>
                      <a:ext cx="5607050" cy="8472170"/>
                    </a:xfrm>
                    <a:prstGeom prst="rect">
                      <a:avLst/>
                    </a:prstGeom>
                    <a:noFill/>
                    <a:ln>
                      <a:noFill/>
                    </a:ln>
                  </pic:spPr>
                </pic:pic>
              </a:graphicData>
            </a:graphic>
          </wp:anchor>
        </w:drawing>
      </w:r>
    </w:p>
    <w:p w14:paraId="5AEA1FA5">
      <w:pPr>
        <w:pStyle w:val="33"/>
        <w:jc w:val="both"/>
        <w:rPr>
          <w:rFonts w:hint="default"/>
          <w:lang w:val="en-US" w:eastAsia="zh-CN"/>
        </w:rPr>
      </w:pPr>
      <w:r>
        <w:drawing>
          <wp:anchor distT="0" distB="0" distL="114300" distR="114300" simplePos="0" relativeHeight="251705344" behindDoc="0" locked="0" layoutInCell="1" allowOverlap="1">
            <wp:simplePos x="0" y="0"/>
            <wp:positionH relativeFrom="column">
              <wp:posOffset>36830</wp:posOffset>
            </wp:positionH>
            <wp:positionV relativeFrom="paragraph">
              <wp:posOffset>46990</wp:posOffset>
            </wp:positionV>
            <wp:extent cx="5609590" cy="7851775"/>
            <wp:effectExtent l="0" t="0" r="10160" b="15875"/>
            <wp:wrapTopAndBottom/>
            <wp:docPr id="6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7"/>
                    <pic:cNvPicPr>
                      <a:picLocks noChangeAspect="1"/>
                    </pic:cNvPicPr>
                  </pic:nvPicPr>
                  <pic:blipFill>
                    <a:blip r:embed="rId31"/>
                    <a:stretch>
                      <a:fillRect/>
                    </a:stretch>
                  </pic:blipFill>
                  <pic:spPr>
                    <a:xfrm>
                      <a:off x="0" y="0"/>
                      <a:ext cx="5609590" cy="7851775"/>
                    </a:xfrm>
                    <a:prstGeom prst="rect">
                      <a:avLst/>
                    </a:prstGeom>
                    <a:noFill/>
                    <a:ln>
                      <a:noFill/>
                    </a:ln>
                  </pic:spPr>
                </pic:pic>
              </a:graphicData>
            </a:graphic>
          </wp:anchor>
        </w:drawing>
      </w:r>
    </w:p>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新宋体-18030">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6A082">
    <w:pPr>
      <w:pStyle w:val="1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E720B">
    <w:pPr>
      <w:pStyle w:val="18"/>
      <w:framePr w:wrap="around" w:vAnchor="text" w:hAnchor="margin" w:xAlign="center" w:y="1"/>
      <w:rPr>
        <w:rStyle w:val="30"/>
      </w:rPr>
    </w:pPr>
    <w:r>
      <w:fldChar w:fldCharType="begin"/>
    </w:r>
    <w:r>
      <w:rPr>
        <w:rStyle w:val="30"/>
      </w:rPr>
      <w:instrText xml:space="preserve">PAGE  </w:instrText>
    </w:r>
    <w:r>
      <w:fldChar w:fldCharType="end"/>
    </w:r>
  </w:p>
  <w:p w14:paraId="5AD64565">
    <w:pPr>
      <w:pStyle w:val="1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2FEAF">
    <w:pPr>
      <w:pStyle w:val="18"/>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6D8BE">
    <w:pPr>
      <w:pStyle w:val="18"/>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1F863">
    <w:pPr>
      <w:pStyle w:val="18"/>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4B9411">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514B9411">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A3457">
    <w:pPr>
      <w:pStyle w:val="18"/>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F04BEA">
                          <w:pPr>
                            <w:pStyle w:val="18"/>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13F04BEA">
                    <w:pPr>
                      <w:pStyle w:val="18"/>
                    </w:pPr>
                    <w:r>
                      <w:fldChar w:fldCharType="begin"/>
                    </w:r>
                    <w:r>
                      <w:instrText xml:space="preserve"> PAGE  \* MERGEFORMAT </w:instrText>
                    </w:r>
                    <w:r>
                      <w:fldChar w:fldCharType="separate"/>
                    </w:r>
                    <w:r>
                      <w:t>78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AE78BF"/>
    <w:multiLevelType w:val="singleLevel"/>
    <w:tmpl w:val="EAAE78B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RkZjcwZTU0MzQ0OGZlZTcxNTlkZDFhMGI3N2MwYmMifQ=="/>
  </w:docVars>
  <w:rsids>
    <w:rsidRoot w:val="00172A27"/>
    <w:rsid w:val="000060B3"/>
    <w:rsid w:val="00040499"/>
    <w:rsid w:val="00042CFE"/>
    <w:rsid w:val="0004364B"/>
    <w:rsid w:val="00061B1F"/>
    <w:rsid w:val="000733C4"/>
    <w:rsid w:val="00074783"/>
    <w:rsid w:val="00075EA3"/>
    <w:rsid w:val="0008070B"/>
    <w:rsid w:val="000810AC"/>
    <w:rsid w:val="00081A02"/>
    <w:rsid w:val="00082231"/>
    <w:rsid w:val="00092D38"/>
    <w:rsid w:val="0009377B"/>
    <w:rsid w:val="00096B34"/>
    <w:rsid w:val="000A20C9"/>
    <w:rsid w:val="000B058F"/>
    <w:rsid w:val="000B4467"/>
    <w:rsid w:val="000B4DB9"/>
    <w:rsid w:val="000B7272"/>
    <w:rsid w:val="000C09AC"/>
    <w:rsid w:val="000C767F"/>
    <w:rsid w:val="000D0AD3"/>
    <w:rsid w:val="000D5A44"/>
    <w:rsid w:val="000E0A0E"/>
    <w:rsid w:val="000E3ED2"/>
    <w:rsid w:val="000F1574"/>
    <w:rsid w:val="000F22CC"/>
    <w:rsid w:val="000F5912"/>
    <w:rsid w:val="00121226"/>
    <w:rsid w:val="00131F42"/>
    <w:rsid w:val="001357F1"/>
    <w:rsid w:val="00136233"/>
    <w:rsid w:val="00137511"/>
    <w:rsid w:val="00137BAC"/>
    <w:rsid w:val="00140FA8"/>
    <w:rsid w:val="00142FEB"/>
    <w:rsid w:val="00143A2D"/>
    <w:rsid w:val="00145A41"/>
    <w:rsid w:val="00151675"/>
    <w:rsid w:val="00157435"/>
    <w:rsid w:val="00166246"/>
    <w:rsid w:val="0017504D"/>
    <w:rsid w:val="0017671A"/>
    <w:rsid w:val="00177422"/>
    <w:rsid w:val="00184590"/>
    <w:rsid w:val="001870D1"/>
    <w:rsid w:val="0018781E"/>
    <w:rsid w:val="0019262D"/>
    <w:rsid w:val="001A1B35"/>
    <w:rsid w:val="001A48A2"/>
    <w:rsid w:val="001A6F61"/>
    <w:rsid w:val="001B32CF"/>
    <w:rsid w:val="001B72B8"/>
    <w:rsid w:val="001C69B3"/>
    <w:rsid w:val="001D5595"/>
    <w:rsid w:val="001D7874"/>
    <w:rsid w:val="001D7F22"/>
    <w:rsid w:val="001F097C"/>
    <w:rsid w:val="001F0F17"/>
    <w:rsid w:val="001F3347"/>
    <w:rsid w:val="001F69E4"/>
    <w:rsid w:val="002125B4"/>
    <w:rsid w:val="002155B8"/>
    <w:rsid w:val="00224839"/>
    <w:rsid w:val="002249B2"/>
    <w:rsid w:val="00226574"/>
    <w:rsid w:val="002278EC"/>
    <w:rsid w:val="0023280E"/>
    <w:rsid w:val="002377D1"/>
    <w:rsid w:val="0024269C"/>
    <w:rsid w:val="002458C4"/>
    <w:rsid w:val="002506BC"/>
    <w:rsid w:val="00254345"/>
    <w:rsid w:val="00264557"/>
    <w:rsid w:val="002805AB"/>
    <w:rsid w:val="00284204"/>
    <w:rsid w:val="00291773"/>
    <w:rsid w:val="002933D0"/>
    <w:rsid w:val="002A168C"/>
    <w:rsid w:val="002A38F3"/>
    <w:rsid w:val="002A3DC7"/>
    <w:rsid w:val="002B49E2"/>
    <w:rsid w:val="002B7B00"/>
    <w:rsid w:val="002B7C44"/>
    <w:rsid w:val="002C2B17"/>
    <w:rsid w:val="002D3DD0"/>
    <w:rsid w:val="002E1F3A"/>
    <w:rsid w:val="002E298A"/>
    <w:rsid w:val="00301978"/>
    <w:rsid w:val="0030332C"/>
    <w:rsid w:val="003051C2"/>
    <w:rsid w:val="00311BEF"/>
    <w:rsid w:val="00312296"/>
    <w:rsid w:val="00314F0E"/>
    <w:rsid w:val="00321D8E"/>
    <w:rsid w:val="00325928"/>
    <w:rsid w:val="00332863"/>
    <w:rsid w:val="0033684D"/>
    <w:rsid w:val="00337B42"/>
    <w:rsid w:val="00341B42"/>
    <w:rsid w:val="0034348F"/>
    <w:rsid w:val="0035332E"/>
    <w:rsid w:val="00356653"/>
    <w:rsid w:val="0035743F"/>
    <w:rsid w:val="0035794C"/>
    <w:rsid w:val="00357BE2"/>
    <w:rsid w:val="0036170C"/>
    <w:rsid w:val="0036227C"/>
    <w:rsid w:val="00366E0F"/>
    <w:rsid w:val="00381A20"/>
    <w:rsid w:val="00381A72"/>
    <w:rsid w:val="00384676"/>
    <w:rsid w:val="00390857"/>
    <w:rsid w:val="003A4BF3"/>
    <w:rsid w:val="003A6D57"/>
    <w:rsid w:val="003B420D"/>
    <w:rsid w:val="003C6C16"/>
    <w:rsid w:val="003D794D"/>
    <w:rsid w:val="003E3058"/>
    <w:rsid w:val="003E76A9"/>
    <w:rsid w:val="003F0809"/>
    <w:rsid w:val="003F528D"/>
    <w:rsid w:val="003F6A8C"/>
    <w:rsid w:val="003F755C"/>
    <w:rsid w:val="004032EB"/>
    <w:rsid w:val="00406F01"/>
    <w:rsid w:val="00416D50"/>
    <w:rsid w:val="00416FD5"/>
    <w:rsid w:val="00417772"/>
    <w:rsid w:val="00420E6A"/>
    <w:rsid w:val="004259C0"/>
    <w:rsid w:val="00425A9E"/>
    <w:rsid w:val="00426D6B"/>
    <w:rsid w:val="00431E6C"/>
    <w:rsid w:val="00433CE7"/>
    <w:rsid w:val="00435F1B"/>
    <w:rsid w:val="004419EC"/>
    <w:rsid w:val="004451F9"/>
    <w:rsid w:val="00452738"/>
    <w:rsid w:val="00456091"/>
    <w:rsid w:val="00466321"/>
    <w:rsid w:val="00483962"/>
    <w:rsid w:val="00484B9B"/>
    <w:rsid w:val="004855F6"/>
    <w:rsid w:val="00485D9F"/>
    <w:rsid w:val="0048661E"/>
    <w:rsid w:val="00494670"/>
    <w:rsid w:val="004A3823"/>
    <w:rsid w:val="004B26E3"/>
    <w:rsid w:val="004E6946"/>
    <w:rsid w:val="004F1AD8"/>
    <w:rsid w:val="005039CB"/>
    <w:rsid w:val="0050558F"/>
    <w:rsid w:val="00506286"/>
    <w:rsid w:val="00510801"/>
    <w:rsid w:val="00510813"/>
    <w:rsid w:val="00511990"/>
    <w:rsid w:val="00511DE0"/>
    <w:rsid w:val="00514870"/>
    <w:rsid w:val="00514B9B"/>
    <w:rsid w:val="00517F02"/>
    <w:rsid w:val="00524303"/>
    <w:rsid w:val="0052513D"/>
    <w:rsid w:val="005258A2"/>
    <w:rsid w:val="005401AE"/>
    <w:rsid w:val="00542E07"/>
    <w:rsid w:val="005441C0"/>
    <w:rsid w:val="00545424"/>
    <w:rsid w:val="00554A7B"/>
    <w:rsid w:val="0055572C"/>
    <w:rsid w:val="0056106A"/>
    <w:rsid w:val="005720AE"/>
    <w:rsid w:val="00594D77"/>
    <w:rsid w:val="005969E4"/>
    <w:rsid w:val="005A06B7"/>
    <w:rsid w:val="005A1759"/>
    <w:rsid w:val="005A68A7"/>
    <w:rsid w:val="005C5A64"/>
    <w:rsid w:val="005D1559"/>
    <w:rsid w:val="005D36AB"/>
    <w:rsid w:val="005F6871"/>
    <w:rsid w:val="006043CA"/>
    <w:rsid w:val="00610FFE"/>
    <w:rsid w:val="00617CC3"/>
    <w:rsid w:val="006377A6"/>
    <w:rsid w:val="00637A3D"/>
    <w:rsid w:val="006411EF"/>
    <w:rsid w:val="00650E4D"/>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6F7166"/>
    <w:rsid w:val="00702870"/>
    <w:rsid w:val="00706C5D"/>
    <w:rsid w:val="0070754E"/>
    <w:rsid w:val="00710C7B"/>
    <w:rsid w:val="0072289A"/>
    <w:rsid w:val="00732922"/>
    <w:rsid w:val="007422B3"/>
    <w:rsid w:val="0075162E"/>
    <w:rsid w:val="00754034"/>
    <w:rsid w:val="00756556"/>
    <w:rsid w:val="007618C4"/>
    <w:rsid w:val="00767980"/>
    <w:rsid w:val="00770B19"/>
    <w:rsid w:val="00771496"/>
    <w:rsid w:val="0077463F"/>
    <w:rsid w:val="00781178"/>
    <w:rsid w:val="007836EA"/>
    <w:rsid w:val="00784CDA"/>
    <w:rsid w:val="007906C4"/>
    <w:rsid w:val="007940EA"/>
    <w:rsid w:val="007967E8"/>
    <w:rsid w:val="007A2170"/>
    <w:rsid w:val="007A22BF"/>
    <w:rsid w:val="007A3323"/>
    <w:rsid w:val="007A54D1"/>
    <w:rsid w:val="007B72B8"/>
    <w:rsid w:val="007B7A58"/>
    <w:rsid w:val="007C21B5"/>
    <w:rsid w:val="007D1F87"/>
    <w:rsid w:val="007D4DD1"/>
    <w:rsid w:val="007E4BD2"/>
    <w:rsid w:val="00801393"/>
    <w:rsid w:val="00802F88"/>
    <w:rsid w:val="0081293E"/>
    <w:rsid w:val="00815465"/>
    <w:rsid w:val="00817E9A"/>
    <w:rsid w:val="008306BD"/>
    <w:rsid w:val="00831A80"/>
    <w:rsid w:val="00833743"/>
    <w:rsid w:val="008340A4"/>
    <w:rsid w:val="0087135F"/>
    <w:rsid w:val="00872D94"/>
    <w:rsid w:val="00880364"/>
    <w:rsid w:val="00891592"/>
    <w:rsid w:val="00891E9E"/>
    <w:rsid w:val="008953F8"/>
    <w:rsid w:val="00896B3B"/>
    <w:rsid w:val="008A1495"/>
    <w:rsid w:val="008A2F68"/>
    <w:rsid w:val="008B4D3B"/>
    <w:rsid w:val="008B4FA6"/>
    <w:rsid w:val="008B5282"/>
    <w:rsid w:val="008B7C17"/>
    <w:rsid w:val="008C2D01"/>
    <w:rsid w:val="008C40E6"/>
    <w:rsid w:val="008D0F7A"/>
    <w:rsid w:val="008D4A14"/>
    <w:rsid w:val="008D68E4"/>
    <w:rsid w:val="008E0506"/>
    <w:rsid w:val="008E0CFF"/>
    <w:rsid w:val="008E592E"/>
    <w:rsid w:val="008E5D6B"/>
    <w:rsid w:val="008E6674"/>
    <w:rsid w:val="008E76F0"/>
    <w:rsid w:val="008E7BDA"/>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409F"/>
    <w:rsid w:val="009B7BD9"/>
    <w:rsid w:val="009C7DD5"/>
    <w:rsid w:val="009D3D5A"/>
    <w:rsid w:val="009E10A2"/>
    <w:rsid w:val="009E227D"/>
    <w:rsid w:val="009E5019"/>
    <w:rsid w:val="00A04F1B"/>
    <w:rsid w:val="00A0501B"/>
    <w:rsid w:val="00A142B4"/>
    <w:rsid w:val="00A14748"/>
    <w:rsid w:val="00A14947"/>
    <w:rsid w:val="00A16025"/>
    <w:rsid w:val="00A32A83"/>
    <w:rsid w:val="00A368DB"/>
    <w:rsid w:val="00A421D9"/>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062C"/>
    <w:rsid w:val="00AD47A7"/>
    <w:rsid w:val="00AD4F30"/>
    <w:rsid w:val="00AF0CBF"/>
    <w:rsid w:val="00AF1954"/>
    <w:rsid w:val="00AF257F"/>
    <w:rsid w:val="00AF33CF"/>
    <w:rsid w:val="00AF4D50"/>
    <w:rsid w:val="00AF6179"/>
    <w:rsid w:val="00B1295A"/>
    <w:rsid w:val="00B20A45"/>
    <w:rsid w:val="00B22C5C"/>
    <w:rsid w:val="00B24F30"/>
    <w:rsid w:val="00B27E6B"/>
    <w:rsid w:val="00B31ABF"/>
    <w:rsid w:val="00B33BE3"/>
    <w:rsid w:val="00B4241C"/>
    <w:rsid w:val="00B45E7C"/>
    <w:rsid w:val="00B51D6C"/>
    <w:rsid w:val="00B53B5D"/>
    <w:rsid w:val="00B54996"/>
    <w:rsid w:val="00B6055E"/>
    <w:rsid w:val="00B6317D"/>
    <w:rsid w:val="00B7723F"/>
    <w:rsid w:val="00B80534"/>
    <w:rsid w:val="00B80834"/>
    <w:rsid w:val="00B82474"/>
    <w:rsid w:val="00B83434"/>
    <w:rsid w:val="00B8433C"/>
    <w:rsid w:val="00B87491"/>
    <w:rsid w:val="00B9433F"/>
    <w:rsid w:val="00BA29E9"/>
    <w:rsid w:val="00BA7142"/>
    <w:rsid w:val="00BB237C"/>
    <w:rsid w:val="00BB41A3"/>
    <w:rsid w:val="00BC32DC"/>
    <w:rsid w:val="00BC35B6"/>
    <w:rsid w:val="00BD1B51"/>
    <w:rsid w:val="00BD4596"/>
    <w:rsid w:val="00BD765B"/>
    <w:rsid w:val="00BE1405"/>
    <w:rsid w:val="00BE312D"/>
    <w:rsid w:val="00BF01AA"/>
    <w:rsid w:val="00BF0BA6"/>
    <w:rsid w:val="00BF1C20"/>
    <w:rsid w:val="00C10578"/>
    <w:rsid w:val="00C135BC"/>
    <w:rsid w:val="00C15C95"/>
    <w:rsid w:val="00C2596A"/>
    <w:rsid w:val="00C27537"/>
    <w:rsid w:val="00C328FE"/>
    <w:rsid w:val="00C33507"/>
    <w:rsid w:val="00C4409D"/>
    <w:rsid w:val="00C44E72"/>
    <w:rsid w:val="00C45A06"/>
    <w:rsid w:val="00C47E5B"/>
    <w:rsid w:val="00C60902"/>
    <w:rsid w:val="00C61A5F"/>
    <w:rsid w:val="00C61E4B"/>
    <w:rsid w:val="00C64BFF"/>
    <w:rsid w:val="00C704E9"/>
    <w:rsid w:val="00C763C9"/>
    <w:rsid w:val="00C80057"/>
    <w:rsid w:val="00C82232"/>
    <w:rsid w:val="00C82913"/>
    <w:rsid w:val="00C86EAF"/>
    <w:rsid w:val="00C9240F"/>
    <w:rsid w:val="00C972B1"/>
    <w:rsid w:val="00CA2CCE"/>
    <w:rsid w:val="00CA43FD"/>
    <w:rsid w:val="00CA604D"/>
    <w:rsid w:val="00CA6D38"/>
    <w:rsid w:val="00CA7EF8"/>
    <w:rsid w:val="00CC489B"/>
    <w:rsid w:val="00CD2BCD"/>
    <w:rsid w:val="00CD3A4C"/>
    <w:rsid w:val="00CE10E9"/>
    <w:rsid w:val="00CE2910"/>
    <w:rsid w:val="00CE5393"/>
    <w:rsid w:val="00CE5D32"/>
    <w:rsid w:val="00CF36BE"/>
    <w:rsid w:val="00CF6000"/>
    <w:rsid w:val="00D003F3"/>
    <w:rsid w:val="00D0364F"/>
    <w:rsid w:val="00D06834"/>
    <w:rsid w:val="00D26391"/>
    <w:rsid w:val="00D308ED"/>
    <w:rsid w:val="00D36D86"/>
    <w:rsid w:val="00D41AE7"/>
    <w:rsid w:val="00D428AA"/>
    <w:rsid w:val="00D50A34"/>
    <w:rsid w:val="00D53EFA"/>
    <w:rsid w:val="00D6724D"/>
    <w:rsid w:val="00D94A7C"/>
    <w:rsid w:val="00D9565C"/>
    <w:rsid w:val="00D95896"/>
    <w:rsid w:val="00DA0F54"/>
    <w:rsid w:val="00DA1CA0"/>
    <w:rsid w:val="00DB1B77"/>
    <w:rsid w:val="00DB2983"/>
    <w:rsid w:val="00DB50D4"/>
    <w:rsid w:val="00DC1257"/>
    <w:rsid w:val="00DC3DC0"/>
    <w:rsid w:val="00DC5B2B"/>
    <w:rsid w:val="00DD318D"/>
    <w:rsid w:val="00DF2E12"/>
    <w:rsid w:val="00DF514A"/>
    <w:rsid w:val="00DF6690"/>
    <w:rsid w:val="00DF6804"/>
    <w:rsid w:val="00E0358D"/>
    <w:rsid w:val="00E04323"/>
    <w:rsid w:val="00E070A2"/>
    <w:rsid w:val="00E17AE8"/>
    <w:rsid w:val="00E258B0"/>
    <w:rsid w:val="00E2656A"/>
    <w:rsid w:val="00E412D0"/>
    <w:rsid w:val="00E414A6"/>
    <w:rsid w:val="00E56322"/>
    <w:rsid w:val="00E60982"/>
    <w:rsid w:val="00E61FC4"/>
    <w:rsid w:val="00E62C62"/>
    <w:rsid w:val="00E654C1"/>
    <w:rsid w:val="00E65D97"/>
    <w:rsid w:val="00E715A4"/>
    <w:rsid w:val="00E72A5A"/>
    <w:rsid w:val="00E73354"/>
    <w:rsid w:val="00E814AB"/>
    <w:rsid w:val="00E9242D"/>
    <w:rsid w:val="00EA6677"/>
    <w:rsid w:val="00EA71B3"/>
    <w:rsid w:val="00EB5255"/>
    <w:rsid w:val="00EB5C47"/>
    <w:rsid w:val="00EC2EAB"/>
    <w:rsid w:val="00ED0639"/>
    <w:rsid w:val="00EF4755"/>
    <w:rsid w:val="00EF7135"/>
    <w:rsid w:val="00F027DB"/>
    <w:rsid w:val="00F14A7A"/>
    <w:rsid w:val="00F22985"/>
    <w:rsid w:val="00F22F9D"/>
    <w:rsid w:val="00F3383E"/>
    <w:rsid w:val="00F4316F"/>
    <w:rsid w:val="00F465A7"/>
    <w:rsid w:val="00F50B7C"/>
    <w:rsid w:val="00F550E6"/>
    <w:rsid w:val="00F74345"/>
    <w:rsid w:val="00F80A0A"/>
    <w:rsid w:val="00F82B19"/>
    <w:rsid w:val="00F9212D"/>
    <w:rsid w:val="00F965DA"/>
    <w:rsid w:val="00FA2BCF"/>
    <w:rsid w:val="00FA406A"/>
    <w:rsid w:val="00FB503A"/>
    <w:rsid w:val="00FB516C"/>
    <w:rsid w:val="00FB7240"/>
    <w:rsid w:val="00FD0236"/>
    <w:rsid w:val="00FD18F4"/>
    <w:rsid w:val="00FD54DB"/>
    <w:rsid w:val="00FD619F"/>
    <w:rsid w:val="00FE3AA3"/>
    <w:rsid w:val="01290F7E"/>
    <w:rsid w:val="014F58FF"/>
    <w:rsid w:val="0154724C"/>
    <w:rsid w:val="015D1E09"/>
    <w:rsid w:val="01696C51"/>
    <w:rsid w:val="017369A6"/>
    <w:rsid w:val="0180792C"/>
    <w:rsid w:val="01830099"/>
    <w:rsid w:val="01AB02C8"/>
    <w:rsid w:val="01B507B7"/>
    <w:rsid w:val="01C1169A"/>
    <w:rsid w:val="01D26E02"/>
    <w:rsid w:val="01DD59FB"/>
    <w:rsid w:val="01F64B90"/>
    <w:rsid w:val="01F80A87"/>
    <w:rsid w:val="01F96BE7"/>
    <w:rsid w:val="020315FB"/>
    <w:rsid w:val="02251150"/>
    <w:rsid w:val="02327E2B"/>
    <w:rsid w:val="02375B85"/>
    <w:rsid w:val="025008C3"/>
    <w:rsid w:val="0256058B"/>
    <w:rsid w:val="026900A5"/>
    <w:rsid w:val="02697903"/>
    <w:rsid w:val="027424A5"/>
    <w:rsid w:val="02833D48"/>
    <w:rsid w:val="02867E41"/>
    <w:rsid w:val="029F4625"/>
    <w:rsid w:val="02B26E88"/>
    <w:rsid w:val="02C24513"/>
    <w:rsid w:val="02C95F7F"/>
    <w:rsid w:val="02CB619B"/>
    <w:rsid w:val="02F96569"/>
    <w:rsid w:val="02FA25DD"/>
    <w:rsid w:val="02FE6022"/>
    <w:rsid w:val="03375332"/>
    <w:rsid w:val="03391357"/>
    <w:rsid w:val="03483348"/>
    <w:rsid w:val="03594A16"/>
    <w:rsid w:val="037D688B"/>
    <w:rsid w:val="03A67E21"/>
    <w:rsid w:val="03CA6703"/>
    <w:rsid w:val="03D44B39"/>
    <w:rsid w:val="03DB3612"/>
    <w:rsid w:val="03EA7B21"/>
    <w:rsid w:val="03FC5CB6"/>
    <w:rsid w:val="0401085B"/>
    <w:rsid w:val="04242E02"/>
    <w:rsid w:val="04277401"/>
    <w:rsid w:val="042B791F"/>
    <w:rsid w:val="042C1AC2"/>
    <w:rsid w:val="043F2F77"/>
    <w:rsid w:val="0449381C"/>
    <w:rsid w:val="04637E4B"/>
    <w:rsid w:val="04773E75"/>
    <w:rsid w:val="04803B26"/>
    <w:rsid w:val="048605CC"/>
    <w:rsid w:val="04A40A52"/>
    <w:rsid w:val="04BE5F83"/>
    <w:rsid w:val="04DB36E5"/>
    <w:rsid w:val="050513B5"/>
    <w:rsid w:val="05085485"/>
    <w:rsid w:val="050E4DC5"/>
    <w:rsid w:val="051A60E2"/>
    <w:rsid w:val="05264DE6"/>
    <w:rsid w:val="056044A7"/>
    <w:rsid w:val="057769A7"/>
    <w:rsid w:val="059A2974"/>
    <w:rsid w:val="05AD2488"/>
    <w:rsid w:val="05BC2541"/>
    <w:rsid w:val="05D9472B"/>
    <w:rsid w:val="05F83EAE"/>
    <w:rsid w:val="061276C3"/>
    <w:rsid w:val="0618215E"/>
    <w:rsid w:val="06277FDA"/>
    <w:rsid w:val="062C6F51"/>
    <w:rsid w:val="063E7D85"/>
    <w:rsid w:val="064E5119"/>
    <w:rsid w:val="065F05C5"/>
    <w:rsid w:val="066336C8"/>
    <w:rsid w:val="06671589"/>
    <w:rsid w:val="06766D74"/>
    <w:rsid w:val="0687687D"/>
    <w:rsid w:val="06A33CFB"/>
    <w:rsid w:val="06A44D39"/>
    <w:rsid w:val="06BF77D7"/>
    <w:rsid w:val="06C11216"/>
    <w:rsid w:val="06D32584"/>
    <w:rsid w:val="06D63C14"/>
    <w:rsid w:val="06F31ECD"/>
    <w:rsid w:val="06F753B6"/>
    <w:rsid w:val="07000AA6"/>
    <w:rsid w:val="071E2D3E"/>
    <w:rsid w:val="07293586"/>
    <w:rsid w:val="07295285"/>
    <w:rsid w:val="07320597"/>
    <w:rsid w:val="074A22B5"/>
    <w:rsid w:val="074A68A9"/>
    <w:rsid w:val="074C0BED"/>
    <w:rsid w:val="074F218A"/>
    <w:rsid w:val="07565410"/>
    <w:rsid w:val="075C1AB8"/>
    <w:rsid w:val="07636392"/>
    <w:rsid w:val="076822F3"/>
    <w:rsid w:val="07770C56"/>
    <w:rsid w:val="07923D46"/>
    <w:rsid w:val="07937953"/>
    <w:rsid w:val="07A17F9B"/>
    <w:rsid w:val="07CE24F0"/>
    <w:rsid w:val="07EC6998"/>
    <w:rsid w:val="07F65A68"/>
    <w:rsid w:val="07FF4EC7"/>
    <w:rsid w:val="080D2DB2"/>
    <w:rsid w:val="08432717"/>
    <w:rsid w:val="08502ED8"/>
    <w:rsid w:val="08566507"/>
    <w:rsid w:val="08685804"/>
    <w:rsid w:val="086C7AD9"/>
    <w:rsid w:val="08766BA9"/>
    <w:rsid w:val="08865995"/>
    <w:rsid w:val="08A15EB2"/>
    <w:rsid w:val="08C07850"/>
    <w:rsid w:val="08E65ADD"/>
    <w:rsid w:val="08F024B8"/>
    <w:rsid w:val="08F04780"/>
    <w:rsid w:val="08F34028"/>
    <w:rsid w:val="08FA0E71"/>
    <w:rsid w:val="08FD4BD5"/>
    <w:rsid w:val="09106588"/>
    <w:rsid w:val="09177CB0"/>
    <w:rsid w:val="092217DD"/>
    <w:rsid w:val="09260CC0"/>
    <w:rsid w:val="093A7294"/>
    <w:rsid w:val="09467285"/>
    <w:rsid w:val="09774987"/>
    <w:rsid w:val="098F3BFF"/>
    <w:rsid w:val="099C263F"/>
    <w:rsid w:val="099D5232"/>
    <w:rsid w:val="09A80FE4"/>
    <w:rsid w:val="09BC4CFA"/>
    <w:rsid w:val="09C36AB4"/>
    <w:rsid w:val="09CB3F9B"/>
    <w:rsid w:val="09D54E97"/>
    <w:rsid w:val="09E76B80"/>
    <w:rsid w:val="09EF6C13"/>
    <w:rsid w:val="09F9539C"/>
    <w:rsid w:val="0A237494"/>
    <w:rsid w:val="0A263993"/>
    <w:rsid w:val="0A2D3AC2"/>
    <w:rsid w:val="0A3C66FD"/>
    <w:rsid w:val="0A5C2798"/>
    <w:rsid w:val="0A612201"/>
    <w:rsid w:val="0A6C7294"/>
    <w:rsid w:val="0A9D7E82"/>
    <w:rsid w:val="0AA755DF"/>
    <w:rsid w:val="0AB76F7E"/>
    <w:rsid w:val="0ACD0F93"/>
    <w:rsid w:val="0AE778EA"/>
    <w:rsid w:val="0AE918B4"/>
    <w:rsid w:val="0AF85654"/>
    <w:rsid w:val="0B1178FB"/>
    <w:rsid w:val="0B120D44"/>
    <w:rsid w:val="0B534F80"/>
    <w:rsid w:val="0B7E430E"/>
    <w:rsid w:val="0B8F5057"/>
    <w:rsid w:val="0B9313AE"/>
    <w:rsid w:val="0BA852CC"/>
    <w:rsid w:val="0BB2614A"/>
    <w:rsid w:val="0BD27BF6"/>
    <w:rsid w:val="0BE03833"/>
    <w:rsid w:val="0BE5207C"/>
    <w:rsid w:val="0C3B3C7D"/>
    <w:rsid w:val="0C3D0C92"/>
    <w:rsid w:val="0C491748"/>
    <w:rsid w:val="0C634735"/>
    <w:rsid w:val="0C635C75"/>
    <w:rsid w:val="0C67637E"/>
    <w:rsid w:val="0C727931"/>
    <w:rsid w:val="0C7A192B"/>
    <w:rsid w:val="0C811B3A"/>
    <w:rsid w:val="0C8C24F7"/>
    <w:rsid w:val="0CA7480A"/>
    <w:rsid w:val="0CAB2EAE"/>
    <w:rsid w:val="0CB67574"/>
    <w:rsid w:val="0CCE2C31"/>
    <w:rsid w:val="0CEA5470"/>
    <w:rsid w:val="0CEE1E5D"/>
    <w:rsid w:val="0D0274B6"/>
    <w:rsid w:val="0D0B5B12"/>
    <w:rsid w:val="0D1A1792"/>
    <w:rsid w:val="0D1C22B1"/>
    <w:rsid w:val="0D2D02A8"/>
    <w:rsid w:val="0D31309F"/>
    <w:rsid w:val="0D5E7AA7"/>
    <w:rsid w:val="0D621C7D"/>
    <w:rsid w:val="0D780874"/>
    <w:rsid w:val="0D8A6889"/>
    <w:rsid w:val="0DA41AC3"/>
    <w:rsid w:val="0DF95DB2"/>
    <w:rsid w:val="0E086133"/>
    <w:rsid w:val="0E0F5672"/>
    <w:rsid w:val="0E1404E7"/>
    <w:rsid w:val="0E184392"/>
    <w:rsid w:val="0E49733C"/>
    <w:rsid w:val="0E5D1B45"/>
    <w:rsid w:val="0E682AF0"/>
    <w:rsid w:val="0E73034D"/>
    <w:rsid w:val="0E7A7C90"/>
    <w:rsid w:val="0E9A1CAA"/>
    <w:rsid w:val="0ED5409F"/>
    <w:rsid w:val="0EEF22A4"/>
    <w:rsid w:val="0EFF5A98"/>
    <w:rsid w:val="0F13775A"/>
    <w:rsid w:val="0F2227BC"/>
    <w:rsid w:val="0F35576D"/>
    <w:rsid w:val="0F4146E4"/>
    <w:rsid w:val="0F554CDF"/>
    <w:rsid w:val="0F5F45FE"/>
    <w:rsid w:val="0F6518D2"/>
    <w:rsid w:val="0F731240"/>
    <w:rsid w:val="0F9A112B"/>
    <w:rsid w:val="0F9A3106"/>
    <w:rsid w:val="0FA512D3"/>
    <w:rsid w:val="0FBC1734"/>
    <w:rsid w:val="0FBE48AF"/>
    <w:rsid w:val="0FC401FA"/>
    <w:rsid w:val="0FC76D01"/>
    <w:rsid w:val="0FDA0A56"/>
    <w:rsid w:val="0FF3288D"/>
    <w:rsid w:val="100F6F0C"/>
    <w:rsid w:val="104F399B"/>
    <w:rsid w:val="105C6FA6"/>
    <w:rsid w:val="105F436F"/>
    <w:rsid w:val="106D2F64"/>
    <w:rsid w:val="1070229D"/>
    <w:rsid w:val="108300B5"/>
    <w:rsid w:val="10960EB4"/>
    <w:rsid w:val="10B63710"/>
    <w:rsid w:val="10BC5954"/>
    <w:rsid w:val="10BD632E"/>
    <w:rsid w:val="10D043F6"/>
    <w:rsid w:val="10D13C6A"/>
    <w:rsid w:val="10DE1F51"/>
    <w:rsid w:val="10E12117"/>
    <w:rsid w:val="10F10820"/>
    <w:rsid w:val="10F13271"/>
    <w:rsid w:val="11154374"/>
    <w:rsid w:val="111C2F7A"/>
    <w:rsid w:val="111E71AF"/>
    <w:rsid w:val="11335668"/>
    <w:rsid w:val="116076F4"/>
    <w:rsid w:val="11657C8E"/>
    <w:rsid w:val="11665CA1"/>
    <w:rsid w:val="11697CC2"/>
    <w:rsid w:val="11943BFC"/>
    <w:rsid w:val="119736FD"/>
    <w:rsid w:val="11C42733"/>
    <w:rsid w:val="11D0732A"/>
    <w:rsid w:val="11D32976"/>
    <w:rsid w:val="11D444B3"/>
    <w:rsid w:val="11E26E32"/>
    <w:rsid w:val="11FF1784"/>
    <w:rsid w:val="12040D87"/>
    <w:rsid w:val="12062F94"/>
    <w:rsid w:val="12252C2A"/>
    <w:rsid w:val="12380A2C"/>
    <w:rsid w:val="123D7183"/>
    <w:rsid w:val="1247062C"/>
    <w:rsid w:val="124E27A0"/>
    <w:rsid w:val="12517D72"/>
    <w:rsid w:val="12696F23"/>
    <w:rsid w:val="126B6CF8"/>
    <w:rsid w:val="129D2F74"/>
    <w:rsid w:val="12A21BF2"/>
    <w:rsid w:val="12B44D40"/>
    <w:rsid w:val="12D76496"/>
    <w:rsid w:val="132A5343"/>
    <w:rsid w:val="132F1E2E"/>
    <w:rsid w:val="13342452"/>
    <w:rsid w:val="133C6C93"/>
    <w:rsid w:val="13431939"/>
    <w:rsid w:val="1346771D"/>
    <w:rsid w:val="134B44BE"/>
    <w:rsid w:val="134C555F"/>
    <w:rsid w:val="134D3701"/>
    <w:rsid w:val="134E1CE9"/>
    <w:rsid w:val="135875D7"/>
    <w:rsid w:val="1360023A"/>
    <w:rsid w:val="136C242F"/>
    <w:rsid w:val="13750189"/>
    <w:rsid w:val="137A57A0"/>
    <w:rsid w:val="137F2EB9"/>
    <w:rsid w:val="1380268A"/>
    <w:rsid w:val="13951726"/>
    <w:rsid w:val="139F6556"/>
    <w:rsid w:val="13AC0489"/>
    <w:rsid w:val="13BD636D"/>
    <w:rsid w:val="13C7650B"/>
    <w:rsid w:val="13D07C9A"/>
    <w:rsid w:val="13E36DF3"/>
    <w:rsid w:val="13F50ACF"/>
    <w:rsid w:val="13FB7F63"/>
    <w:rsid w:val="14121EBF"/>
    <w:rsid w:val="14396509"/>
    <w:rsid w:val="14527D67"/>
    <w:rsid w:val="14537D9F"/>
    <w:rsid w:val="14575AE1"/>
    <w:rsid w:val="145E715B"/>
    <w:rsid w:val="147D07DA"/>
    <w:rsid w:val="14A0769C"/>
    <w:rsid w:val="14BA53E4"/>
    <w:rsid w:val="14CB3DD9"/>
    <w:rsid w:val="14DD2C3C"/>
    <w:rsid w:val="151909AD"/>
    <w:rsid w:val="15511B9D"/>
    <w:rsid w:val="1559761D"/>
    <w:rsid w:val="155B33AF"/>
    <w:rsid w:val="155D0ED5"/>
    <w:rsid w:val="156102B8"/>
    <w:rsid w:val="15624475"/>
    <w:rsid w:val="156F0AAC"/>
    <w:rsid w:val="15884C63"/>
    <w:rsid w:val="158F4E06"/>
    <w:rsid w:val="15922EF2"/>
    <w:rsid w:val="1597465F"/>
    <w:rsid w:val="15B348B4"/>
    <w:rsid w:val="15C52A8A"/>
    <w:rsid w:val="15DA2525"/>
    <w:rsid w:val="15DF74A2"/>
    <w:rsid w:val="15EA7616"/>
    <w:rsid w:val="15F72A8F"/>
    <w:rsid w:val="16087E1D"/>
    <w:rsid w:val="16175D54"/>
    <w:rsid w:val="16246B98"/>
    <w:rsid w:val="16253057"/>
    <w:rsid w:val="1643046B"/>
    <w:rsid w:val="164F010D"/>
    <w:rsid w:val="1657437A"/>
    <w:rsid w:val="166F042A"/>
    <w:rsid w:val="16CC582C"/>
    <w:rsid w:val="16E17731"/>
    <w:rsid w:val="16E573D4"/>
    <w:rsid w:val="16F413C5"/>
    <w:rsid w:val="171A4D72"/>
    <w:rsid w:val="17294E88"/>
    <w:rsid w:val="1736258E"/>
    <w:rsid w:val="17675D54"/>
    <w:rsid w:val="17701D14"/>
    <w:rsid w:val="17735226"/>
    <w:rsid w:val="17A71178"/>
    <w:rsid w:val="17AE3C6A"/>
    <w:rsid w:val="17B45A93"/>
    <w:rsid w:val="17B95DEF"/>
    <w:rsid w:val="17D44D15"/>
    <w:rsid w:val="17DE7070"/>
    <w:rsid w:val="17E17F6F"/>
    <w:rsid w:val="17EA0DB2"/>
    <w:rsid w:val="18360029"/>
    <w:rsid w:val="18386F0B"/>
    <w:rsid w:val="18506DBF"/>
    <w:rsid w:val="18736C82"/>
    <w:rsid w:val="189F624C"/>
    <w:rsid w:val="18A20F2A"/>
    <w:rsid w:val="18C200C0"/>
    <w:rsid w:val="18D806C7"/>
    <w:rsid w:val="18D94D16"/>
    <w:rsid w:val="18E86CFB"/>
    <w:rsid w:val="191D1372"/>
    <w:rsid w:val="1922681A"/>
    <w:rsid w:val="19240A4D"/>
    <w:rsid w:val="1934680E"/>
    <w:rsid w:val="194F4FD8"/>
    <w:rsid w:val="1966063C"/>
    <w:rsid w:val="196F567B"/>
    <w:rsid w:val="199E1F6E"/>
    <w:rsid w:val="19A9677C"/>
    <w:rsid w:val="19AA0461"/>
    <w:rsid w:val="19B550A6"/>
    <w:rsid w:val="19BF6C1F"/>
    <w:rsid w:val="19C75E44"/>
    <w:rsid w:val="19CB0579"/>
    <w:rsid w:val="1A1C66C0"/>
    <w:rsid w:val="1A27429E"/>
    <w:rsid w:val="1A340A54"/>
    <w:rsid w:val="1A42393B"/>
    <w:rsid w:val="1A4E0F21"/>
    <w:rsid w:val="1A554F3D"/>
    <w:rsid w:val="1A994325"/>
    <w:rsid w:val="1AA000CF"/>
    <w:rsid w:val="1AAD45DE"/>
    <w:rsid w:val="1AB50BEA"/>
    <w:rsid w:val="1AB9618D"/>
    <w:rsid w:val="1ABF6A26"/>
    <w:rsid w:val="1AC26025"/>
    <w:rsid w:val="1AC6751C"/>
    <w:rsid w:val="1ACB6397"/>
    <w:rsid w:val="1ADB7731"/>
    <w:rsid w:val="1ADC289C"/>
    <w:rsid w:val="1ADE4866"/>
    <w:rsid w:val="1AE92A5B"/>
    <w:rsid w:val="1AE96D67"/>
    <w:rsid w:val="1B0201C2"/>
    <w:rsid w:val="1B046F80"/>
    <w:rsid w:val="1B067551"/>
    <w:rsid w:val="1B0921C3"/>
    <w:rsid w:val="1B16458F"/>
    <w:rsid w:val="1B216A93"/>
    <w:rsid w:val="1B3267B5"/>
    <w:rsid w:val="1B40161D"/>
    <w:rsid w:val="1B441859"/>
    <w:rsid w:val="1B6606B1"/>
    <w:rsid w:val="1B6622E7"/>
    <w:rsid w:val="1B697EA8"/>
    <w:rsid w:val="1BA51E35"/>
    <w:rsid w:val="1BA62AD0"/>
    <w:rsid w:val="1BAD248A"/>
    <w:rsid w:val="1BC05D1A"/>
    <w:rsid w:val="1BC42595"/>
    <w:rsid w:val="1BD761CF"/>
    <w:rsid w:val="1C1D316C"/>
    <w:rsid w:val="1C2A5027"/>
    <w:rsid w:val="1C2D1D0B"/>
    <w:rsid w:val="1C2D5081"/>
    <w:rsid w:val="1C2E0CB7"/>
    <w:rsid w:val="1C3B028E"/>
    <w:rsid w:val="1C3D736A"/>
    <w:rsid w:val="1C4978FC"/>
    <w:rsid w:val="1C512E14"/>
    <w:rsid w:val="1C5E7925"/>
    <w:rsid w:val="1C8B5FB5"/>
    <w:rsid w:val="1C8C20A0"/>
    <w:rsid w:val="1C9166E4"/>
    <w:rsid w:val="1C986D38"/>
    <w:rsid w:val="1CA77703"/>
    <w:rsid w:val="1CC540B7"/>
    <w:rsid w:val="1CCB0E1A"/>
    <w:rsid w:val="1CD872B9"/>
    <w:rsid w:val="1CD92BAA"/>
    <w:rsid w:val="1CEB09D6"/>
    <w:rsid w:val="1CF66FC8"/>
    <w:rsid w:val="1CFD070F"/>
    <w:rsid w:val="1D084769"/>
    <w:rsid w:val="1D150CCF"/>
    <w:rsid w:val="1D240CCC"/>
    <w:rsid w:val="1D2F34F0"/>
    <w:rsid w:val="1D364D28"/>
    <w:rsid w:val="1D3A4841"/>
    <w:rsid w:val="1D3A5FA0"/>
    <w:rsid w:val="1D5D0701"/>
    <w:rsid w:val="1D5F6196"/>
    <w:rsid w:val="1D6132A5"/>
    <w:rsid w:val="1D6B0C1A"/>
    <w:rsid w:val="1D8E56D5"/>
    <w:rsid w:val="1D9D08E5"/>
    <w:rsid w:val="1D9E46F8"/>
    <w:rsid w:val="1DA17E27"/>
    <w:rsid w:val="1DBB0448"/>
    <w:rsid w:val="1DBC0F45"/>
    <w:rsid w:val="1DC00253"/>
    <w:rsid w:val="1DCF493A"/>
    <w:rsid w:val="1DFD647E"/>
    <w:rsid w:val="1E2D154A"/>
    <w:rsid w:val="1E2F15C4"/>
    <w:rsid w:val="1E450758"/>
    <w:rsid w:val="1E456B2E"/>
    <w:rsid w:val="1E64376C"/>
    <w:rsid w:val="1E652BA8"/>
    <w:rsid w:val="1E72005E"/>
    <w:rsid w:val="1E7A43DA"/>
    <w:rsid w:val="1E8B62D8"/>
    <w:rsid w:val="1E9759B7"/>
    <w:rsid w:val="1E9C48FE"/>
    <w:rsid w:val="1EA336D1"/>
    <w:rsid w:val="1EAB4489"/>
    <w:rsid w:val="1EB733D8"/>
    <w:rsid w:val="1EBF18BC"/>
    <w:rsid w:val="1EC271F2"/>
    <w:rsid w:val="1ED815CC"/>
    <w:rsid w:val="1EEA634C"/>
    <w:rsid w:val="1F354C71"/>
    <w:rsid w:val="1F366516"/>
    <w:rsid w:val="1F38546D"/>
    <w:rsid w:val="1F4628C8"/>
    <w:rsid w:val="1F5844BB"/>
    <w:rsid w:val="1F933745"/>
    <w:rsid w:val="1F955D08"/>
    <w:rsid w:val="1F964419"/>
    <w:rsid w:val="1FA20BD2"/>
    <w:rsid w:val="1FB24DF9"/>
    <w:rsid w:val="1FCC05BC"/>
    <w:rsid w:val="1FCE1F4F"/>
    <w:rsid w:val="1FD05445"/>
    <w:rsid w:val="1FDE7870"/>
    <w:rsid w:val="1FE7539E"/>
    <w:rsid w:val="1FF04803"/>
    <w:rsid w:val="1FF42C99"/>
    <w:rsid w:val="1FF95C9E"/>
    <w:rsid w:val="1FFB3B5E"/>
    <w:rsid w:val="200260CD"/>
    <w:rsid w:val="20076EF2"/>
    <w:rsid w:val="201725C8"/>
    <w:rsid w:val="204959C0"/>
    <w:rsid w:val="20671BE0"/>
    <w:rsid w:val="20914EF8"/>
    <w:rsid w:val="20963CB8"/>
    <w:rsid w:val="20A07065"/>
    <w:rsid w:val="20A81A1B"/>
    <w:rsid w:val="20A83453"/>
    <w:rsid w:val="20B07FB6"/>
    <w:rsid w:val="20B646FB"/>
    <w:rsid w:val="20D64231"/>
    <w:rsid w:val="20E00C0C"/>
    <w:rsid w:val="21000317"/>
    <w:rsid w:val="21042B4C"/>
    <w:rsid w:val="211843F6"/>
    <w:rsid w:val="213A47C0"/>
    <w:rsid w:val="213B74B1"/>
    <w:rsid w:val="21542388"/>
    <w:rsid w:val="215A2310"/>
    <w:rsid w:val="215B0E7E"/>
    <w:rsid w:val="215B50FD"/>
    <w:rsid w:val="215D225D"/>
    <w:rsid w:val="21617C56"/>
    <w:rsid w:val="217C528B"/>
    <w:rsid w:val="217F6BFC"/>
    <w:rsid w:val="218C1DF5"/>
    <w:rsid w:val="218E28AD"/>
    <w:rsid w:val="21A22E90"/>
    <w:rsid w:val="21AD4952"/>
    <w:rsid w:val="21AE2AB8"/>
    <w:rsid w:val="21CF13A7"/>
    <w:rsid w:val="21D9222D"/>
    <w:rsid w:val="21DE318A"/>
    <w:rsid w:val="21E14C3C"/>
    <w:rsid w:val="21EF5B80"/>
    <w:rsid w:val="21F06B86"/>
    <w:rsid w:val="21F735E1"/>
    <w:rsid w:val="220E5A1F"/>
    <w:rsid w:val="22171DEE"/>
    <w:rsid w:val="222B4345"/>
    <w:rsid w:val="222D4A4F"/>
    <w:rsid w:val="22492568"/>
    <w:rsid w:val="224A077C"/>
    <w:rsid w:val="22576990"/>
    <w:rsid w:val="22693C4F"/>
    <w:rsid w:val="226B1CDD"/>
    <w:rsid w:val="228E38EC"/>
    <w:rsid w:val="22A068A5"/>
    <w:rsid w:val="22A7788D"/>
    <w:rsid w:val="22AA5B2C"/>
    <w:rsid w:val="22CA5DBD"/>
    <w:rsid w:val="22DA396C"/>
    <w:rsid w:val="22F015DA"/>
    <w:rsid w:val="22F47480"/>
    <w:rsid w:val="22F72675"/>
    <w:rsid w:val="230D7B64"/>
    <w:rsid w:val="231618D2"/>
    <w:rsid w:val="23196F96"/>
    <w:rsid w:val="231D6147"/>
    <w:rsid w:val="23215969"/>
    <w:rsid w:val="232506FF"/>
    <w:rsid w:val="232A35DD"/>
    <w:rsid w:val="23401520"/>
    <w:rsid w:val="234E6170"/>
    <w:rsid w:val="23540DE7"/>
    <w:rsid w:val="235779D7"/>
    <w:rsid w:val="236D4E6D"/>
    <w:rsid w:val="23751ADF"/>
    <w:rsid w:val="237E33FE"/>
    <w:rsid w:val="238A7B89"/>
    <w:rsid w:val="23963804"/>
    <w:rsid w:val="23995352"/>
    <w:rsid w:val="239B4A3D"/>
    <w:rsid w:val="23A07902"/>
    <w:rsid w:val="23A203FB"/>
    <w:rsid w:val="23AB6557"/>
    <w:rsid w:val="23B57C2D"/>
    <w:rsid w:val="23BA3996"/>
    <w:rsid w:val="23C177B2"/>
    <w:rsid w:val="23DE1C48"/>
    <w:rsid w:val="23E34C9B"/>
    <w:rsid w:val="23EA427B"/>
    <w:rsid w:val="23FB0FDC"/>
    <w:rsid w:val="240210CD"/>
    <w:rsid w:val="24024156"/>
    <w:rsid w:val="240B356C"/>
    <w:rsid w:val="24107296"/>
    <w:rsid w:val="2426230C"/>
    <w:rsid w:val="2432352D"/>
    <w:rsid w:val="243266F6"/>
    <w:rsid w:val="243E0123"/>
    <w:rsid w:val="244067F0"/>
    <w:rsid w:val="2449469B"/>
    <w:rsid w:val="244A6AC8"/>
    <w:rsid w:val="244D65B8"/>
    <w:rsid w:val="246A06BD"/>
    <w:rsid w:val="24724A00"/>
    <w:rsid w:val="247374A9"/>
    <w:rsid w:val="247735A3"/>
    <w:rsid w:val="24AA57B9"/>
    <w:rsid w:val="24BF09F7"/>
    <w:rsid w:val="25003CDA"/>
    <w:rsid w:val="25007ACF"/>
    <w:rsid w:val="25037925"/>
    <w:rsid w:val="252D53FE"/>
    <w:rsid w:val="255F1A9B"/>
    <w:rsid w:val="257A518B"/>
    <w:rsid w:val="25927931"/>
    <w:rsid w:val="25AE7098"/>
    <w:rsid w:val="25B007D5"/>
    <w:rsid w:val="25EC2D81"/>
    <w:rsid w:val="2638076E"/>
    <w:rsid w:val="264E443C"/>
    <w:rsid w:val="26503097"/>
    <w:rsid w:val="26555BF8"/>
    <w:rsid w:val="26887D7C"/>
    <w:rsid w:val="268C786C"/>
    <w:rsid w:val="26BA64EB"/>
    <w:rsid w:val="26C028B6"/>
    <w:rsid w:val="26C770A7"/>
    <w:rsid w:val="26CD5819"/>
    <w:rsid w:val="26D35E58"/>
    <w:rsid w:val="26D62895"/>
    <w:rsid w:val="26DF6F9A"/>
    <w:rsid w:val="26F64CE5"/>
    <w:rsid w:val="27093597"/>
    <w:rsid w:val="27217681"/>
    <w:rsid w:val="27243E7D"/>
    <w:rsid w:val="27427F2B"/>
    <w:rsid w:val="27442976"/>
    <w:rsid w:val="27597BDC"/>
    <w:rsid w:val="277057A2"/>
    <w:rsid w:val="27781B9E"/>
    <w:rsid w:val="277A3B68"/>
    <w:rsid w:val="277D6E1D"/>
    <w:rsid w:val="27941F90"/>
    <w:rsid w:val="27A6495D"/>
    <w:rsid w:val="27A72C93"/>
    <w:rsid w:val="27AE789D"/>
    <w:rsid w:val="27DB3EDB"/>
    <w:rsid w:val="27EC33FE"/>
    <w:rsid w:val="28197DA1"/>
    <w:rsid w:val="28220190"/>
    <w:rsid w:val="28282087"/>
    <w:rsid w:val="28463A4A"/>
    <w:rsid w:val="285A74F6"/>
    <w:rsid w:val="28807C4E"/>
    <w:rsid w:val="2892557E"/>
    <w:rsid w:val="289A7E62"/>
    <w:rsid w:val="28B5472C"/>
    <w:rsid w:val="28B9138E"/>
    <w:rsid w:val="28D35F84"/>
    <w:rsid w:val="28F039B6"/>
    <w:rsid w:val="29115FBC"/>
    <w:rsid w:val="29206EB8"/>
    <w:rsid w:val="292A5E02"/>
    <w:rsid w:val="292D1901"/>
    <w:rsid w:val="294D6C48"/>
    <w:rsid w:val="295773B4"/>
    <w:rsid w:val="29595666"/>
    <w:rsid w:val="295B290D"/>
    <w:rsid w:val="297B5976"/>
    <w:rsid w:val="29874881"/>
    <w:rsid w:val="29976AA5"/>
    <w:rsid w:val="29BC518D"/>
    <w:rsid w:val="29C06F49"/>
    <w:rsid w:val="29C333FF"/>
    <w:rsid w:val="29D21618"/>
    <w:rsid w:val="29E325E0"/>
    <w:rsid w:val="29E57683"/>
    <w:rsid w:val="29ED7871"/>
    <w:rsid w:val="29FD5524"/>
    <w:rsid w:val="2A025B78"/>
    <w:rsid w:val="2A0E5604"/>
    <w:rsid w:val="2A151926"/>
    <w:rsid w:val="2A1A02A2"/>
    <w:rsid w:val="2A305925"/>
    <w:rsid w:val="2A452503"/>
    <w:rsid w:val="2A6A2C88"/>
    <w:rsid w:val="2A8645D2"/>
    <w:rsid w:val="2AC4736E"/>
    <w:rsid w:val="2AD1624A"/>
    <w:rsid w:val="2AD23F14"/>
    <w:rsid w:val="2AD40CE2"/>
    <w:rsid w:val="2B0677B7"/>
    <w:rsid w:val="2B111007"/>
    <w:rsid w:val="2B1170B1"/>
    <w:rsid w:val="2B192685"/>
    <w:rsid w:val="2B20195C"/>
    <w:rsid w:val="2B3E3C0F"/>
    <w:rsid w:val="2B42554B"/>
    <w:rsid w:val="2B8452A4"/>
    <w:rsid w:val="2B8E1652"/>
    <w:rsid w:val="2BA6207F"/>
    <w:rsid w:val="2BA936A8"/>
    <w:rsid w:val="2BB53248"/>
    <w:rsid w:val="2BB6736C"/>
    <w:rsid w:val="2BB928B5"/>
    <w:rsid w:val="2BD0408A"/>
    <w:rsid w:val="2BD47D07"/>
    <w:rsid w:val="2BDF21EC"/>
    <w:rsid w:val="2BE55592"/>
    <w:rsid w:val="2C1006AA"/>
    <w:rsid w:val="2C1016F4"/>
    <w:rsid w:val="2C1457D6"/>
    <w:rsid w:val="2C180B9E"/>
    <w:rsid w:val="2C1A3F4D"/>
    <w:rsid w:val="2C2227AE"/>
    <w:rsid w:val="2C315A5A"/>
    <w:rsid w:val="2C32125C"/>
    <w:rsid w:val="2C37663D"/>
    <w:rsid w:val="2C436713"/>
    <w:rsid w:val="2C4910B8"/>
    <w:rsid w:val="2C4B1C25"/>
    <w:rsid w:val="2C832F98"/>
    <w:rsid w:val="2C866B0B"/>
    <w:rsid w:val="2C893FEB"/>
    <w:rsid w:val="2C8A7BF0"/>
    <w:rsid w:val="2C8E569A"/>
    <w:rsid w:val="2CA74157"/>
    <w:rsid w:val="2CC23DF3"/>
    <w:rsid w:val="2CCC0D54"/>
    <w:rsid w:val="2CD30BFC"/>
    <w:rsid w:val="2CDD77DB"/>
    <w:rsid w:val="2CE116AE"/>
    <w:rsid w:val="2CE90CAB"/>
    <w:rsid w:val="2CED54DC"/>
    <w:rsid w:val="2D032B07"/>
    <w:rsid w:val="2D486A1B"/>
    <w:rsid w:val="2D4C13F4"/>
    <w:rsid w:val="2D874EDD"/>
    <w:rsid w:val="2D8755B6"/>
    <w:rsid w:val="2D9E56F5"/>
    <w:rsid w:val="2DC4786F"/>
    <w:rsid w:val="2DCD42C6"/>
    <w:rsid w:val="2DD1218E"/>
    <w:rsid w:val="2DDA77C1"/>
    <w:rsid w:val="2DF92DD5"/>
    <w:rsid w:val="2E0C54B9"/>
    <w:rsid w:val="2E645B2E"/>
    <w:rsid w:val="2E667F96"/>
    <w:rsid w:val="2E747461"/>
    <w:rsid w:val="2E763015"/>
    <w:rsid w:val="2E8226AB"/>
    <w:rsid w:val="2EA25A66"/>
    <w:rsid w:val="2EA721BA"/>
    <w:rsid w:val="2EB10CC7"/>
    <w:rsid w:val="2EBB1A6B"/>
    <w:rsid w:val="2EE56460"/>
    <w:rsid w:val="2EFB04A7"/>
    <w:rsid w:val="2F2A1A83"/>
    <w:rsid w:val="2F485EC6"/>
    <w:rsid w:val="2F534FCE"/>
    <w:rsid w:val="2F6A52E2"/>
    <w:rsid w:val="2F7073F6"/>
    <w:rsid w:val="2F7F3E3C"/>
    <w:rsid w:val="2F8179A3"/>
    <w:rsid w:val="2FC66097"/>
    <w:rsid w:val="2FC82F97"/>
    <w:rsid w:val="2FD065E6"/>
    <w:rsid w:val="2FD96870"/>
    <w:rsid w:val="2FDB3950"/>
    <w:rsid w:val="2FDE6C5E"/>
    <w:rsid w:val="30000983"/>
    <w:rsid w:val="300274B9"/>
    <w:rsid w:val="30134B5A"/>
    <w:rsid w:val="301D1784"/>
    <w:rsid w:val="30334B55"/>
    <w:rsid w:val="303D3985"/>
    <w:rsid w:val="304F2A52"/>
    <w:rsid w:val="30580BC9"/>
    <w:rsid w:val="30607673"/>
    <w:rsid w:val="3062559A"/>
    <w:rsid w:val="307440EA"/>
    <w:rsid w:val="30AE63F2"/>
    <w:rsid w:val="30BC0D4E"/>
    <w:rsid w:val="30CB31C8"/>
    <w:rsid w:val="30D756C5"/>
    <w:rsid w:val="30E1408C"/>
    <w:rsid w:val="30E21B89"/>
    <w:rsid w:val="30E2500D"/>
    <w:rsid w:val="30F2722C"/>
    <w:rsid w:val="31091AB9"/>
    <w:rsid w:val="311E2ED7"/>
    <w:rsid w:val="31245EF5"/>
    <w:rsid w:val="312C66CB"/>
    <w:rsid w:val="31411807"/>
    <w:rsid w:val="3145011A"/>
    <w:rsid w:val="314825E1"/>
    <w:rsid w:val="3151596D"/>
    <w:rsid w:val="315619EE"/>
    <w:rsid w:val="315B7092"/>
    <w:rsid w:val="315C449C"/>
    <w:rsid w:val="316A13C8"/>
    <w:rsid w:val="31913FD8"/>
    <w:rsid w:val="319E7781"/>
    <w:rsid w:val="31A31F0E"/>
    <w:rsid w:val="31A45105"/>
    <w:rsid w:val="31B14A7D"/>
    <w:rsid w:val="31B425B2"/>
    <w:rsid w:val="31B82709"/>
    <w:rsid w:val="31CF4AB1"/>
    <w:rsid w:val="31D05482"/>
    <w:rsid w:val="31D75713"/>
    <w:rsid w:val="31FC33CC"/>
    <w:rsid w:val="31FE3F8B"/>
    <w:rsid w:val="32056724"/>
    <w:rsid w:val="322B68DA"/>
    <w:rsid w:val="32400B34"/>
    <w:rsid w:val="32747406"/>
    <w:rsid w:val="328A09D8"/>
    <w:rsid w:val="329448A6"/>
    <w:rsid w:val="32990513"/>
    <w:rsid w:val="329E6876"/>
    <w:rsid w:val="32A470AF"/>
    <w:rsid w:val="32AA6FBE"/>
    <w:rsid w:val="32D61E6F"/>
    <w:rsid w:val="32DC70E0"/>
    <w:rsid w:val="32E77BD8"/>
    <w:rsid w:val="333015F2"/>
    <w:rsid w:val="3330410C"/>
    <w:rsid w:val="33312FC4"/>
    <w:rsid w:val="33353386"/>
    <w:rsid w:val="33392CA7"/>
    <w:rsid w:val="334768E6"/>
    <w:rsid w:val="334A2453"/>
    <w:rsid w:val="334B6320"/>
    <w:rsid w:val="3353378D"/>
    <w:rsid w:val="335B44FA"/>
    <w:rsid w:val="336D1BC2"/>
    <w:rsid w:val="336E1697"/>
    <w:rsid w:val="33843679"/>
    <w:rsid w:val="339B6127"/>
    <w:rsid w:val="33C31428"/>
    <w:rsid w:val="33CB73E2"/>
    <w:rsid w:val="33D934D4"/>
    <w:rsid w:val="33DE6865"/>
    <w:rsid w:val="33EA5BD2"/>
    <w:rsid w:val="33ED1451"/>
    <w:rsid w:val="33F1156F"/>
    <w:rsid w:val="33F512E3"/>
    <w:rsid w:val="33F7209D"/>
    <w:rsid w:val="33FE2F6A"/>
    <w:rsid w:val="34030A42"/>
    <w:rsid w:val="340E07E5"/>
    <w:rsid w:val="341353C4"/>
    <w:rsid w:val="34235BF7"/>
    <w:rsid w:val="3445514D"/>
    <w:rsid w:val="34473024"/>
    <w:rsid w:val="344C3412"/>
    <w:rsid w:val="346124B1"/>
    <w:rsid w:val="347D25A2"/>
    <w:rsid w:val="34951FE2"/>
    <w:rsid w:val="34A16C46"/>
    <w:rsid w:val="34A457EC"/>
    <w:rsid w:val="34C9254A"/>
    <w:rsid w:val="34DD2DF7"/>
    <w:rsid w:val="34E268A9"/>
    <w:rsid w:val="34E56399"/>
    <w:rsid w:val="34E72712"/>
    <w:rsid w:val="351512DD"/>
    <w:rsid w:val="351A345A"/>
    <w:rsid w:val="352B4654"/>
    <w:rsid w:val="35456EEF"/>
    <w:rsid w:val="35587E9A"/>
    <w:rsid w:val="356159B3"/>
    <w:rsid w:val="356E4B22"/>
    <w:rsid w:val="35744E44"/>
    <w:rsid w:val="35822CCC"/>
    <w:rsid w:val="358C5FA8"/>
    <w:rsid w:val="35973B37"/>
    <w:rsid w:val="35982FE5"/>
    <w:rsid w:val="359C2A5C"/>
    <w:rsid w:val="359C73A0"/>
    <w:rsid w:val="359E274E"/>
    <w:rsid w:val="35C15DF1"/>
    <w:rsid w:val="35E1140C"/>
    <w:rsid w:val="36074A7F"/>
    <w:rsid w:val="360A255B"/>
    <w:rsid w:val="362F6498"/>
    <w:rsid w:val="364533F4"/>
    <w:rsid w:val="365666D3"/>
    <w:rsid w:val="365A133A"/>
    <w:rsid w:val="365C07D2"/>
    <w:rsid w:val="365C268B"/>
    <w:rsid w:val="36923549"/>
    <w:rsid w:val="369E2E72"/>
    <w:rsid w:val="369F19CB"/>
    <w:rsid w:val="36B75FBF"/>
    <w:rsid w:val="36BD0C45"/>
    <w:rsid w:val="36CD03FF"/>
    <w:rsid w:val="36D43132"/>
    <w:rsid w:val="36D641EB"/>
    <w:rsid w:val="36DB5CA6"/>
    <w:rsid w:val="36E92171"/>
    <w:rsid w:val="36E97BF3"/>
    <w:rsid w:val="36F80606"/>
    <w:rsid w:val="36FA419F"/>
    <w:rsid w:val="370C2303"/>
    <w:rsid w:val="372B2EAF"/>
    <w:rsid w:val="372E4027"/>
    <w:rsid w:val="37305FF2"/>
    <w:rsid w:val="375C12D9"/>
    <w:rsid w:val="3764053C"/>
    <w:rsid w:val="37765964"/>
    <w:rsid w:val="37AC319E"/>
    <w:rsid w:val="37AF33BA"/>
    <w:rsid w:val="37AF6638"/>
    <w:rsid w:val="37B24C58"/>
    <w:rsid w:val="37BB54F5"/>
    <w:rsid w:val="37C1358A"/>
    <w:rsid w:val="37CE2FC1"/>
    <w:rsid w:val="37D3591A"/>
    <w:rsid w:val="37DC3A83"/>
    <w:rsid w:val="37E00298"/>
    <w:rsid w:val="381256F7"/>
    <w:rsid w:val="3845787B"/>
    <w:rsid w:val="384A10CB"/>
    <w:rsid w:val="384A6C3F"/>
    <w:rsid w:val="384B0C09"/>
    <w:rsid w:val="3852275C"/>
    <w:rsid w:val="38747006"/>
    <w:rsid w:val="387719FE"/>
    <w:rsid w:val="387E4598"/>
    <w:rsid w:val="388634A7"/>
    <w:rsid w:val="389B777C"/>
    <w:rsid w:val="38A345A1"/>
    <w:rsid w:val="38AC16A8"/>
    <w:rsid w:val="38B302F9"/>
    <w:rsid w:val="38BA152D"/>
    <w:rsid w:val="38D063B1"/>
    <w:rsid w:val="38D6227A"/>
    <w:rsid w:val="38E13E77"/>
    <w:rsid w:val="38F12CD3"/>
    <w:rsid w:val="38F94775"/>
    <w:rsid w:val="390A2429"/>
    <w:rsid w:val="390C0E69"/>
    <w:rsid w:val="3913766E"/>
    <w:rsid w:val="392971ED"/>
    <w:rsid w:val="392A5EB9"/>
    <w:rsid w:val="39325651"/>
    <w:rsid w:val="39667928"/>
    <w:rsid w:val="39941F91"/>
    <w:rsid w:val="39952192"/>
    <w:rsid w:val="399C796E"/>
    <w:rsid w:val="399F120C"/>
    <w:rsid w:val="39AF6E3D"/>
    <w:rsid w:val="39C26CA9"/>
    <w:rsid w:val="3A044DC2"/>
    <w:rsid w:val="3A1A6389"/>
    <w:rsid w:val="3A1B749B"/>
    <w:rsid w:val="3A237799"/>
    <w:rsid w:val="3A2378D1"/>
    <w:rsid w:val="3A256E7A"/>
    <w:rsid w:val="3A2B2107"/>
    <w:rsid w:val="3A2F0C81"/>
    <w:rsid w:val="3A3531D1"/>
    <w:rsid w:val="3A42417A"/>
    <w:rsid w:val="3A537178"/>
    <w:rsid w:val="3A5719A3"/>
    <w:rsid w:val="3A6D3350"/>
    <w:rsid w:val="3A834171"/>
    <w:rsid w:val="3A872856"/>
    <w:rsid w:val="3A8D256E"/>
    <w:rsid w:val="3A9B19D4"/>
    <w:rsid w:val="3AA615F1"/>
    <w:rsid w:val="3AC44B7A"/>
    <w:rsid w:val="3ADC2E01"/>
    <w:rsid w:val="3AE14938"/>
    <w:rsid w:val="3AED1748"/>
    <w:rsid w:val="3AF61300"/>
    <w:rsid w:val="3B051543"/>
    <w:rsid w:val="3B211535"/>
    <w:rsid w:val="3B3414AF"/>
    <w:rsid w:val="3B3763D1"/>
    <w:rsid w:val="3B506C62"/>
    <w:rsid w:val="3B712735"/>
    <w:rsid w:val="3B80546B"/>
    <w:rsid w:val="3B8561E0"/>
    <w:rsid w:val="3BA4134C"/>
    <w:rsid w:val="3BAD5DB9"/>
    <w:rsid w:val="3BB458FC"/>
    <w:rsid w:val="3BB86527"/>
    <w:rsid w:val="3BDF30E8"/>
    <w:rsid w:val="3C004B2E"/>
    <w:rsid w:val="3C1A71B0"/>
    <w:rsid w:val="3C2F6E1E"/>
    <w:rsid w:val="3C4F64BA"/>
    <w:rsid w:val="3C574020"/>
    <w:rsid w:val="3C5C49E5"/>
    <w:rsid w:val="3C80359C"/>
    <w:rsid w:val="3C8702B1"/>
    <w:rsid w:val="3C8B7B3C"/>
    <w:rsid w:val="3C9F6007"/>
    <w:rsid w:val="3CA601D2"/>
    <w:rsid w:val="3CA87EA3"/>
    <w:rsid w:val="3CAD5557"/>
    <w:rsid w:val="3CB702CD"/>
    <w:rsid w:val="3CC114BB"/>
    <w:rsid w:val="3CDA245A"/>
    <w:rsid w:val="3CEB28E1"/>
    <w:rsid w:val="3CF33D49"/>
    <w:rsid w:val="3CF67395"/>
    <w:rsid w:val="3CFF7188"/>
    <w:rsid w:val="3D1E06B7"/>
    <w:rsid w:val="3D385C00"/>
    <w:rsid w:val="3D4C2A6F"/>
    <w:rsid w:val="3D5407A8"/>
    <w:rsid w:val="3D581DFE"/>
    <w:rsid w:val="3D5A0F8B"/>
    <w:rsid w:val="3D5A3DC8"/>
    <w:rsid w:val="3D605CA8"/>
    <w:rsid w:val="3D6562C9"/>
    <w:rsid w:val="3D6A7926"/>
    <w:rsid w:val="3D76765B"/>
    <w:rsid w:val="3D7C2F8B"/>
    <w:rsid w:val="3D7E0CF2"/>
    <w:rsid w:val="3D8250CD"/>
    <w:rsid w:val="3DA56FCD"/>
    <w:rsid w:val="3DD11BB1"/>
    <w:rsid w:val="3DF725EA"/>
    <w:rsid w:val="3DFC4E7F"/>
    <w:rsid w:val="3E064835"/>
    <w:rsid w:val="3E246184"/>
    <w:rsid w:val="3E2D328B"/>
    <w:rsid w:val="3E2E5F95"/>
    <w:rsid w:val="3E2F19A2"/>
    <w:rsid w:val="3E3C1ACE"/>
    <w:rsid w:val="3E422926"/>
    <w:rsid w:val="3E75253C"/>
    <w:rsid w:val="3E86299B"/>
    <w:rsid w:val="3E8C490E"/>
    <w:rsid w:val="3E8F1850"/>
    <w:rsid w:val="3E911663"/>
    <w:rsid w:val="3E94007D"/>
    <w:rsid w:val="3EC55271"/>
    <w:rsid w:val="3EDA0523"/>
    <w:rsid w:val="3EEC5DD6"/>
    <w:rsid w:val="3EFB5137"/>
    <w:rsid w:val="3F0732FB"/>
    <w:rsid w:val="3F0E5563"/>
    <w:rsid w:val="3F296D98"/>
    <w:rsid w:val="3F2C11C0"/>
    <w:rsid w:val="3F4A39C9"/>
    <w:rsid w:val="3F4B5977"/>
    <w:rsid w:val="3F540DFC"/>
    <w:rsid w:val="3F6853D5"/>
    <w:rsid w:val="3F7506B7"/>
    <w:rsid w:val="3F7D5B4C"/>
    <w:rsid w:val="3FA225BD"/>
    <w:rsid w:val="3FC1012F"/>
    <w:rsid w:val="3FC34131"/>
    <w:rsid w:val="3FE94F8F"/>
    <w:rsid w:val="40093EB5"/>
    <w:rsid w:val="402F02A5"/>
    <w:rsid w:val="405D597D"/>
    <w:rsid w:val="405E5648"/>
    <w:rsid w:val="40635C59"/>
    <w:rsid w:val="40685B28"/>
    <w:rsid w:val="407A6407"/>
    <w:rsid w:val="40860A30"/>
    <w:rsid w:val="408B24F0"/>
    <w:rsid w:val="408E0035"/>
    <w:rsid w:val="409E0ACB"/>
    <w:rsid w:val="40A17D8E"/>
    <w:rsid w:val="40A7186B"/>
    <w:rsid w:val="40C80836"/>
    <w:rsid w:val="40DA589D"/>
    <w:rsid w:val="412F731A"/>
    <w:rsid w:val="41513A32"/>
    <w:rsid w:val="41654397"/>
    <w:rsid w:val="41672FC8"/>
    <w:rsid w:val="416739B5"/>
    <w:rsid w:val="417B255F"/>
    <w:rsid w:val="417E062D"/>
    <w:rsid w:val="418D69DC"/>
    <w:rsid w:val="41A03D74"/>
    <w:rsid w:val="41A52615"/>
    <w:rsid w:val="41A61632"/>
    <w:rsid w:val="41A72082"/>
    <w:rsid w:val="41B20620"/>
    <w:rsid w:val="41B20CD4"/>
    <w:rsid w:val="41B250D2"/>
    <w:rsid w:val="41E344F0"/>
    <w:rsid w:val="4200449D"/>
    <w:rsid w:val="4205751C"/>
    <w:rsid w:val="422E7D02"/>
    <w:rsid w:val="42360234"/>
    <w:rsid w:val="423A3BCC"/>
    <w:rsid w:val="424B2AAE"/>
    <w:rsid w:val="424E57D2"/>
    <w:rsid w:val="42584A33"/>
    <w:rsid w:val="42683F09"/>
    <w:rsid w:val="42836267"/>
    <w:rsid w:val="42A80429"/>
    <w:rsid w:val="42AF43EC"/>
    <w:rsid w:val="42B26C49"/>
    <w:rsid w:val="42B82EFA"/>
    <w:rsid w:val="42C359AA"/>
    <w:rsid w:val="42CB5C83"/>
    <w:rsid w:val="42D17381"/>
    <w:rsid w:val="42EE4C3A"/>
    <w:rsid w:val="43225BF4"/>
    <w:rsid w:val="432E715D"/>
    <w:rsid w:val="433A6FE6"/>
    <w:rsid w:val="434141C8"/>
    <w:rsid w:val="43480868"/>
    <w:rsid w:val="434E6406"/>
    <w:rsid w:val="4350713C"/>
    <w:rsid w:val="43562F18"/>
    <w:rsid w:val="436653E0"/>
    <w:rsid w:val="43820FB2"/>
    <w:rsid w:val="439C41A4"/>
    <w:rsid w:val="43A84211"/>
    <w:rsid w:val="43B5111C"/>
    <w:rsid w:val="43C4431A"/>
    <w:rsid w:val="43CD118E"/>
    <w:rsid w:val="43CE42C4"/>
    <w:rsid w:val="43E24298"/>
    <w:rsid w:val="43F51145"/>
    <w:rsid w:val="43F92941"/>
    <w:rsid w:val="43FD4086"/>
    <w:rsid w:val="440C521A"/>
    <w:rsid w:val="44191BBB"/>
    <w:rsid w:val="441D16AC"/>
    <w:rsid w:val="445632A0"/>
    <w:rsid w:val="445F7F16"/>
    <w:rsid w:val="4461219A"/>
    <w:rsid w:val="446F25D7"/>
    <w:rsid w:val="447B7986"/>
    <w:rsid w:val="447E374E"/>
    <w:rsid w:val="4488300E"/>
    <w:rsid w:val="44A92D3F"/>
    <w:rsid w:val="44AB2FB0"/>
    <w:rsid w:val="44AB315B"/>
    <w:rsid w:val="44B34113"/>
    <w:rsid w:val="44B839C9"/>
    <w:rsid w:val="44B951CC"/>
    <w:rsid w:val="44CD14E0"/>
    <w:rsid w:val="44D45109"/>
    <w:rsid w:val="44DA6E6A"/>
    <w:rsid w:val="44E5523E"/>
    <w:rsid w:val="44F20B0B"/>
    <w:rsid w:val="45041466"/>
    <w:rsid w:val="450959B6"/>
    <w:rsid w:val="45261DAD"/>
    <w:rsid w:val="45280308"/>
    <w:rsid w:val="452D3766"/>
    <w:rsid w:val="452E5F4C"/>
    <w:rsid w:val="453018B3"/>
    <w:rsid w:val="454076CF"/>
    <w:rsid w:val="45461B57"/>
    <w:rsid w:val="454C301F"/>
    <w:rsid w:val="45537C28"/>
    <w:rsid w:val="4555254D"/>
    <w:rsid w:val="455A46BC"/>
    <w:rsid w:val="45612018"/>
    <w:rsid w:val="45634D66"/>
    <w:rsid w:val="456A6B72"/>
    <w:rsid w:val="4572682B"/>
    <w:rsid w:val="458946E9"/>
    <w:rsid w:val="45906D2A"/>
    <w:rsid w:val="45A41B54"/>
    <w:rsid w:val="45A47C0E"/>
    <w:rsid w:val="45AE4C3B"/>
    <w:rsid w:val="45B660B9"/>
    <w:rsid w:val="45BB24A6"/>
    <w:rsid w:val="45E22BAD"/>
    <w:rsid w:val="45F971EA"/>
    <w:rsid w:val="46070EBB"/>
    <w:rsid w:val="460743C1"/>
    <w:rsid w:val="461B7E6D"/>
    <w:rsid w:val="46501518"/>
    <w:rsid w:val="46577FD6"/>
    <w:rsid w:val="465E6883"/>
    <w:rsid w:val="46632070"/>
    <w:rsid w:val="46633F77"/>
    <w:rsid w:val="466424C6"/>
    <w:rsid w:val="466F1F67"/>
    <w:rsid w:val="46885E2A"/>
    <w:rsid w:val="46A13E00"/>
    <w:rsid w:val="46A43EC2"/>
    <w:rsid w:val="46A936CA"/>
    <w:rsid w:val="46A937CA"/>
    <w:rsid w:val="46B1432D"/>
    <w:rsid w:val="46B27BC7"/>
    <w:rsid w:val="46C15C8C"/>
    <w:rsid w:val="46CD455E"/>
    <w:rsid w:val="46D955A7"/>
    <w:rsid w:val="46F030A7"/>
    <w:rsid w:val="47081961"/>
    <w:rsid w:val="47133957"/>
    <w:rsid w:val="471B6D1A"/>
    <w:rsid w:val="47236F72"/>
    <w:rsid w:val="475C12FD"/>
    <w:rsid w:val="479355A8"/>
    <w:rsid w:val="47937888"/>
    <w:rsid w:val="47971775"/>
    <w:rsid w:val="479779C7"/>
    <w:rsid w:val="47A07E0C"/>
    <w:rsid w:val="47A64111"/>
    <w:rsid w:val="47B12170"/>
    <w:rsid w:val="47E12682"/>
    <w:rsid w:val="48021A88"/>
    <w:rsid w:val="48074B4D"/>
    <w:rsid w:val="481B5A5C"/>
    <w:rsid w:val="48262716"/>
    <w:rsid w:val="482B31C9"/>
    <w:rsid w:val="48343468"/>
    <w:rsid w:val="48384D6B"/>
    <w:rsid w:val="4839786B"/>
    <w:rsid w:val="4842775A"/>
    <w:rsid w:val="4870272E"/>
    <w:rsid w:val="487334DE"/>
    <w:rsid w:val="488E79D4"/>
    <w:rsid w:val="48931F3C"/>
    <w:rsid w:val="48946CE1"/>
    <w:rsid w:val="48AB21B6"/>
    <w:rsid w:val="48AE4FC8"/>
    <w:rsid w:val="48B620CF"/>
    <w:rsid w:val="48D2515B"/>
    <w:rsid w:val="48D32AED"/>
    <w:rsid w:val="48D332F4"/>
    <w:rsid w:val="48E75802"/>
    <w:rsid w:val="48F14EB5"/>
    <w:rsid w:val="48F75C9D"/>
    <w:rsid w:val="48FE23C0"/>
    <w:rsid w:val="49017E01"/>
    <w:rsid w:val="490F380A"/>
    <w:rsid w:val="49177727"/>
    <w:rsid w:val="49264A44"/>
    <w:rsid w:val="492F3892"/>
    <w:rsid w:val="493359F6"/>
    <w:rsid w:val="49340A1D"/>
    <w:rsid w:val="49662A21"/>
    <w:rsid w:val="4966443C"/>
    <w:rsid w:val="49764919"/>
    <w:rsid w:val="49964940"/>
    <w:rsid w:val="499F5778"/>
    <w:rsid w:val="49A82484"/>
    <w:rsid w:val="49AC5058"/>
    <w:rsid w:val="49DC7715"/>
    <w:rsid w:val="49FF1297"/>
    <w:rsid w:val="4A023139"/>
    <w:rsid w:val="4A092F7D"/>
    <w:rsid w:val="4A1717F6"/>
    <w:rsid w:val="4A273336"/>
    <w:rsid w:val="4A2B32AA"/>
    <w:rsid w:val="4A4A2ACF"/>
    <w:rsid w:val="4A625534"/>
    <w:rsid w:val="4A643DA4"/>
    <w:rsid w:val="4A7B576F"/>
    <w:rsid w:val="4A9A2BB3"/>
    <w:rsid w:val="4AA82605"/>
    <w:rsid w:val="4AA9150B"/>
    <w:rsid w:val="4AB53346"/>
    <w:rsid w:val="4AB97C54"/>
    <w:rsid w:val="4AC41483"/>
    <w:rsid w:val="4ACC3E2B"/>
    <w:rsid w:val="4AED5F7C"/>
    <w:rsid w:val="4AF158D7"/>
    <w:rsid w:val="4AF561A9"/>
    <w:rsid w:val="4B162A23"/>
    <w:rsid w:val="4B1D01E3"/>
    <w:rsid w:val="4B2F481E"/>
    <w:rsid w:val="4B3B7AA1"/>
    <w:rsid w:val="4B630235"/>
    <w:rsid w:val="4B663938"/>
    <w:rsid w:val="4B6C5DBA"/>
    <w:rsid w:val="4B713EE5"/>
    <w:rsid w:val="4B7342A7"/>
    <w:rsid w:val="4B7818BD"/>
    <w:rsid w:val="4B8C11DB"/>
    <w:rsid w:val="4B92297F"/>
    <w:rsid w:val="4BAD3AF2"/>
    <w:rsid w:val="4BCC0DE8"/>
    <w:rsid w:val="4BD766A0"/>
    <w:rsid w:val="4BE93EAF"/>
    <w:rsid w:val="4BFE1DC3"/>
    <w:rsid w:val="4C14675F"/>
    <w:rsid w:val="4C1C3065"/>
    <w:rsid w:val="4C1C53C8"/>
    <w:rsid w:val="4C336E5A"/>
    <w:rsid w:val="4C3479F8"/>
    <w:rsid w:val="4C3623CA"/>
    <w:rsid w:val="4C426389"/>
    <w:rsid w:val="4C447F29"/>
    <w:rsid w:val="4C4A0649"/>
    <w:rsid w:val="4C5400D1"/>
    <w:rsid w:val="4C621C29"/>
    <w:rsid w:val="4C64305D"/>
    <w:rsid w:val="4C6D47E4"/>
    <w:rsid w:val="4C741C9C"/>
    <w:rsid w:val="4C7E5ECA"/>
    <w:rsid w:val="4C876AA5"/>
    <w:rsid w:val="4C8E6779"/>
    <w:rsid w:val="4CA071DE"/>
    <w:rsid w:val="4CB8381A"/>
    <w:rsid w:val="4CD84E40"/>
    <w:rsid w:val="4CDF1BF4"/>
    <w:rsid w:val="4CEC2049"/>
    <w:rsid w:val="4CEF795D"/>
    <w:rsid w:val="4CF038EA"/>
    <w:rsid w:val="4CF50E61"/>
    <w:rsid w:val="4D026FA0"/>
    <w:rsid w:val="4D08315E"/>
    <w:rsid w:val="4D0E00FB"/>
    <w:rsid w:val="4D176606"/>
    <w:rsid w:val="4D292B32"/>
    <w:rsid w:val="4D296320"/>
    <w:rsid w:val="4D2A6E5A"/>
    <w:rsid w:val="4D3B0EF1"/>
    <w:rsid w:val="4D534851"/>
    <w:rsid w:val="4DB77BB6"/>
    <w:rsid w:val="4DCC3EE3"/>
    <w:rsid w:val="4DD03765"/>
    <w:rsid w:val="4DD23507"/>
    <w:rsid w:val="4DD70B1D"/>
    <w:rsid w:val="4DDD6171"/>
    <w:rsid w:val="4DEC4FB0"/>
    <w:rsid w:val="4DF33C6D"/>
    <w:rsid w:val="4DF7686D"/>
    <w:rsid w:val="4E075D8A"/>
    <w:rsid w:val="4E0C4547"/>
    <w:rsid w:val="4E1C0C26"/>
    <w:rsid w:val="4E61488B"/>
    <w:rsid w:val="4E7A4FA2"/>
    <w:rsid w:val="4E87024A"/>
    <w:rsid w:val="4E9523C6"/>
    <w:rsid w:val="4EA279F0"/>
    <w:rsid w:val="4EA84268"/>
    <w:rsid w:val="4EC00FAD"/>
    <w:rsid w:val="4EC05A55"/>
    <w:rsid w:val="4EC34DDA"/>
    <w:rsid w:val="4ECF1CAB"/>
    <w:rsid w:val="4EDC7FC8"/>
    <w:rsid w:val="4EE31152"/>
    <w:rsid w:val="4EED323A"/>
    <w:rsid w:val="4EFB083B"/>
    <w:rsid w:val="4F144501"/>
    <w:rsid w:val="4F2705FD"/>
    <w:rsid w:val="4F2A1F26"/>
    <w:rsid w:val="4F2D30D7"/>
    <w:rsid w:val="4F3E5D00"/>
    <w:rsid w:val="4F414FFD"/>
    <w:rsid w:val="4F62233F"/>
    <w:rsid w:val="4F6351A5"/>
    <w:rsid w:val="4F694494"/>
    <w:rsid w:val="4F6F1D68"/>
    <w:rsid w:val="4F732AC8"/>
    <w:rsid w:val="4F774A62"/>
    <w:rsid w:val="4F883056"/>
    <w:rsid w:val="4F8C5937"/>
    <w:rsid w:val="4F9843DC"/>
    <w:rsid w:val="4FA47285"/>
    <w:rsid w:val="4FB75279"/>
    <w:rsid w:val="4FC02FD1"/>
    <w:rsid w:val="4FC62A8C"/>
    <w:rsid w:val="4FDF1FAE"/>
    <w:rsid w:val="4FE20F0D"/>
    <w:rsid w:val="4FE51552"/>
    <w:rsid w:val="4FE6185F"/>
    <w:rsid w:val="4FE6773D"/>
    <w:rsid w:val="4FE70DC0"/>
    <w:rsid w:val="50085C86"/>
    <w:rsid w:val="50106933"/>
    <w:rsid w:val="50181A99"/>
    <w:rsid w:val="502344EE"/>
    <w:rsid w:val="50504C4B"/>
    <w:rsid w:val="505521C7"/>
    <w:rsid w:val="506C6106"/>
    <w:rsid w:val="506F3E7B"/>
    <w:rsid w:val="50724B2D"/>
    <w:rsid w:val="509C6E7C"/>
    <w:rsid w:val="50AC63A2"/>
    <w:rsid w:val="50BB3089"/>
    <w:rsid w:val="50E65841"/>
    <w:rsid w:val="51140B50"/>
    <w:rsid w:val="5116410C"/>
    <w:rsid w:val="5131318F"/>
    <w:rsid w:val="513242BC"/>
    <w:rsid w:val="514A3E27"/>
    <w:rsid w:val="5162104E"/>
    <w:rsid w:val="51713037"/>
    <w:rsid w:val="51A4340C"/>
    <w:rsid w:val="51B263BD"/>
    <w:rsid w:val="51FF0A8E"/>
    <w:rsid w:val="52043EAB"/>
    <w:rsid w:val="520F06C0"/>
    <w:rsid w:val="52110875"/>
    <w:rsid w:val="524424F9"/>
    <w:rsid w:val="52502047"/>
    <w:rsid w:val="525941F7"/>
    <w:rsid w:val="52635075"/>
    <w:rsid w:val="52664243"/>
    <w:rsid w:val="52701540"/>
    <w:rsid w:val="528D20F2"/>
    <w:rsid w:val="52D85120"/>
    <w:rsid w:val="530906F2"/>
    <w:rsid w:val="532C330C"/>
    <w:rsid w:val="532F4F57"/>
    <w:rsid w:val="53417A3C"/>
    <w:rsid w:val="53525791"/>
    <w:rsid w:val="536F6755"/>
    <w:rsid w:val="53A039CC"/>
    <w:rsid w:val="53A1505A"/>
    <w:rsid w:val="53B55382"/>
    <w:rsid w:val="53BD2563"/>
    <w:rsid w:val="53C20146"/>
    <w:rsid w:val="53CA042D"/>
    <w:rsid w:val="53CD34B0"/>
    <w:rsid w:val="540023CB"/>
    <w:rsid w:val="54063E08"/>
    <w:rsid w:val="54070CAF"/>
    <w:rsid w:val="541F0108"/>
    <w:rsid w:val="542E7D28"/>
    <w:rsid w:val="543437E8"/>
    <w:rsid w:val="545142AC"/>
    <w:rsid w:val="545501AA"/>
    <w:rsid w:val="54596730"/>
    <w:rsid w:val="54743E61"/>
    <w:rsid w:val="5487448A"/>
    <w:rsid w:val="54D74D9A"/>
    <w:rsid w:val="54DC0C71"/>
    <w:rsid w:val="54F73313"/>
    <w:rsid w:val="54F80955"/>
    <w:rsid w:val="55164621"/>
    <w:rsid w:val="552D769A"/>
    <w:rsid w:val="55373153"/>
    <w:rsid w:val="555170A7"/>
    <w:rsid w:val="557B0928"/>
    <w:rsid w:val="557E5D22"/>
    <w:rsid w:val="5587536D"/>
    <w:rsid w:val="558C1140"/>
    <w:rsid w:val="55986DE4"/>
    <w:rsid w:val="559B174B"/>
    <w:rsid w:val="55C14AC9"/>
    <w:rsid w:val="55CC4511"/>
    <w:rsid w:val="55CE0CF4"/>
    <w:rsid w:val="55D634D7"/>
    <w:rsid w:val="55DF0EB7"/>
    <w:rsid w:val="55E41050"/>
    <w:rsid w:val="55EA72CD"/>
    <w:rsid w:val="55F12998"/>
    <w:rsid w:val="55F75829"/>
    <w:rsid w:val="56002036"/>
    <w:rsid w:val="56017BF4"/>
    <w:rsid w:val="5628104F"/>
    <w:rsid w:val="563845FF"/>
    <w:rsid w:val="56393F2E"/>
    <w:rsid w:val="5659610E"/>
    <w:rsid w:val="565C0A5B"/>
    <w:rsid w:val="565C2507"/>
    <w:rsid w:val="566A7300"/>
    <w:rsid w:val="566B4E4F"/>
    <w:rsid w:val="56722516"/>
    <w:rsid w:val="567C0368"/>
    <w:rsid w:val="56892BD1"/>
    <w:rsid w:val="569F31DD"/>
    <w:rsid w:val="56A17F1A"/>
    <w:rsid w:val="56B22A9C"/>
    <w:rsid w:val="56BB173B"/>
    <w:rsid w:val="56CD51B3"/>
    <w:rsid w:val="56EA7B13"/>
    <w:rsid w:val="56EB73E7"/>
    <w:rsid w:val="56F5733A"/>
    <w:rsid w:val="570118AF"/>
    <w:rsid w:val="5705494D"/>
    <w:rsid w:val="571406EC"/>
    <w:rsid w:val="57234DD3"/>
    <w:rsid w:val="574A05B2"/>
    <w:rsid w:val="576A2325"/>
    <w:rsid w:val="577545D2"/>
    <w:rsid w:val="57A203EE"/>
    <w:rsid w:val="57A52A8B"/>
    <w:rsid w:val="57AF0129"/>
    <w:rsid w:val="57B72A76"/>
    <w:rsid w:val="57C22FDA"/>
    <w:rsid w:val="57C2639A"/>
    <w:rsid w:val="57C3426C"/>
    <w:rsid w:val="57C60446"/>
    <w:rsid w:val="57CE1F93"/>
    <w:rsid w:val="57DC7E00"/>
    <w:rsid w:val="57E17504"/>
    <w:rsid w:val="57F66044"/>
    <w:rsid w:val="58095D77"/>
    <w:rsid w:val="581E3FA7"/>
    <w:rsid w:val="58204214"/>
    <w:rsid w:val="58450397"/>
    <w:rsid w:val="58506380"/>
    <w:rsid w:val="585F1909"/>
    <w:rsid w:val="58607570"/>
    <w:rsid w:val="58737694"/>
    <w:rsid w:val="587A6C75"/>
    <w:rsid w:val="588250F8"/>
    <w:rsid w:val="588743D1"/>
    <w:rsid w:val="5887701A"/>
    <w:rsid w:val="58A22272"/>
    <w:rsid w:val="58A576D9"/>
    <w:rsid w:val="58AF3D89"/>
    <w:rsid w:val="58AF4943"/>
    <w:rsid w:val="58B85A68"/>
    <w:rsid w:val="58D31E65"/>
    <w:rsid w:val="58DD389F"/>
    <w:rsid w:val="58E2362B"/>
    <w:rsid w:val="58E64041"/>
    <w:rsid w:val="58F21ACC"/>
    <w:rsid w:val="590A100B"/>
    <w:rsid w:val="592117E6"/>
    <w:rsid w:val="592A3D90"/>
    <w:rsid w:val="592B2432"/>
    <w:rsid w:val="592E1425"/>
    <w:rsid w:val="593E7CA2"/>
    <w:rsid w:val="594B30D2"/>
    <w:rsid w:val="59665C57"/>
    <w:rsid w:val="596F4300"/>
    <w:rsid w:val="59945B14"/>
    <w:rsid w:val="599C0E20"/>
    <w:rsid w:val="59AA6876"/>
    <w:rsid w:val="59AA70AD"/>
    <w:rsid w:val="59C0439F"/>
    <w:rsid w:val="59C208D3"/>
    <w:rsid w:val="59C503C4"/>
    <w:rsid w:val="59C70328"/>
    <w:rsid w:val="59FD190B"/>
    <w:rsid w:val="5A201A9E"/>
    <w:rsid w:val="5A482E57"/>
    <w:rsid w:val="5A6019BB"/>
    <w:rsid w:val="5A686F0A"/>
    <w:rsid w:val="5A7476F4"/>
    <w:rsid w:val="5A955FE8"/>
    <w:rsid w:val="5AA0311C"/>
    <w:rsid w:val="5AA15244"/>
    <w:rsid w:val="5ABE2233"/>
    <w:rsid w:val="5AD55DE1"/>
    <w:rsid w:val="5ADC52BB"/>
    <w:rsid w:val="5AE465A6"/>
    <w:rsid w:val="5AF346DD"/>
    <w:rsid w:val="5AFA4E1D"/>
    <w:rsid w:val="5B215ACE"/>
    <w:rsid w:val="5B2859FF"/>
    <w:rsid w:val="5B413A7A"/>
    <w:rsid w:val="5B652F32"/>
    <w:rsid w:val="5B7B51DE"/>
    <w:rsid w:val="5B844C8D"/>
    <w:rsid w:val="5B8860A7"/>
    <w:rsid w:val="5BC81BED"/>
    <w:rsid w:val="5BDB5C7C"/>
    <w:rsid w:val="5BDF5D95"/>
    <w:rsid w:val="5BE038B3"/>
    <w:rsid w:val="5BFD33F1"/>
    <w:rsid w:val="5BFE7528"/>
    <w:rsid w:val="5C2A6C04"/>
    <w:rsid w:val="5C3E512C"/>
    <w:rsid w:val="5C533A65"/>
    <w:rsid w:val="5C690B98"/>
    <w:rsid w:val="5C846314"/>
    <w:rsid w:val="5C94262E"/>
    <w:rsid w:val="5C9D73D6"/>
    <w:rsid w:val="5CAC7619"/>
    <w:rsid w:val="5CB0535B"/>
    <w:rsid w:val="5CBA0400"/>
    <w:rsid w:val="5CBD3E00"/>
    <w:rsid w:val="5CC44191"/>
    <w:rsid w:val="5CD362C5"/>
    <w:rsid w:val="5CEB4C0A"/>
    <w:rsid w:val="5CF214D0"/>
    <w:rsid w:val="5D02513D"/>
    <w:rsid w:val="5D0F31E7"/>
    <w:rsid w:val="5D2548ED"/>
    <w:rsid w:val="5D3C2314"/>
    <w:rsid w:val="5D413183"/>
    <w:rsid w:val="5D5368A4"/>
    <w:rsid w:val="5DA10CB4"/>
    <w:rsid w:val="5DBA57DC"/>
    <w:rsid w:val="5DBB299C"/>
    <w:rsid w:val="5DC866D4"/>
    <w:rsid w:val="5DD150FC"/>
    <w:rsid w:val="5DF37D17"/>
    <w:rsid w:val="5E11603D"/>
    <w:rsid w:val="5E14191A"/>
    <w:rsid w:val="5E2467F1"/>
    <w:rsid w:val="5E2F0501"/>
    <w:rsid w:val="5E3C457C"/>
    <w:rsid w:val="5E443FAD"/>
    <w:rsid w:val="5E5303F1"/>
    <w:rsid w:val="5E905782"/>
    <w:rsid w:val="5E934044"/>
    <w:rsid w:val="5EAB603E"/>
    <w:rsid w:val="5EAF6342"/>
    <w:rsid w:val="5EEE241F"/>
    <w:rsid w:val="5EF64B7B"/>
    <w:rsid w:val="5EF87D3C"/>
    <w:rsid w:val="5F100333"/>
    <w:rsid w:val="5F1119B5"/>
    <w:rsid w:val="5F1A2B43"/>
    <w:rsid w:val="5F47730B"/>
    <w:rsid w:val="5F546472"/>
    <w:rsid w:val="5F693228"/>
    <w:rsid w:val="5F6D6E51"/>
    <w:rsid w:val="5F8F175A"/>
    <w:rsid w:val="5FA91555"/>
    <w:rsid w:val="5FB837BB"/>
    <w:rsid w:val="5FD9638B"/>
    <w:rsid w:val="5FD96977"/>
    <w:rsid w:val="5FDD401A"/>
    <w:rsid w:val="5FF029D5"/>
    <w:rsid w:val="6017407E"/>
    <w:rsid w:val="60194FC5"/>
    <w:rsid w:val="601C6864"/>
    <w:rsid w:val="602A2538"/>
    <w:rsid w:val="602D233C"/>
    <w:rsid w:val="6042451C"/>
    <w:rsid w:val="606F2134"/>
    <w:rsid w:val="6071159A"/>
    <w:rsid w:val="608B6598"/>
    <w:rsid w:val="60901CB9"/>
    <w:rsid w:val="609501AE"/>
    <w:rsid w:val="60CC405A"/>
    <w:rsid w:val="60D121BD"/>
    <w:rsid w:val="610572F8"/>
    <w:rsid w:val="610C12C1"/>
    <w:rsid w:val="61252266"/>
    <w:rsid w:val="613F6DBB"/>
    <w:rsid w:val="61450556"/>
    <w:rsid w:val="61500683"/>
    <w:rsid w:val="61547929"/>
    <w:rsid w:val="6162474A"/>
    <w:rsid w:val="61681C4A"/>
    <w:rsid w:val="61740AA5"/>
    <w:rsid w:val="61832102"/>
    <w:rsid w:val="61841CD2"/>
    <w:rsid w:val="619B170F"/>
    <w:rsid w:val="619E6707"/>
    <w:rsid w:val="61BF627C"/>
    <w:rsid w:val="61D03DA9"/>
    <w:rsid w:val="61E215D8"/>
    <w:rsid w:val="61E31E57"/>
    <w:rsid w:val="61E41603"/>
    <w:rsid w:val="61E803FA"/>
    <w:rsid w:val="621B3775"/>
    <w:rsid w:val="62364782"/>
    <w:rsid w:val="6238008A"/>
    <w:rsid w:val="62420926"/>
    <w:rsid w:val="624A432B"/>
    <w:rsid w:val="624A77FD"/>
    <w:rsid w:val="62992D43"/>
    <w:rsid w:val="62E374B5"/>
    <w:rsid w:val="62ED4385"/>
    <w:rsid w:val="62EF0C9B"/>
    <w:rsid w:val="62F87114"/>
    <w:rsid w:val="62FD44FC"/>
    <w:rsid w:val="630E06E5"/>
    <w:rsid w:val="6319673C"/>
    <w:rsid w:val="631B1054"/>
    <w:rsid w:val="63715118"/>
    <w:rsid w:val="638D7A7B"/>
    <w:rsid w:val="6394356A"/>
    <w:rsid w:val="63987188"/>
    <w:rsid w:val="63BA6A4B"/>
    <w:rsid w:val="63BE32B1"/>
    <w:rsid w:val="63C61B2C"/>
    <w:rsid w:val="63CD1564"/>
    <w:rsid w:val="63D40BE9"/>
    <w:rsid w:val="63E43AC7"/>
    <w:rsid w:val="63EC3051"/>
    <w:rsid w:val="63EE30FA"/>
    <w:rsid w:val="64102431"/>
    <w:rsid w:val="64215CED"/>
    <w:rsid w:val="642A59F3"/>
    <w:rsid w:val="643248A8"/>
    <w:rsid w:val="643E022A"/>
    <w:rsid w:val="644840CB"/>
    <w:rsid w:val="644E3B22"/>
    <w:rsid w:val="645A7E69"/>
    <w:rsid w:val="646C600B"/>
    <w:rsid w:val="646C6B9E"/>
    <w:rsid w:val="64A5243A"/>
    <w:rsid w:val="64C10295"/>
    <w:rsid w:val="64CE2D9A"/>
    <w:rsid w:val="64CE64BE"/>
    <w:rsid w:val="64DE6193"/>
    <w:rsid w:val="64E10284"/>
    <w:rsid w:val="64E8140A"/>
    <w:rsid w:val="64EA6F30"/>
    <w:rsid w:val="64F531DE"/>
    <w:rsid w:val="65042353"/>
    <w:rsid w:val="650C6EA7"/>
    <w:rsid w:val="65125701"/>
    <w:rsid w:val="65220722"/>
    <w:rsid w:val="65292805"/>
    <w:rsid w:val="65373578"/>
    <w:rsid w:val="65383742"/>
    <w:rsid w:val="654C6575"/>
    <w:rsid w:val="654E5711"/>
    <w:rsid w:val="657C7A68"/>
    <w:rsid w:val="658530B2"/>
    <w:rsid w:val="658C6270"/>
    <w:rsid w:val="659476FF"/>
    <w:rsid w:val="659B022A"/>
    <w:rsid w:val="65AB28C4"/>
    <w:rsid w:val="65CE4D62"/>
    <w:rsid w:val="65D24D0D"/>
    <w:rsid w:val="65D97956"/>
    <w:rsid w:val="65DD0843"/>
    <w:rsid w:val="65E120E1"/>
    <w:rsid w:val="65FA6A50"/>
    <w:rsid w:val="660216C6"/>
    <w:rsid w:val="66383CCB"/>
    <w:rsid w:val="663C7C5F"/>
    <w:rsid w:val="665946A0"/>
    <w:rsid w:val="66647FCA"/>
    <w:rsid w:val="66650478"/>
    <w:rsid w:val="66A96B42"/>
    <w:rsid w:val="66DE0619"/>
    <w:rsid w:val="66E0507C"/>
    <w:rsid w:val="66E0683D"/>
    <w:rsid w:val="66F2031E"/>
    <w:rsid w:val="66F83B86"/>
    <w:rsid w:val="66FE0B82"/>
    <w:rsid w:val="67020211"/>
    <w:rsid w:val="670A6D87"/>
    <w:rsid w:val="67185C78"/>
    <w:rsid w:val="671F124A"/>
    <w:rsid w:val="67313B0C"/>
    <w:rsid w:val="6748762C"/>
    <w:rsid w:val="67541BF9"/>
    <w:rsid w:val="67650AF0"/>
    <w:rsid w:val="67760F4F"/>
    <w:rsid w:val="677A0A3F"/>
    <w:rsid w:val="677A33C6"/>
    <w:rsid w:val="677C37FE"/>
    <w:rsid w:val="677F6056"/>
    <w:rsid w:val="67893494"/>
    <w:rsid w:val="678F531A"/>
    <w:rsid w:val="67A35B9F"/>
    <w:rsid w:val="67B92F2F"/>
    <w:rsid w:val="67DB02A6"/>
    <w:rsid w:val="67E06E3C"/>
    <w:rsid w:val="67F02AB0"/>
    <w:rsid w:val="68073D39"/>
    <w:rsid w:val="681F6961"/>
    <w:rsid w:val="682E182A"/>
    <w:rsid w:val="68345D72"/>
    <w:rsid w:val="683C7AA3"/>
    <w:rsid w:val="683D5872"/>
    <w:rsid w:val="684D7F02"/>
    <w:rsid w:val="68610A2F"/>
    <w:rsid w:val="68617509"/>
    <w:rsid w:val="687F5BE1"/>
    <w:rsid w:val="68805514"/>
    <w:rsid w:val="689337D5"/>
    <w:rsid w:val="689C7E79"/>
    <w:rsid w:val="68A32B2F"/>
    <w:rsid w:val="68AD2DBF"/>
    <w:rsid w:val="68D73C6F"/>
    <w:rsid w:val="68D971EC"/>
    <w:rsid w:val="68E048D2"/>
    <w:rsid w:val="69014E6B"/>
    <w:rsid w:val="69316E2F"/>
    <w:rsid w:val="694E2071"/>
    <w:rsid w:val="695554F1"/>
    <w:rsid w:val="6971106B"/>
    <w:rsid w:val="697119CE"/>
    <w:rsid w:val="69765236"/>
    <w:rsid w:val="69766163"/>
    <w:rsid w:val="697A3B33"/>
    <w:rsid w:val="69993537"/>
    <w:rsid w:val="699E69B3"/>
    <w:rsid w:val="69BA3375"/>
    <w:rsid w:val="69C27B05"/>
    <w:rsid w:val="69C51D1A"/>
    <w:rsid w:val="69D25E3A"/>
    <w:rsid w:val="69D44760"/>
    <w:rsid w:val="69DF4B8A"/>
    <w:rsid w:val="69DF4C02"/>
    <w:rsid w:val="69E03EEA"/>
    <w:rsid w:val="69E65647"/>
    <w:rsid w:val="69EF0678"/>
    <w:rsid w:val="69FE7330"/>
    <w:rsid w:val="6A107439"/>
    <w:rsid w:val="6A1F3F21"/>
    <w:rsid w:val="6A3D1DC1"/>
    <w:rsid w:val="6A520EC7"/>
    <w:rsid w:val="6A941B65"/>
    <w:rsid w:val="6AE76F12"/>
    <w:rsid w:val="6AF87E20"/>
    <w:rsid w:val="6AFF6306"/>
    <w:rsid w:val="6B07083C"/>
    <w:rsid w:val="6B1264C8"/>
    <w:rsid w:val="6B1B6095"/>
    <w:rsid w:val="6B212103"/>
    <w:rsid w:val="6B233758"/>
    <w:rsid w:val="6B29517A"/>
    <w:rsid w:val="6B322639"/>
    <w:rsid w:val="6B3453A9"/>
    <w:rsid w:val="6B4052CD"/>
    <w:rsid w:val="6B4C44A1"/>
    <w:rsid w:val="6B5B0B88"/>
    <w:rsid w:val="6B916AFB"/>
    <w:rsid w:val="6B9A6BC8"/>
    <w:rsid w:val="6BA829F1"/>
    <w:rsid w:val="6BB45F74"/>
    <w:rsid w:val="6BB9765C"/>
    <w:rsid w:val="6BBC27ED"/>
    <w:rsid w:val="6BBE34DA"/>
    <w:rsid w:val="6BCA63B1"/>
    <w:rsid w:val="6BF5191A"/>
    <w:rsid w:val="6C124598"/>
    <w:rsid w:val="6C152AE5"/>
    <w:rsid w:val="6C1B649A"/>
    <w:rsid w:val="6C3974DB"/>
    <w:rsid w:val="6C5F3A2C"/>
    <w:rsid w:val="6C636C38"/>
    <w:rsid w:val="6C685661"/>
    <w:rsid w:val="6C691082"/>
    <w:rsid w:val="6C712811"/>
    <w:rsid w:val="6C8D4D71"/>
    <w:rsid w:val="6C8E0AE9"/>
    <w:rsid w:val="6C99382B"/>
    <w:rsid w:val="6CB215EC"/>
    <w:rsid w:val="6CCD4BDE"/>
    <w:rsid w:val="6CCE7AE9"/>
    <w:rsid w:val="6CDA01D3"/>
    <w:rsid w:val="6CE027E4"/>
    <w:rsid w:val="6CF137C7"/>
    <w:rsid w:val="6CFA2EB1"/>
    <w:rsid w:val="6D140C1E"/>
    <w:rsid w:val="6D32072F"/>
    <w:rsid w:val="6D4B15EF"/>
    <w:rsid w:val="6D512242"/>
    <w:rsid w:val="6D593CEB"/>
    <w:rsid w:val="6D814A1F"/>
    <w:rsid w:val="6D8D1A4B"/>
    <w:rsid w:val="6D967C55"/>
    <w:rsid w:val="6DB34098"/>
    <w:rsid w:val="6DB545B6"/>
    <w:rsid w:val="6DC76061"/>
    <w:rsid w:val="6DDA4009"/>
    <w:rsid w:val="6DE02FB4"/>
    <w:rsid w:val="6DE07122"/>
    <w:rsid w:val="6DEF3174"/>
    <w:rsid w:val="6DFF4EC7"/>
    <w:rsid w:val="6E276AFF"/>
    <w:rsid w:val="6E284B4B"/>
    <w:rsid w:val="6E4753F3"/>
    <w:rsid w:val="6E514CED"/>
    <w:rsid w:val="6E5A0C83"/>
    <w:rsid w:val="6E8201DA"/>
    <w:rsid w:val="6E94395E"/>
    <w:rsid w:val="6E9E62E2"/>
    <w:rsid w:val="6EB32A89"/>
    <w:rsid w:val="6EB563D5"/>
    <w:rsid w:val="6ED92677"/>
    <w:rsid w:val="6EDE28EC"/>
    <w:rsid w:val="6EE3330D"/>
    <w:rsid w:val="6EEB6C7A"/>
    <w:rsid w:val="6F042EDE"/>
    <w:rsid w:val="6F05503D"/>
    <w:rsid w:val="6F225983"/>
    <w:rsid w:val="6F370FC4"/>
    <w:rsid w:val="6F3E739F"/>
    <w:rsid w:val="6F414FC1"/>
    <w:rsid w:val="6F56157D"/>
    <w:rsid w:val="6F5C7D3A"/>
    <w:rsid w:val="6F614293"/>
    <w:rsid w:val="6F7C07AF"/>
    <w:rsid w:val="6F7D2586"/>
    <w:rsid w:val="6F8D563E"/>
    <w:rsid w:val="6F9E5CE2"/>
    <w:rsid w:val="6FB3379D"/>
    <w:rsid w:val="6FC909A2"/>
    <w:rsid w:val="6FE040BC"/>
    <w:rsid w:val="6FFC5590"/>
    <w:rsid w:val="6FFE593C"/>
    <w:rsid w:val="70011ED6"/>
    <w:rsid w:val="700649F8"/>
    <w:rsid w:val="700E3464"/>
    <w:rsid w:val="701461F9"/>
    <w:rsid w:val="701A5BC8"/>
    <w:rsid w:val="703F68CA"/>
    <w:rsid w:val="70460B81"/>
    <w:rsid w:val="70616401"/>
    <w:rsid w:val="70651807"/>
    <w:rsid w:val="706D1DD0"/>
    <w:rsid w:val="707D7B83"/>
    <w:rsid w:val="70856B87"/>
    <w:rsid w:val="7089450F"/>
    <w:rsid w:val="708E1389"/>
    <w:rsid w:val="70AE6596"/>
    <w:rsid w:val="70B34FC2"/>
    <w:rsid w:val="70B808BA"/>
    <w:rsid w:val="70C943F9"/>
    <w:rsid w:val="70D527EE"/>
    <w:rsid w:val="70E663C6"/>
    <w:rsid w:val="71113EE5"/>
    <w:rsid w:val="711D60C7"/>
    <w:rsid w:val="71312FFC"/>
    <w:rsid w:val="71542301"/>
    <w:rsid w:val="715B5300"/>
    <w:rsid w:val="715E2FBD"/>
    <w:rsid w:val="716A6F8D"/>
    <w:rsid w:val="716B31A7"/>
    <w:rsid w:val="71802C2C"/>
    <w:rsid w:val="71823DAC"/>
    <w:rsid w:val="71826BC2"/>
    <w:rsid w:val="719C1F68"/>
    <w:rsid w:val="71A835FC"/>
    <w:rsid w:val="71B32819"/>
    <w:rsid w:val="71C35421"/>
    <w:rsid w:val="71C423AA"/>
    <w:rsid w:val="71CD5C10"/>
    <w:rsid w:val="71D27F8A"/>
    <w:rsid w:val="71E06571"/>
    <w:rsid w:val="71E84BF3"/>
    <w:rsid w:val="71F15623"/>
    <w:rsid w:val="71F649D9"/>
    <w:rsid w:val="72172A80"/>
    <w:rsid w:val="72270127"/>
    <w:rsid w:val="722C7C94"/>
    <w:rsid w:val="72553024"/>
    <w:rsid w:val="7262028B"/>
    <w:rsid w:val="726C367A"/>
    <w:rsid w:val="728715CB"/>
    <w:rsid w:val="72B22791"/>
    <w:rsid w:val="72D134DE"/>
    <w:rsid w:val="72DB11A7"/>
    <w:rsid w:val="72DF5BFA"/>
    <w:rsid w:val="72F2277F"/>
    <w:rsid w:val="72FD0776"/>
    <w:rsid w:val="73122968"/>
    <w:rsid w:val="731F5D5E"/>
    <w:rsid w:val="732301DD"/>
    <w:rsid w:val="732562DD"/>
    <w:rsid w:val="73584423"/>
    <w:rsid w:val="736E5255"/>
    <w:rsid w:val="73920EBF"/>
    <w:rsid w:val="73930A62"/>
    <w:rsid w:val="7393767A"/>
    <w:rsid w:val="73997AAD"/>
    <w:rsid w:val="73AB1CF8"/>
    <w:rsid w:val="73B52DFF"/>
    <w:rsid w:val="73BA391A"/>
    <w:rsid w:val="73C3407D"/>
    <w:rsid w:val="73C51AD5"/>
    <w:rsid w:val="73C75677"/>
    <w:rsid w:val="73D93474"/>
    <w:rsid w:val="73ED07EB"/>
    <w:rsid w:val="73F11E46"/>
    <w:rsid w:val="74024296"/>
    <w:rsid w:val="740718AD"/>
    <w:rsid w:val="740B06A5"/>
    <w:rsid w:val="740B2A1F"/>
    <w:rsid w:val="741E793C"/>
    <w:rsid w:val="742C4E6F"/>
    <w:rsid w:val="74401A5E"/>
    <w:rsid w:val="745E3944"/>
    <w:rsid w:val="74637868"/>
    <w:rsid w:val="746C77C2"/>
    <w:rsid w:val="749A44CF"/>
    <w:rsid w:val="749F1AE5"/>
    <w:rsid w:val="74E12C4E"/>
    <w:rsid w:val="750805FB"/>
    <w:rsid w:val="75425CC8"/>
    <w:rsid w:val="754A046F"/>
    <w:rsid w:val="755A2C20"/>
    <w:rsid w:val="758F4A41"/>
    <w:rsid w:val="75932D26"/>
    <w:rsid w:val="759519CF"/>
    <w:rsid w:val="75975E50"/>
    <w:rsid w:val="759D5348"/>
    <w:rsid w:val="75A03D67"/>
    <w:rsid w:val="75B84A72"/>
    <w:rsid w:val="75BB6B8A"/>
    <w:rsid w:val="75BE09E8"/>
    <w:rsid w:val="75C37A55"/>
    <w:rsid w:val="75C9435B"/>
    <w:rsid w:val="75D060BC"/>
    <w:rsid w:val="762B73A9"/>
    <w:rsid w:val="7635099D"/>
    <w:rsid w:val="76527D0E"/>
    <w:rsid w:val="76593F16"/>
    <w:rsid w:val="76594516"/>
    <w:rsid w:val="765B48C0"/>
    <w:rsid w:val="76756CDC"/>
    <w:rsid w:val="7691545E"/>
    <w:rsid w:val="769E15D7"/>
    <w:rsid w:val="769E7419"/>
    <w:rsid w:val="76A71BB0"/>
    <w:rsid w:val="76C4585B"/>
    <w:rsid w:val="76C56F88"/>
    <w:rsid w:val="76CF05CF"/>
    <w:rsid w:val="76D34710"/>
    <w:rsid w:val="76FF4EF8"/>
    <w:rsid w:val="774436A0"/>
    <w:rsid w:val="775B5FF4"/>
    <w:rsid w:val="776155EB"/>
    <w:rsid w:val="77762421"/>
    <w:rsid w:val="778B6351"/>
    <w:rsid w:val="778E63DA"/>
    <w:rsid w:val="77A77324"/>
    <w:rsid w:val="77B56B1F"/>
    <w:rsid w:val="77DE3A68"/>
    <w:rsid w:val="77E0181B"/>
    <w:rsid w:val="77E51F05"/>
    <w:rsid w:val="77FA6A59"/>
    <w:rsid w:val="77FE0805"/>
    <w:rsid w:val="780F09F4"/>
    <w:rsid w:val="781A25D3"/>
    <w:rsid w:val="782567A5"/>
    <w:rsid w:val="782F2CB2"/>
    <w:rsid w:val="783F39A1"/>
    <w:rsid w:val="78506CEC"/>
    <w:rsid w:val="7854412C"/>
    <w:rsid w:val="78564BB1"/>
    <w:rsid w:val="787E7C64"/>
    <w:rsid w:val="788F1505"/>
    <w:rsid w:val="78A213C7"/>
    <w:rsid w:val="78A22EE7"/>
    <w:rsid w:val="78A90480"/>
    <w:rsid w:val="78C4257B"/>
    <w:rsid w:val="78D81942"/>
    <w:rsid w:val="78E52782"/>
    <w:rsid w:val="7908577F"/>
    <w:rsid w:val="790C2EC6"/>
    <w:rsid w:val="793242EA"/>
    <w:rsid w:val="79366009"/>
    <w:rsid w:val="79415CE7"/>
    <w:rsid w:val="797846B3"/>
    <w:rsid w:val="798868F3"/>
    <w:rsid w:val="798960C5"/>
    <w:rsid w:val="798E2128"/>
    <w:rsid w:val="79B71741"/>
    <w:rsid w:val="79CC5EC6"/>
    <w:rsid w:val="79CD14DA"/>
    <w:rsid w:val="79D0564B"/>
    <w:rsid w:val="79DF07C5"/>
    <w:rsid w:val="79EA797E"/>
    <w:rsid w:val="7A1563A6"/>
    <w:rsid w:val="7A236D15"/>
    <w:rsid w:val="7A28501B"/>
    <w:rsid w:val="7A2F6E8A"/>
    <w:rsid w:val="7A31442E"/>
    <w:rsid w:val="7A364017"/>
    <w:rsid w:val="7A382132"/>
    <w:rsid w:val="7A403E91"/>
    <w:rsid w:val="7A446E4F"/>
    <w:rsid w:val="7A4B0019"/>
    <w:rsid w:val="7A7B1F8E"/>
    <w:rsid w:val="7A8265E1"/>
    <w:rsid w:val="7A877831"/>
    <w:rsid w:val="7A903C7E"/>
    <w:rsid w:val="7A9A2A2B"/>
    <w:rsid w:val="7A9B48F5"/>
    <w:rsid w:val="7A9D61A2"/>
    <w:rsid w:val="7AB160CE"/>
    <w:rsid w:val="7AB4796D"/>
    <w:rsid w:val="7AC027B5"/>
    <w:rsid w:val="7AD10264"/>
    <w:rsid w:val="7AE775B8"/>
    <w:rsid w:val="7AEF6BF7"/>
    <w:rsid w:val="7AFB5953"/>
    <w:rsid w:val="7B18445D"/>
    <w:rsid w:val="7B2014A6"/>
    <w:rsid w:val="7B263453"/>
    <w:rsid w:val="7B2E0BFB"/>
    <w:rsid w:val="7B3E740A"/>
    <w:rsid w:val="7B4F21A6"/>
    <w:rsid w:val="7B505CF9"/>
    <w:rsid w:val="7B540E69"/>
    <w:rsid w:val="7B686D42"/>
    <w:rsid w:val="7B703AF1"/>
    <w:rsid w:val="7B725B5E"/>
    <w:rsid w:val="7B746DAC"/>
    <w:rsid w:val="7B7D2454"/>
    <w:rsid w:val="7B841746"/>
    <w:rsid w:val="7B8A4AB6"/>
    <w:rsid w:val="7B8E6CDF"/>
    <w:rsid w:val="7B8F0147"/>
    <w:rsid w:val="7B902D77"/>
    <w:rsid w:val="7B9B0AAD"/>
    <w:rsid w:val="7B9D357A"/>
    <w:rsid w:val="7BA23C3C"/>
    <w:rsid w:val="7BA9149B"/>
    <w:rsid w:val="7BA96AFC"/>
    <w:rsid w:val="7BB056F6"/>
    <w:rsid w:val="7BBE6358"/>
    <w:rsid w:val="7BC04BF0"/>
    <w:rsid w:val="7BC938EC"/>
    <w:rsid w:val="7BCB4131"/>
    <w:rsid w:val="7BCC6F38"/>
    <w:rsid w:val="7BE73D72"/>
    <w:rsid w:val="7BF2604E"/>
    <w:rsid w:val="7C2823C0"/>
    <w:rsid w:val="7C2A3220"/>
    <w:rsid w:val="7C2A6937"/>
    <w:rsid w:val="7C3750D5"/>
    <w:rsid w:val="7C501917"/>
    <w:rsid w:val="7C564BDE"/>
    <w:rsid w:val="7C5E4EF4"/>
    <w:rsid w:val="7C6C5AC7"/>
    <w:rsid w:val="7C7909BA"/>
    <w:rsid w:val="7C907DC5"/>
    <w:rsid w:val="7C961A20"/>
    <w:rsid w:val="7CA010C3"/>
    <w:rsid w:val="7CC6544B"/>
    <w:rsid w:val="7CCF50BE"/>
    <w:rsid w:val="7CD267D0"/>
    <w:rsid w:val="7CF65937"/>
    <w:rsid w:val="7CFD7DE5"/>
    <w:rsid w:val="7D0239FF"/>
    <w:rsid w:val="7D036989"/>
    <w:rsid w:val="7D1B0177"/>
    <w:rsid w:val="7D245C22"/>
    <w:rsid w:val="7D4F457D"/>
    <w:rsid w:val="7D512CF8"/>
    <w:rsid w:val="7D5860B5"/>
    <w:rsid w:val="7D5E40CD"/>
    <w:rsid w:val="7D713CCD"/>
    <w:rsid w:val="7D796C4C"/>
    <w:rsid w:val="7D7C64A6"/>
    <w:rsid w:val="7D951CD7"/>
    <w:rsid w:val="7D9742D9"/>
    <w:rsid w:val="7DA8331F"/>
    <w:rsid w:val="7DB4744E"/>
    <w:rsid w:val="7DCD56F2"/>
    <w:rsid w:val="7DE07166"/>
    <w:rsid w:val="7E215319"/>
    <w:rsid w:val="7E3F137B"/>
    <w:rsid w:val="7E4840F8"/>
    <w:rsid w:val="7E5E4AEB"/>
    <w:rsid w:val="7E745D91"/>
    <w:rsid w:val="7E7E196D"/>
    <w:rsid w:val="7EA321D2"/>
    <w:rsid w:val="7ECF59B9"/>
    <w:rsid w:val="7ED423EB"/>
    <w:rsid w:val="7ED607F9"/>
    <w:rsid w:val="7EDE4A36"/>
    <w:rsid w:val="7EE55E26"/>
    <w:rsid w:val="7EE6338F"/>
    <w:rsid w:val="7EED5B43"/>
    <w:rsid w:val="7F001CE7"/>
    <w:rsid w:val="7F230DB9"/>
    <w:rsid w:val="7F353502"/>
    <w:rsid w:val="7F361125"/>
    <w:rsid w:val="7F590AE3"/>
    <w:rsid w:val="7F68101C"/>
    <w:rsid w:val="7F89763E"/>
    <w:rsid w:val="7F8B5E03"/>
    <w:rsid w:val="7F8C0557"/>
    <w:rsid w:val="7FA04DA2"/>
    <w:rsid w:val="7FAF2DF8"/>
    <w:rsid w:val="7FC20D7E"/>
    <w:rsid w:val="7FC51B88"/>
    <w:rsid w:val="7FCE517A"/>
    <w:rsid w:val="7FE47E50"/>
    <w:rsid w:val="7FEA6EC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type="frame" on="t" color2="#FFFFFF" focussize="0,0" recolor="t"/>
      <v:stroke color="#000000" joinstyle="miter"/>
    </o:shapedefaults>
    <o:shapelayout v:ext="edit">
      <o:idmap v:ext="edit" data="2"/>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5">
    <w:name w:val="heading 2"/>
    <w:basedOn w:val="1"/>
    <w:next w:val="1"/>
    <w:qFormat/>
    <w:uiPriority w:val="0"/>
    <w:pPr>
      <w:keepNext/>
      <w:keepLines/>
      <w:spacing w:beforeLines="0" w:afterLines="0"/>
      <w:jc w:val="center"/>
      <w:outlineLvl w:val="1"/>
    </w:pPr>
    <w:rPr>
      <w:rFonts w:hint="eastAsia" w:ascii="Times New Roman" w:hAnsi="Times New Roman" w:eastAsia="宋体"/>
      <w:b/>
      <w:sz w:val="21"/>
      <w:szCs w:val="24"/>
    </w:rPr>
  </w:style>
  <w:style w:type="paragraph" w:styleId="6">
    <w:name w:val="heading 3"/>
    <w:basedOn w:val="1"/>
    <w:next w:val="1"/>
    <w:qFormat/>
    <w:uiPriority w:val="0"/>
    <w:pPr>
      <w:keepNext/>
      <w:keepLines/>
      <w:adjustRightInd w:val="0"/>
      <w:snapToGrid w:val="0"/>
      <w:ind w:firstLine="482"/>
      <w:outlineLvl w:val="2"/>
    </w:pPr>
    <w:rPr>
      <w:b/>
      <w:bCs/>
      <w:sz w:val="32"/>
      <w:szCs w:val="32"/>
    </w:rPr>
  </w:style>
  <w:style w:type="paragraph" w:styleId="7">
    <w:name w:val="heading 4"/>
    <w:basedOn w:val="1"/>
    <w:next w:val="1"/>
    <w:qFormat/>
    <w:uiPriority w:val="0"/>
    <w:pPr>
      <w:keepNext/>
      <w:keepLines/>
      <w:tabs>
        <w:tab w:val="left" w:pos="864"/>
      </w:tabs>
      <w:ind w:firstLine="0" w:firstLineChars="0"/>
      <w:outlineLvl w:val="3"/>
    </w:pPr>
    <w:rPr>
      <w:rFonts w:ascii="宋体" w:hAnsi="宋体"/>
      <w:b/>
      <w:bCs/>
      <w:szCs w:val="28"/>
    </w:rPr>
  </w:style>
  <w:style w:type="character" w:default="1" w:styleId="28">
    <w:name w:val="Default Paragraph Font"/>
    <w:semiHidden/>
    <w:qFormat/>
    <w:uiPriority w:val="0"/>
  </w:style>
  <w:style w:type="table" w:default="1" w:styleId="2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3"/>
    <w:unhideWhenUsed/>
    <w:qFormat/>
    <w:uiPriority w:val="99"/>
    <w:pPr>
      <w:keepNext w:val="0"/>
      <w:keepLines w:val="0"/>
      <w:widowControl w:val="0"/>
      <w:suppressLineNumbers w:val="0"/>
      <w:spacing w:before="156" w:beforeLines="50" w:beforeAutospacing="0" w:after="156" w:afterLines="50" w:afterAutospacing="0" w:line="360" w:lineRule="auto"/>
      <w:ind w:left="0" w:right="0" w:firstLine="420" w:firstLineChars="200"/>
      <w:jc w:val="both"/>
    </w:pPr>
    <w:rPr>
      <w:rFonts w:hint="default" w:ascii="Times New Roman" w:hAnsi="Times New Roman" w:eastAsia="宋体" w:cs="Times New Roman"/>
      <w:kern w:val="2"/>
      <w:sz w:val="24"/>
      <w:szCs w:val="24"/>
      <w:lang w:val="en-US" w:eastAsia="zh-CN" w:bidi="ar-SA"/>
    </w:rPr>
  </w:style>
  <w:style w:type="paragraph" w:styleId="3">
    <w:name w:val="Body Text Indent"/>
    <w:basedOn w:val="1"/>
    <w:next w:val="1"/>
    <w:link w:val="37"/>
    <w:qFormat/>
    <w:uiPriority w:val="0"/>
    <w:pPr>
      <w:spacing w:after="120"/>
      <w:ind w:left="420" w:leftChars="200"/>
    </w:pPr>
    <w:rPr>
      <w:kern w:val="0"/>
      <w:sz w:val="24"/>
      <w:szCs w:val="20"/>
    </w:rPr>
  </w:style>
  <w:style w:type="paragraph" w:styleId="8">
    <w:name w:val="Normal Indent"/>
    <w:basedOn w:val="1"/>
    <w:next w:val="1"/>
    <w:qFormat/>
    <w:uiPriority w:val="0"/>
    <w:pPr>
      <w:ind w:firstLine="420"/>
    </w:pPr>
    <w:rPr>
      <w:sz w:val="21"/>
      <w:szCs w:val="24"/>
    </w:rPr>
  </w:style>
  <w:style w:type="paragraph" w:styleId="9">
    <w:name w:val="caption"/>
    <w:basedOn w:val="1"/>
    <w:next w:val="1"/>
    <w:qFormat/>
    <w:uiPriority w:val="0"/>
    <w:pPr>
      <w:adjustRightInd w:val="0"/>
      <w:snapToGrid w:val="0"/>
      <w:spacing w:afterLines="0"/>
      <w:ind w:firstLine="0" w:firstLineChars="0"/>
      <w:jc w:val="center"/>
    </w:pPr>
    <w:rPr>
      <w:rFonts w:ascii="宋体" w:hAnsi="宋体" w:eastAsia="宋体"/>
      <w:b/>
      <w:kern w:val="0"/>
      <w:szCs w:val="20"/>
    </w:rPr>
  </w:style>
  <w:style w:type="paragraph" w:styleId="10">
    <w:name w:val="Document Map"/>
    <w:basedOn w:val="1"/>
    <w:link w:val="34"/>
    <w:qFormat/>
    <w:uiPriority w:val="0"/>
    <w:rPr>
      <w:rFonts w:ascii="宋体"/>
      <w:sz w:val="18"/>
      <w:szCs w:val="18"/>
    </w:rPr>
  </w:style>
  <w:style w:type="paragraph" w:styleId="11">
    <w:name w:val="annotation text"/>
    <w:basedOn w:val="1"/>
    <w:link w:val="35"/>
    <w:semiHidden/>
    <w:qFormat/>
    <w:uiPriority w:val="0"/>
    <w:pPr>
      <w:jc w:val="left"/>
    </w:pPr>
    <w:rPr>
      <w:kern w:val="0"/>
      <w:sz w:val="24"/>
      <w:szCs w:val="20"/>
    </w:rPr>
  </w:style>
  <w:style w:type="paragraph" w:styleId="12">
    <w:name w:val="Body Text"/>
    <w:basedOn w:val="1"/>
    <w:next w:val="13"/>
    <w:link w:val="36"/>
    <w:qFormat/>
    <w:uiPriority w:val="0"/>
    <w:pPr>
      <w:widowControl/>
      <w:snapToGrid w:val="0"/>
      <w:spacing w:before="60" w:after="160" w:line="259" w:lineRule="auto"/>
      <w:ind w:right="113"/>
    </w:pPr>
    <w:rPr>
      <w:kern w:val="0"/>
      <w:sz w:val="18"/>
      <w:szCs w:val="20"/>
    </w:rPr>
  </w:style>
  <w:style w:type="paragraph" w:styleId="13">
    <w:name w:val="Body Text 2"/>
    <w:basedOn w:val="1"/>
    <w:qFormat/>
    <w:uiPriority w:val="0"/>
    <w:pPr>
      <w:spacing w:after="120" w:line="480" w:lineRule="auto"/>
    </w:pPr>
  </w:style>
  <w:style w:type="paragraph" w:styleId="14">
    <w:name w:val="Date"/>
    <w:basedOn w:val="1"/>
    <w:next w:val="1"/>
    <w:link w:val="38"/>
    <w:qFormat/>
    <w:uiPriority w:val="0"/>
    <w:pPr>
      <w:ind w:left="100" w:leftChars="2500"/>
    </w:pPr>
    <w:rPr>
      <w:kern w:val="0"/>
      <w:sz w:val="24"/>
      <w:szCs w:val="20"/>
    </w:rPr>
  </w:style>
  <w:style w:type="paragraph" w:styleId="15">
    <w:name w:val="Body Text Indent 2"/>
    <w:basedOn w:val="1"/>
    <w:next w:val="16"/>
    <w:qFormat/>
    <w:uiPriority w:val="0"/>
    <w:pPr>
      <w:spacing w:after="120" w:afterLines="0" w:line="480" w:lineRule="auto"/>
      <w:ind w:left="420" w:leftChars="200"/>
    </w:pPr>
  </w:style>
  <w:style w:type="paragraph" w:customStyle="1" w:styleId="16">
    <w:name w:val="表格文字"/>
    <w:basedOn w:val="12"/>
    <w:next w:val="1"/>
    <w:qFormat/>
    <w:uiPriority w:val="0"/>
    <w:pPr>
      <w:overflowPunct w:val="0"/>
      <w:topLinePunct/>
      <w:autoSpaceDE w:val="0"/>
      <w:autoSpaceDN w:val="0"/>
      <w:adjustRightInd w:val="0"/>
      <w:snapToGrid w:val="0"/>
      <w:spacing w:line="360" w:lineRule="exact"/>
      <w:jc w:val="center"/>
      <w:textAlignment w:val="baseline"/>
    </w:pPr>
    <w:rPr>
      <w:rFonts w:ascii="Times New Roman"/>
      <w:spacing w:val="6"/>
      <w:kern w:val="0"/>
      <w:sz w:val="21"/>
      <w:szCs w:val="20"/>
    </w:rPr>
  </w:style>
  <w:style w:type="paragraph" w:styleId="17">
    <w:name w:val="Balloon Text"/>
    <w:basedOn w:val="1"/>
    <w:link w:val="39"/>
    <w:semiHidden/>
    <w:qFormat/>
    <w:uiPriority w:val="0"/>
    <w:rPr>
      <w:kern w:val="0"/>
      <w:sz w:val="18"/>
      <w:szCs w:val="20"/>
    </w:rPr>
  </w:style>
  <w:style w:type="paragraph" w:styleId="18">
    <w:name w:val="footer"/>
    <w:basedOn w:val="1"/>
    <w:link w:val="40"/>
    <w:qFormat/>
    <w:uiPriority w:val="99"/>
    <w:pPr>
      <w:tabs>
        <w:tab w:val="center" w:pos="4153"/>
        <w:tab w:val="right" w:pos="8306"/>
      </w:tabs>
      <w:snapToGrid w:val="0"/>
      <w:jc w:val="left"/>
    </w:pPr>
    <w:rPr>
      <w:kern w:val="0"/>
      <w:sz w:val="18"/>
      <w:szCs w:val="20"/>
    </w:rPr>
  </w:style>
  <w:style w:type="paragraph" w:styleId="19">
    <w:name w:val="header"/>
    <w:basedOn w:val="1"/>
    <w:next w:val="1"/>
    <w:link w:val="41"/>
    <w:qFormat/>
    <w:uiPriority w:val="0"/>
    <w:pPr>
      <w:pBdr>
        <w:bottom w:val="single" w:color="auto" w:sz="6" w:space="1"/>
      </w:pBdr>
      <w:tabs>
        <w:tab w:val="center" w:pos="4153"/>
        <w:tab w:val="right" w:pos="8306"/>
      </w:tabs>
      <w:snapToGrid w:val="0"/>
      <w:jc w:val="center"/>
    </w:pPr>
    <w:rPr>
      <w:kern w:val="0"/>
      <w:sz w:val="18"/>
      <w:szCs w:val="20"/>
    </w:rPr>
  </w:style>
  <w:style w:type="paragraph" w:styleId="20">
    <w:name w:val="toc 1"/>
    <w:basedOn w:val="1"/>
    <w:next w:val="1"/>
    <w:qFormat/>
    <w:uiPriority w:val="39"/>
    <w:pPr>
      <w:tabs>
        <w:tab w:val="right" w:leader="dot" w:pos="8844"/>
      </w:tabs>
      <w:spacing w:before="100" w:after="200" w:line="240" w:lineRule="auto"/>
      <w:ind w:left="105" w:leftChars="50" w:firstLine="0" w:firstLineChars="0"/>
      <w:jc w:val="left"/>
    </w:pPr>
    <w:rPr>
      <w:rFonts w:ascii="Times New Roman" w:hAnsi="Times New Roman" w:eastAsia="仿宋"/>
      <w:bCs/>
      <w:caps/>
      <w:sz w:val="24"/>
      <w:szCs w:val="28"/>
    </w:rPr>
  </w:style>
  <w:style w:type="paragraph" w:styleId="21">
    <w:name w:val="List"/>
    <w:basedOn w:val="1"/>
    <w:next w:val="1"/>
    <w:qFormat/>
    <w:uiPriority w:val="0"/>
    <w:pPr>
      <w:ind w:left="200" w:hanging="200" w:hangingChars="200"/>
    </w:pPr>
  </w:style>
  <w:style w:type="paragraph" w:styleId="22">
    <w:name w:val="toc 2"/>
    <w:basedOn w:val="1"/>
    <w:next w:val="1"/>
    <w:semiHidden/>
    <w:qFormat/>
    <w:uiPriority w:val="0"/>
    <w:pPr>
      <w:ind w:left="420" w:leftChars="200"/>
    </w:pPr>
  </w:style>
  <w:style w:type="paragraph" w:styleId="23">
    <w:name w:val="Normal (Web)"/>
    <w:basedOn w:val="1"/>
    <w:next w:val="1"/>
    <w:link w:val="42"/>
    <w:qFormat/>
    <w:uiPriority w:val="99"/>
    <w:pPr>
      <w:widowControl/>
      <w:spacing w:before="100" w:beforeAutospacing="1" w:after="100" w:afterAutospacing="1"/>
      <w:jc w:val="left"/>
    </w:pPr>
    <w:rPr>
      <w:rFonts w:ascii="宋体" w:hAnsi="宋体"/>
      <w:kern w:val="0"/>
      <w:sz w:val="24"/>
      <w:szCs w:val="20"/>
    </w:rPr>
  </w:style>
  <w:style w:type="paragraph" w:styleId="24">
    <w:name w:val="annotation subject"/>
    <w:basedOn w:val="11"/>
    <w:next w:val="11"/>
    <w:link w:val="43"/>
    <w:semiHidden/>
    <w:qFormat/>
    <w:uiPriority w:val="0"/>
    <w:rPr>
      <w:b/>
      <w:sz w:val="24"/>
      <w:szCs w:val="20"/>
    </w:rPr>
  </w:style>
  <w:style w:type="paragraph" w:styleId="25">
    <w:name w:val="Body Text First Indent"/>
    <w:basedOn w:val="12"/>
    <w:qFormat/>
    <w:uiPriority w:val="0"/>
    <w:pPr>
      <w:ind w:firstLine="420" w:firstLineChars="100"/>
    </w:pPr>
    <w:rPr>
      <w:rFonts w:ascii="宋体" w:hAnsi="宋体"/>
    </w:rPr>
  </w:style>
  <w:style w:type="table" w:styleId="27">
    <w:name w:val="Table Grid"/>
    <w:basedOn w:val="26"/>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0"/>
    <w:rPr>
      <w:b/>
    </w:rPr>
  </w:style>
  <w:style w:type="character" w:styleId="30">
    <w:name w:val="page number"/>
    <w:qFormat/>
    <w:uiPriority w:val="0"/>
  </w:style>
  <w:style w:type="character" w:styleId="31">
    <w:name w:val="Hyperlink"/>
    <w:qFormat/>
    <w:uiPriority w:val="0"/>
    <w:rPr>
      <w:color w:val="0000FF"/>
      <w:u w:val="single"/>
    </w:rPr>
  </w:style>
  <w:style w:type="character" w:styleId="32">
    <w:name w:val="annotation reference"/>
    <w:semiHidden/>
    <w:qFormat/>
    <w:uiPriority w:val="0"/>
    <w:rPr>
      <w:sz w:val="21"/>
    </w:rPr>
  </w:style>
  <w:style w:type="paragraph" w:customStyle="1" w:styleId="33">
    <w:name w:val="表格内"/>
    <w:basedOn w:val="1"/>
    <w:qFormat/>
    <w:uiPriority w:val="0"/>
    <w:pPr>
      <w:adjustRightInd w:val="0"/>
      <w:snapToGrid w:val="0"/>
      <w:spacing w:line="360" w:lineRule="exact"/>
      <w:jc w:val="center"/>
    </w:pPr>
    <w:rPr>
      <w:rFonts w:eastAsia="Times New Roman"/>
      <w:snapToGrid w:val="0"/>
      <w:kern w:val="0"/>
      <w:sz w:val="21"/>
      <w:szCs w:val="21"/>
      <w:lang w:val="zh-CN" w:eastAsia="zh-CN"/>
    </w:rPr>
  </w:style>
  <w:style w:type="character" w:customStyle="1" w:styleId="34">
    <w:name w:val="文档结构图 字符"/>
    <w:link w:val="10"/>
    <w:qFormat/>
    <w:uiPriority w:val="0"/>
    <w:rPr>
      <w:rFonts w:ascii="宋体"/>
      <w:kern w:val="2"/>
      <w:sz w:val="18"/>
      <w:szCs w:val="18"/>
    </w:rPr>
  </w:style>
  <w:style w:type="character" w:customStyle="1" w:styleId="35">
    <w:name w:val="批注文字 字符"/>
    <w:link w:val="11"/>
    <w:qFormat/>
    <w:uiPriority w:val="0"/>
    <w:rPr>
      <w:rFonts w:ascii="Times New Roman" w:hAnsi="Times New Roman" w:eastAsia="宋体"/>
      <w:sz w:val="24"/>
    </w:rPr>
  </w:style>
  <w:style w:type="character" w:customStyle="1" w:styleId="36">
    <w:name w:val="正文文本 字符"/>
    <w:link w:val="12"/>
    <w:qFormat/>
    <w:uiPriority w:val="0"/>
    <w:rPr>
      <w:sz w:val="18"/>
    </w:rPr>
  </w:style>
  <w:style w:type="character" w:customStyle="1" w:styleId="37">
    <w:name w:val="正文文本缩进 字符"/>
    <w:link w:val="3"/>
    <w:semiHidden/>
    <w:qFormat/>
    <w:uiPriority w:val="0"/>
    <w:rPr>
      <w:rFonts w:ascii="Times New Roman" w:hAnsi="Times New Roman" w:eastAsia="宋体"/>
      <w:sz w:val="24"/>
    </w:rPr>
  </w:style>
  <w:style w:type="character" w:customStyle="1" w:styleId="38">
    <w:name w:val="日期 字符1"/>
    <w:link w:val="14"/>
    <w:qFormat/>
    <w:uiPriority w:val="0"/>
    <w:rPr>
      <w:rFonts w:ascii="Times New Roman" w:hAnsi="Times New Roman" w:eastAsia="宋体"/>
      <w:sz w:val="24"/>
    </w:rPr>
  </w:style>
  <w:style w:type="character" w:customStyle="1" w:styleId="39">
    <w:name w:val="批注框文本 字符"/>
    <w:link w:val="17"/>
    <w:semiHidden/>
    <w:qFormat/>
    <w:uiPriority w:val="0"/>
    <w:rPr>
      <w:rFonts w:ascii="Times New Roman" w:hAnsi="Times New Roman" w:eastAsia="宋体"/>
      <w:sz w:val="18"/>
    </w:rPr>
  </w:style>
  <w:style w:type="character" w:customStyle="1" w:styleId="40">
    <w:name w:val="页脚 字符1"/>
    <w:link w:val="18"/>
    <w:qFormat/>
    <w:uiPriority w:val="99"/>
    <w:rPr>
      <w:sz w:val="18"/>
    </w:rPr>
  </w:style>
  <w:style w:type="character" w:customStyle="1" w:styleId="41">
    <w:name w:val="页眉 字符"/>
    <w:link w:val="19"/>
    <w:qFormat/>
    <w:uiPriority w:val="0"/>
    <w:rPr>
      <w:sz w:val="18"/>
    </w:rPr>
  </w:style>
  <w:style w:type="character" w:customStyle="1" w:styleId="42">
    <w:name w:val="普通(网站) 字符"/>
    <w:link w:val="23"/>
    <w:qFormat/>
    <w:uiPriority w:val="0"/>
    <w:rPr>
      <w:rFonts w:ascii="宋体" w:hAnsi="宋体" w:eastAsia="宋体"/>
      <w:sz w:val="24"/>
    </w:rPr>
  </w:style>
  <w:style w:type="character" w:customStyle="1" w:styleId="43">
    <w:name w:val="批注主题 字符"/>
    <w:link w:val="24"/>
    <w:semiHidden/>
    <w:qFormat/>
    <w:uiPriority w:val="0"/>
    <w:rPr>
      <w:rFonts w:ascii="Times New Roman" w:hAnsi="Times New Roman" w:eastAsia="宋体"/>
      <w:b/>
      <w:kern w:val="2"/>
      <w:sz w:val="24"/>
    </w:rPr>
  </w:style>
  <w:style w:type="paragraph" w:customStyle="1" w:styleId="44">
    <w:name w:val="Default"/>
    <w:basedOn w:val="45"/>
    <w:next w:val="1"/>
    <w:qFormat/>
    <w:uiPriority w:val="0"/>
    <w:pPr>
      <w:widowControl w:val="0"/>
      <w:tabs>
        <w:tab w:val="left" w:pos="1845"/>
      </w:tabs>
      <w:autoSpaceDE w:val="0"/>
      <w:autoSpaceDN w:val="0"/>
      <w:adjustRightInd w:val="0"/>
    </w:pPr>
    <w:rPr>
      <w:color w:val="000000"/>
      <w:sz w:val="24"/>
      <w:szCs w:val="24"/>
      <w:lang w:val="en-US" w:eastAsia="zh-CN" w:bidi="ar-SA"/>
    </w:rPr>
  </w:style>
  <w:style w:type="paragraph" w:customStyle="1" w:styleId="45">
    <w:name w:val="纯文本1"/>
    <w:qFormat/>
    <w:uiPriority w:val="0"/>
    <w:pPr>
      <w:widowControl w:val="0"/>
      <w:tabs>
        <w:tab w:val="left" w:pos="1845"/>
      </w:tabs>
      <w:spacing w:line="240" w:lineRule="exact"/>
      <w:jc w:val="center"/>
    </w:pPr>
    <w:rPr>
      <w:rFonts w:ascii="Calibri" w:hAnsi="Calibri" w:eastAsia="宋体" w:cs="Times New Roman"/>
      <w:kern w:val="2"/>
      <w:sz w:val="18"/>
      <w:szCs w:val="24"/>
      <w:lang w:val="en-US" w:eastAsia="zh-CN" w:bidi="ar-SA"/>
    </w:rPr>
  </w:style>
  <w:style w:type="paragraph" w:customStyle="1" w:styleId="46">
    <w:name w:val="样式 正文文本 + 首行缩进:  2 字符"/>
    <w:qFormat/>
    <w:uiPriority w:val="99"/>
    <w:pPr>
      <w:spacing w:after="200" w:line="480" w:lineRule="exact"/>
      <w:ind w:firstLine="480" w:firstLineChars="200"/>
      <w:jc w:val="center"/>
    </w:pPr>
    <w:rPr>
      <w:rFonts w:ascii="宋体" w:hAnsi="宋体" w:eastAsia="Calibri" w:cs="Times New Roman"/>
      <w:sz w:val="24"/>
      <w:szCs w:val="22"/>
      <w:lang w:val="en-US" w:eastAsia="zh-CN" w:bidi="ar-SA"/>
    </w:rPr>
  </w:style>
  <w:style w:type="paragraph" w:customStyle="1" w:styleId="47">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48">
    <w:name w:val="表格"/>
    <w:basedOn w:val="1"/>
    <w:next w:val="1"/>
    <w:link w:val="49"/>
    <w:qFormat/>
    <w:uiPriority w:val="0"/>
    <w:pPr>
      <w:adjustRightInd w:val="0"/>
      <w:snapToGrid w:val="0"/>
      <w:spacing w:beforeLines="10" w:afterLines="10" w:line="259" w:lineRule="auto"/>
      <w:jc w:val="center"/>
    </w:pPr>
    <w:rPr>
      <w:rFonts w:ascii="宋体"/>
      <w:kern w:val="0"/>
      <w:szCs w:val="20"/>
    </w:rPr>
  </w:style>
  <w:style w:type="character" w:customStyle="1" w:styleId="49">
    <w:name w:val="表格 Char"/>
    <w:link w:val="48"/>
    <w:qFormat/>
    <w:uiPriority w:val="0"/>
    <w:rPr>
      <w:rFonts w:ascii="宋体"/>
      <w:sz w:val="21"/>
    </w:rPr>
  </w:style>
  <w:style w:type="paragraph" w:customStyle="1" w:styleId="50">
    <w:name w:val="表"/>
    <w:basedOn w:val="21"/>
    <w:qFormat/>
    <w:uiPriority w:val="0"/>
    <w:pPr>
      <w:keepNext/>
      <w:keepLines/>
      <w:spacing w:line="240" w:lineRule="auto"/>
      <w:ind w:left="0" w:firstLine="0" w:firstLineChars="0"/>
      <w:jc w:val="center"/>
    </w:pPr>
    <w:rPr>
      <w:rFonts w:ascii="Times New Roman" w:hAnsi="Times New Roman" w:eastAsia="宋体"/>
      <w:kern w:val="0"/>
      <w:sz w:val="21"/>
      <w:szCs w:val="21"/>
    </w:rPr>
  </w:style>
  <w:style w:type="paragraph" w:customStyle="1" w:styleId="51">
    <w:name w:val="表头1"/>
    <w:basedOn w:val="1"/>
    <w:qFormat/>
    <w:uiPriority w:val="0"/>
    <w:pPr>
      <w:ind w:firstLine="0" w:firstLineChars="0"/>
      <w:jc w:val="center"/>
    </w:pPr>
    <w:rPr>
      <w:b/>
      <w:sz w:val="21"/>
      <w:szCs w:val="24"/>
    </w:rPr>
  </w:style>
  <w:style w:type="paragraph" w:customStyle="1" w:styleId="52">
    <w:name w:val="1 表头"/>
    <w:basedOn w:val="1"/>
    <w:qFormat/>
    <w:uiPriority w:val="0"/>
    <w:pPr>
      <w:adjustRightInd w:val="0"/>
      <w:snapToGrid w:val="0"/>
      <w:jc w:val="center"/>
    </w:pPr>
    <w:rPr>
      <w:b/>
      <w:color w:val="000000"/>
      <w:szCs w:val="21"/>
    </w:rPr>
  </w:style>
  <w:style w:type="character" w:customStyle="1" w:styleId="53">
    <w:name w:val="页脚 字符"/>
    <w:qFormat/>
    <w:uiPriority w:val="99"/>
  </w:style>
  <w:style w:type="character" w:customStyle="1" w:styleId="54">
    <w:name w:val="font21"/>
    <w:qFormat/>
    <w:uiPriority w:val="0"/>
    <w:rPr>
      <w:rFonts w:hint="default" w:ascii="Times New Roman" w:hAnsi="Times New Roman" w:cs="Times New Roman"/>
      <w:color w:val="000000"/>
      <w:sz w:val="21"/>
      <w:szCs w:val="21"/>
      <w:u w:val="none"/>
    </w:rPr>
  </w:style>
  <w:style w:type="character" w:customStyle="1" w:styleId="55">
    <w:name w:val="批注文字 字符1"/>
    <w:semiHidden/>
    <w:qFormat/>
    <w:uiPriority w:val="0"/>
    <w:rPr>
      <w:rFonts w:ascii="Times New Roman" w:hAnsi="Times New Roman" w:eastAsia="宋体"/>
      <w:sz w:val="24"/>
    </w:rPr>
  </w:style>
  <w:style w:type="character" w:customStyle="1" w:styleId="56">
    <w:name w:val="日期 字符"/>
    <w:semiHidden/>
    <w:qFormat/>
    <w:uiPriority w:val="0"/>
    <w:rPr>
      <w:rFonts w:ascii="Times New Roman" w:hAnsi="Times New Roman" w:eastAsia="宋体"/>
      <w:sz w:val="24"/>
    </w:rPr>
  </w:style>
  <w:style w:type="character" w:customStyle="1" w:styleId="57">
    <w:name w:val="font11"/>
    <w:qFormat/>
    <w:uiPriority w:val="0"/>
    <w:rPr>
      <w:rFonts w:hint="eastAsia" w:ascii="宋体" w:hAnsi="宋体" w:eastAsia="宋体" w:cs="宋体"/>
      <w:color w:val="000000"/>
      <w:sz w:val="21"/>
      <w:szCs w:val="21"/>
      <w:u w:val="none"/>
    </w:rPr>
  </w:style>
  <w:style w:type="character" w:customStyle="1" w:styleId="58">
    <w:name w:val="正文文本 字符1"/>
    <w:semiHidden/>
    <w:qFormat/>
    <w:uiPriority w:val="0"/>
    <w:rPr>
      <w:rFonts w:ascii="Times New Roman" w:hAnsi="Times New Roman" w:eastAsia="宋体"/>
      <w:sz w:val="24"/>
    </w:rPr>
  </w:style>
  <w:style w:type="character" w:customStyle="1" w:styleId="59">
    <w:name w:val="font31"/>
    <w:qFormat/>
    <w:uiPriority w:val="0"/>
    <w:rPr>
      <w:rFonts w:hint="default" w:ascii="Times New Roman" w:hAnsi="Times New Roman" w:cs="Times New Roman"/>
      <w:color w:val="000000"/>
      <w:sz w:val="21"/>
      <w:szCs w:val="21"/>
      <w:u w:val="none"/>
      <w:vertAlign w:val="subscript"/>
    </w:rPr>
  </w:style>
  <w:style w:type="paragraph" w:customStyle="1" w:styleId="60">
    <w:name w:val="Table Paragraph"/>
    <w:basedOn w:val="1"/>
    <w:qFormat/>
    <w:uiPriority w:val="1"/>
    <w:pPr>
      <w:spacing w:line="240" w:lineRule="auto"/>
      <w:ind w:firstLine="0" w:firstLineChars="0"/>
      <w:jc w:val="left"/>
    </w:pPr>
    <w:rPr>
      <w:rFonts w:ascii="Calibri" w:hAnsi="Calibri" w:eastAsia="宋体" w:cs="Times New Roman"/>
      <w:kern w:val="0"/>
      <w:sz w:val="22"/>
      <w:szCs w:val="22"/>
      <w:lang w:eastAsia="en-US"/>
    </w:rPr>
  </w:style>
  <w:style w:type="paragraph" w:customStyle="1" w:styleId="61">
    <w:name w:val="亳州样式 正文"/>
    <w:basedOn w:val="8"/>
    <w:qFormat/>
    <w:uiPriority w:val="0"/>
    <w:pPr>
      <w:spacing w:line="360" w:lineRule="auto"/>
      <w:ind w:firstLine="425" w:firstLineChars="177"/>
    </w:pPr>
    <w:rPr>
      <w:rFonts w:cs="宋体"/>
      <w:kern w:val="0"/>
      <w:szCs w:val="24"/>
    </w:rPr>
  </w:style>
  <w:style w:type="paragraph" w:customStyle="1" w:styleId="62">
    <w:name w:val="正文内容"/>
    <w:basedOn w:val="1"/>
    <w:qFormat/>
    <w:uiPriority w:val="0"/>
    <w:pPr>
      <w:widowControl w:val="0"/>
      <w:spacing w:line="360" w:lineRule="auto"/>
      <w:ind w:firstLine="200" w:firstLineChars="200"/>
      <w:jc w:val="both"/>
    </w:pPr>
    <w:rPr>
      <w:rFonts w:ascii="宋体"/>
      <w:sz w:val="24"/>
      <w:szCs w:val="20"/>
    </w:rPr>
  </w:style>
  <w:style w:type="paragraph" w:customStyle="1" w:styleId="63">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64">
    <w:name w:val="样式 正文缩进 + 宋体 行距: 固定值 22 磅"/>
    <w:basedOn w:val="8"/>
    <w:qFormat/>
    <w:uiPriority w:val="0"/>
    <w:pPr>
      <w:spacing w:line="460" w:lineRule="exact"/>
      <w:ind w:firstLine="0" w:firstLineChars="0"/>
    </w:pPr>
    <w:rPr>
      <w:rFonts w:ascii="Arial Unicode MS" w:hAnsi="Arial Unicode MS" w:cs="宋体"/>
      <w:szCs w:val="20"/>
    </w:rPr>
  </w:style>
  <w:style w:type="paragraph" w:customStyle="1" w:styleId="65">
    <w:name w:val="正文新"/>
    <w:basedOn w:val="1"/>
    <w:qFormat/>
    <w:uiPriority w:val="0"/>
    <w:pPr>
      <w:spacing w:line="348" w:lineRule="auto"/>
      <w:ind w:firstLine="200"/>
    </w:pPr>
    <w:rPr>
      <w:color w:val="000000"/>
    </w:rPr>
  </w:style>
  <w:style w:type="paragraph" w:customStyle="1" w:styleId="66">
    <w:name w:val="表格标题"/>
    <w:basedOn w:val="12"/>
    <w:next w:val="12"/>
    <w:qFormat/>
    <w:uiPriority w:val="0"/>
    <w:pPr>
      <w:adjustRightInd w:val="0"/>
      <w:spacing w:line="240" w:lineRule="auto"/>
      <w:ind w:right="0" w:firstLine="0"/>
      <w:jc w:val="center"/>
    </w:pPr>
    <w:rPr>
      <w:rFonts w:ascii="Times New Roman" w:hAnsi="Times New Roman" w:eastAsia="宋体"/>
      <w:b/>
      <w:kern w:val="40"/>
      <w:sz w:val="21"/>
      <w:szCs w:val="30"/>
    </w:rPr>
  </w:style>
  <w:style w:type="paragraph" w:customStyle="1" w:styleId="67">
    <w:name w:val="0表格文字"/>
    <w:basedOn w:val="1"/>
    <w:next w:val="1"/>
    <w:qFormat/>
    <w:uiPriority w:val="0"/>
    <w:pPr>
      <w:tabs>
        <w:tab w:val="left" w:pos="2340"/>
      </w:tabs>
      <w:snapToGrid w:val="0"/>
      <w:jc w:val="center"/>
    </w:pPr>
    <w:rPr>
      <w:rFonts w:ascii="宋体" w:hAnsi="Times New Roman"/>
      <w:b/>
      <w:bCs/>
      <w:snapToGrid w:val="0"/>
      <w:szCs w:val="18"/>
    </w:rPr>
  </w:style>
  <w:style w:type="paragraph" w:customStyle="1" w:styleId="68">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9">
    <w:name w:val="A-z正文"/>
    <w:basedOn w:val="1"/>
    <w:qFormat/>
    <w:uiPriority w:val="0"/>
    <w:pPr>
      <w:spacing w:line="360" w:lineRule="auto"/>
      <w:ind w:firstLine="200" w:firstLineChars="200"/>
    </w:pPr>
  </w:style>
  <w:style w:type="paragraph" w:customStyle="1" w:styleId="70">
    <w:name w:val="[Normal]"/>
    <w:qFormat/>
    <w:uiPriority w:val="0"/>
    <w:rPr>
      <w:rFonts w:ascii="宋体" w:hAnsi="宋体" w:eastAsia="宋体" w:cs="Times New Roman"/>
      <w:sz w:val="24"/>
      <w:szCs w:val="22"/>
      <w:lang w:val="zh-CN" w:eastAsia="zh-CN" w:bidi="ar-SA"/>
    </w:rPr>
  </w:style>
  <w:style w:type="paragraph" w:customStyle="1" w:styleId="71">
    <w:name w:val="表格题目新"/>
    <w:basedOn w:val="1"/>
    <w:next w:val="72"/>
    <w:qFormat/>
    <w:uiPriority w:val="0"/>
    <w:pPr>
      <w:autoSpaceDE w:val="0"/>
      <w:autoSpaceDN w:val="0"/>
      <w:spacing w:line="240" w:lineRule="auto"/>
      <w:ind w:firstLine="0" w:firstLineChars="0"/>
      <w:jc w:val="center"/>
    </w:pPr>
    <w:rPr>
      <w:rFonts w:cs="宋体"/>
      <w:b/>
      <w:sz w:val="18"/>
    </w:rPr>
  </w:style>
  <w:style w:type="paragraph" w:customStyle="1" w:styleId="72">
    <w:name w:val="A-表格文字"/>
    <w:basedOn w:val="1"/>
    <w:qFormat/>
    <w:uiPriority w:val="0"/>
    <w:pPr>
      <w:autoSpaceDE w:val="0"/>
      <w:autoSpaceDN w:val="0"/>
      <w:adjustRightInd w:val="0"/>
      <w:snapToGrid w:val="0"/>
      <w:spacing w:line="240" w:lineRule="auto"/>
      <w:ind w:firstLine="0" w:firstLineChars="0"/>
      <w:jc w:val="center"/>
      <w:textAlignment w:val="center"/>
    </w:pPr>
    <w:rPr>
      <w:kern w:val="0"/>
      <w:sz w:val="18"/>
      <w:szCs w:val="21"/>
    </w:rPr>
  </w:style>
  <w:style w:type="paragraph" w:customStyle="1" w:styleId="73">
    <w:name w:val="正文01"/>
    <w:basedOn w:val="1"/>
    <w:qFormat/>
    <w:uiPriority w:val="0"/>
    <w:pPr>
      <w:adjustRightInd w:val="0"/>
      <w:spacing w:line="360" w:lineRule="auto"/>
      <w:ind w:firstLine="527"/>
      <w:textAlignment w:val="baseline"/>
    </w:pPr>
    <w:rPr>
      <w:color w:val="000000"/>
      <w:sz w:val="24"/>
      <w:szCs w:val="20"/>
    </w:rPr>
  </w:style>
  <w:style w:type="paragraph" w:customStyle="1" w:styleId="74">
    <w:name w:val="表头-ly"/>
    <w:basedOn w:val="23"/>
    <w:qFormat/>
    <w:uiPriority w:val="0"/>
    <w:pPr>
      <w:widowControl w:val="0"/>
      <w:autoSpaceDE w:val="0"/>
      <w:spacing w:before="0" w:beforeAutospacing="0" w:after="0" w:afterAutospacing="0"/>
      <w:jc w:val="center"/>
    </w:pPr>
    <w:rPr>
      <w:rFonts w:ascii="黑体" w:hAnsi="黑体" w:eastAsia="黑体"/>
      <w:bCs/>
      <w:kern w:val="2"/>
      <w:sz w:val="21"/>
      <w:szCs w:val="24"/>
    </w:rPr>
  </w:style>
  <w:style w:type="paragraph" w:customStyle="1" w:styleId="75">
    <w:name w:val="Date1"/>
    <w:basedOn w:val="1"/>
    <w:next w:val="1"/>
    <w:qFormat/>
    <w:uiPriority w:val="0"/>
    <w:pPr>
      <w:adjustRightInd w:val="0"/>
      <w:jc w:val="left"/>
      <w:textAlignment w:val="baseline"/>
    </w:pPr>
    <w:rPr>
      <w:rFonts w:ascii="宋体" w:hAnsi="宋体"/>
      <w:sz w:val="28"/>
      <w:szCs w:val="20"/>
    </w:rPr>
  </w:style>
  <w:style w:type="paragraph" w:customStyle="1" w:styleId="76">
    <w:name w:val="li_正文"/>
    <w:basedOn w:val="1"/>
    <w:unhideWhenUsed/>
    <w:qFormat/>
    <w:uiPriority w:val="0"/>
    <w:pPr>
      <w:topLinePunct/>
      <w:snapToGrid w:val="0"/>
      <w:ind w:firstLine="700" w:firstLineChars="250"/>
    </w:pPr>
    <w:rPr>
      <w:rFonts w:hint="eastAsia"/>
    </w:rPr>
  </w:style>
  <w:style w:type="paragraph" w:customStyle="1" w:styleId="77">
    <w:name w:val="样式 首行缩进:  2 字符1"/>
    <w:basedOn w:val="1"/>
    <w:qFormat/>
    <w:uiPriority w:val="0"/>
    <w:pPr>
      <w:adjustRightInd w:val="0"/>
      <w:snapToGrid w:val="0"/>
      <w:spacing w:line="360" w:lineRule="auto"/>
      <w:ind w:firstLine="480" w:firstLineChars="200"/>
    </w:pPr>
    <w:rPr>
      <w:rFonts w:cs="宋体"/>
      <w:sz w:val="24"/>
      <w:lang w:val="en-US" w:eastAsia="zh-CN"/>
    </w:rPr>
  </w:style>
  <w:style w:type="paragraph" w:customStyle="1" w:styleId="78">
    <w:name w:val="0正文"/>
    <w:basedOn w:val="1"/>
    <w:qFormat/>
    <w:uiPriority w:val="0"/>
    <w:pPr>
      <w:adjustRightInd w:val="0"/>
      <w:snapToGrid w:val="0"/>
      <w:spacing w:line="360" w:lineRule="auto"/>
      <w:ind w:firstLine="200" w:firstLineChars="200"/>
    </w:pPr>
    <w:rPr>
      <w:color w:val="000000"/>
      <w:kern w:val="0"/>
      <w:sz w:val="24"/>
      <w:szCs w:val="20"/>
    </w:rPr>
  </w:style>
  <w:style w:type="paragraph" w:customStyle="1" w:styleId="79">
    <w:name w:val="报告表正文"/>
    <w:basedOn w:val="1"/>
    <w:qFormat/>
    <w:uiPriority w:val="0"/>
    <w:pPr>
      <w:adjustRightInd w:val="0"/>
      <w:spacing w:before="100" w:beforeAutospacing="1" w:after="100" w:afterAutospacing="1" w:line="312" w:lineRule="auto"/>
      <w:ind w:left="113" w:right="113" w:firstLine="482"/>
      <w:jc w:val="left"/>
      <w:textAlignment w:val="baseline"/>
    </w:pPr>
    <w:rPr>
      <w:kern w:val="0"/>
      <w:sz w:val="24"/>
    </w:rPr>
  </w:style>
  <w:style w:type="paragraph" w:customStyle="1" w:styleId="80">
    <w:name w:val="正文 小四 行距: 1.5 倍行距"/>
    <w:qFormat/>
    <w:uiPriority w:val="0"/>
    <w:pPr>
      <w:widowControl w:val="0"/>
      <w:spacing w:line="360" w:lineRule="auto"/>
      <w:ind w:firstLine="480" w:firstLineChars="200"/>
      <w:jc w:val="both"/>
    </w:pPr>
    <w:rPr>
      <w:rFonts w:ascii="Times New Roman" w:hAnsi="Times New Roman" w:eastAsia="宋体" w:cs="宋体"/>
      <w:kern w:val="2"/>
      <w:sz w:val="24"/>
      <w:lang w:val="en-US" w:eastAsia="zh-CN" w:bidi="ar-SA"/>
    </w:rPr>
  </w:style>
  <w:style w:type="paragraph" w:customStyle="1" w:styleId="81">
    <w:name w:val="正文1"/>
    <w:basedOn w:val="1"/>
    <w:qFormat/>
    <w:uiPriority w:val="0"/>
    <w:pPr>
      <w:adjustRightInd w:val="0"/>
      <w:snapToGrid w:val="0"/>
      <w:spacing w:line="360" w:lineRule="auto"/>
      <w:ind w:firstLine="480" w:firstLineChars="200"/>
    </w:pPr>
    <w:rPr>
      <w:color w:val="000000"/>
      <w:sz w:val="24"/>
      <w:szCs w:val="21"/>
    </w:rPr>
  </w:style>
  <w:style w:type="paragraph" w:customStyle="1" w:styleId="82">
    <w:name w:val="正"/>
    <w:basedOn w:val="1"/>
    <w:qFormat/>
    <w:uiPriority w:val="0"/>
    <w:pPr>
      <w:spacing w:line="360" w:lineRule="auto"/>
      <w:ind w:firstLine="200" w:firstLineChars="200"/>
    </w:pPr>
    <w:rPr>
      <w:kern w:val="0"/>
      <w:sz w:val="24"/>
      <w:szCs w:val="20"/>
    </w:rPr>
  </w:style>
  <w:style w:type="paragraph" w:customStyle="1" w:styleId="83">
    <w:name w:val="表头"/>
    <w:basedOn w:val="1"/>
    <w:next w:val="1"/>
    <w:qFormat/>
    <w:uiPriority w:val="0"/>
    <w:pPr>
      <w:spacing w:line="360" w:lineRule="auto"/>
      <w:jc w:val="center"/>
    </w:pPr>
    <w:rPr>
      <w:rFonts w:ascii="黑体" w:eastAsia="黑体"/>
      <w:sz w:val="24"/>
      <w:szCs w:val="20"/>
    </w:rPr>
  </w:style>
  <w:style w:type="table" w:customStyle="1" w:styleId="84">
    <w:name w:val="Table Normal"/>
    <w:unhideWhenUsed/>
    <w:qFormat/>
    <w:uiPriority w:val="0"/>
    <w:tblPr>
      <w:tblCellMar>
        <w:top w:w="0" w:type="dxa"/>
        <w:left w:w="0" w:type="dxa"/>
        <w:bottom w:w="0" w:type="dxa"/>
        <w:right w:w="0" w:type="dxa"/>
      </w:tblCellMar>
    </w:tblPr>
  </w:style>
  <w:style w:type="paragraph" w:customStyle="1" w:styleId="85">
    <w:name w:val="Table Text"/>
    <w:basedOn w:val="1"/>
    <w:semiHidden/>
    <w:qFormat/>
    <w:uiPriority w:val="0"/>
    <w:rPr>
      <w:rFonts w:ascii="宋体" w:hAnsi="宋体" w:eastAsia="宋体" w:cs="宋体"/>
      <w:sz w:val="20"/>
      <w:szCs w:val="20"/>
      <w:lang w:val="en-US" w:eastAsia="en-US" w:bidi="ar-SA"/>
    </w:rPr>
  </w:style>
  <w:style w:type="paragraph" w:styleId="86">
    <w:name w:val="No Spacing"/>
    <w:basedOn w:val="1"/>
    <w:qFormat/>
    <w:uiPriority w:val="0"/>
    <w:rPr>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1.png"/><Relationship Id="rId30" Type="http://schemas.openxmlformats.org/officeDocument/2006/relationships/image" Target="media/image20.png"/><Relationship Id="rId3" Type="http://schemas.openxmlformats.org/officeDocument/2006/relationships/footer" Target="footer1.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wmf"/><Relationship Id="rId21" Type="http://schemas.openxmlformats.org/officeDocument/2006/relationships/oleObject" Target="embeddings/oleObject1.bin"/><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f662164e-bcf1-40f6-8fe0-3cc1bea65507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77073A53</paraID>
      <start>36</start>
      <end>37</end>
      <status>ignored</status>
      <modifiedWord/>
      <trackRevisions>false</trackRevisions>
    </reviewItem>
    <reviewItem>
      <errorID>3493c012-a1fe-4a67-9b50-8be6852d7afd</errorID>
      <errorWord>&gt;</errorWord>
      <group>L1_Format</group>
      <groupName>格式问题</groupName>
      <ability>L2_HalfPunc</ability>
      <abilityName>全半角检查</abilityName>
      <candidateList>
        <item>〉</item>
      </candidateList>
      <explain>文本全半角错误。</explain>
      <paraID>77073A53</paraID>
      <start>43</start>
      <end>44</end>
      <status>ignored</status>
      <modifiedWord/>
      <trackRevisions>false</trackRevisions>
    </reviewItem>
    <reviewItem>
      <errorID>1e3d07cc-62ea-4a2f-9eac-84f18b38e0f5</errorID>
      <errorWord>-</errorWord>
      <group>L1_Format</group>
      <groupName>格式问题</groupName>
      <ability>L2_HalfPunc</ability>
      <abilityName>全半角检查</abilityName>
      <candidateList>
        <item>－</item>
      </candidateList>
      <explain>文本全半角错误。</explain>
      <paraID>191F51C6</paraID>
      <start>25</start>
      <end>26</end>
      <status>ignored</status>
      <modifiedWord/>
      <trackRevisions>false</trackRevisions>
    </reviewItem>
    <reviewItem>
      <errorID>9e8096b3-01a8-41ce-b8dc-ecf7edd96338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4AC87818</paraID>
      <start>51</start>
      <end>52</end>
      <status>ignored</status>
      <modifiedWord/>
      <trackRevisions>false</trackRevisions>
    </reviewItem>
    <reviewItem>
      <errorID>078988af-bb21-452f-bdec-c0eba79ed1ed</errorID>
      <errorWord>&lt;</errorWord>
      <group>L1_Format</group>
      <groupName>格式问题</groupName>
      <ability>L2_HalfPunc</ability>
      <abilityName>全半角检查</abilityName>
      <candidateList>
        <item>〈</item>
      </candidateList>
      <explain>文本全半角错误。</explain>
      <paraID> E291112</paraID>
      <start>25</start>
      <end>26</end>
      <status>ignored</status>
      <modifiedWord/>
      <trackRevisions>false</trackRevisions>
    </reviewItem>
    <reviewItem>
      <errorID>4d135416-2856-477f-be0c-fd9a6494ac72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E291112</paraID>
      <start>42</start>
      <end>43</end>
      <status>ignored</status>
      <modifiedWord/>
      <trackRevisions>false</trackRevisions>
    </reviewItem>
    <reviewItem>
      <errorID>94d3492f-a419-4646-8bbd-50bb2b9df92e</errorID>
      <errorWord>&gt;</errorWord>
      <group>L1_Format</group>
      <groupName>格式问题</groupName>
      <ability>L2_HalfPunc</ability>
      <abilityName>全半角检查</abilityName>
      <candidateList>
        <item>〉</item>
      </candidateList>
      <explain>文本全半角错误。</explain>
      <paraID> E291112</paraID>
      <start>49</start>
      <end>50</end>
      <status>ignored</status>
      <modifiedWord/>
      <trackRevisions>false</trackRevisions>
    </reviewItem>
    <reviewItem>
      <errorID>1680ec71-5281-41d7-ae85-15b572bed459</errorID>
      <errorWord>，</errorWord>
      <group>L1_AI</group>
      <groupName>深度校对</groupName>
      <ability>L2_AI_Grammar</ability>
      <abilityName>语法纠错</abilityName>
      <candidateList>
        <item>地块，</item>
      </candidateList>
      <explain/>
      <paraID>4AFE3571</paraID>
      <start>128</start>
      <end>129</end>
      <status>ignored</status>
      <modifiedWord/>
      <trackRevisions>false</trackRevisions>
    </reviewItem>
    <reviewItem>
      <errorID>5fffc4cf-a5f0-4c80-82cc-258406f61f1f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36DEB6F2</paraID>
      <start>20</start>
      <end>21</end>
      <status>ignored</status>
      <modifiedWord/>
      <trackRevisions>false</trackRevisions>
    </reviewItem>
    <reviewItem>
      <errorID>c1e2fa2a-d377-49ff-87fa-026c4c56f53a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23ADCA38</paraID>
      <start>19</start>
      <end>20</end>
      <status>ignored</status>
      <modifiedWord/>
      <trackRevisions>false</trackRevisions>
    </reviewItem>
    <reviewItem>
      <errorID>addbb9b1-34b9-4fbc-a25d-d2f545d1e77e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23ADCA38</paraID>
      <start>53</start>
      <end>54</end>
      <status>ignored</status>
      <modifiedWord/>
      <trackRevisions>false</trackRevisions>
    </reviewItem>
    <reviewItem>
      <errorID>6ab9a588-e8e3-4322-bfcc-26fd3d33d38b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44E3CCD0</paraID>
      <start>49</start>
      <end>50</end>
      <status>ignored</status>
      <modifiedWord/>
      <trackRevisions>false</trackRevisions>
    </reviewItem>
    <reviewItem>
      <errorID>3a75a5ad-aee7-4130-8ca3-668b4a2ebd6b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44E3CCD0</paraID>
      <start>128</start>
      <end>129</end>
      <status>ignored</status>
      <modifiedWord/>
      <trackRevisions>false</trackRevisions>
    </reviewItem>
    <reviewItem>
      <errorID>ffa8bd54-eb1d-4da9-9c40-50d92e5726ec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16D340EE</paraID>
      <start>27</start>
      <end>28</end>
      <status>ignored</status>
      <modifiedWord/>
      <trackRevisions>false</trackRevisions>
    </reviewItem>
    <reviewItem>
      <errorID>2c0fcb4c-cc5a-46b7-9ec6-26bbbb9a973f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16D340EE</paraID>
      <start>61</start>
      <end>62</end>
      <status>ignored</status>
      <modifiedWord/>
      <trackRevisions>false</trackRevisions>
    </reviewItem>
    <reviewItem>
      <errorID>53b99719-8bce-4074-8511-59de350764bf</errorID>
      <errorWord>的；</errorWord>
      <group>L1_AI</group>
      <groupName>深度校对</groupName>
      <ability>L2_AI_Word</ability>
      <abilityName>字词纠错</abilityName>
      <candidateList>
        <item>，</item>
      </candidateList>
      <explain/>
      <paraID>31CA6F59</paraID>
      <start>31</start>
      <end>33</end>
      <status>ignored</status>
      <modifiedWord/>
      <trackRevisions>false</trackRevisions>
    </reviewItem>
    <reviewItem>
      <errorID>f2e34b78-ba33-48a2-bf89-8093612a2788</errorID>
      <errorWord>上线</errorWord>
      <group>L1_Word</group>
      <groupName>字词问题</groupName>
      <ability>L2_Typo</ability>
      <abilityName>字词错误</abilityName>
      <candidateList>
        <item>上限</item>
      </candidateList>
      <explain/>
      <paraID>73DEF9C2</paraID>
      <start>109</start>
      <end>111</end>
      <status>ignored</status>
      <modifiedWord/>
      <trackRevisions>false</trackRevisions>
    </reviewItem>
    <reviewItem>
      <errorID>8a3d8b1b-7241-4661-8de1-125fe15afc68</errorID>
      <errorWord>则</errorWord>
      <group>L1_Word</group>
      <groupName>字词问题</groupName>
      <ability>L2_Typo</ability>
      <abilityName>字词错误</abilityName>
      <candidateList>
        <item>则上</item>
      </candidateList>
      <explain/>
      <paraID>2A2C2B12</paraID>
      <start>52</start>
      <end>53</end>
      <status>ignored</status>
      <modifiedWord/>
      <trackRevisions>false</trackRevisions>
    </reviewItem>
    <reviewItem>
      <errorID>09fe62dc-f04a-4ad5-9c72-f4bc365dfb7c</errorID>
      <errorWord>大气污染处理</errorWord>
      <group>L1_Knowledge</group>
      <groupName>知识性问题</groupName>
      <ability>L2_Term</ability>
      <abilityName>专业术语</abilityName>
      <candidateList>
        <item>大气污染治理</item>
      </candidateList>
      <explain/>
      <paraID>129E30E9</paraID>
      <start>228</start>
      <end>234</end>
      <status>ignored</status>
      <modifiedWord/>
      <trackRevisions>false</trackRevisions>
    </reviewItem>
    <reviewItem>
      <errorID>5709ad8b-2f80-417d-a73f-96c5ce3463e1</errorID>
      <errorWord>胶粘剂</errorWord>
      <group>L1_Word</group>
      <groupName>字词问题</groupName>
      <ability>L2_Typo</ability>
      <abilityName>字词错误</abilityName>
      <candidateList>
        <item>胶黏剂</item>
      </candidateList>
      <explain/>
      <paraID>7D6CC190</paraID>
      <start>101</start>
      <end>104</end>
      <status>ignored</status>
      <modifiedWord/>
      <trackRevisions>false</trackRevisions>
    </reviewItem>
    <reviewItem>
      <errorID>fc061748-64b3-4dc2-a62d-9a76895ad743</errorID>
      <errorWord>胶粘剂</errorWord>
      <group>L1_Word</group>
      <groupName>字词问题</groupName>
      <ability>L2_Typo</ability>
      <abilityName>字词错误</abilityName>
      <candidateList>
        <item>胶黏剂</item>
      </candidateList>
      <explain/>
      <paraID>7D6CC190</paraID>
      <start>137</start>
      <end>140</end>
      <status>ignored</status>
      <modifiedWord/>
      <trackRevisions>false</trackRevisions>
    </reviewItem>
    <reviewItem>
      <errorID>0d855b7a-a3f2-4c69-9a1e-feca2b339fe9</errorID>
      <errorWord>胶粘剂</errorWord>
      <group>L1_Word</group>
      <groupName>字词问题</groupName>
      <ability>L2_Typo</ability>
      <abilityName>字词错误</abilityName>
      <candidateList>
        <item>胶黏剂</item>
      </candidateList>
      <explain/>
      <paraID>7D6CC190</paraID>
      <start>308</start>
      <end>311</end>
      <status>ignored</status>
      <modifiedWord/>
      <trackRevisions>false</trackRevisions>
    </reviewItem>
    <reviewItem>
      <errorID>e7ffc69a-b04f-4b94-9e3f-2041593b77a6</errorID>
      <errorWord>-</errorWord>
      <group>L1_Format</group>
      <groupName>格式问题</groupName>
      <ability>L2_HalfPunc</ability>
      <abilityName>全半角检查</abilityName>
      <candidateList>
        <item>－</item>
      </candidateList>
      <explain>文本全半角错误。</explain>
      <paraID>5E62D9FE</paraID>
      <start>116</start>
      <end>117</end>
      <status>ignored</status>
      <modifiedWord/>
      <trackRevisions>false</trackRevisions>
    </reviewItem>
    <reviewItem>
      <errorID>33aecd40-659a-4572-b40a-3a6d7ad3f582</errorID>
      <errorWord>-</errorWord>
      <group>L1_Format</group>
      <groupName>格式问题</groupName>
      <ability>L2_HalfPunc</ability>
      <abilityName>全半角检查</abilityName>
      <candidateList>
        <item>－</item>
      </candidateList>
      <explain>文本全半角错误。</explain>
      <paraID>5E62D9FE</paraID>
      <start>123</start>
      <end>124</end>
      <status>ignored</status>
      <modifiedWord/>
      <trackRevisions>false</trackRevisions>
    </reviewItem>
    <reviewItem>
      <errorID>8e2f128d-9fb1-4d80-8df5-d9b6ee881e14</errorID>
      <errorWord>胶粘剂</errorWord>
      <group>L1_Word</group>
      <groupName>字词问题</groupName>
      <ability>L2_Typo</ability>
      <abilityName>字词错误</abilityName>
      <candidateList>
        <item>胶黏剂</item>
      </candidateList>
      <explain/>
      <paraID>10FD31E4</paraID>
      <start>316</start>
      <end>319</end>
      <status>ignored</status>
      <modifiedWord/>
      <trackRevisions>false</trackRevisions>
    </reviewItem>
    <reviewItem>
      <errorID>fead33e7-ea2e-4983-844d-f1d85dc1f090</errorID>
      <errorWord>，</errorWord>
      <group>L1_Word</group>
      <groupName>字词问题</groupName>
      <ability>L2_Typo</ability>
      <abilityName>字词错误</abilityName>
      <candidateList>
        <item>，对</item>
      </candidateList>
      <explain/>
      <paraID>10FD31E4</paraID>
      <start>477</start>
      <end>478</end>
      <status>ignored</status>
      <modifiedWord/>
      <trackRevisions>false</trackRevisions>
    </reviewItem>
    <reviewItem>
      <errorID>60dbab18-a876-45cb-b383-2fcd3efacc57</errorID>
      <errorWord>胶粘剂</errorWord>
      <group>L1_Word</group>
      <groupName>字词问题</groupName>
      <ability>L2_Typo</ability>
      <abilityName>字词错误</abilityName>
      <candidateList>
        <item>胶黏剂</item>
      </candidateList>
      <explain/>
      <paraID>10FD31E4</paraID>
      <start>640</start>
      <end>643</end>
      <status>ignored</status>
      <modifiedWord/>
      <trackRevisions>false</trackRevisions>
    </reviewItem>
    <reviewItem>
      <errorID>4e9f4dc4-4266-41c6-828b-2a3c430ee843</errorID>
      <errorWord>、及</errorWord>
      <group>L1_Other</group>
      <groupName>其他问题</groupName>
      <ability>L2_UserTypo</ability>
      <abilityName>自定义错误</abilityName>
      <candidateList>
        <item>及</item>
      </candidateList>
      <explain>来自自定义错词库。</explain>
      <paraID>12C8FF3F</paraID>
      <start>83</start>
      <end>85</end>
      <status>ignored</status>
      <modifiedWord/>
      <trackRevisions>false</trackRevisions>
    </reviewItem>
    <reviewItem>
      <errorID>725ce27f-9147-4be2-8a22-57c16b20fe65</errorID>
      <errorWord>胶粘剂</errorWord>
      <group>L1_Word</group>
      <groupName>字词问题</groupName>
      <ability>L2_Typo</ability>
      <abilityName>字词错误</abilityName>
      <candidateList>
        <item>胶黏剂</item>
      </candidateList>
      <explain/>
      <paraID>51724808</paraID>
      <start>122</start>
      <end>125</end>
      <status>ignored</status>
      <modifiedWord/>
      <trackRevisions>false</trackRevisions>
    </reviewItem>
    <reviewItem>
      <errorID>38ccd363-c475-4047-85cc-74ad55debdfc</errorID>
      <errorWord>，</errorWord>
      <group>L1_Word</group>
      <groupName>字词问题</groupName>
      <ability>L2_Typo</ability>
      <abilityName>字词错误</abilityName>
      <candidateList>
        <item>，在</item>
      </candidateList>
      <explain/>
      <paraID>27A96FAA</paraID>
      <start>232</start>
      <end>233</end>
      <status>ignored</status>
      <modifiedWord/>
      <trackRevisions>false</trackRevisions>
    </reviewItem>
    <reviewItem>
      <errorID>877ee42a-3e9d-4ca2-a366-27d342821bdc</errorID>
      <errorWord>桔秆</errorWord>
      <group>L1_Word</group>
      <groupName>字词问题</groupName>
      <ability>L2_Typo</ability>
      <abilityName>字词错误</abilityName>
      <candidateList>
        <item>秸秆</item>
      </candidateList>
      <explain>〈名〉农作物脱粒后剩下的茎。</explain>
      <paraID>27A96FAA</paraID>
      <start>330</start>
      <end>332</end>
      <status>ignored</status>
      <modifiedWord/>
      <trackRevisions>false</trackRevisions>
    </reviewItem>
    <reviewItem>
      <errorID>4f5f1eaf-c0fa-484e-bfdf-0177a5189e8d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16154381</paraID>
      <start>32</start>
      <end>33</end>
      <status>ignored</status>
      <modifiedWord/>
      <trackRevisions>false</trackRevisions>
    </reviewItem>
    <reviewItem>
      <errorID>85df305a-fa8c-4751-acdc-76ea3ad0f9a1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702CD686</paraID>
      <start>35</start>
      <end>36</end>
      <status>ignored</status>
      <modifiedWord/>
      <trackRevisions>false</trackRevisions>
    </reviewItem>
    <reviewItem>
      <errorID>fb31aaab-364c-4426-8d29-0c8a80a2aeaa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4A79D405</paraID>
      <start>38</start>
      <end>39</end>
      <status>ignored</status>
      <modifiedWord/>
      <trackRevisions>false</trackRevisions>
    </reviewItem>
    <reviewItem>
      <errorID>300b65be-d382-45e5-8d16-6f8e3ca12c2b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AC18A0</paraID>
      <start>33</start>
      <end>34</end>
      <status>ignored</status>
      <modifiedWord/>
      <trackRevisions>false</trackRevisions>
    </reviewItem>
    <reviewItem>
      <errorID>cc5772fd-fd0d-4345-9174-4c76658b379b</errorID>
      <errorWord>2025年08月19日</errorWord>
      <group>L1_Knowledge</group>
      <groupName>知识性问题</groupName>
      <ability>L2_Time</ability>
      <abilityName>日期时间</abilityName>
      <candidateList>
        <item>2025年8月19日</item>
      </candidateList>
      <explain>根据日常书写习惯，月份一般会省略前导零。</explain>
      <paraID>2BBE1B83</paraID>
      <start>14</start>
      <end>25</end>
      <status>ignored</status>
      <modifiedWord/>
      <trackRevisions>false</trackRevisions>
    </reviewItem>
    <reviewItem>
      <errorID>5deb0348-10e4-493e-b15c-a7dfde4a5945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6486028F</paraID>
      <start>125</start>
      <end>126</end>
      <status>ignored</status>
      <modifiedWord/>
      <trackRevisions>false</trackRevisions>
    </reviewItem>
    <reviewItem>
      <errorID>1513ee00-a2f7-4efb-9438-0bf0f334a2a3</errorID>
      <errorWord>:</errorWord>
      <group>L1_Format</group>
      <groupName>格式问题</groupName>
      <ability>L2_HalfPunc</ability>
      <abilityName>全半角检查</abilityName>
      <candidateList>
        <item>：</item>
      </candidateList>
      <explain>文本全半角错误。</explain>
      <paraID>7032E8A5</paraID>
      <start>62</start>
      <end>63</end>
      <status>ignored</status>
      <modifiedWord/>
      <trackRevisions>false</trackRevisions>
    </reviewItem>
    <reviewItem>
      <errorID>bf1d1a01-aeb0-4515-b5bf-0de944b36873</errorID>
      <errorWord>:</errorWord>
      <group>L1_Format</group>
      <groupName>格式问题</groupName>
      <ability>L2_HalfPunc</ability>
      <abilityName>全半角检查</abilityName>
      <candidateList>
        <item>：</item>
      </candidateList>
      <explain>文本全半角错误。</explain>
      <paraID>7032E8A5</paraID>
      <start>81</start>
      <end>82</end>
      <status>ignored</status>
      <modifiedWord/>
      <trackRevisions>false</trackRevisions>
    </reviewItem>
    <reviewItem>
      <errorID>56ada5b5-8292-494d-9f8c-8765e907aeeb</errorID>
      <errorWord>:</errorWord>
      <group>L1_Format</group>
      <groupName>格式问题</groupName>
      <ability>L2_HalfPunc</ability>
      <abilityName>全半角检查</abilityName>
      <candidateList>
        <item>：</item>
      </candidateList>
      <explain>文本全半角错误。</explain>
      <paraID>7032E8A5</paraID>
      <start>99</start>
      <end>100</end>
      <status>ignored</status>
      <modifiedWord/>
      <trackRevisions>false</trackRevisions>
    </reviewItem>
    <reviewItem>
      <errorID>724fd3ba-eb6f-4c39-955c-7b5f49419094</errorID>
      <errorWord>:</errorWord>
      <group>L1_Format</group>
      <groupName>格式问题</groupName>
      <ability>L2_HalfPunc</ability>
      <abilityName>全半角检查</abilityName>
      <candidateList>
        <item>：</item>
      </candidateList>
      <explain>文本全半角错误。</explain>
      <paraID>5CCEDB64</paraID>
      <start>65</start>
      <end>66</end>
      <status>ignored</status>
      <modifiedWord/>
      <trackRevisions>false</trackRevisions>
    </reviewItem>
    <reviewItem>
      <errorID>ab29b243-aabb-4119-ab5f-e5fa6e0031b9</errorID>
      <errorWord>:</errorWord>
      <group>L1_Format</group>
      <groupName>格式问题</groupName>
      <ability>L2_HalfPunc</ability>
      <abilityName>全半角检查</abilityName>
      <candidateList>
        <item>：</item>
      </candidateList>
      <explain>文本全半角错误。</explain>
      <paraID>5CCEDB64</paraID>
      <start>67</start>
      <end>68</end>
      <status>ignored</status>
      <modifiedWord/>
      <trackRevisions>false</trackRevisions>
    </reviewItem>
    <reviewItem>
      <errorID>48151bad-2acf-4e35-a574-fbcea2fedf4c</errorID>
      <errorWord>:</errorWord>
      <group>L1_Format</group>
      <groupName>格式问题</groupName>
      <ability>L2_HalfPunc</ability>
      <abilityName>全半角检查</abilityName>
      <candidateList>
        <item>：</item>
      </candidateList>
      <explain>文本全半角错误。</explain>
      <paraID>5CCEDB64</paraID>
      <start>93</start>
      <end>94</end>
      <status>ignored</status>
      <modifiedWord/>
      <trackRevisions>false</trackRevisions>
    </reviewItem>
    <reviewItem>
      <errorID>7d12939a-7684-42a3-aed9-4f95dd3bf34a</errorID>
      <errorWord>:</errorWord>
      <group>L1_Format</group>
      <groupName>格式问题</groupName>
      <ability>L2_HalfPunc</ability>
      <abilityName>全半角检查</abilityName>
      <candidateList>
        <item>：</item>
      </candidateList>
      <explain>文本全半角错误。</explain>
      <paraID>5CCEDB64</paraID>
      <start>95</start>
      <end>96</end>
      <status>ignored</status>
      <modifiedWord/>
      <trackRevisions>false</trackRevisions>
    </reviewItem>
    <reviewItem>
      <errorID>8958536c-bec4-4c49-8c80-169ab5b4c00f</errorID>
      <errorWord>:</errorWord>
      <group>L1_Format</group>
      <groupName>格式问题</groupName>
      <ability>L2_HalfPunc</ability>
      <abilityName>全半角检查</abilityName>
      <candidateList>
        <item>：</item>
      </candidateList>
      <explain>文本全半角错误。</explain>
      <paraID>5CCEDB64</paraID>
      <start>122</start>
      <end>123</end>
      <status>ignored</status>
      <modifiedWord/>
      <trackRevisions>false</trackRevisions>
    </reviewItem>
    <reviewItem>
      <errorID>3e8e8ac6-b2dd-4f17-b2d2-ebc83292dfba</errorID>
      <errorWord>:</errorWord>
      <group>L1_Format</group>
      <groupName>格式问题</groupName>
      <ability>L2_HalfPunc</ability>
      <abilityName>全半角检查</abilityName>
      <candidateList>
        <item>：</item>
      </candidateList>
      <explain>文本全半角错误。</explain>
      <paraID>5CCEDB64</paraID>
      <start>124</start>
      <end>125</end>
      <status>ignored</status>
      <modifiedWord/>
      <trackRevisions>false</trackRevisions>
    </reviewItem>
    <reviewItem>
      <errorID>6551f746-f2da-4dfa-929c-5044f6719b07</errorID>
      <errorWord>～</errorWord>
      <group>L1_Format</group>
      <groupName>格式问题</groupName>
      <ability>L2_HalfPunc</ability>
      <abilityName>全半角检查</abilityName>
      <candidateList>
        <item>~</item>
      </candidateList>
      <explain>文本全半角错误。</explain>
      <paraID>5A043093</paraID>
      <start>2</start>
      <end>3</end>
      <status>ignored</status>
      <modifiedWord/>
      <trackRevisions>false</trackRevisions>
    </reviewItem>
    <reviewItem>
      <errorID>dbdbf0e9-a691-4783-9045-32e07ac2af47</errorID>
      <errorWord>～</errorWord>
      <group>L1_Format</group>
      <groupName>格式问题</groupName>
      <ability>L2_HalfPunc</ability>
      <abilityName>全半角检查</abilityName>
      <candidateList>
        <item>~</item>
      </candidateList>
      <explain>文本全半角错误。</explain>
      <paraID>26FC87A7</paraID>
      <start>3</start>
      <end>4</end>
      <status>ignored</status>
      <modifiedWord/>
      <trackRevisions>false</trackRevisions>
    </reviewItem>
    <reviewItem>
      <errorID>75a3ac0f-dab6-4516-9393-eb076f557d19</errorID>
      <errorWord>～</errorWord>
      <group>L1_Format</group>
      <groupName>格式问题</groupName>
      <ability>L2_HalfPunc</ability>
      <abilityName>全半角检查</abilityName>
      <candidateList>
        <item>~</item>
      </candidateList>
      <explain>文本全半角错误。</explain>
      <paraID> 84542D0</paraID>
      <start>2</start>
      <end>3</end>
      <status>ignored</status>
      <modifiedWord/>
      <trackRevisions>false</trackRevisions>
    </reviewItem>
    <reviewItem>
      <errorID>9ca903f4-1279-47a4-a7e7-36fb789b6d41</errorID>
      <errorWord>～</errorWord>
      <group>L1_Format</group>
      <groupName>格式问题</groupName>
      <ability>L2_HalfPunc</ability>
      <abilityName>全半角检查</abilityName>
      <candidateList>
        <item>~</item>
      </candidateList>
      <explain>文本全半角错误。</explain>
      <paraID>732E4B04</paraID>
      <start>1</start>
      <end>2</end>
      <status>ignored</status>
      <modifiedWord/>
      <trackRevisions>false</trackRevisions>
    </reviewItem>
    <reviewItem>
      <errorID>8fa5d6d3-dd23-4712-9b73-1a2a7992df70</errorID>
      <errorWord>～</errorWord>
      <group>L1_Format</group>
      <groupName>格式问题</groupName>
      <ability>L2_HalfPunc</ability>
      <abilityName>全半角检查</abilityName>
      <candidateList>
        <item>~</item>
      </candidateList>
      <explain>文本全半角错误。</explain>
      <paraID>456BE361</paraID>
      <start>1</start>
      <end>2</end>
      <status>ignored</status>
      <modifiedWord/>
      <trackRevisions>false</trackRevisions>
    </reviewItem>
    <reviewItem>
      <errorID>860b5f56-71cf-441d-9f73-0d1c49fc3cd4</errorID>
      <errorWord>～</errorWord>
      <group>L1_Format</group>
      <groupName>格式问题</groupName>
      <ability>L2_HalfPunc</ability>
      <abilityName>全半角检查</abilityName>
      <candidateList>
        <item>~</item>
      </candidateList>
      <explain>文本全半角错误。</explain>
      <paraID>14CC2649</paraID>
      <start>1</start>
      <end>2</end>
      <status>ignored</status>
      <modifiedWord/>
      <trackRevisions>false</trackRevisions>
    </reviewItem>
    <reviewItem>
      <errorID>5f240beb-32ca-4c37-9dc1-28cee20696ce</errorID>
      <errorWord>（</errorWord>
      <group>L1_Format</group>
      <groupName>格式问题</groupName>
      <ability>L2_HalfPunc</ability>
      <abilityName>全半角检查</abilityName>
      <candidateList>
        <item>(</item>
      </candidateList>
      <explain>文本全半角错误。</explain>
      <paraID>3C5A4140</paraID>
      <start>11</start>
      <end>12</end>
      <status>ignored</status>
      <modifiedWord/>
      <trackRevisions>false</trackRevisions>
    </reviewItem>
    <reviewItem>
      <errorID>a6ec821a-4315-4380-8980-f9d5608f4a51</errorID>
      <errorWord>）</errorWord>
      <group>L1_Format</group>
      <groupName>格式问题</groupName>
      <ability>L2_HalfPunc</ability>
      <abilityName>全半角检查</abilityName>
      <candidateList>
        <item>)</item>
      </candidateList>
      <explain>文本全半角错误。</explain>
      <paraID>3C5A4140</paraID>
      <start>15</start>
      <end>16</end>
      <status>ignored</status>
      <modifiedWord/>
      <trackRevisions>false</trackRevisions>
    </reviewItem>
    <reviewItem>
      <errorID>41d62f36-a3d8-4f4c-956d-53da7f66fd8f</errorID>
      <errorWord>～</errorWord>
      <group>L1_Format</group>
      <groupName>格式问题</groupName>
      <ability>L2_HalfPunc</ability>
      <abilityName>全半角检查</abilityName>
      <candidateList>
        <item>~</item>
      </candidateList>
      <explain>文本全半角错误。</explain>
      <paraID>7BA9CCD8</paraID>
      <start>4</start>
      <end>5</end>
      <status>ignored</status>
      <modifiedWord/>
      <trackRevisions>false</trackRevisions>
    </reviewItem>
    <reviewItem>
      <errorID>8709b0c2-8ae1-4128-9bc6-005dbaa49231</errorID>
      <errorWord>～</errorWord>
      <group>L1_Format</group>
      <groupName>格式问题</groupName>
      <ability>L2_HalfPunc</ability>
      <abilityName>全半角检查</abilityName>
      <candidateList>
        <item>~</item>
      </candidateList>
      <explain>文本全半角错误。</explain>
      <paraID>2201C328</paraID>
      <start>4</start>
      <end>5</end>
      <status>ignored</status>
      <modifiedWord/>
      <trackRevisions>false</trackRevisions>
    </reviewItem>
    <reviewItem>
      <errorID>5c496829-d46b-41c6-9409-5bbcf1d73a1e</errorID>
      <errorWord>～</errorWord>
      <group>L1_Format</group>
      <groupName>格式问题</groupName>
      <ability>L2_HalfPunc</ability>
      <abilityName>全半角检查</abilityName>
      <candidateList>
        <item>~</item>
      </candidateList>
      <explain>文本全半角错误。</explain>
      <paraID>781A8BC5</paraID>
      <start>4</start>
      <end>5</end>
      <status>ignored</status>
      <modifiedWord/>
      <trackRevisions>false</trackRevisions>
    </reviewItem>
    <reviewItem>
      <errorID>10546c87-8c5f-4bf4-9088-4815a2e80ca3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53ED5D68</paraID>
      <start>100</start>
      <end>101</end>
      <status>ignored</status>
      <modifiedWord/>
      <trackRevisions>false</trackRevisions>
    </reviewItem>
    <reviewItem>
      <errorID>b2adb249-b0e1-473f-bb74-d98500f71d77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53ED5D68</paraID>
      <start>128</start>
      <end>129</end>
      <status>ignored</status>
      <modifiedWord/>
      <trackRevisions>false</trackRevisions>
    </reviewItem>
    <reviewItem>
      <errorID>45ed35cd-84ca-4679-989e-9f64fc309145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53ED5D68</paraID>
      <start>267</start>
      <end>268</end>
      <status>ignored</status>
      <modifiedWord/>
      <trackRevisions>false</trackRevisions>
    </reviewItem>
    <reviewItem>
      <errorID>47e3eba1-cae3-4fbc-9abc-ae84da827ee9</errorID>
      <errorWord>（</errorWord>
      <group>L1_Format</group>
      <groupName>格式问题</groupName>
      <ability>L2_HalfPunc</ability>
      <abilityName>全半角检查</abilityName>
      <candidateList>
        <item>(</item>
      </candidateList>
      <explain>文本全半角错误。</explain>
      <paraID>2C86449F</paraID>
      <start>5</start>
      <end>6</end>
      <status>ignored</status>
      <modifiedWord/>
      <trackRevisions>false</trackRevisions>
    </reviewItem>
    <reviewItem>
      <errorID>4cc2bb54-320a-41b8-8db3-f8c3ef5bc6eb</errorID>
      <errorWord>）</errorWord>
      <group>L1_Format</group>
      <groupName>格式问题</groupName>
      <ability>L2_HalfPunc</ability>
      <abilityName>全半角检查</abilityName>
      <candidateList>
        <item>)</item>
      </candidateList>
      <explain>文本全半角错误。</explain>
      <paraID>2C86449F</paraID>
      <start>9</start>
      <end>10</end>
      <status>ignored</status>
      <modifiedWord/>
      <trackRevisions>false</trackRevisions>
    </reviewItem>
    <reviewItem>
      <errorID>a4afa681-0fbc-410b-84fa-ca300de85e18</errorID>
      <errorWord>（</errorWord>
      <group>L1_Format</group>
      <groupName>格式问题</groupName>
      <ability>L2_HalfPunc</ability>
      <abilityName>全半角检查</abilityName>
      <candidateList>
        <item>(</item>
      </candidateList>
      <explain>文本全半角错误。</explain>
      <paraID> 5AD361F</paraID>
      <start>5</start>
      <end>6</end>
      <status>ignored</status>
      <modifiedWord/>
      <trackRevisions>false</trackRevisions>
    </reviewItem>
    <reviewItem>
      <errorID>4f6f3821-550d-4a65-b18f-dbeabddedf6a</errorID>
      <errorWord>）</errorWord>
      <group>L1_Format</group>
      <groupName>格式问题</groupName>
      <ability>L2_HalfPunc</ability>
      <abilityName>全半角检查</abilityName>
      <candidateList>
        <item>)</item>
      </candidateList>
      <explain>文本全半角错误。</explain>
      <paraID> 5AD361F</paraID>
      <start>9</start>
      <end>10</end>
      <status>ignored</status>
      <modifiedWord/>
      <trackRevisions>false</trackRevisions>
    </reviewItem>
    <reviewItem>
      <errorID>88a1f321-53a4-4c48-bc40-109206943cd5</errorID>
      <errorWord>（</errorWord>
      <group>L1_Format</group>
      <groupName>格式问题</groupName>
      <ability>L2_HalfPunc</ability>
      <abilityName>全半角检查</abilityName>
      <candidateList>
        <item>(</item>
      </candidateList>
      <explain>文本全半角错误。</explain>
      <paraID>721ABC1A</paraID>
      <start>5</start>
      <end>6</end>
      <status>ignored</status>
      <modifiedWord/>
      <trackRevisions>false</trackRevisions>
    </reviewItem>
    <reviewItem>
      <errorID>cedbc979-b6eb-4234-b8d9-917895280274</errorID>
      <errorWord>）</errorWord>
      <group>L1_Format</group>
      <groupName>格式问题</groupName>
      <ability>L2_HalfPunc</ability>
      <abilityName>全半角检查</abilityName>
      <candidateList>
        <item>)</item>
      </candidateList>
      <explain>文本全半角错误。</explain>
      <paraID>721ABC1A</paraID>
      <start>9</start>
      <end>10</end>
      <status>ignored</status>
      <modifiedWord/>
      <trackRevisions>false</trackRevisions>
    </reviewItem>
    <reviewItem>
      <errorID>d9b1a2c0-f838-4e44-a8e7-6ff167802a87</errorID>
      <errorWord>～</errorWord>
      <group>L1_Format</group>
      <groupName>格式问题</groupName>
      <ability>L2_HalfPunc</ability>
      <abilityName>全半角检查</abilityName>
      <candidateList>
        <item>~</item>
      </candidateList>
      <explain>文本全半角错误。</explain>
      <paraID>5B9248B4</paraID>
      <start>1</start>
      <end>2</end>
      <status>ignored</status>
      <modifiedWord/>
      <trackRevisions>false</trackRevisions>
    </reviewItem>
    <reviewItem>
      <errorID>f750d133-31c6-4d14-b431-a32293c4176a</errorID>
      <errorWord>（</errorWord>
      <group>L1_Format</group>
      <groupName>格式问题</groupName>
      <ability>L2_HalfPunc</ability>
      <abilityName>全半角检查</abilityName>
      <candidateList>
        <item>(</item>
      </candidateList>
      <explain>文本全半角错误。</explain>
      <paraID>7D72C451</paraID>
      <start>2</start>
      <end>3</end>
      <status>ignored</status>
      <modifiedWord/>
      <trackRevisions>false</trackRevisions>
    </reviewItem>
    <reviewItem>
      <errorID>764989ab-1c82-448b-99ea-0a999ab37aef</errorID>
      <errorWord>）</errorWord>
      <group>L1_Format</group>
      <groupName>格式问题</groupName>
      <ability>L2_HalfPunc</ability>
      <abilityName>全半角检查</abilityName>
      <candidateList>
        <item>)</item>
      </candidateList>
      <explain>文本全半角错误。</explain>
      <paraID>7D72C451</paraID>
      <start>4</start>
      <end>5</end>
      <status>ignored</status>
      <modifiedWord/>
      <trackRevisions>false</trackRevisions>
    </reviewItem>
    <reviewItem>
      <errorID>bb4be837-2de8-46fb-9c3f-d7ec24c923e2</errorID>
      <errorWord>推放</errorWord>
      <group>L1_Word</group>
      <groupName>字词问题</groupName>
      <ability>L2_Typo</ability>
      <abilityName>字词错误</abilityName>
      <candidateList>
        <item>堆放</item>
      </candidateList>
      <explain/>
      <paraID>38421E8B</paraID>
      <start>14</start>
      <end>16</end>
      <status>modified</status>
      <modifiedWord>堆放</modifiedWord>
      <trackRevisions>false</trackRevisions>
    </reviewItem>
    <reviewItem>
      <errorID>77b6babd-e106-4d38-bd06-3832fbad5711</errorID>
      <errorWord>期</errorWord>
      <group>L1_Word</group>
      <groupName>字词问题</groupName>
      <ability>L2_Typo</ability>
      <abilityName>字词错误</abilityName>
      <candidateList>
        <item>期间</item>
      </candidateList>
      <explain>〈名〉某个时期里面：农忙～｜春节～｜抗战～。</explain>
      <paraID> 8DE1862</paraID>
      <start>30</start>
      <end>31</end>
      <status>ignored</status>
      <modifiedWord/>
      <trackRevisions>false</trackRevisions>
    </reviewItem>
    <reviewItem>
      <errorID>8fab8c19-944e-4eac-b6bb-7b1e67ea31fe</errorID>
      <errorWord>其它可能</errorWord>
      <group>L1_Word</group>
      <groupName>字词问题</groupName>
      <ability>L2_Alias</ability>
      <abilityName>也作/曾用词</abilityName>
      <candidateList>
        <item>其他可能</item>
      </candidateList>
      <explain>词汇[其它可能]为不规范表述或旧称，其规范书面表述为[其他可能]。</explain>
      <paraID>4DDB95FB</paraID>
      <start>27</start>
      <end>31</end>
      <status>modified</status>
      <modifiedWord>其他可能</modifiedWord>
      <trackRevisions>false</trackRevisions>
    </reviewItem>
    <reviewItem>
      <errorID>0779a4b0-ad87-416e-8fae-2ad50b06ca3a</errorID>
      <errorWord>提高</errorWord>
      <group>L1_Grammar</group>
      <groupName>语法问题</groupName>
      <ability>L2_Grammar</ability>
      <abilityName>语法错误</abilityName>
      <candidateList>
        <item>增强</item>
      </candidateList>
      <explain>“提高～意识”搭配不当，建议修改为“增强～意识”。</explain>
      <paraID>5B2BA5DF</paraID>
      <start>32</start>
      <end>34</end>
      <status>modified</status>
      <modifiedWord>增强</modifiedWord>
      <trackRevisions>false</trackRevisions>
    </reviewItem>
    <reviewItem>
      <errorID>327526fc-2bd1-4df8-8791-14d861d1cc39</errorID>
      <errorWord>不易</errorWord>
      <group>L1_Word</group>
      <groupName>字词问题</groupName>
      <ability>L2_Typo</ability>
      <abilityName>字词错误</abilityName>
      <candidateList>
        <item>不宜</item>
      </candidateList>
      <explain>存在发音相同字词的误用。</explain>
      <paraID>48E97403</paraID>
      <start>138</start>
      <end>140</end>
      <status>modified</status>
      <modifiedWord>不宜</modifiedWord>
      <trackRevisions>false</trackRevisions>
    </reviewItem>
    <reviewItem>
      <errorID>7ed7188a-0a1c-4ef4-89e9-0af9e14b045b</errorID>
      <errorWord>消音器</errorWord>
      <group>L1_Word</group>
      <groupName>字词问题</groupName>
      <ability>L2_Typo</ability>
      <abilityName>字词错误</abilityName>
      <candidateList>
        <item>消声器</item>
      </candidateList>
      <explain/>
      <paraID>28C6B15F</paraID>
      <start>23</start>
      <end>26</end>
      <status>modified</status>
      <modifiedWord>消声器</modifiedWord>
      <trackRevisions>false</trackRevisions>
    </reviewItem>
    <reviewItem>
      <errorID>ad6bab28-c6ef-4338-ac7a-36a25f909454</errorID>
      <errorWord>程</errorWord>
      <group>L1_Word</group>
      <groupName>字词问题</groupName>
      <ability>L2_Typo</ability>
      <abilityName>字词错误</abilityName>
      <candidateList>
        <item>程中</item>
      </candidateList>
      <explain/>
      <paraID>35ECE00E</paraID>
      <start>13</start>
      <end>15</end>
      <status>modified</status>
      <modifiedWord>程中</modifiedWord>
      <trackRevisions>false</trackRevisions>
    </reviewItem>
    <reviewItem>
      <errorID>1f958bd7-350e-4eca-bf17-ef0538a0d858</errorID>
      <errorWord>有害成份</errorWord>
      <group>L1_Word</group>
      <groupName>字词问题</groupName>
      <ability>L2_Variant</ability>
      <abilityName>异形词</abilityName>
      <candidateList>
        <item>有害成分</item>
      </candidateList>
      <explain>词汇[有害成份]的规范词形写作[有害成分]。</explain>
      <paraID>35ECE00E</paraID>
      <start>48</start>
      <end>52</end>
      <status>modified</status>
      <modifiedWord>有害成分</modifiedWord>
      <trackRevisions>false</trackRevisions>
    </reviewItem>
    <reviewItem>
      <errorID>b96a280b-d78b-47b1-b297-b6191c4f9d2b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17F5F448</paraID>
      <start>45</start>
      <end>47</end>
      <status>modified</status>
      <modifiedWord>”“</modifiedWord>
      <trackRevisions>false</trackRevisions>
    </reviewItem>
    <reviewItem>
      <errorID>296b580a-efe0-4a05-b717-e9e8602c2810</errorID>
      <errorWord>实芯</errorWord>
      <group>L1_Word</group>
      <groupName>字词问题</groupName>
      <ability>L2_Typo</ability>
      <abilityName>字词错误</abilityName>
      <candidateList>
        <item>实现</item>
      </candidateList>
      <explain>〈动〉使成为事实：～理想。</explain>
      <paraID>7E24A433</paraID>
      <start>0</start>
      <end>2</end>
      <status>ignored</status>
      <modifiedWord/>
      <trackRevisions>false</trackRevisions>
    </reviewItem>
    <reviewItem>
      <errorID>aa769883-dfc7-45ed-9097-b38c832819ad</errorID>
      <errorWord>外逸</errorWord>
      <group>L1_Word</group>
      <groupName>字词问题</groupName>
      <ability>L2_Typo</ability>
      <abilityName>字词错误</abilityName>
      <candidateList>
        <item>外溢</item>
      </candidateList>
      <explain/>
      <paraID>6F977C89</paraID>
      <start>57</start>
      <end>59</end>
      <status>ignored</status>
      <modifiedWord/>
      <trackRevisions>false</trackRevisions>
    </reviewItem>
    <reviewItem>
      <errorID>a9832cce-d135-48b3-8f41-3daca6a40fd9</errorID>
      <errorWord>体</errorWord>
      <group>L1_Word</group>
      <groupName>字词问题</groupName>
      <ability>L2_Typo</ability>
      <abilityName>字词错误</abilityName>
      <candidateList>
        <item>体成</item>
      </candidateList>
      <explain/>
      <paraID>1B50CE28</paraID>
      <start>94</start>
      <end>95</end>
      <status>ignored</status>
      <modifiedWord/>
      <trackRevisions>false</trackRevisions>
    </reviewItem>
    <reviewItem>
      <errorID>5b5709ac-3367-4b2d-a927-407100ccfc81</errorID>
      <errorWord>每个</errorWord>
      <group>L1_Word</group>
      <groupName>字词问题</groupName>
      <ability>L2_Typo</ability>
      <abilityName>字词错误</abilityName>
      <candidateList>
        <item>每隔</item>
      </candidateList>
      <explain>存在发音相同字词的误用。</explain>
      <paraID>366287E3</paraID>
      <start>21</start>
      <end>23</end>
      <status>ignored</status>
      <modifiedWord/>
      <trackRevisions>false</trackRevisions>
    </reviewItem>
    <reviewItem>
      <errorID>67887ba7-7724-408b-8089-9b8eb5c046d9</errorID>
      <errorWord>设</errorWord>
      <group>L1_Word</group>
      <groupName>字词问题</groupName>
      <ability>L2_Typo</ability>
      <abilityName>字词错误</abilityName>
      <candidateList>
        <item>设置</item>
      </candidateList>
      <explain>〈动〉❶设立：这座剧院是为儿童～的。❷安放；安装：～障碍。</explain>
      <paraID>19C688AF</paraID>
      <start>294</start>
      <end>295</end>
      <status>ignored</status>
      <modifiedWord/>
      <trackRevisions>false</trackRevisions>
    </reviewItem>
    <reviewItem>
      <errorID>4bd9dcb4-1022-4702-8500-89c6b80c2836</errorID>
      <errorWord>粘性物质</errorWord>
      <group>L1_Word</group>
      <groupName>字词问题</groupName>
      <ability>L2_Alias</ability>
      <abilityName>也作/曾用词</abilityName>
      <candidateList>
        <item>黏性物质</item>
      </candidateList>
      <explain>词汇[粘性物质]为不规范表述或旧称，其规范书面表述为[黏性物质]。</explain>
      <paraID>1EA9F5C5</paraID>
      <start>94</start>
      <end>98</end>
      <status>ignored</status>
      <modifiedWord/>
      <trackRevisions>false</trackRevisions>
    </reviewItem>
    <reviewItem>
      <errorID>bbc16217-7462-4008-ad45-b4cabad1d85b</errorID>
      <errorWord>，</errorWord>
      <group>L1_Word</group>
      <groupName>字词问题</groupName>
      <ability>L2_Typo</ability>
      <abilityName>字词错误</abilityName>
      <candidateList>
        <item>，作</item>
      </candidateList>
      <explain/>
      <paraID>1EA9F5C5</paraID>
      <start>205</start>
      <end>206</end>
      <status>ignored</status>
      <modifiedWord/>
      <trackRevisions>false</trackRevisions>
    </reviewItem>
    <reviewItem>
      <errorID>5caaac3e-1c43-42e2-a4bc-a2fb9974328a</errorID>
      <errorWord>-</errorWord>
      <group>L1_Format</group>
      <groupName>格式问题</groupName>
      <ability>L2_HalfPunc</ability>
      <abilityName>全半角检查</abilityName>
      <candidateList>
        <item>－</item>
      </candidateList>
      <explain>文本全半角错误。</explain>
      <paraID>4FC98D8F</paraID>
      <start>65</start>
      <end>66</end>
      <status>ignored</status>
      <modifiedWord/>
      <trackRevisions>false</trackRevisions>
    </reviewItem>
    <reviewItem>
      <errorID>bd0902d0-cd98-4d6f-9ff9-45a49e4aefc5</errorID>
      <errorWord>-</errorWord>
      <group>L1_Format</group>
      <groupName>格式问题</groupName>
      <ability>L2_HalfPunc</ability>
      <abilityName>全半角检查</abilityName>
      <candidateList>
        <item>－</item>
      </candidateList>
      <explain>文本全半角错误。</explain>
      <paraID> B57A1D6</paraID>
      <start>6</start>
      <end>7</end>
      <status>ignored</status>
      <modifiedWord/>
      <trackRevisions>false</trackRevisions>
    </reviewItem>
    <reviewItem>
      <errorID>aaab9b20-1580-4ed3-a033-82f83c02c0b1</errorID>
      <errorWord>进入到</errorWord>
      <group>L1_Word</group>
      <groupName>字词问题</groupName>
      <ability>L2_Typo</ability>
      <abilityName>字词错误</abilityName>
      <candidateList>
        <item>进入</item>
      </candidateList>
      <explain>〈动〉支进到某个范围或某个时期里：～学校｜～新阶段◇～角色。</explain>
      <paraID>781BF712</paraID>
      <start>77</start>
      <end>80</end>
      <status>ignored</status>
      <modifiedWord/>
      <trackRevisions>false</trackRevisions>
    </reviewItem>
    <reviewItem>
      <errorID>001277ec-01ea-4359-8700-2f9bf76a2f40</errorID>
      <errorWord>（</errorWord>
      <group>L1_Format</group>
      <groupName>格式问题</groupName>
      <ability>L2_HalfPunc</ability>
      <abilityName>全半角检查</abilityName>
      <candidateList>
        <item>(</item>
      </candidateList>
      <explain>文本全半角错误。</explain>
      <paraID>37DD6A6A</paraID>
      <start>2</start>
      <end>3</end>
      <status>ignored</status>
      <modifiedWord/>
      <trackRevisions>false</trackRevisions>
    </reviewItem>
    <reviewItem>
      <errorID>bd8f8a29-516f-4953-a060-65568b29bc08</errorID>
      <errorWord>）</errorWord>
      <group>L1_Format</group>
      <groupName>格式问题</groupName>
      <ability>L2_HalfPunc</ability>
      <abilityName>全半角检查</abilityName>
      <candidateList>
        <item>)</item>
      </candidateList>
      <explain>文本全半角错误。</explain>
      <paraID>37DD6A6A</paraID>
      <start>4</start>
      <end>5</end>
      <status>ignored</status>
      <modifiedWord/>
      <trackRevisions>false</trackRevisions>
    </reviewItem>
    <reviewItem>
      <errorID>a081253f-49bd-4975-b378-464ee109066a</errorID>
      <errorWord>、及</errorWord>
      <group>L1_Other</group>
      <groupName>其他问题</groupName>
      <ability>L2_UserTypo</ability>
      <abilityName>自定义错误</abilityName>
      <candidateList>
        <item>及</item>
      </candidateList>
      <explain>来自自定义错词库。</explain>
      <paraID>5A47FD1F</paraID>
      <start>5</start>
      <end>7</end>
      <status>ignored</status>
      <modifiedWord/>
      <trackRevisions>false</trackRevisions>
    </reviewItem>
    <reviewItem>
      <errorID>764d0c7b-7286-4904-be1e-0c7077f010a2</errorID>
      <errorWord>即为</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60A14BEB</paraID>
      <start>114</start>
      <end>115</end>
      <status>modified</status>
      <modifiedWord>即</modifiedWord>
      <trackRevisions>false</trackRevisions>
    </reviewItem>
    <reviewItem>
      <errorID>06110086-3a97-4e0d-9af1-b02b95d59713</errorID>
      <errorWord>途经</errorWord>
      <group>L1_Word</group>
      <groupName>字词问题</groupName>
      <ability>L2_Typo</ability>
      <abilityName>字词错误</abilityName>
      <candidateList>
        <item>途径</item>
      </candidateList>
      <explain>〈名〉路径（多用于比喻）：寻找解决问题的～｜革新的～。</explain>
      <paraID>3284DB30</paraID>
      <start>61</start>
      <end>63</end>
      <status>modified</status>
      <modifiedWord>途径</modifiedWord>
      <trackRevisions>false</trackRevisions>
    </reviewItem>
    <reviewItem>
      <errorID>017ecad7-8fdd-4123-bc73-2d1877ca3e84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754DF819</paraID>
      <start>23</start>
      <end>24</end>
      <status>ignored</status>
      <modifiedWord/>
      <trackRevisions>false</trackRevisions>
    </reviewItem>
    <reviewItem>
      <errorID>8eb55470-1086-4c42-902f-db89722594e5</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754DF819</paraID>
      <start>30</start>
      <end>31</end>
      <status>ignored</status>
      <modifiedWord/>
      <trackRevisions>false</trackRevisions>
    </reviewItem>
    <reviewItem>
      <errorID>a3a3ccda-b330-4030-a333-d330bf80e7fb</errorID>
      <errorWord>详</errorWord>
      <group>L1_Word</group>
      <groupName>字词问题</groupName>
      <ability>L2_Typo</ability>
      <abilityName>字词错误</abilityName>
      <candidateList>
        <item>详见</item>
      </candidateList>
      <explain/>
      <paraID> 3AA4599</paraID>
      <start>80</start>
      <end>82</end>
      <status>modified</status>
      <modifiedWord>详见</modifiedWord>
      <trackRevisions>false</trackRevisions>
    </reviewItem>
    <reviewItem>
      <errorID>c6dfbc0f-c114-4640-96d2-18ad43d821e3</errorID>
      <errorWord>（</errorWord>
      <group>L1_Format</group>
      <groupName>格式问题</groupName>
      <ability>L2_HalfPunc</ability>
      <abilityName>全半角检查</abilityName>
      <candidateList>
        <item>(</item>
      </candidateList>
      <explain>文本全半角错误。</explain>
      <paraID>260DC686</paraID>
      <start>36</start>
      <end>37</end>
      <status>ignored</status>
      <modifiedWord/>
      <trackRevisions>false</trackRevisions>
    </reviewItem>
    <reviewItem>
      <errorID>15cc8555-38bd-430b-beb4-68f0f65b6d07</errorID>
      <errorWord>）</errorWord>
      <group>L1_Format</group>
      <groupName>格式问题</groupName>
      <ability>L2_HalfPunc</ability>
      <abilityName>全半角检查</abilityName>
      <candidateList>
        <item>)</item>
      </candidateList>
      <explain>文本全半角错误。</explain>
      <paraID>260DC686</paraID>
      <start>38</start>
      <end>39</end>
      <status>ignored</status>
      <modifiedWord/>
      <trackRevisions>false</trackRevisions>
    </reviewItem>
    <reviewItem>
      <errorID>320d4541-740a-479b-b811-51b53bbf1d77</errorID>
      <errorWord>，...，</errorWord>
      <group>L1_Punc</group>
      <groupName>标点问题</groupName>
      <ability>L2_Punc</ability>
      <abilityName>标点符号检查</abilityName>
      <candidateList>
        <item>，</item>
      </candidateList>
      <explain/>
      <paraID>5CADF3C9</paraID>
      <start>8</start>
      <end>13</end>
      <status>ignored</status>
      <modifiedWord/>
      <trackRevisions>false</trackRevisions>
    </reviewItem>
    <reviewItem>
      <errorID>80995dd4-9d16-4ff7-99d7-e6374759d76f</errorID>
      <errorWord>，...，</errorWord>
      <group>L1_Punc</group>
      <groupName>标点问题</groupName>
      <ability>L2_Punc</ability>
      <abilityName>标点符号检查</abilityName>
      <candidateList>
        <item>，</item>
      </candidateList>
      <explain/>
      <paraID>424F18B5</paraID>
      <start>5</start>
      <end>10</end>
      <status>ignored</status>
      <modifiedWord/>
      <trackRevisions>false</trackRevisions>
    </reviewItem>
    <reviewItem>
      <errorID>9ea2d3a0-fe6b-4f67-88c9-538490ec6da6</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29F07CFC</paraID>
      <start>153</start>
      <end>154</end>
      <status>modified</status>
      <modifiedWord>地</modifiedWord>
      <trackRevisions>false</trackRevisions>
    </reviewItem>
    <reviewItem>
      <errorID>7878a383-eb01-4982-8a8a-eee366c09b82</errorID>
      <errorWord>(</errorWord>
      <group>L1_Format</group>
      <groupName>格式问题</groupName>
      <ability>L2_HalfPunc</ability>
      <abilityName>全半角检查</abilityName>
      <candidateList>
        <item>（</item>
      </candidateList>
      <explain>文本全半角错误。</explain>
      <paraID>6133FBDA</paraID>
      <start>3</start>
      <end>4</end>
      <status>ignored</status>
      <modifiedWord/>
      <trackRevisions>false</trackRevisions>
    </reviewItem>
    <reviewItem>
      <errorID>01b9e972-6e5d-4667-b358-278cba865db2</errorID>
      <errorWord>)</errorWord>
      <group>L1_Format</group>
      <groupName>格式问题</groupName>
      <ability>L2_HalfPunc</ability>
      <abilityName>全半角检查</abilityName>
      <candidateList>
        <item>）</item>
      </candidateList>
      <explain>文本全半角错误。</explain>
      <paraID>6133FBDA</paraID>
      <start>9</start>
      <end>10</end>
      <status>ignored</status>
      <modifiedWord/>
      <trackRevisions>false</trackRevisions>
    </reviewItem>
    <reviewItem>
      <errorID>206fbd27-9a2a-4865-a487-885fc836c277</errorID>
      <errorWord>家</errorWord>
      <group>L1_Word</group>
      <groupName>字词问题</groupName>
      <ability>L2_Typo</ability>
      <abilityName>字词错误</abilityName>
      <candidateList>
        <item>家和</item>
      </candidateList>
      <explain/>
      <paraID>27771F80</paraID>
      <start>35</start>
      <end>37</end>
      <status>modified</status>
      <modifiedWord>家和</modifiedWord>
      <trackRevisions>false</trackRevisions>
    </reviewItem>
    <reviewItem>
      <errorID>8950b352-6767-4cda-a643-dce290417e57</errorID>
      <errorWord>法律、法规</errorWord>
      <group>L1_Word</group>
      <groupName>字词问题</groupName>
      <ability>L2_Typo</ability>
      <abilityName>字词错误</abilityName>
      <candidateList>
        <item>法律法规</item>
      </candidateList>
      <explain/>
      <paraID>27771F80</paraID>
      <start>42</start>
      <end>46</end>
      <status>modified</status>
      <modifiedWord>法律法规</modifiedWord>
      <trackRevisions>false</trackRevisions>
    </reviewItem>
    <reviewItem>
      <errorID>d70a1c2e-6844-4ce1-9ae0-2ceb7e75eb61</errorID>
      <errorWord>提高</errorWord>
      <group>L1_Grammar</group>
      <groupName>语法问题</groupName>
      <ability>L2_Grammar</ability>
      <abilityName>语法错误</abilityName>
      <candidateList>
        <item>增强</item>
      </candidateList>
      <explain>“提高～意识”搭配不当，建议修改为“增强～意识”。</explain>
      <paraID>17319EF8</paraID>
      <start>28</start>
      <end>30</end>
      <status>modified</status>
      <modifiedWord>增强</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a9c4e2-77c1-4b15-b812-81b57519c0a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93</Pages>
  <Words>15641</Words>
  <Characters>16552</Characters>
  <Lines>298</Lines>
  <Paragraphs>84</Paragraphs>
  <TotalTime>2</TotalTime>
  <ScaleCrop>false</ScaleCrop>
  <LinksUpToDate>false</LinksUpToDate>
  <CharactersWithSpaces>16661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懿安</cp:lastModifiedBy>
  <cp:lastPrinted>2022-06-06T02:38:00Z</cp:lastPrinted>
  <dcterms:modified xsi:type="dcterms:W3CDTF">2026-09-04T16:54:58Z</dcterms:modified>
  <dc:title>附件2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A464BA36E89B4B8BB5D298BD86AF4A77_13</vt:lpwstr>
  </property>
  <property fmtid="{D5CDD505-2E9C-101B-9397-08002B2CF9AE}" pid="4" name="KSOTemplateDocerSaveRecord">
    <vt:lpwstr>eyJoZGlkIjoiYjRkZjcwZTU0MzQ0OGZlZTcxNTlkZDFhMGI3N2MwYmMiLCJ1c2VySWQiOiIyNDE3NDU1MSJ9</vt:lpwstr>
  </property>
</Properties>
</file>