
<file path=[Content_Types].xml><?xml version="1.0" encoding="utf-8"?>
<Types xmlns="http://schemas.openxmlformats.org/package/2006/content-types">
  <Default Extension="xml" ContentType="application/xml"/>
  <Default Extension="jpeg" ContentType="image/jpeg"/>
  <Default Extension="JPG" ContentType="image/.jpg"/>
  <Default Extension="wmf" ContentType="image/x-wmf"/>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F100816">
      <w:pPr>
        <w:rPr>
          <w:rFonts w:ascii="仿宋_GB2312" w:hAnsi="仿宋_GB2312" w:eastAsia="仿宋_GB2312" w:cs="仿宋_GB2312"/>
          <w:color w:val="auto"/>
          <w:sz w:val="36"/>
          <w:szCs w:val="36"/>
        </w:rPr>
      </w:pPr>
    </w:p>
    <w:p w14:paraId="15756EE0">
      <w:pPr>
        <w:rPr>
          <w:rFonts w:ascii="仿宋_GB2312" w:hAnsi="仿宋_GB2312" w:eastAsia="仿宋_GB2312" w:cs="仿宋_GB2312"/>
          <w:color w:val="auto"/>
          <w:sz w:val="36"/>
          <w:szCs w:val="36"/>
        </w:rPr>
      </w:pPr>
    </w:p>
    <w:p w14:paraId="0FD2B687">
      <w:pPr>
        <w:rPr>
          <w:rFonts w:ascii="仿宋_GB2312" w:hAnsi="仿宋_GB2312" w:eastAsia="仿宋_GB2312" w:cs="仿宋_GB2312"/>
          <w:color w:val="auto"/>
          <w:sz w:val="36"/>
          <w:szCs w:val="36"/>
        </w:rPr>
      </w:pPr>
    </w:p>
    <w:p w14:paraId="06E3DE32">
      <w:pPr>
        <w:rPr>
          <w:rFonts w:ascii="仿宋_GB2312" w:hAnsi="仿宋_GB2312" w:eastAsia="仿宋_GB2312" w:cs="仿宋_GB2312"/>
          <w:color w:val="auto"/>
          <w:sz w:val="36"/>
          <w:szCs w:val="36"/>
        </w:rPr>
      </w:pPr>
    </w:p>
    <w:p w14:paraId="0B29F5A8">
      <w:pPr>
        <w:rPr>
          <w:rFonts w:hint="eastAsia" w:ascii="仿宋_GB2312" w:hAnsi="仿宋_GB2312" w:eastAsia="仿宋_GB2312" w:cs="仿宋_GB2312"/>
          <w:color w:val="auto"/>
          <w:sz w:val="36"/>
          <w:szCs w:val="36"/>
        </w:rPr>
      </w:pPr>
    </w:p>
    <w:p w14:paraId="0CA65E27">
      <w:pPr>
        <w:adjustRightInd w:val="0"/>
        <w:snapToGrid w:val="0"/>
        <w:jc w:val="center"/>
        <w:rPr>
          <w:rFonts w:hint="eastAsia" w:ascii="方正小标宋_GBK" w:eastAsia="方正小标宋_GBK"/>
          <w:bCs/>
          <w:color w:val="auto"/>
          <w:sz w:val="72"/>
          <w:szCs w:val="72"/>
        </w:rPr>
      </w:pPr>
      <w:r>
        <w:rPr>
          <w:rFonts w:hint="eastAsia" w:ascii="方正小标宋_GBK" w:eastAsia="方正小标宋_GBK"/>
          <w:bCs/>
          <w:color w:val="auto"/>
          <w:sz w:val="72"/>
          <w:szCs w:val="72"/>
        </w:rPr>
        <w:t>建设项目环境影响报告表</w:t>
      </w:r>
    </w:p>
    <w:p w14:paraId="1C4B1463">
      <w:pPr>
        <w:adjustRightInd w:val="0"/>
        <w:snapToGrid w:val="0"/>
        <w:spacing w:before="192" w:beforeLines="80"/>
        <w:jc w:val="center"/>
        <w:rPr>
          <w:rFonts w:hint="eastAsia" w:ascii="楷体_GB2312" w:eastAsia="楷体_GB2312"/>
          <w:bCs/>
          <w:color w:val="auto"/>
          <w:sz w:val="48"/>
          <w:szCs w:val="48"/>
        </w:rPr>
      </w:pPr>
      <w:r>
        <w:rPr>
          <w:rFonts w:hint="eastAsia" w:ascii="楷体_GB2312" w:eastAsia="楷体_GB2312"/>
          <w:bCs/>
          <w:color w:val="auto"/>
          <w:sz w:val="48"/>
          <w:szCs w:val="48"/>
        </w:rPr>
        <w:t>（污染影响类）</w:t>
      </w:r>
    </w:p>
    <w:p w14:paraId="14E4E63F">
      <w:pPr>
        <w:adjustRightInd w:val="0"/>
        <w:snapToGrid w:val="0"/>
        <w:rPr>
          <w:color w:val="auto"/>
        </w:rPr>
      </w:pPr>
    </w:p>
    <w:p w14:paraId="74509B47">
      <w:pPr>
        <w:adjustRightInd w:val="0"/>
        <w:snapToGrid w:val="0"/>
        <w:jc w:val="center"/>
        <w:rPr>
          <w:rFonts w:eastAsia="仿宋"/>
          <w:color w:val="auto"/>
          <w:sz w:val="52"/>
          <w:szCs w:val="52"/>
        </w:rPr>
      </w:pPr>
    </w:p>
    <w:p w14:paraId="0A22DCE4">
      <w:pPr>
        <w:pStyle w:val="19"/>
        <w:rPr>
          <w:color w:val="auto"/>
        </w:rPr>
      </w:pPr>
    </w:p>
    <w:p w14:paraId="382C8E16">
      <w:pPr>
        <w:pStyle w:val="19"/>
        <w:rPr>
          <w:color w:val="auto"/>
        </w:rPr>
      </w:pPr>
    </w:p>
    <w:p w14:paraId="7ED1AA2C">
      <w:pPr>
        <w:pStyle w:val="19"/>
        <w:rPr>
          <w:color w:val="auto"/>
        </w:rPr>
      </w:pPr>
    </w:p>
    <w:p w14:paraId="57E81C23">
      <w:pPr>
        <w:pStyle w:val="19"/>
        <w:rPr>
          <w:rFonts w:hint="eastAsia"/>
          <w:color w:val="auto"/>
        </w:rPr>
      </w:pPr>
    </w:p>
    <w:p w14:paraId="22BCF519">
      <w:pPr>
        <w:ind w:firstLine="1040"/>
        <w:rPr>
          <w:rFonts w:eastAsia="仿宋"/>
          <w:color w:val="auto"/>
          <w:sz w:val="44"/>
          <w:szCs w:val="44"/>
        </w:rPr>
      </w:pPr>
    </w:p>
    <w:p w14:paraId="654FF1AD">
      <w:pPr>
        <w:ind w:firstLine="1040"/>
        <w:rPr>
          <w:rFonts w:eastAsia="仿宋"/>
          <w:color w:val="auto"/>
          <w:sz w:val="44"/>
          <w:szCs w:val="44"/>
        </w:rPr>
      </w:pPr>
    </w:p>
    <w:p w14:paraId="25305F9C">
      <w:pPr>
        <w:spacing w:before="48" w:beforeLines="20" w:after="48" w:afterLines="20" w:line="360" w:lineRule="auto"/>
        <w:rPr>
          <w:rFonts w:eastAsia="仿宋"/>
          <w:color w:val="auto"/>
          <w:sz w:val="44"/>
          <w:szCs w:val="44"/>
        </w:rPr>
      </w:pPr>
      <w:r>
        <w:rPr>
          <w:rFonts w:eastAsia="仿宋"/>
          <w:color w:val="auto"/>
          <w:sz w:val="36"/>
          <w:szCs w:val="36"/>
        </w:rPr>
        <w:t>项目名称：</w:t>
      </w:r>
      <w:r>
        <w:rPr>
          <w:rFonts w:hint="eastAsia" w:eastAsia="仿宋"/>
          <w:color w:val="auto"/>
          <w:sz w:val="36"/>
          <w:szCs w:val="36"/>
          <w:u w:val="single"/>
          <w:lang w:val="en-US" w:eastAsia="zh-CN"/>
        </w:rPr>
        <w:t>新疆鑫地检测技术服务有限公司地质矿产分析实验室</w:t>
      </w:r>
      <w:r>
        <w:rPr>
          <w:rFonts w:hint="eastAsia" w:eastAsia="仿宋"/>
          <w:color w:val="auto"/>
          <w:sz w:val="36"/>
          <w:szCs w:val="36"/>
          <w:u w:val="single"/>
        </w:rPr>
        <w:t xml:space="preserve">       </w:t>
      </w:r>
      <w:r>
        <w:rPr>
          <w:rFonts w:hint="eastAsia" w:eastAsia="仿宋"/>
          <w:color w:val="auto"/>
          <w:sz w:val="36"/>
          <w:szCs w:val="36"/>
          <w:u w:val="single"/>
          <w:lang w:val="en-US" w:eastAsia="zh-CN"/>
        </w:rPr>
        <w:t xml:space="preserve">                      </w:t>
      </w:r>
      <w:r>
        <w:rPr>
          <w:rFonts w:hint="eastAsia" w:eastAsia="仿宋"/>
          <w:color w:val="auto"/>
          <w:sz w:val="36"/>
          <w:szCs w:val="36"/>
          <w:u w:val="single"/>
        </w:rPr>
        <w:t xml:space="preserve">     </w:t>
      </w:r>
      <w:r>
        <w:rPr>
          <w:rFonts w:hint="eastAsia" w:eastAsia="仿宋"/>
          <w:color w:val="auto"/>
          <w:sz w:val="36"/>
          <w:szCs w:val="36"/>
          <w:u w:val="single"/>
          <w:lang w:val="en-US" w:eastAsia="zh-CN"/>
        </w:rPr>
        <w:t xml:space="preserve">  </w:t>
      </w:r>
      <w:r>
        <w:rPr>
          <w:rFonts w:hint="eastAsia" w:eastAsia="仿宋"/>
          <w:color w:val="auto"/>
          <w:sz w:val="36"/>
          <w:szCs w:val="36"/>
          <w:u w:val="single"/>
        </w:rPr>
        <w:t xml:space="preserve">         </w:t>
      </w:r>
    </w:p>
    <w:p w14:paraId="29A32FB1">
      <w:pPr>
        <w:adjustRightInd w:val="0"/>
        <w:snapToGrid w:val="0"/>
        <w:spacing w:before="48" w:beforeLines="20" w:after="48" w:afterLines="20" w:line="360" w:lineRule="auto"/>
        <w:rPr>
          <w:rFonts w:ascii="仿宋_GB2312" w:eastAsia="仿宋_GB2312"/>
          <w:color w:val="auto"/>
          <w:sz w:val="36"/>
          <w:szCs w:val="36"/>
        </w:rPr>
      </w:pPr>
      <w:bookmarkStart w:id="0" w:name="_Hlk57884087"/>
      <w:r>
        <w:rPr>
          <w:rFonts w:eastAsia="仿宋"/>
          <w:color w:val="auto"/>
          <w:sz w:val="36"/>
          <w:szCs w:val="36"/>
        </w:rPr>
        <w:t>建设单位（盖章）：</w:t>
      </w:r>
      <w:r>
        <w:rPr>
          <w:rFonts w:hint="eastAsia" w:eastAsia="仿宋"/>
          <w:color w:val="auto"/>
          <w:sz w:val="36"/>
          <w:szCs w:val="36"/>
          <w:u w:val="single"/>
        </w:rPr>
        <w:t xml:space="preserve">  </w:t>
      </w:r>
      <w:r>
        <w:rPr>
          <w:rFonts w:hint="eastAsia" w:eastAsia="仿宋"/>
          <w:color w:val="auto"/>
          <w:sz w:val="36"/>
          <w:szCs w:val="36"/>
          <w:u w:val="single"/>
          <w:lang w:eastAsia="zh-CN"/>
        </w:rPr>
        <w:t>新疆鑫地检测技术服务有限公司</w:t>
      </w:r>
      <w:r>
        <w:rPr>
          <w:rFonts w:hint="eastAsia" w:eastAsia="仿宋"/>
          <w:color w:val="auto"/>
          <w:sz w:val="36"/>
          <w:szCs w:val="36"/>
          <w:u w:val="single"/>
        </w:rPr>
        <w:t xml:space="preserve">   </w:t>
      </w:r>
    </w:p>
    <w:p w14:paraId="19992FD6">
      <w:pPr>
        <w:adjustRightInd w:val="0"/>
        <w:snapToGrid w:val="0"/>
        <w:spacing w:before="48" w:beforeLines="20" w:after="48" w:afterLines="20" w:line="360" w:lineRule="auto"/>
        <w:jc w:val="left"/>
        <w:rPr>
          <w:rFonts w:ascii="仿宋_GB2312" w:eastAsia="仿宋_GB2312"/>
          <w:color w:val="auto"/>
          <w:sz w:val="36"/>
          <w:szCs w:val="36"/>
        </w:rPr>
      </w:pPr>
      <w:r>
        <w:rPr>
          <w:rFonts w:eastAsia="仿宋"/>
          <w:color w:val="auto"/>
          <w:sz w:val="36"/>
          <w:szCs w:val="36"/>
        </w:rPr>
        <w:t>编制日期：</w:t>
      </w:r>
      <w:r>
        <w:rPr>
          <w:rFonts w:eastAsia="仿宋"/>
          <w:color w:val="auto"/>
          <w:sz w:val="36"/>
          <w:szCs w:val="36"/>
          <w:u w:val="single"/>
        </w:rPr>
        <w:t xml:space="preserve">             </w:t>
      </w:r>
      <w:r>
        <w:rPr>
          <w:rFonts w:eastAsia="仿宋"/>
          <w:color w:val="auto"/>
          <w:sz w:val="36"/>
          <w:szCs w:val="36"/>
          <w:u w:val="single"/>
        </w:rPr>
        <w:fldChar w:fldCharType="begin"/>
      </w:r>
      <w:r>
        <w:rPr>
          <w:rFonts w:eastAsia="仿宋"/>
          <w:color w:val="auto"/>
          <w:sz w:val="36"/>
          <w:szCs w:val="36"/>
          <w:u w:val="single"/>
        </w:rPr>
        <w:instrText xml:space="preserve"> </w:instrText>
      </w:r>
      <w:r>
        <w:rPr>
          <w:rFonts w:hint="eastAsia" w:eastAsia="仿宋"/>
          <w:color w:val="auto"/>
          <w:sz w:val="36"/>
          <w:szCs w:val="36"/>
          <w:u w:val="single"/>
        </w:rPr>
        <w:instrText xml:space="preserve">TIME \@ "yyyy年M月"</w:instrText>
      </w:r>
      <w:r>
        <w:rPr>
          <w:rFonts w:eastAsia="仿宋"/>
          <w:color w:val="auto"/>
          <w:sz w:val="36"/>
          <w:szCs w:val="36"/>
          <w:u w:val="single"/>
        </w:rPr>
        <w:instrText xml:space="preserve"> </w:instrText>
      </w:r>
      <w:r>
        <w:rPr>
          <w:rFonts w:eastAsia="仿宋"/>
          <w:color w:val="auto"/>
          <w:sz w:val="36"/>
          <w:szCs w:val="36"/>
          <w:u w:val="single"/>
        </w:rPr>
        <w:fldChar w:fldCharType="separate"/>
      </w:r>
      <w:r>
        <w:rPr>
          <w:rFonts w:hint="eastAsia" w:eastAsia="仿宋"/>
          <w:color w:val="auto"/>
          <w:sz w:val="36"/>
          <w:szCs w:val="36"/>
          <w:u w:val="single"/>
        </w:rPr>
        <w:t>2026年5月</w:t>
      </w:r>
      <w:r>
        <w:rPr>
          <w:rFonts w:eastAsia="仿宋"/>
          <w:color w:val="auto"/>
          <w:sz w:val="36"/>
          <w:szCs w:val="36"/>
          <w:u w:val="single"/>
        </w:rPr>
        <w:fldChar w:fldCharType="end"/>
      </w:r>
      <w:r>
        <w:rPr>
          <w:rFonts w:hint="eastAsia" w:eastAsia="仿宋"/>
          <w:color w:val="auto"/>
          <w:sz w:val="36"/>
          <w:szCs w:val="36"/>
          <w:u w:val="single"/>
        </w:rPr>
        <w:t xml:space="preserve"> </w:t>
      </w:r>
      <w:r>
        <w:rPr>
          <w:rFonts w:eastAsia="仿宋"/>
          <w:color w:val="auto"/>
          <w:sz w:val="36"/>
          <w:szCs w:val="36"/>
          <w:u w:val="single"/>
        </w:rPr>
        <w:t xml:space="preserve">                </w:t>
      </w:r>
    </w:p>
    <w:p w14:paraId="26C7B76E">
      <w:pPr>
        <w:adjustRightInd w:val="0"/>
        <w:snapToGrid w:val="0"/>
        <w:spacing w:line="288" w:lineRule="auto"/>
        <w:ind w:firstLine="1040"/>
        <w:rPr>
          <w:rFonts w:hint="eastAsia" w:ascii="仿宋_GB2312" w:eastAsia="仿宋_GB2312"/>
          <w:color w:val="auto"/>
          <w:sz w:val="36"/>
          <w:szCs w:val="36"/>
        </w:rPr>
      </w:pPr>
    </w:p>
    <w:bookmarkEnd w:id="0"/>
    <w:p w14:paraId="7E714564">
      <w:pPr>
        <w:adjustRightInd w:val="0"/>
        <w:snapToGrid w:val="0"/>
        <w:spacing w:line="288" w:lineRule="auto"/>
        <w:jc w:val="center"/>
        <w:rPr>
          <w:rFonts w:ascii="楷体_GB2312" w:eastAsia="楷体_GB2312"/>
          <w:color w:val="auto"/>
          <w:sz w:val="36"/>
          <w:szCs w:val="36"/>
        </w:rPr>
      </w:pPr>
    </w:p>
    <w:p w14:paraId="2A6D1B83">
      <w:pPr>
        <w:adjustRightInd w:val="0"/>
        <w:snapToGrid w:val="0"/>
        <w:spacing w:line="288" w:lineRule="auto"/>
        <w:jc w:val="center"/>
        <w:rPr>
          <w:rFonts w:ascii="楷体_GB2312" w:eastAsia="楷体_GB2312"/>
          <w:color w:val="auto"/>
          <w:sz w:val="36"/>
          <w:szCs w:val="36"/>
        </w:rPr>
      </w:pPr>
    </w:p>
    <w:p w14:paraId="6E66AE5E">
      <w:pPr>
        <w:adjustRightInd w:val="0"/>
        <w:snapToGrid w:val="0"/>
        <w:spacing w:line="288" w:lineRule="auto"/>
        <w:jc w:val="center"/>
        <w:rPr>
          <w:rFonts w:ascii="楷体_GB2312" w:eastAsia="楷体_GB2312"/>
          <w:color w:val="auto"/>
          <w:sz w:val="36"/>
          <w:szCs w:val="36"/>
        </w:rPr>
      </w:pPr>
    </w:p>
    <w:p w14:paraId="27F7D275">
      <w:pPr>
        <w:adjustRightInd w:val="0"/>
        <w:snapToGrid w:val="0"/>
        <w:spacing w:line="288" w:lineRule="auto"/>
        <w:jc w:val="center"/>
        <w:rPr>
          <w:rFonts w:ascii="楷体_GB2312" w:eastAsia="楷体_GB2312"/>
          <w:color w:val="auto"/>
          <w:sz w:val="36"/>
          <w:szCs w:val="36"/>
        </w:rPr>
      </w:pPr>
    </w:p>
    <w:p w14:paraId="2E475970">
      <w:pPr>
        <w:adjustRightInd w:val="0"/>
        <w:snapToGrid w:val="0"/>
        <w:spacing w:line="288" w:lineRule="auto"/>
        <w:jc w:val="center"/>
        <w:rPr>
          <w:rFonts w:ascii="楷体_GB2312" w:eastAsia="楷体_GB2312"/>
          <w:color w:val="auto"/>
          <w:sz w:val="36"/>
          <w:szCs w:val="36"/>
        </w:rPr>
      </w:pPr>
    </w:p>
    <w:p w14:paraId="1F82701C">
      <w:pPr>
        <w:adjustRightInd w:val="0"/>
        <w:snapToGrid w:val="0"/>
        <w:spacing w:line="288" w:lineRule="auto"/>
        <w:jc w:val="center"/>
        <w:rPr>
          <w:rFonts w:hint="eastAsia" w:ascii="楷体_GB2312" w:eastAsia="楷体_GB2312"/>
          <w:color w:val="auto"/>
          <w:sz w:val="36"/>
          <w:szCs w:val="36"/>
        </w:rPr>
        <w:sectPr>
          <w:footerReference r:id="rId3" w:type="default"/>
          <w:footerReference r:id="rId4" w:type="even"/>
          <w:pgSz w:w="11907" w:h="16840"/>
          <w:pgMar w:top="1418" w:right="1418" w:bottom="1418" w:left="1418" w:header="851" w:footer="1077" w:gutter="0"/>
          <w:pgBorders>
            <w:top w:val="none" w:sz="0" w:space="0"/>
            <w:left w:val="none" w:sz="0" w:space="0"/>
            <w:bottom w:val="none" w:sz="0" w:space="0"/>
            <w:right w:val="none" w:sz="0" w:space="0"/>
          </w:pgBorders>
          <w:pgNumType w:start="3"/>
          <w:cols w:space="720" w:num="1"/>
          <w:docGrid w:linePitch="312" w:charSpace="0"/>
        </w:sectPr>
      </w:pPr>
      <w:r>
        <w:rPr>
          <w:rFonts w:hint="eastAsia" w:ascii="楷体_GB2312" w:eastAsia="楷体_GB2312"/>
          <w:color w:val="auto"/>
          <w:sz w:val="36"/>
          <w:szCs w:val="36"/>
        </w:rPr>
        <w:t>中华人民共和国生态环境部制</w:t>
      </w:r>
    </w:p>
    <w:tbl>
      <w:tblPr>
        <w:tblStyle w:val="28"/>
        <w:tblW w:w="5000" w:type="pct"/>
        <w:jc w:val="center"/>
        <w:tblLayout w:type="fixed"/>
        <w:tblCellMar>
          <w:top w:w="0" w:type="dxa"/>
          <w:left w:w="108" w:type="dxa"/>
          <w:bottom w:w="0" w:type="dxa"/>
          <w:right w:w="108" w:type="dxa"/>
        </w:tblCellMar>
      </w:tblPr>
      <w:tblGrid>
        <w:gridCol w:w="4642"/>
        <w:gridCol w:w="4645"/>
      </w:tblGrid>
      <w:tr w14:paraId="6F221424">
        <w:trPr>
          <w:trHeight w:val="3458" w:hRule="atLeast"/>
          <w:jc w:val="center"/>
        </w:trPr>
        <w:tc>
          <w:tcPr>
            <w:tcW w:w="2499" w:type="pct"/>
            <w:noWrap w:val="0"/>
            <w:vAlign w:val="center"/>
          </w:tcPr>
          <w:p w14:paraId="058785D0">
            <w:pPr>
              <w:pBdr>
                <w:top w:val="none" w:color="auto" w:sz="0" w:space="1"/>
                <w:left w:val="none" w:color="auto" w:sz="0" w:space="4"/>
                <w:bottom w:val="none" w:color="auto" w:sz="0" w:space="1"/>
                <w:right w:val="none" w:color="auto" w:sz="0" w:space="4"/>
              </w:pBdr>
              <w:adjustRightInd w:val="0"/>
              <w:snapToGrid w:val="0"/>
              <w:jc w:val="center"/>
              <w:rPr>
                <w:rFonts w:hint="eastAsia" w:eastAsia="宋体"/>
                <w:color w:val="auto"/>
                <w:sz w:val="24"/>
                <w:lang w:eastAsia="zh-CN"/>
              </w:rPr>
            </w:pPr>
            <w:r>
              <w:rPr>
                <w:rFonts w:hint="eastAsia" w:eastAsia="宋体"/>
                <w:color w:val="auto"/>
                <w:sz w:val="24"/>
                <w:lang w:eastAsia="zh-CN"/>
              </w:rPr>
              <w:drawing>
                <wp:inline distT="0" distB="0" distL="114300" distR="114300">
                  <wp:extent cx="2803525" cy="2102485"/>
                  <wp:effectExtent l="0" t="0" r="15875" b="12065"/>
                  <wp:docPr id="91" name="图片 91" descr="微信图片_20251203104829_12_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微信图片_20251203104829_12_803"/>
                          <pic:cNvPicPr>
                            <a:picLocks noChangeAspect="1"/>
                          </pic:cNvPicPr>
                        </pic:nvPicPr>
                        <pic:blipFill>
                          <a:blip r:embed="rId14"/>
                          <a:stretch>
                            <a:fillRect/>
                          </a:stretch>
                        </pic:blipFill>
                        <pic:spPr>
                          <a:xfrm>
                            <a:off x="0" y="0"/>
                            <a:ext cx="2803525" cy="2102485"/>
                          </a:xfrm>
                          <a:prstGeom prst="rect">
                            <a:avLst/>
                          </a:prstGeom>
                        </pic:spPr>
                      </pic:pic>
                    </a:graphicData>
                  </a:graphic>
                </wp:inline>
              </w:drawing>
            </w:r>
          </w:p>
          <w:p w14:paraId="0150EDA6">
            <w:pPr>
              <w:pBdr>
                <w:top w:val="none" w:color="auto" w:sz="0" w:space="1"/>
                <w:left w:val="none" w:color="auto" w:sz="0" w:space="4"/>
                <w:bottom w:val="none" w:color="auto" w:sz="0" w:space="1"/>
                <w:right w:val="none" w:color="auto" w:sz="0" w:space="4"/>
              </w:pBdr>
              <w:adjustRightInd w:val="0"/>
              <w:snapToGrid w:val="0"/>
              <w:spacing w:before="120" w:beforeLines="50" w:after="24" w:afterLines="10"/>
              <w:jc w:val="center"/>
              <w:rPr>
                <w:rFonts w:hint="eastAsia" w:eastAsia="宋体"/>
                <w:b/>
                <w:color w:val="auto"/>
                <w:sz w:val="24"/>
                <w:lang w:val="en-US" w:eastAsia="zh-CN"/>
              </w:rPr>
            </w:pPr>
            <w:r>
              <w:rPr>
                <w:rFonts w:hint="eastAsia"/>
                <w:b/>
                <w:color w:val="auto"/>
                <w:sz w:val="24"/>
              </w:rPr>
              <w:t>项目区南侧</w:t>
            </w:r>
          </w:p>
        </w:tc>
        <w:tc>
          <w:tcPr>
            <w:tcW w:w="2500" w:type="pct"/>
            <w:noWrap w:val="0"/>
            <w:vAlign w:val="center"/>
          </w:tcPr>
          <w:p w14:paraId="17AF5011">
            <w:pPr>
              <w:pBdr>
                <w:top w:val="none" w:color="auto" w:sz="0" w:space="1"/>
                <w:left w:val="none" w:color="auto" w:sz="0" w:space="4"/>
                <w:bottom w:val="none" w:color="auto" w:sz="0" w:space="1"/>
                <w:right w:val="none" w:color="auto" w:sz="0" w:space="4"/>
              </w:pBdr>
              <w:adjustRightInd w:val="0"/>
              <w:snapToGrid w:val="0"/>
              <w:jc w:val="center"/>
              <w:rPr>
                <w:rFonts w:hint="eastAsia" w:eastAsia="宋体"/>
                <w:color w:val="auto"/>
                <w:sz w:val="24"/>
                <w:lang w:eastAsia="zh-CN"/>
              </w:rPr>
            </w:pPr>
            <w:r>
              <w:rPr>
                <w:rFonts w:hint="eastAsia" w:eastAsia="宋体"/>
                <w:color w:val="auto"/>
                <w:sz w:val="24"/>
                <w:lang w:eastAsia="zh-CN"/>
              </w:rPr>
              <w:drawing>
                <wp:inline distT="0" distB="0" distL="114300" distR="114300">
                  <wp:extent cx="2803525" cy="2102485"/>
                  <wp:effectExtent l="0" t="0" r="15875" b="12065"/>
                  <wp:docPr id="92" name="图片 92" descr="微信图片_20251203104822_8_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微信图片_20251203104822_8_803"/>
                          <pic:cNvPicPr>
                            <a:picLocks noChangeAspect="1"/>
                          </pic:cNvPicPr>
                        </pic:nvPicPr>
                        <pic:blipFill>
                          <a:blip r:embed="rId15"/>
                          <a:stretch>
                            <a:fillRect/>
                          </a:stretch>
                        </pic:blipFill>
                        <pic:spPr>
                          <a:xfrm>
                            <a:off x="0" y="0"/>
                            <a:ext cx="2803525" cy="2102485"/>
                          </a:xfrm>
                          <a:prstGeom prst="rect">
                            <a:avLst/>
                          </a:prstGeom>
                        </pic:spPr>
                      </pic:pic>
                    </a:graphicData>
                  </a:graphic>
                </wp:inline>
              </w:drawing>
            </w:r>
          </w:p>
          <w:p w14:paraId="3989E952">
            <w:pPr>
              <w:pStyle w:val="19"/>
              <w:adjustRightInd w:val="0"/>
              <w:spacing w:before="120" w:beforeLines="50" w:after="24" w:afterLines="10"/>
              <w:jc w:val="center"/>
              <w:rPr>
                <w:b/>
                <w:color w:val="auto"/>
                <w:sz w:val="24"/>
              </w:rPr>
            </w:pPr>
            <w:r>
              <w:rPr>
                <w:rFonts w:hint="eastAsia"/>
                <w:b/>
                <w:color w:val="auto"/>
                <w:kern w:val="2"/>
                <w:sz w:val="24"/>
                <w:szCs w:val="24"/>
              </w:rPr>
              <w:t>项目区北侧园区厂房</w:t>
            </w:r>
          </w:p>
        </w:tc>
      </w:tr>
      <w:tr w14:paraId="2AABB34E">
        <w:tblPrEx>
          <w:tblCellMar>
            <w:top w:w="0" w:type="dxa"/>
            <w:left w:w="108" w:type="dxa"/>
            <w:bottom w:w="0" w:type="dxa"/>
            <w:right w:w="108" w:type="dxa"/>
          </w:tblCellMar>
        </w:tblPrEx>
        <w:trPr>
          <w:trHeight w:val="3458" w:hRule="atLeast"/>
          <w:jc w:val="center"/>
        </w:trPr>
        <w:tc>
          <w:tcPr>
            <w:tcW w:w="2499" w:type="pct"/>
            <w:noWrap w:val="0"/>
            <w:vAlign w:val="center"/>
          </w:tcPr>
          <w:p w14:paraId="0FAD8A35">
            <w:pPr>
              <w:pBdr>
                <w:top w:val="none" w:color="auto" w:sz="0" w:space="1"/>
                <w:left w:val="none" w:color="auto" w:sz="0" w:space="4"/>
                <w:bottom w:val="none" w:color="auto" w:sz="0" w:space="1"/>
                <w:right w:val="none" w:color="auto" w:sz="0" w:space="4"/>
              </w:pBdr>
              <w:adjustRightInd w:val="0"/>
              <w:snapToGrid w:val="0"/>
              <w:jc w:val="center"/>
              <w:rPr>
                <w:rFonts w:hint="eastAsia" w:eastAsia="宋体"/>
                <w:color w:val="auto"/>
                <w:sz w:val="24"/>
                <w:lang w:eastAsia="zh-CN"/>
              </w:rPr>
            </w:pPr>
            <w:r>
              <w:rPr>
                <w:rFonts w:hint="eastAsia" w:eastAsia="宋体"/>
                <w:color w:val="auto"/>
                <w:sz w:val="24"/>
                <w:lang w:eastAsia="zh-CN"/>
              </w:rPr>
              <w:drawing>
                <wp:inline distT="0" distB="0" distL="114300" distR="114300">
                  <wp:extent cx="2803525" cy="2102485"/>
                  <wp:effectExtent l="0" t="0" r="15875" b="12065"/>
                  <wp:docPr id="90" name="图片 90" descr="微信图片_20251203104825_10_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微信图片_20251203104825_10_803"/>
                          <pic:cNvPicPr>
                            <a:picLocks noChangeAspect="1"/>
                          </pic:cNvPicPr>
                        </pic:nvPicPr>
                        <pic:blipFill>
                          <a:blip r:embed="rId16"/>
                          <a:stretch>
                            <a:fillRect/>
                          </a:stretch>
                        </pic:blipFill>
                        <pic:spPr>
                          <a:xfrm>
                            <a:off x="0" y="0"/>
                            <a:ext cx="2803525" cy="2102485"/>
                          </a:xfrm>
                          <a:prstGeom prst="rect">
                            <a:avLst/>
                          </a:prstGeom>
                        </pic:spPr>
                      </pic:pic>
                    </a:graphicData>
                  </a:graphic>
                </wp:inline>
              </w:drawing>
            </w:r>
          </w:p>
          <w:p w14:paraId="21092899">
            <w:pPr>
              <w:pBdr>
                <w:top w:val="none" w:color="auto" w:sz="0" w:space="1"/>
                <w:left w:val="none" w:color="auto" w:sz="0" w:space="4"/>
                <w:bottom w:val="none" w:color="auto" w:sz="0" w:space="1"/>
                <w:right w:val="none" w:color="auto" w:sz="0" w:space="4"/>
              </w:pBdr>
              <w:tabs>
                <w:tab w:val="center" w:pos="4153"/>
                <w:tab w:val="right" w:pos="8306"/>
              </w:tabs>
              <w:adjustRightInd w:val="0"/>
              <w:snapToGrid w:val="0"/>
              <w:spacing w:before="120" w:beforeLines="50" w:after="24" w:afterLines="10"/>
              <w:jc w:val="center"/>
              <w:rPr>
                <w:b/>
                <w:color w:val="auto"/>
                <w:sz w:val="18"/>
              </w:rPr>
            </w:pPr>
            <w:r>
              <w:rPr>
                <w:rFonts w:hint="eastAsia"/>
                <w:b/>
                <w:color w:val="auto"/>
                <w:sz w:val="24"/>
              </w:rPr>
              <w:t>项目区西侧园区厂房</w:t>
            </w:r>
          </w:p>
        </w:tc>
        <w:tc>
          <w:tcPr>
            <w:tcW w:w="2500" w:type="pct"/>
            <w:noWrap w:val="0"/>
            <w:vAlign w:val="center"/>
          </w:tcPr>
          <w:p w14:paraId="40721419">
            <w:pPr>
              <w:pBdr>
                <w:top w:val="none" w:color="auto" w:sz="0" w:space="1"/>
                <w:left w:val="none" w:color="auto" w:sz="0" w:space="4"/>
                <w:bottom w:val="none" w:color="auto" w:sz="0" w:space="1"/>
                <w:right w:val="none" w:color="auto" w:sz="0" w:space="4"/>
              </w:pBdr>
              <w:adjustRightInd w:val="0"/>
              <w:snapToGrid w:val="0"/>
              <w:jc w:val="center"/>
              <w:rPr>
                <w:rFonts w:hint="eastAsia" w:eastAsia="宋体"/>
                <w:color w:val="auto"/>
                <w:sz w:val="24"/>
                <w:lang w:eastAsia="zh-CN"/>
              </w:rPr>
            </w:pPr>
            <w:r>
              <w:rPr>
                <w:rFonts w:hint="eastAsia" w:eastAsia="宋体"/>
                <w:color w:val="auto"/>
                <w:sz w:val="24"/>
                <w:lang w:eastAsia="zh-CN"/>
              </w:rPr>
              <w:drawing>
                <wp:inline distT="0" distB="0" distL="114300" distR="114300">
                  <wp:extent cx="2803525" cy="2102485"/>
                  <wp:effectExtent l="0" t="0" r="15875" b="12065"/>
                  <wp:docPr id="89" name="图片 89" descr="微信图片_20251203104824_9_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微信图片_20251203104824_9_803"/>
                          <pic:cNvPicPr>
                            <a:picLocks noChangeAspect="1"/>
                          </pic:cNvPicPr>
                        </pic:nvPicPr>
                        <pic:blipFill>
                          <a:blip r:embed="rId17"/>
                          <a:stretch>
                            <a:fillRect/>
                          </a:stretch>
                        </pic:blipFill>
                        <pic:spPr>
                          <a:xfrm>
                            <a:off x="0" y="0"/>
                            <a:ext cx="2803525" cy="2102485"/>
                          </a:xfrm>
                          <a:prstGeom prst="rect">
                            <a:avLst/>
                          </a:prstGeom>
                        </pic:spPr>
                      </pic:pic>
                    </a:graphicData>
                  </a:graphic>
                </wp:inline>
              </w:drawing>
            </w:r>
          </w:p>
          <w:p w14:paraId="36347B95">
            <w:pPr>
              <w:pBdr>
                <w:top w:val="none" w:color="auto" w:sz="0" w:space="1"/>
                <w:left w:val="none" w:color="auto" w:sz="0" w:space="4"/>
                <w:bottom w:val="none" w:color="auto" w:sz="0" w:space="1"/>
                <w:right w:val="none" w:color="auto" w:sz="0" w:space="4"/>
              </w:pBdr>
              <w:adjustRightInd w:val="0"/>
              <w:snapToGrid w:val="0"/>
              <w:spacing w:before="120" w:beforeLines="50" w:after="24" w:afterLines="10"/>
              <w:jc w:val="center"/>
              <w:rPr>
                <w:b/>
                <w:color w:val="auto"/>
                <w:sz w:val="24"/>
              </w:rPr>
            </w:pPr>
            <w:r>
              <w:rPr>
                <w:rFonts w:hint="eastAsia"/>
                <w:b/>
                <w:color w:val="auto"/>
                <w:sz w:val="24"/>
              </w:rPr>
              <w:t>项目区东侧园区厂房</w:t>
            </w:r>
          </w:p>
        </w:tc>
      </w:tr>
      <w:tr w14:paraId="3937884C">
        <w:tblPrEx>
          <w:tblCellMar>
            <w:top w:w="0" w:type="dxa"/>
            <w:left w:w="108" w:type="dxa"/>
            <w:bottom w:w="0" w:type="dxa"/>
            <w:right w:w="108" w:type="dxa"/>
          </w:tblCellMar>
        </w:tblPrEx>
        <w:trPr>
          <w:trHeight w:val="3458" w:hRule="atLeast"/>
          <w:jc w:val="center"/>
        </w:trPr>
        <w:tc>
          <w:tcPr>
            <w:tcW w:w="2499" w:type="pct"/>
            <w:noWrap w:val="0"/>
            <w:vAlign w:val="center"/>
          </w:tcPr>
          <w:p w14:paraId="6039F324">
            <w:pPr>
              <w:pBdr>
                <w:top w:val="none" w:color="auto" w:sz="0" w:space="1"/>
                <w:left w:val="none" w:color="auto" w:sz="0" w:space="4"/>
                <w:bottom w:val="none" w:color="auto" w:sz="0" w:space="1"/>
                <w:right w:val="none" w:color="auto" w:sz="0" w:space="4"/>
              </w:pBdr>
              <w:adjustRightInd w:val="0"/>
              <w:snapToGrid w:val="0"/>
              <w:jc w:val="center"/>
              <w:rPr>
                <w:rFonts w:hint="eastAsia" w:eastAsia="宋体"/>
                <w:color w:val="auto"/>
                <w:sz w:val="24"/>
                <w:lang w:eastAsia="zh-CN"/>
              </w:rPr>
            </w:pPr>
            <w:r>
              <w:rPr>
                <w:rFonts w:hint="eastAsia" w:eastAsia="宋体"/>
                <w:color w:val="auto"/>
                <w:sz w:val="24"/>
                <w:lang w:eastAsia="zh-CN"/>
              </w:rPr>
              <w:drawing>
                <wp:inline distT="0" distB="0" distL="114300" distR="114300">
                  <wp:extent cx="3379470" cy="2534920"/>
                  <wp:effectExtent l="0" t="0" r="17780" b="11430"/>
                  <wp:docPr id="95" name="图片 95" descr="微信图片_20251203104835_15_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微信图片_20251203104835_15_803"/>
                          <pic:cNvPicPr>
                            <a:picLocks noChangeAspect="1"/>
                          </pic:cNvPicPr>
                        </pic:nvPicPr>
                        <pic:blipFill>
                          <a:blip r:embed="rId18"/>
                          <a:stretch>
                            <a:fillRect/>
                          </a:stretch>
                        </pic:blipFill>
                        <pic:spPr>
                          <a:xfrm rot="5400000">
                            <a:off x="0" y="0"/>
                            <a:ext cx="3379470" cy="2534920"/>
                          </a:xfrm>
                          <a:prstGeom prst="rect">
                            <a:avLst/>
                          </a:prstGeom>
                        </pic:spPr>
                      </pic:pic>
                    </a:graphicData>
                  </a:graphic>
                </wp:inline>
              </w:drawing>
            </w:r>
          </w:p>
          <w:p w14:paraId="204857BE">
            <w:pPr>
              <w:pBdr>
                <w:top w:val="none" w:color="auto" w:sz="0" w:space="1"/>
                <w:left w:val="none" w:color="auto" w:sz="0" w:space="4"/>
                <w:bottom w:val="none" w:color="auto" w:sz="0" w:space="1"/>
                <w:right w:val="none" w:color="auto" w:sz="0" w:space="4"/>
              </w:pBdr>
              <w:tabs>
                <w:tab w:val="center" w:pos="4153"/>
                <w:tab w:val="right" w:pos="8306"/>
              </w:tabs>
              <w:adjustRightInd w:val="0"/>
              <w:snapToGrid w:val="0"/>
              <w:spacing w:before="120" w:beforeLines="50" w:after="24" w:afterLines="10"/>
              <w:jc w:val="center"/>
              <w:rPr>
                <w:color w:val="auto"/>
                <w:sz w:val="24"/>
              </w:rPr>
            </w:pPr>
            <w:r>
              <w:rPr>
                <w:rFonts w:hint="eastAsia"/>
                <w:b/>
                <w:color w:val="auto"/>
                <w:sz w:val="24"/>
              </w:rPr>
              <w:t>项目</w:t>
            </w:r>
            <w:r>
              <w:rPr>
                <w:rFonts w:hint="eastAsia"/>
                <w:b/>
                <w:color w:val="auto"/>
                <w:sz w:val="24"/>
                <w:lang w:val="en-US" w:eastAsia="zh-CN"/>
              </w:rPr>
              <w:t>租用厂房</w:t>
            </w:r>
            <w:r>
              <w:rPr>
                <w:rFonts w:hint="eastAsia"/>
                <w:b/>
                <w:color w:val="auto"/>
                <w:sz w:val="24"/>
              </w:rPr>
              <w:t>内部现状</w:t>
            </w:r>
          </w:p>
        </w:tc>
        <w:tc>
          <w:tcPr>
            <w:tcW w:w="2500" w:type="pct"/>
            <w:noWrap w:val="0"/>
            <w:vAlign w:val="center"/>
          </w:tcPr>
          <w:p w14:paraId="07050499">
            <w:pPr>
              <w:tabs>
                <w:tab w:val="center" w:pos="4153"/>
                <w:tab w:val="right" w:pos="8306"/>
              </w:tabs>
              <w:adjustRightInd w:val="0"/>
              <w:snapToGrid w:val="0"/>
              <w:spacing w:before="24" w:beforeLines="10" w:after="24" w:afterLines="10"/>
              <w:jc w:val="center"/>
              <w:rPr>
                <w:rFonts w:hint="eastAsia" w:eastAsia="宋体"/>
                <w:b/>
                <w:color w:val="auto"/>
                <w:sz w:val="24"/>
                <w:lang w:eastAsia="zh-CN"/>
              </w:rPr>
            </w:pPr>
            <w:r>
              <w:rPr>
                <w:rFonts w:hint="eastAsia" w:eastAsia="宋体"/>
                <w:b/>
                <w:color w:val="auto"/>
                <w:sz w:val="24"/>
                <w:lang w:eastAsia="zh-CN"/>
              </w:rPr>
              <w:drawing>
                <wp:inline distT="0" distB="0" distL="114300" distR="114300">
                  <wp:extent cx="3354705" cy="2516505"/>
                  <wp:effectExtent l="0" t="0" r="17145" b="17145"/>
                  <wp:docPr id="94" name="图片 94" descr="微信图片_20251203104840_17_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微信图片_20251203104840_17_803"/>
                          <pic:cNvPicPr>
                            <a:picLocks noChangeAspect="1"/>
                          </pic:cNvPicPr>
                        </pic:nvPicPr>
                        <pic:blipFill>
                          <a:blip r:embed="rId19"/>
                          <a:stretch>
                            <a:fillRect/>
                          </a:stretch>
                        </pic:blipFill>
                        <pic:spPr>
                          <a:xfrm rot="5400000">
                            <a:off x="0" y="0"/>
                            <a:ext cx="3354705" cy="2516505"/>
                          </a:xfrm>
                          <a:prstGeom prst="rect">
                            <a:avLst/>
                          </a:prstGeom>
                        </pic:spPr>
                      </pic:pic>
                    </a:graphicData>
                  </a:graphic>
                </wp:inline>
              </w:drawing>
            </w:r>
          </w:p>
          <w:p w14:paraId="1B0B9B00">
            <w:pPr>
              <w:tabs>
                <w:tab w:val="center" w:pos="4153"/>
                <w:tab w:val="right" w:pos="8306"/>
              </w:tabs>
              <w:adjustRightInd w:val="0"/>
              <w:snapToGrid w:val="0"/>
              <w:spacing w:before="120" w:beforeLines="50" w:after="24" w:afterLines="10"/>
              <w:jc w:val="center"/>
              <w:rPr>
                <w:rFonts w:hint="eastAsia"/>
                <w:b/>
                <w:color w:val="auto"/>
              </w:rPr>
            </w:pPr>
            <w:r>
              <w:rPr>
                <w:rFonts w:hint="eastAsia"/>
                <w:b/>
                <w:color w:val="auto"/>
                <w:sz w:val="24"/>
              </w:rPr>
              <w:t>项目</w:t>
            </w:r>
            <w:r>
              <w:rPr>
                <w:rFonts w:hint="eastAsia"/>
                <w:b/>
                <w:color w:val="auto"/>
                <w:sz w:val="24"/>
                <w:lang w:val="en-US" w:eastAsia="zh-CN"/>
              </w:rPr>
              <w:t>租用办公室</w:t>
            </w:r>
            <w:r>
              <w:rPr>
                <w:rFonts w:hint="eastAsia"/>
                <w:b/>
                <w:color w:val="auto"/>
                <w:sz w:val="24"/>
              </w:rPr>
              <w:t>内部现状</w:t>
            </w:r>
          </w:p>
        </w:tc>
      </w:tr>
    </w:tbl>
    <w:p w14:paraId="0FFFA9F2">
      <w:pPr>
        <w:pStyle w:val="19"/>
        <w:adjustRightInd w:val="0"/>
        <w:spacing w:before="24" w:beforeLines="10" w:after="24" w:afterLines="10"/>
        <w:jc w:val="center"/>
        <w:rPr>
          <w:color w:val="auto"/>
        </w:rPr>
      </w:pPr>
      <w:r>
        <w:rPr>
          <w:rFonts w:hint="eastAsia"/>
          <w:b/>
          <w:color w:val="auto"/>
          <w:sz w:val="32"/>
        </w:rPr>
        <w:t>现场踏勘图</w:t>
      </w:r>
    </w:p>
    <w:p w14:paraId="0B4F0453">
      <w:pPr>
        <w:pStyle w:val="51"/>
        <w:rPr>
          <w:color w:val="auto"/>
        </w:rPr>
        <w:sectPr>
          <w:pgSz w:w="11907" w:h="16840"/>
          <w:pgMar w:top="1418" w:right="1418" w:bottom="1418" w:left="1418" w:header="851" w:footer="1077" w:gutter="0"/>
          <w:pgBorders>
            <w:top w:val="none" w:sz="0" w:space="0"/>
            <w:left w:val="none" w:sz="0" w:space="0"/>
            <w:bottom w:val="none" w:sz="0" w:space="0"/>
            <w:right w:val="none" w:sz="0" w:space="0"/>
          </w:pgBorders>
          <w:pgNumType w:start="3"/>
          <w:cols w:space="720" w:num="1"/>
          <w:docGrid w:linePitch="312" w:charSpace="0"/>
        </w:sectPr>
      </w:pPr>
    </w:p>
    <w:p w14:paraId="5956B721">
      <w:pPr>
        <w:pStyle w:val="23"/>
        <w:jc w:val="center"/>
        <w:outlineLvl w:val="0"/>
        <w:rPr>
          <w:rFonts w:hint="eastAsia" w:ascii="黑体" w:hAnsi="黑体" w:eastAsia="黑体"/>
          <w:snapToGrid w:val="0"/>
          <w:color w:val="auto"/>
          <w:sz w:val="30"/>
          <w:szCs w:val="30"/>
        </w:rPr>
      </w:pPr>
      <w:r>
        <w:rPr>
          <w:rFonts w:hint="eastAsia" w:ascii="黑体" w:hAnsi="黑体" w:eastAsia="黑体"/>
          <w:snapToGrid w:val="0"/>
          <w:color w:val="auto"/>
          <w:sz w:val="30"/>
          <w:szCs w:val="30"/>
        </w:rPr>
        <w:t>一、建设项目基本情况</w:t>
      </w:r>
    </w:p>
    <w:tbl>
      <w:tblPr>
        <w:tblStyle w:val="28"/>
        <w:tblW w:w="4984"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919"/>
        <w:gridCol w:w="1068"/>
        <w:gridCol w:w="1974"/>
        <w:gridCol w:w="1981"/>
        <w:gridCol w:w="3126"/>
      </w:tblGrid>
      <w:tr w14:paraId="1639FA0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1096" w:type="pct"/>
            <w:gridSpan w:val="2"/>
            <w:noWrap w:val="0"/>
            <w:tcMar>
              <w:top w:w="16" w:type="dxa"/>
              <w:left w:w="16" w:type="dxa"/>
              <w:right w:w="16" w:type="dxa"/>
            </w:tcMar>
            <w:vAlign w:val="center"/>
          </w:tcPr>
          <w:p w14:paraId="7C83952B">
            <w:pPr>
              <w:adjustRightInd w:val="0"/>
              <w:snapToGrid w:val="0"/>
              <w:jc w:val="center"/>
              <w:rPr>
                <w:color w:val="auto"/>
                <w:sz w:val="24"/>
              </w:rPr>
            </w:pPr>
            <w:r>
              <w:rPr>
                <w:color w:val="auto"/>
                <w:sz w:val="24"/>
              </w:rPr>
              <w:t>建设项目名称</w:t>
            </w:r>
          </w:p>
        </w:tc>
        <w:tc>
          <w:tcPr>
            <w:tcW w:w="3903" w:type="pct"/>
            <w:gridSpan w:val="3"/>
            <w:noWrap w:val="0"/>
            <w:vAlign w:val="center"/>
          </w:tcPr>
          <w:p w14:paraId="4A8D8423">
            <w:pPr>
              <w:adjustRightInd w:val="0"/>
              <w:snapToGrid w:val="0"/>
              <w:jc w:val="center"/>
              <w:rPr>
                <w:rFonts w:hint="eastAsia"/>
                <w:color w:val="auto"/>
                <w:sz w:val="24"/>
              </w:rPr>
            </w:pPr>
            <w:r>
              <w:rPr>
                <w:rFonts w:hint="eastAsia"/>
                <w:color w:val="auto"/>
                <w:sz w:val="24"/>
                <w:lang w:val="en-US" w:eastAsia="zh-CN"/>
              </w:rPr>
              <w:t>新疆鑫地检测技术服务有限公司地质矿产分析实验室</w:t>
            </w:r>
          </w:p>
        </w:tc>
      </w:tr>
      <w:tr w14:paraId="55DB143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07" w:hRule="atLeast"/>
          <w:jc w:val="center"/>
        </w:trPr>
        <w:tc>
          <w:tcPr>
            <w:tcW w:w="1096" w:type="pct"/>
            <w:gridSpan w:val="2"/>
            <w:noWrap w:val="0"/>
            <w:tcMar>
              <w:top w:w="16" w:type="dxa"/>
              <w:left w:w="16" w:type="dxa"/>
              <w:right w:w="16" w:type="dxa"/>
            </w:tcMar>
            <w:vAlign w:val="center"/>
          </w:tcPr>
          <w:p w14:paraId="6E644537">
            <w:pPr>
              <w:adjustRightInd w:val="0"/>
              <w:snapToGrid w:val="0"/>
              <w:jc w:val="center"/>
              <w:rPr>
                <w:color w:val="auto"/>
                <w:sz w:val="24"/>
              </w:rPr>
            </w:pPr>
            <w:r>
              <w:rPr>
                <w:color w:val="auto"/>
                <w:sz w:val="24"/>
              </w:rPr>
              <w:t>项目代码</w:t>
            </w:r>
          </w:p>
        </w:tc>
        <w:tc>
          <w:tcPr>
            <w:tcW w:w="3903" w:type="pct"/>
            <w:gridSpan w:val="3"/>
            <w:noWrap w:val="0"/>
            <w:vAlign w:val="center"/>
          </w:tcPr>
          <w:p w14:paraId="59432011">
            <w:pPr>
              <w:adjustRightInd w:val="0"/>
              <w:snapToGrid w:val="0"/>
              <w:jc w:val="center"/>
              <w:rPr>
                <w:color w:val="auto"/>
                <w:sz w:val="24"/>
              </w:rPr>
            </w:pPr>
            <w:r>
              <w:rPr>
                <w:rFonts w:hint="eastAsia"/>
                <w:color w:val="auto"/>
                <w:sz w:val="24"/>
              </w:rPr>
              <w:t>2511-652312-15-01-550321</w:t>
            </w:r>
          </w:p>
        </w:tc>
      </w:tr>
      <w:tr w14:paraId="5D42E33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77" w:hRule="atLeast"/>
          <w:jc w:val="center"/>
        </w:trPr>
        <w:tc>
          <w:tcPr>
            <w:tcW w:w="1096" w:type="pct"/>
            <w:gridSpan w:val="2"/>
            <w:noWrap w:val="0"/>
            <w:tcMar>
              <w:top w:w="16" w:type="dxa"/>
              <w:left w:w="16" w:type="dxa"/>
              <w:right w:w="16" w:type="dxa"/>
            </w:tcMar>
            <w:vAlign w:val="center"/>
          </w:tcPr>
          <w:p w14:paraId="3E080C89">
            <w:pPr>
              <w:adjustRightInd w:val="0"/>
              <w:snapToGrid w:val="0"/>
              <w:jc w:val="center"/>
              <w:rPr>
                <w:color w:val="auto"/>
                <w:sz w:val="24"/>
              </w:rPr>
            </w:pPr>
            <w:r>
              <w:rPr>
                <w:color w:val="auto"/>
                <w:sz w:val="24"/>
              </w:rPr>
              <w:t>建设单位联系人</w:t>
            </w:r>
          </w:p>
        </w:tc>
        <w:tc>
          <w:tcPr>
            <w:tcW w:w="1088" w:type="pct"/>
            <w:noWrap w:val="0"/>
            <w:vAlign w:val="center"/>
          </w:tcPr>
          <w:p w14:paraId="55E89E67">
            <w:pPr>
              <w:adjustRightInd w:val="0"/>
              <w:snapToGrid w:val="0"/>
              <w:jc w:val="center"/>
              <w:rPr>
                <w:rFonts w:hint="eastAsia"/>
                <w:color w:val="auto"/>
                <w:sz w:val="24"/>
              </w:rPr>
            </w:pPr>
            <w:r>
              <w:rPr>
                <w:rFonts w:hint="eastAsia"/>
                <w:color w:val="auto"/>
                <w:sz w:val="24"/>
              </w:rPr>
              <w:t>李泽旭</w:t>
            </w:r>
          </w:p>
        </w:tc>
        <w:tc>
          <w:tcPr>
            <w:tcW w:w="1092" w:type="pct"/>
            <w:noWrap w:val="0"/>
            <w:vAlign w:val="center"/>
          </w:tcPr>
          <w:p w14:paraId="034A8AD0">
            <w:pPr>
              <w:adjustRightInd w:val="0"/>
              <w:snapToGrid w:val="0"/>
              <w:jc w:val="center"/>
              <w:rPr>
                <w:color w:val="auto"/>
                <w:sz w:val="24"/>
              </w:rPr>
            </w:pPr>
            <w:r>
              <w:rPr>
                <w:color w:val="auto"/>
                <w:sz w:val="24"/>
              </w:rPr>
              <w:t>联系方式</w:t>
            </w:r>
          </w:p>
        </w:tc>
        <w:tc>
          <w:tcPr>
            <w:tcW w:w="1722" w:type="pct"/>
            <w:noWrap w:val="0"/>
            <w:vAlign w:val="center"/>
          </w:tcPr>
          <w:p w14:paraId="66279CC8">
            <w:pPr>
              <w:adjustRightInd w:val="0"/>
              <w:snapToGrid w:val="0"/>
              <w:jc w:val="center"/>
              <w:rPr>
                <w:color w:val="auto"/>
                <w:sz w:val="24"/>
              </w:rPr>
            </w:pPr>
            <w:r>
              <w:rPr>
                <w:rFonts w:hint="eastAsia"/>
                <w:color w:val="auto"/>
                <w:sz w:val="24"/>
              </w:rPr>
              <w:t>18514393379</w:t>
            </w:r>
          </w:p>
        </w:tc>
      </w:tr>
      <w:tr w14:paraId="4BD8EEF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03" w:hRule="atLeast"/>
          <w:jc w:val="center"/>
        </w:trPr>
        <w:tc>
          <w:tcPr>
            <w:tcW w:w="1096" w:type="pct"/>
            <w:gridSpan w:val="2"/>
            <w:noWrap w:val="0"/>
            <w:tcMar>
              <w:top w:w="16" w:type="dxa"/>
              <w:left w:w="16" w:type="dxa"/>
              <w:right w:w="16" w:type="dxa"/>
            </w:tcMar>
            <w:vAlign w:val="center"/>
          </w:tcPr>
          <w:p w14:paraId="57773EAE">
            <w:pPr>
              <w:adjustRightInd w:val="0"/>
              <w:snapToGrid w:val="0"/>
              <w:jc w:val="center"/>
              <w:rPr>
                <w:color w:val="auto"/>
                <w:sz w:val="24"/>
              </w:rPr>
            </w:pPr>
            <w:r>
              <w:rPr>
                <w:color w:val="auto"/>
                <w:sz w:val="24"/>
              </w:rPr>
              <w:t>建设地点</w:t>
            </w:r>
          </w:p>
        </w:tc>
        <w:tc>
          <w:tcPr>
            <w:tcW w:w="3903" w:type="pct"/>
            <w:gridSpan w:val="3"/>
            <w:noWrap w:val="0"/>
            <w:vAlign w:val="center"/>
          </w:tcPr>
          <w:p w14:paraId="39FC81F5">
            <w:pPr>
              <w:tabs>
                <w:tab w:val="left" w:pos="4410"/>
              </w:tabs>
              <w:adjustRightInd w:val="0"/>
              <w:snapToGrid w:val="0"/>
              <w:jc w:val="center"/>
              <w:rPr>
                <w:color w:val="auto"/>
                <w:sz w:val="24"/>
              </w:rPr>
            </w:pPr>
            <w:r>
              <w:rPr>
                <w:color w:val="auto"/>
                <w:sz w:val="24"/>
                <w:u w:val="single"/>
              </w:rPr>
              <w:t>新疆</w:t>
            </w:r>
            <w:r>
              <w:rPr>
                <w:rFonts w:hint="eastAsia"/>
                <w:color w:val="auto"/>
                <w:sz w:val="24"/>
                <w:u w:val="single"/>
                <w:lang w:val="en-US" w:eastAsia="zh-CN"/>
              </w:rPr>
              <w:t>维吾尔自治区昌吉回族自治州国家高新产业园区新疆华爱康塑业科技发展有限公司院内</w:t>
            </w:r>
          </w:p>
        </w:tc>
      </w:tr>
      <w:tr w14:paraId="3C9E2D5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22" w:hRule="atLeast"/>
          <w:jc w:val="center"/>
        </w:trPr>
        <w:tc>
          <w:tcPr>
            <w:tcW w:w="1096" w:type="pct"/>
            <w:gridSpan w:val="2"/>
            <w:noWrap w:val="0"/>
            <w:tcMar>
              <w:top w:w="16" w:type="dxa"/>
              <w:left w:w="16" w:type="dxa"/>
              <w:right w:w="16" w:type="dxa"/>
            </w:tcMar>
            <w:vAlign w:val="center"/>
          </w:tcPr>
          <w:p w14:paraId="400FA706">
            <w:pPr>
              <w:adjustRightInd w:val="0"/>
              <w:snapToGrid w:val="0"/>
              <w:jc w:val="center"/>
              <w:rPr>
                <w:color w:val="auto"/>
                <w:sz w:val="24"/>
              </w:rPr>
            </w:pPr>
            <w:r>
              <w:rPr>
                <w:color w:val="auto"/>
                <w:sz w:val="24"/>
              </w:rPr>
              <w:t>地理坐标</w:t>
            </w:r>
          </w:p>
        </w:tc>
        <w:tc>
          <w:tcPr>
            <w:tcW w:w="3903" w:type="pct"/>
            <w:gridSpan w:val="3"/>
            <w:noWrap w:val="0"/>
            <w:vAlign w:val="center"/>
          </w:tcPr>
          <w:p w14:paraId="07113A53">
            <w:pPr>
              <w:adjustRightInd w:val="0"/>
              <w:snapToGrid w:val="0"/>
              <w:jc w:val="center"/>
              <w:rPr>
                <w:color w:val="auto"/>
                <w:sz w:val="24"/>
              </w:rPr>
            </w:pPr>
            <w:r>
              <w:rPr>
                <w:color w:val="auto"/>
                <w:sz w:val="24"/>
              </w:rPr>
              <w:t>（</w:t>
            </w:r>
            <w:r>
              <w:rPr>
                <w:rFonts w:hint="eastAsia"/>
                <w:color w:val="auto"/>
                <w:sz w:val="24"/>
                <w:u w:val="none"/>
                <w:lang w:val="en-US" w:eastAsia="zh-CN"/>
              </w:rPr>
              <w:t>东经</w:t>
            </w:r>
            <w:r>
              <w:rPr>
                <w:color w:val="auto"/>
                <w:sz w:val="24"/>
                <w:u w:val="single"/>
              </w:rPr>
              <w:t xml:space="preserve">87 </w:t>
            </w:r>
            <w:r>
              <w:rPr>
                <w:color w:val="auto"/>
                <w:sz w:val="24"/>
              </w:rPr>
              <w:t>度</w:t>
            </w:r>
            <w:r>
              <w:rPr>
                <w:color w:val="auto"/>
                <w:sz w:val="24"/>
                <w:u w:val="single"/>
              </w:rPr>
              <w:t xml:space="preserve"> </w:t>
            </w:r>
            <w:r>
              <w:rPr>
                <w:rFonts w:hint="eastAsia"/>
                <w:color w:val="auto"/>
                <w:sz w:val="24"/>
                <w:u w:val="single"/>
                <w:lang w:val="en-US" w:eastAsia="zh-CN"/>
              </w:rPr>
              <w:t>0</w:t>
            </w:r>
            <w:r>
              <w:rPr>
                <w:color w:val="auto"/>
                <w:sz w:val="24"/>
                <w:u w:val="single"/>
              </w:rPr>
              <w:t xml:space="preserve"> </w:t>
            </w:r>
            <w:r>
              <w:rPr>
                <w:color w:val="auto"/>
                <w:sz w:val="24"/>
              </w:rPr>
              <w:t>分</w:t>
            </w:r>
            <w:r>
              <w:rPr>
                <w:color w:val="auto"/>
                <w:sz w:val="24"/>
                <w:u w:val="single"/>
              </w:rPr>
              <w:t xml:space="preserve"> </w:t>
            </w:r>
            <w:r>
              <w:rPr>
                <w:rFonts w:hint="eastAsia"/>
                <w:color w:val="auto"/>
                <w:sz w:val="24"/>
                <w:u w:val="single"/>
                <w:lang w:val="en-US" w:eastAsia="zh-CN"/>
              </w:rPr>
              <w:t>8</w:t>
            </w:r>
            <w:r>
              <w:rPr>
                <w:rFonts w:hint="eastAsia"/>
                <w:color w:val="auto"/>
                <w:sz w:val="24"/>
                <w:u w:val="single"/>
              </w:rPr>
              <w:t>.</w:t>
            </w:r>
            <w:r>
              <w:rPr>
                <w:rFonts w:hint="eastAsia"/>
                <w:color w:val="auto"/>
                <w:sz w:val="24"/>
                <w:u w:val="single"/>
                <w:lang w:val="en-US" w:eastAsia="zh-CN"/>
              </w:rPr>
              <w:t>24</w:t>
            </w:r>
            <w:r>
              <w:rPr>
                <w:rFonts w:hint="eastAsia"/>
                <w:color w:val="auto"/>
                <w:sz w:val="24"/>
                <w:u w:val="single"/>
              </w:rPr>
              <w:t>7</w:t>
            </w:r>
            <w:r>
              <w:rPr>
                <w:color w:val="auto"/>
                <w:sz w:val="24"/>
                <w:u w:val="single"/>
              </w:rPr>
              <w:t xml:space="preserve"> </w:t>
            </w:r>
            <w:r>
              <w:rPr>
                <w:color w:val="auto"/>
                <w:sz w:val="24"/>
              </w:rPr>
              <w:t>秒，</w:t>
            </w:r>
            <w:r>
              <w:rPr>
                <w:rFonts w:hint="eastAsia"/>
                <w:color w:val="auto"/>
                <w:sz w:val="24"/>
                <w:lang w:val="en-US" w:eastAsia="zh-CN"/>
              </w:rPr>
              <w:t>北纬</w:t>
            </w:r>
            <w:r>
              <w:rPr>
                <w:color w:val="auto"/>
                <w:sz w:val="24"/>
                <w:u w:val="single"/>
              </w:rPr>
              <w:t xml:space="preserve">44 </w:t>
            </w:r>
            <w:r>
              <w:rPr>
                <w:color w:val="auto"/>
                <w:sz w:val="24"/>
              </w:rPr>
              <w:t>度</w:t>
            </w:r>
            <w:r>
              <w:rPr>
                <w:color w:val="auto"/>
                <w:sz w:val="24"/>
                <w:u w:val="single"/>
              </w:rPr>
              <w:t xml:space="preserve"> </w:t>
            </w:r>
            <w:r>
              <w:rPr>
                <w:rFonts w:hint="eastAsia"/>
                <w:color w:val="auto"/>
                <w:sz w:val="24"/>
                <w:u w:val="single"/>
                <w:lang w:val="en-US" w:eastAsia="zh-CN"/>
              </w:rPr>
              <w:t>6</w:t>
            </w:r>
            <w:r>
              <w:rPr>
                <w:color w:val="auto"/>
                <w:sz w:val="24"/>
                <w:u w:val="single"/>
              </w:rPr>
              <w:t xml:space="preserve"> </w:t>
            </w:r>
            <w:r>
              <w:rPr>
                <w:color w:val="auto"/>
                <w:sz w:val="24"/>
              </w:rPr>
              <w:t>分</w:t>
            </w:r>
            <w:r>
              <w:rPr>
                <w:color w:val="auto"/>
                <w:sz w:val="24"/>
                <w:u w:val="single"/>
              </w:rPr>
              <w:t xml:space="preserve"> </w:t>
            </w:r>
            <w:r>
              <w:rPr>
                <w:rFonts w:hint="eastAsia"/>
                <w:color w:val="auto"/>
                <w:sz w:val="24"/>
                <w:u w:val="single"/>
                <w:lang w:val="en-US" w:eastAsia="zh-CN"/>
              </w:rPr>
              <w:t>26.596</w:t>
            </w:r>
            <w:r>
              <w:rPr>
                <w:color w:val="auto"/>
                <w:sz w:val="24"/>
                <w:u w:val="single"/>
              </w:rPr>
              <w:t xml:space="preserve"> </w:t>
            </w:r>
            <w:r>
              <w:rPr>
                <w:color w:val="auto"/>
                <w:sz w:val="24"/>
              </w:rPr>
              <w:t>秒）</w:t>
            </w:r>
          </w:p>
        </w:tc>
      </w:tr>
      <w:tr w14:paraId="26D3153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1096" w:type="pct"/>
            <w:gridSpan w:val="2"/>
            <w:noWrap w:val="0"/>
            <w:tcMar>
              <w:top w:w="16" w:type="dxa"/>
              <w:left w:w="16" w:type="dxa"/>
              <w:right w:w="16" w:type="dxa"/>
            </w:tcMar>
            <w:vAlign w:val="center"/>
          </w:tcPr>
          <w:p w14:paraId="04A5C546">
            <w:pPr>
              <w:adjustRightInd w:val="0"/>
              <w:snapToGrid w:val="0"/>
              <w:jc w:val="center"/>
              <w:rPr>
                <w:color w:val="auto"/>
                <w:sz w:val="24"/>
              </w:rPr>
            </w:pPr>
            <w:r>
              <w:rPr>
                <w:color w:val="auto"/>
                <w:sz w:val="24"/>
              </w:rPr>
              <w:t>国民经济</w:t>
            </w:r>
          </w:p>
          <w:p w14:paraId="4428FB25">
            <w:pPr>
              <w:adjustRightInd w:val="0"/>
              <w:snapToGrid w:val="0"/>
              <w:jc w:val="center"/>
              <w:rPr>
                <w:color w:val="auto"/>
                <w:sz w:val="24"/>
              </w:rPr>
            </w:pPr>
            <w:r>
              <w:rPr>
                <w:color w:val="auto"/>
                <w:sz w:val="24"/>
              </w:rPr>
              <w:t>行业类别</w:t>
            </w:r>
          </w:p>
        </w:tc>
        <w:tc>
          <w:tcPr>
            <w:tcW w:w="1088" w:type="pct"/>
            <w:noWrap w:val="0"/>
            <w:vAlign w:val="center"/>
          </w:tcPr>
          <w:p w14:paraId="1675527B">
            <w:pPr>
              <w:adjustRightInd w:val="0"/>
              <w:snapToGrid w:val="0"/>
              <w:jc w:val="center"/>
              <w:rPr>
                <w:color w:val="auto"/>
                <w:sz w:val="24"/>
              </w:rPr>
            </w:pPr>
            <w:r>
              <w:rPr>
                <w:rFonts w:hint="eastAsia"/>
                <w:color w:val="auto"/>
                <w:sz w:val="24"/>
              </w:rPr>
              <w:t>M7452检测服务</w:t>
            </w:r>
          </w:p>
        </w:tc>
        <w:tc>
          <w:tcPr>
            <w:tcW w:w="1092" w:type="pct"/>
            <w:noWrap w:val="0"/>
            <w:vAlign w:val="center"/>
          </w:tcPr>
          <w:p w14:paraId="040B39F9">
            <w:pPr>
              <w:adjustRightInd w:val="0"/>
              <w:snapToGrid w:val="0"/>
              <w:jc w:val="center"/>
              <w:rPr>
                <w:color w:val="auto"/>
                <w:sz w:val="24"/>
              </w:rPr>
            </w:pPr>
            <w:bookmarkStart w:id="1" w:name="_Hlk49843745"/>
            <w:r>
              <w:rPr>
                <w:color w:val="auto"/>
                <w:sz w:val="24"/>
              </w:rPr>
              <w:t>建设项目</w:t>
            </w:r>
          </w:p>
          <w:p w14:paraId="285B5FA2">
            <w:pPr>
              <w:adjustRightInd w:val="0"/>
              <w:snapToGrid w:val="0"/>
              <w:jc w:val="center"/>
              <w:rPr>
                <w:color w:val="auto"/>
                <w:sz w:val="24"/>
              </w:rPr>
            </w:pPr>
            <w:r>
              <w:rPr>
                <w:color w:val="auto"/>
                <w:sz w:val="24"/>
              </w:rPr>
              <w:t>行业类别</w:t>
            </w:r>
            <w:bookmarkEnd w:id="1"/>
          </w:p>
        </w:tc>
        <w:tc>
          <w:tcPr>
            <w:tcW w:w="1722" w:type="pct"/>
            <w:noWrap w:val="0"/>
            <w:vAlign w:val="center"/>
          </w:tcPr>
          <w:p w14:paraId="6725069F">
            <w:pPr>
              <w:adjustRightInd w:val="0"/>
              <w:snapToGrid w:val="0"/>
              <w:jc w:val="center"/>
              <w:rPr>
                <w:rFonts w:hint="eastAsia"/>
                <w:color w:val="auto"/>
                <w:sz w:val="24"/>
              </w:rPr>
            </w:pPr>
            <w:r>
              <w:rPr>
                <w:rFonts w:hint="eastAsia"/>
                <w:color w:val="auto"/>
                <w:sz w:val="24"/>
              </w:rPr>
              <w:t>四十五、研究和试验发展98.专业实验室、研发</w:t>
            </w:r>
            <w:r>
              <w:rPr>
                <w:rFonts w:hint="eastAsia"/>
                <w:color w:val="auto"/>
                <w:sz w:val="24"/>
                <w:lang w:eastAsia="zh-CN"/>
              </w:rPr>
              <w:t>（</w:t>
            </w:r>
            <w:r>
              <w:rPr>
                <w:rFonts w:hint="eastAsia"/>
                <w:color w:val="auto"/>
                <w:sz w:val="24"/>
                <w:lang w:val="en-US" w:eastAsia="zh-CN"/>
              </w:rPr>
              <w:t>试验</w:t>
            </w:r>
            <w:r>
              <w:rPr>
                <w:rFonts w:hint="eastAsia"/>
                <w:color w:val="auto"/>
                <w:sz w:val="24"/>
                <w:lang w:eastAsia="zh-CN"/>
              </w:rPr>
              <w:t>）</w:t>
            </w:r>
            <w:r>
              <w:rPr>
                <w:rFonts w:hint="eastAsia"/>
                <w:color w:val="auto"/>
                <w:sz w:val="24"/>
              </w:rPr>
              <w:t>基地</w:t>
            </w:r>
          </w:p>
        </w:tc>
      </w:tr>
      <w:tr w14:paraId="19ADC7A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1096" w:type="pct"/>
            <w:gridSpan w:val="2"/>
            <w:noWrap w:val="0"/>
            <w:tcMar>
              <w:top w:w="16" w:type="dxa"/>
              <w:left w:w="16" w:type="dxa"/>
              <w:right w:w="16" w:type="dxa"/>
            </w:tcMar>
            <w:vAlign w:val="center"/>
          </w:tcPr>
          <w:p w14:paraId="5BC0764D">
            <w:pPr>
              <w:adjustRightInd w:val="0"/>
              <w:snapToGrid w:val="0"/>
              <w:jc w:val="center"/>
              <w:rPr>
                <w:color w:val="auto"/>
                <w:sz w:val="24"/>
              </w:rPr>
            </w:pPr>
            <w:r>
              <w:rPr>
                <w:color w:val="auto"/>
                <w:sz w:val="24"/>
              </w:rPr>
              <w:t>建设性质</w:t>
            </w:r>
          </w:p>
        </w:tc>
        <w:tc>
          <w:tcPr>
            <w:tcW w:w="1088" w:type="pct"/>
            <w:noWrap w:val="0"/>
            <w:vAlign w:val="center"/>
          </w:tcPr>
          <w:p w14:paraId="07DF85D9">
            <w:pPr>
              <w:adjustRightInd w:val="0"/>
              <w:snapToGrid w:val="0"/>
              <w:jc w:val="left"/>
              <w:rPr>
                <w:color w:val="auto"/>
                <w:sz w:val="24"/>
              </w:rPr>
            </w:pPr>
            <w:r>
              <w:rPr>
                <w:color w:val="auto"/>
                <w:sz w:val="24"/>
              </w:rPr>
              <w:sym w:font="Wingdings 2" w:char="0052"/>
            </w:r>
            <w:r>
              <w:rPr>
                <w:color w:val="auto"/>
                <w:sz w:val="24"/>
              </w:rPr>
              <w:t>新建（迁建）</w:t>
            </w:r>
          </w:p>
          <w:p w14:paraId="0382C292">
            <w:pPr>
              <w:adjustRightInd w:val="0"/>
              <w:snapToGrid w:val="0"/>
              <w:jc w:val="left"/>
              <w:rPr>
                <w:color w:val="auto"/>
                <w:sz w:val="24"/>
              </w:rPr>
            </w:pPr>
            <w:r>
              <w:rPr>
                <w:rFonts w:hint="eastAsia" w:ascii="Segoe UI Emoji" w:hAnsi="Segoe UI Emoji" w:eastAsia="Segoe UI Emoji" w:cs="Segoe UI Emoji"/>
                <w:color w:val="auto"/>
                <w:sz w:val="24"/>
              </w:rPr>
              <w:t>□</w:t>
            </w:r>
            <w:r>
              <w:rPr>
                <w:color w:val="auto"/>
                <w:sz w:val="24"/>
              </w:rPr>
              <w:t>改建</w:t>
            </w:r>
          </w:p>
          <w:p w14:paraId="48DFE693">
            <w:pPr>
              <w:adjustRightInd w:val="0"/>
              <w:snapToGrid w:val="0"/>
              <w:jc w:val="left"/>
              <w:rPr>
                <w:color w:val="auto"/>
                <w:sz w:val="24"/>
              </w:rPr>
            </w:pPr>
            <w:r>
              <w:rPr>
                <w:rFonts w:hint="eastAsia" w:ascii="Segoe UI Emoji" w:hAnsi="Segoe UI Emoji" w:eastAsia="Segoe UI Emoji" w:cs="Segoe UI Emoji"/>
                <w:color w:val="auto"/>
                <w:sz w:val="24"/>
              </w:rPr>
              <w:t>□</w:t>
            </w:r>
            <w:r>
              <w:rPr>
                <w:color w:val="auto"/>
                <w:sz w:val="24"/>
              </w:rPr>
              <w:t>扩建</w:t>
            </w:r>
          </w:p>
          <w:p w14:paraId="564EBBD6">
            <w:pPr>
              <w:adjustRightInd w:val="0"/>
              <w:snapToGrid w:val="0"/>
              <w:jc w:val="left"/>
              <w:rPr>
                <w:color w:val="auto"/>
                <w:sz w:val="24"/>
              </w:rPr>
            </w:pPr>
            <w:r>
              <w:rPr>
                <w:rFonts w:hint="eastAsia" w:ascii="Segoe UI Emoji" w:hAnsi="Segoe UI Emoji" w:eastAsia="Segoe UI Emoji" w:cs="Segoe UI Emoji"/>
                <w:color w:val="auto"/>
                <w:sz w:val="24"/>
              </w:rPr>
              <w:t>□</w:t>
            </w:r>
            <w:r>
              <w:rPr>
                <w:color w:val="auto"/>
                <w:sz w:val="24"/>
              </w:rPr>
              <w:t>技术改造</w:t>
            </w:r>
          </w:p>
        </w:tc>
        <w:tc>
          <w:tcPr>
            <w:tcW w:w="1092" w:type="pct"/>
            <w:noWrap w:val="0"/>
            <w:vAlign w:val="center"/>
          </w:tcPr>
          <w:p w14:paraId="54F548D0">
            <w:pPr>
              <w:adjustRightInd w:val="0"/>
              <w:snapToGrid w:val="0"/>
              <w:jc w:val="center"/>
              <w:rPr>
                <w:color w:val="auto"/>
                <w:sz w:val="24"/>
              </w:rPr>
            </w:pPr>
            <w:r>
              <w:rPr>
                <w:color w:val="auto"/>
                <w:sz w:val="24"/>
              </w:rPr>
              <w:t>建设项目</w:t>
            </w:r>
          </w:p>
          <w:p w14:paraId="3EBECD95">
            <w:pPr>
              <w:adjustRightInd w:val="0"/>
              <w:snapToGrid w:val="0"/>
              <w:jc w:val="center"/>
              <w:rPr>
                <w:color w:val="auto"/>
                <w:sz w:val="24"/>
              </w:rPr>
            </w:pPr>
            <w:r>
              <w:rPr>
                <w:color w:val="auto"/>
                <w:sz w:val="24"/>
              </w:rPr>
              <w:t>申报情形</w:t>
            </w:r>
          </w:p>
        </w:tc>
        <w:tc>
          <w:tcPr>
            <w:tcW w:w="1722" w:type="pct"/>
            <w:noWrap w:val="0"/>
            <w:vAlign w:val="center"/>
          </w:tcPr>
          <w:p w14:paraId="22CCF637">
            <w:pPr>
              <w:adjustRightInd w:val="0"/>
              <w:snapToGrid w:val="0"/>
              <w:jc w:val="left"/>
              <w:rPr>
                <w:color w:val="auto"/>
                <w:sz w:val="24"/>
              </w:rPr>
            </w:pPr>
            <w:r>
              <w:rPr>
                <w:color w:val="auto"/>
                <w:sz w:val="24"/>
              </w:rPr>
              <w:sym w:font="Wingdings 2" w:char="0052"/>
            </w:r>
            <w:r>
              <w:rPr>
                <w:color w:val="auto"/>
                <w:sz w:val="24"/>
              </w:rPr>
              <w:t>首次申报项目</w:t>
            </w:r>
          </w:p>
          <w:p w14:paraId="20926D56">
            <w:pPr>
              <w:adjustRightInd w:val="0"/>
              <w:snapToGrid w:val="0"/>
              <w:jc w:val="left"/>
              <w:rPr>
                <w:color w:val="auto"/>
                <w:sz w:val="24"/>
              </w:rPr>
            </w:pPr>
            <w:r>
              <w:rPr>
                <w:rFonts w:hint="eastAsia" w:ascii="Segoe UI Emoji" w:hAnsi="Segoe UI Emoji" w:eastAsia="Segoe UI Emoji" w:cs="Segoe UI Emoji"/>
                <w:color w:val="auto"/>
                <w:sz w:val="24"/>
              </w:rPr>
              <w:t>□</w:t>
            </w:r>
            <w:r>
              <w:rPr>
                <w:color w:val="auto"/>
                <w:sz w:val="24"/>
              </w:rPr>
              <w:t>不予批准后再次申报项目</w:t>
            </w:r>
          </w:p>
          <w:p w14:paraId="0E0033A2">
            <w:pPr>
              <w:adjustRightInd w:val="0"/>
              <w:snapToGrid w:val="0"/>
              <w:rPr>
                <w:color w:val="auto"/>
                <w:sz w:val="24"/>
              </w:rPr>
            </w:pPr>
            <w:r>
              <w:rPr>
                <w:rFonts w:hint="eastAsia" w:ascii="Segoe UI Emoji" w:hAnsi="Segoe UI Emoji" w:eastAsia="Segoe UI Emoji" w:cs="Segoe UI Emoji"/>
                <w:color w:val="auto"/>
                <w:sz w:val="24"/>
              </w:rPr>
              <w:t>□</w:t>
            </w:r>
            <w:r>
              <w:rPr>
                <w:color w:val="auto"/>
                <w:sz w:val="24"/>
              </w:rPr>
              <w:t>超五年重新审核项目</w:t>
            </w:r>
          </w:p>
          <w:p w14:paraId="39AC736E">
            <w:pPr>
              <w:adjustRightInd w:val="0"/>
              <w:snapToGrid w:val="0"/>
              <w:jc w:val="left"/>
              <w:rPr>
                <w:color w:val="auto"/>
                <w:sz w:val="24"/>
              </w:rPr>
            </w:pPr>
            <w:r>
              <w:rPr>
                <w:rFonts w:hint="eastAsia" w:ascii="Segoe UI Emoji" w:hAnsi="Segoe UI Emoji" w:eastAsia="Segoe UI Emoji" w:cs="Segoe UI Emoji"/>
                <w:color w:val="auto"/>
                <w:sz w:val="24"/>
              </w:rPr>
              <w:t>□</w:t>
            </w:r>
            <w:r>
              <w:rPr>
                <w:color w:val="auto"/>
                <w:sz w:val="24"/>
              </w:rPr>
              <w:t>重大变动重新报批项目</w:t>
            </w:r>
          </w:p>
        </w:tc>
      </w:tr>
      <w:tr w14:paraId="4F9A010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029" w:hRule="atLeast"/>
          <w:jc w:val="center"/>
        </w:trPr>
        <w:tc>
          <w:tcPr>
            <w:tcW w:w="1096" w:type="pct"/>
            <w:gridSpan w:val="2"/>
            <w:noWrap w:val="0"/>
            <w:tcMar>
              <w:top w:w="16" w:type="dxa"/>
              <w:left w:w="16" w:type="dxa"/>
              <w:right w:w="16" w:type="dxa"/>
            </w:tcMar>
            <w:vAlign w:val="center"/>
          </w:tcPr>
          <w:p w14:paraId="4C5534B5">
            <w:pPr>
              <w:adjustRightInd w:val="0"/>
              <w:snapToGrid w:val="0"/>
              <w:jc w:val="center"/>
              <w:rPr>
                <w:color w:val="auto"/>
                <w:sz w:val="24"/>
              </w:rPr>
            </w:pPr>
            <w:r>
              <w:rPr>
                <w:color w:val="auto"/>
                <w:sz w:val="24"/>
              </w:rPr>
              <w:t>项目审批（核准/</w:t>
            </w:r>
          </w:p>
          <w:p w14:paraId="56F3320E">
            <w:pPr>
              <w:adjustRightInd w:val="0"/>
              <w:snapToGrid w:val="0"/>
              <w:jc w:val="center"/>
              <w:rPr>
                <w:color w:val="auto"/>
                <w:sz w:val="24"/>
              </w:rPr>
            </w:pPr>
            <w:r>
              <w:rPr>
                <w:color w:val="auto"/>
                <w:sz w:val="24"/>
              </w:rPr>
              <w:t>备案）部门</w:t>
            </w:r>
          </w:p>
        </w:tc>
        <w:tc>
          <w:tcPr>
            <w:tcW w:w="1088" w:type="pct"/>
            <w:noWrap w:val="0"/>
            <w:vAlign w:val="center"/>
          </w:tcPr>
          <w:p w14:paraId="2AD7F70F">
            <w:pPr>
              <w:adjustRightInd w:val="0"/>
              <w:snapToGrid w:val="0"/>
              <w:jc w:val="center"/>
              <w:rPr>
                <w:rFonts w:hint="default" w:eastAsia="宋体"/>
                <w:color w:val="auto"/>
                <w:sz w:val="24"/>
                <w:lang w:val="en-US" w:eastAsia="zh-CN"/>
              </w:rPr>
            </w:pPr>
            <w:r>
              <w:rPr>
                <w:rFonts w:hint="eastAsia"/>
                <w:color w:val="auto"/>
                <w:sz w:val="24"/>
                <w:lang w:val="en-US" w:eastAsia="zh-CN"/>
              </w:rPr>
              <w:t>昌吉高新技术产业开发区产业发展科技局</w:t>
            </w:r>
          </w:p>
        </w:tc>
        <w:tc>
          <w:tcPr>
            <w:tcW w:w="1092" w:type="pct"/>
            <w:noWrap w:val="0"/>
            <w:vAlign w:val="center"/>
          </w:tcPr>
          <w:p w14:paraId="3DED5B71">
            <w:pPr>
              <w:adjustRightInd w:val="0"/>
              <w:snapToGrid w:val="0"/>
              <w:jc w:val="center"/>
              <w:rPr>
                <w:color w:val="auto"/>
                <w:sz w:val="24"/>
              </w:rPr>
            </w:pPr>
            <w:r>
              <w:rPr>
                <w:color w:val="auto"/>
                <w:sz w:val="24"/>
              </w:rPr>
              <w:t>项目审批（核准/</w:t>
            </w:r>
          </w:p>
          <w:p w14:paraId="72142B6B">
            <w:pPr>
              <w:adjustRightInd w:val="0"/>
              <w:snapToGrid w:val="0"/>
              <w:jc w:val="center"/>
              <w:rPr>
                <w:color w:val="auto"/>
                <w:sz w:val="24"/>
              </w:rPr>
            </w:pPr>
            <w:r>
              <w:rPr>
                <w:color w:val="auto"/>
                <w:sz w:val="24"/>
              </w:rPr>
              <w:t>备案）文号</w:t>
            </w:r>
          </w:p>
        </w:tc>
        <w:tc>
          <w:tcPr>
            <w:tcW w:w="1722" w:type="pct"/>
            <w:noWrap w:val="0"/>
            <w:vAlign w:val="center"/>
          </w:tcPr>
          <w:p w14:paraId="1162B462">
            <w:pPr>
              <w:adjustRightInd w:val="0"/>
              <w:snapToGrid w:val="0"/>
              <w:jc w:val="center"/>
              <w:rPr>
                <w:color w:val="auto"/>
                <w:sz w:val="24"/>
              </w:rPr>
            </w:pPr>
            <w:r>
              <w:rPr>
                <w:rFonts w:hint="eastAsia"/>
                <w:color w:val="auto"/>
                <w:sz w:val="24"/>
              </w:rPr>
              <w:t>备案证号</w:t>
            </w:r>
            <w:r>
              <w:rPr>
                <w:rFonts w:hint="eastAsia"/>
                <w:color w:val="auto"/>
                <w:sz w:val="24"/>
                <w:lang w:eastAsia="zh-CN"/>
              </w:rPr>
              <w:t>：</w:t>
            </w:r>
            <w:r>
              <w:rPr>
                <w:rFonts w:hint="eastAsia"/>
                <w:color w:val="auto"/>
                <w:sz w:val="24"/>
              </w:rPr>
              <w:t>2511181617652312000066</w:t>
            </w:r>
          </w:p>
        </w:tc>
      </w:tr>
      <w:tr w14:paraId="7AB0DA9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2" w:hRule="atLeast"/>
          <w:jc w:val="center"/>
        </w:trPr>
        <w:tc>
          <w:tcPr>
            <w:tcW w:w="1096" w:type="pct"/>
            <w:gridSpan w:val="2"/>
            <w:noWrap w:val="0"/>
            <w:tcMar>
              <w:top w:w="16" w:type="dxa"/>
              <w:left w:w="16" w:type="dxa"/>
              <w:right w:w="16" w:type="dxa"/>
            </w:tcMar>
            <w:vAlign w:val="center"/>
          </w:tcPr>
          <w:p w14:paraId="14432AF4">
            <w:pPr>
              <w:adjustRightInd w:val="0"/>
              <w:snapToGrid w:val="0"/>
              <w:jc w:val="center"/>
              <w:rPr>
                <w:color w:val="auto"/>
                <w:sz w:val="24"/>
              </w:rPr>
            </w:pPr>
            <w:r>
              <w:rPr>
                <w:color w:val="auto"/>
                <w:sz w:val="24"/>
              </w:rPr>
              <w:t>总投资（万元）</w:t>
            </w:r>
          </w:p>
        </w:tc>
        <w:tc>
          <w:tcPr>
            <w:tcW w:w="1088" w:type="pct"/>
            <w:noWrap w:val="0"/>
            <w:vAlign w:val="center"/>
          </w:tcPr>
          <w:p w14:paraId="7614C73E">
            <w:pPr>
              <w:adjustRightInd w:val="0"/>
              <w:snapToGrid w:val="0"/>
              <w:jc w:val="center"/>
              <w:rPr>
                <w:rFonts w:hint="default" w:eastAsia="宋体"/>
                <w:color w:val="auto"/>
                <w:sz w:val="24"/>
                <w:lang w:val="en-US" w:eastAsia="zh-CN"/>
              </w:rPr>
            </w:pPr>
            <w:r>
              <w:rPr>
                <w:rFonts w:hint="eastAsia"/>
                <w:color w:val="auto"/>
                <w:sz w:val="24"/>
                <w:lang w:val="en-US" w:eastAsia="zh-CN"/>
              </w:rPr>
              <w:t>300</w:t>
            </w:r>
          </w:p>
        </w:tc>
        <w:tc>
          <w:tcPr>
            <w:tcW w:w="1092" w:type="pct"/>
            <w:noWrap w:val="0"/>
            <w:tcMar>
              <w:top w:w="16" w:type="dxa"/>
              <w:left w:w="16" w:type="dxa"/>
              <w:right w:w="16" w:type="dxa"/>
            </w:tcMar>
            <w:vAlign w:val="center"/>
          </w:tcPr>
          <w:p w14:paraId="2B8131F6">
            <w:pPr>
              <w:adjustRightInd w:val="0"/>
              <w:snapToGrid w:val="0"/>
              <w:jc w:val="center"/>
              <w:rPr>
                <w:color w:val="auto"/>
                <w:sz w:val="24"/>
              </w:rPr>
            </w:pPr>
            <w:r>
              <w:rPr>
                <w:color w:val="auto"/>
                <w:sz w:val="24"/>
              </w:rPr>
              <w:t>环保投资（万元）</w:t>
            </w:r>
          </w:p>
        </w:tc>
        <w:tc>
          <w:tcPr>
            <w:tcW w:w="1722" w:type="pct"/>
            <w:noWrap w:val="0"/>
            <w:vAlign w:val="center"/>
          </w:tcPr>
          <w:p w14:paraId="6A30A859">
            <w:pPr>
              <w:adjustRightInd w:val="0"/>
              <w:snapToGrid w:val="0"/>
              <w:jc w:val="center"/>
              <w:rPr>
                <w:rFonts w:hint="default" w:eastAsia="宋体"/>
                <w:color w:val="auto"/>
                <w:sz w:val="24"/>
                <w:lang w:val="en-US" w:eastAsia="zh-CN"/>
              </w:rPr>
            </w:pPr>
            <w:r>
              <w:rPr>
                <w:rFonts w:hint="eastAsia"/>
                <w:color w:val="auto"/>
                <w:sz w:val="24"/>
                <w:lang w:val="en-US" w:eastAsia="zh-CN"/>
              </w:rPr>
              <w:t>30</w:t>
            </w:r>
          </w:p>
        </w:tc>
      </w:tr>
      <w:tr w14:paraId="560402C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1096" w:type="pct"/>
            <w:gridSpan w:val="2"/>
            <w:noWrap w:val="0"/>
            <w:tcMar>
              <w:top w:w="16" w:type="dxa"/>
              <w:left w:w="16" w:type="dxa"/>
              <w:right w:w="16" w:type="dxa"/>
            </w:tcMar>
            <w:vAlign w:val="center"/>
          </w:tcPr>
          <w:p w14:paraId="75F6EE0B">
            <w:pPr>
              <w:adjustRightInd w:val="0"/>
              <w:snapToGrid w:val="0"/>
              <w:jc w:val="center"/>
              <w:rPr>
                <w:color w:val="auto"/>
                <w:sz w:val="24"/>
              </w:rPr>
            </w:pPr>
            <w:r>
              <w:rPr>
                <w:color w:val="auto"/>
                <w:sz w:val="24"/>
              </w:rPr>
              <w:t>环保投资占比（%）</w:t>
            </w:r>
          </w:p>
        </w:tc>
        <w:tc>
          <w:tcPr>
            <w:tcW w:w="1088" w:type="pct"/>
            <w:noWrap w:val="0"/>
            <w:vAlign w:val="center"/>
          </w:tcPr>
          <w:p w14:paraId="157C695C">
            <w:pPr>
              <w:adjustRightInd w:val="0"/>
              <w:snapToGrid w:val="0"/>
              <w:jc w:val="center"/>
              <w:rPr>
                <w:rFonts w:hint="default" w:eastAsia="宋体"/>
                <w:color w:val="auto"/>
                <w:sz w:val="24"/>
                <w:lang w:val="en-US" w:eastAsia="zh-CN"/>
              </w:rPr>
            </w:pPr>
            <w:r>
              <w:rPr>
                <w:rFonts w:hint="eastAsia"/>
                <w:color w:val="auto"/>
                <w:sz w:val="24"/>
                <w:lang w:val="en-US" w:eastAsia="zh-CN"/>
              </w:rPr>
              <w:t>10%</w:t>
            </w:r>
          </w:p>
        </w:tc>
        <w:tc>
          <w:tcPr>
            <w:tcW w:w="1092" w:type="pct"/>
            <w:noWrap w:val="0"/>
            <w:tcMar>
              <w:top w:w="16" w:type="dxa"/>
              <w:left w:w="16" w:type="dxa"/>
              <w:right w:w="16" w:type="dxa"/>
            </w:tcMar>
            <w:vAlign w:val="center"/>
          </w:tcPr>
          <w:p w14:paraId="2EE6CFE5">
            <w:pPr>
              <w:adjustRightInd w:val="0"/>
              <w:snapToGrid w:val="0"/>
              <w:jc w:val="center"/>
              <w:rPr>
                <w:color w:val="auto"/>
                <w:sz w:val="24"/>
              </w:rPr>
            </w:pPr>
            <w:r>
              <w:rPr>
                <w:color w:val="auto"/>
                <w:sz w:val="24"/>
              </w:rPr>
              <w:t>施工工期</w:t>
            </w:r>
          </w:p>
        </w:tc>
        <w:tc>
          <w:tcPr>
            <w:tcW w:w="1722" w:type="pct"/>
            <w:noWrap w:val="0"/>
            <w:vAlign w:val="center"/>
          </w:tcPr>
          <w:p w14:paraId="15B2A316">
            <w:pPr>
              <w:adjustRightInd w:val="0"/>
              <w:snapToGrid w:val="0"/>
              <w:jc w:val="center"/>
              <w:rPr>
                <w:color w:val="auto"/>
                <w:sz w:val="24"/>
              </w:rPr>
            </w:pPr>
            <w:r>
              <w:rPr>
                <w:rFonts w:hint="eastAsia"/>
                <w:color w:val="auto"/>
                <w:sz w:val="24"/>
                <w:lang w:val="en-US" w:eastAsia="zh-CN"/>
              </w:rPr>
              <w:t>3</w:t>
            </w:r>
            <w:r>
              <w:rPr>
                <w:rFonts w:hint="eastAsia"/>
                <w:color w:val="auto"/>
                <w:sz w:val="24"/>
              </w:rPr>
              <w:t>个月</w:t>
            </w:r>
          </w:p>
        </w:tc>
      </w:tr>
      <w:tr w14:paraId="0B851FE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66" w:hRule="atLeast"/>
          <w:jc w:val="center"/>
        </w:trPr>
        <w:tc>
          <w:tcPr>
            <w:tcW w:w="1096" w:type="pct"/>
            <w:gridSpan w:val="2"/>
            <w:noWrap w:val="0"/>
            <w:tcMar>
              <w:top w:w="16" w:type="dxa"/>
              <w:left w:w="16" w:type="dxa"/>
              <w:right w:w="16" w:type="dxa"/>
            </w:tcMar>
            <w:vAlign w:val="center"/>
          </w:tcPr>
          <w:p w14:paraId="722DA3AD">
            <w:pPr>
              <w:adjustRightInd w:val="0"/>
              <w:snapToGrid w:val="0"/>
              <w:jc w:val="center"/>
              <w:rPr>
                <w:color w:val="auto"/>
                <w:sz w:val="24"/>
              </w:rPr>
            </w:pPr>
            <w:r>
              <w:rPr>
                <w:color w:val="auto"/>
                <w:sz w:val="24"/>
              </w:rPr>
              <w:t>是否开工建设</w:t>
            </w:r>
          </w:p>
        </w:tc>
        <w:tc>
          <w:tcPr>
            <w:tcW w:w="1088" w:type="pct"/>
            <w:noWrap w:val="0"/>
            <w:vAlign w:val="center"/>
          </w:tcPr>
          <w:p w14:paraId="2B4FA81C">
            <w:pPr>
              <w:adjustRightInd w:val="0"/>
              <w:snapToGrid w:val="0"/>
              <w:jc w:val="left"/>
              <w:rPr>
                <w:color w:val="auto"/>
                <w:sz w:val="24"/>
              </w:rPr>
            </w:pPr>
            <w:r>
              <w:rPr>
                <w:color w:val="auto"/>
                <w:sz w:val="24"/>
              </w:rPr>
              <w:sym w:font="Wingdings 2" w:char="0052"/>
            </w:r>
            <w:r>
              <w:rPr>
                <w:color w:val="auto"/>
                <w:sz w:val="24"/>
              </w:rPr>
              <w:t>否</w:t>
            </w:r>
          </w:p>
          <w:p w14:paraId="563D47D0">
            <w:pPr>
              <w:adjustRightInd w:val="0"/>
              <w:snapToGrid w:val="0"/>
              <w:jc w:val="left"/>
              <w:rPr>
                <w:color w:val="auto"/>
                <w:sz w:val="24"/>
              </w:rPr>
            </w:pPr>
            <w:r>
              <w:rPr>
                <w:color w:val="auto"/>
                <w:sz w:val="24"/>
              </w:rPr>
              <w:sym w:font="Wingdings 2" w:char="00A3"/>
            </w:r>
            <w:r>
              <w:rPr>
                <w:color w:val="auto"/>
                <w:sz w:val="24"/>
              </w:rPr>
              <w:t>是：</w:t>
            </w:r>
            <w:r>
              <w:rPr>
                <w:color w:val="auto"/>
                <w:sz w:val="24"/>
                <w:u w:val="single"/>
              </w:rPr>
              <w:t xml:space="preserve">             </w:t>
            </w:r>
          </w:p>
        </w:tc>
        <w:tc>
          <w:tcPr>
            <w:tcW w:w="1092" w:type="pct"/>
            <w:noWrap w:val="0"/>
            <w:tcMar>
              <w:top w:w="16" w:type="dxa"/>
              <w:left w:w="16" w:type="dxa"/>
              <w:right w:w="16" w:type="dxa"/>
            </w:tcMar>
            <w:vAlign w:val="center"/>
          </w:tcPr>
          <w:p w14:paraId="3ED4171B">
            <w:pPr>
              <w:adjustRightInd w:val="0"/>
              <w:snapToGrid w:val="0"/>
              <w:jc w:val="center"/>
              <w:rPr>
                <w:color w:val="auto"/>
                <w:spacing w:val="-6"/>
                <w:sz w:val="24"/>
              </w:rPr>
            </w:pPr>
            <w:r>
              <w:rPr>
                <w:color w:val="auto"/>
                <w:spacing w:val="-6"/>
                <w:sz w:val="24"/>
              </w:rPr>
              <w:t>用地（用海）</w:t>
            </w:r>
          </w:p>
          <w:p w14:paraId="32DCF291">
            <w:pPr>
              <w:adjustRightInd w:val="0"/>
              <w:snapToGrid w:val="0"/>
              <w:jc w:val="center"/>
              <w:rPr>
                <w:color w:val="auto"/>
                <w:sz w:val="24"/>
              </w:rPr>
            </w:pPr>
            <w:r>
              <w:rPr>
                <w:color w:val="auto"/>
                <w:spacing w:val="-6"/>
                <w:sz w:val="24"/>
              </w:rPr>
              <w:t>面积（m</w:t>
            </w:r>
            <w:r>
              <w:rPr>
                <w:color w:val="auto"/>
                <w:spacing w:val="-6"/>
                <w:sz w:val="24"/>
                <w:vertAlign w:val="superscript"/>
              </w:rPr>
              <w:t>2</w:t>
            </w:r>
            <w:r>
              <w:rPr>
                <w:color w:val="auto"/>
                <w:spacing w:val="-6"/>
                <w:sz w:val="24"/>
              </w:rPr>
              <w:t>）</w:t>
            </w:r>
          </w:p>
        </w:tc>
        <w:tc>
          <w:tcPr>
            <w:tcW w:w="1722" w:type="pct"/>
            <w:noWrap w:val="0"/>
            <w:vAlign w:val="center"/>
          </w:tcPr>
          <w:p w14:paraId="222A06AE">
            <w:pPr>
              <w:adjustRightInd w:val="0"/>
              <w:snapToGrid w:val="0"/>
              <w:jc w:val="center"/>
              <w:rPr>
                <w:rFonts w:hint="default" w:eastAsia="宋体"/>
                <w:color w:val="auto"/>
                <w:sz w:val="24"/>
                <w:lang w:val="en-US" w:eastAsia="zh-CN"/>
              </w:rPr>
            </w:pPr>
            <w:r>
              <w:rPr>
                <w:rFonts w:hint="eastAsia" w:eastAsia="宋体"/>
                <w:color w:val="auto"/>
                <w:sz w:val="24"/>
                <w:lang w:val="en-US" w:eastAsia="zh-CN"/>
              </w:rPr>
              <w:t>603.68</w:t>
            </w:r>
          </w:p>
        </w:tc>
      </w:tr>
      <w:tr w14:paraId="604B460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55" w:hRule="atLeast"/>
          <w:jc w:val="center"/>
        </w:trPr>
        <w:tc>
          <w:tcPr>
            <w:tcW w:w="1096" w:type="pct"/>
            <w:gridSpan w:val="2"/>
            <w:noWrap w:val="0"/>
            <w:vAlign w:val="center"/>
          </w:tcPr>
          <w:p w14:paraId="7461A86D">
            <w:pPr>
              <w:autoSpaceDE w:val="0"/>
              <w:autoSpaceDN w:val="0"/>
              <w:adjustRightInd w:val="0"/>
              <w:snapToGrid w:val="0"/>
              <w:jc w:val="center"/>
              <w:rPr>
                <w:color w:val="auto"/>
                <w:kern w:val="0"/>
                <w:sz w:val="24"/>
              </w:rPr>
            </w:pPr>
            <w:r>
              <w:rPr>
                <w:color w:val="auto"/>
                <w:kern w:val="0"/>
                <w:sz w:val="24"/>
              </w:rPr>
              <w:t>专项评价设置情况</w:t>
            </w:r>
          </w:p>
        </w:tc>
        <w:tc>
          <w:tcPr>
            <w:tcW w:w="3903" w:type="pct"/>
            <w:gridSpan w:val="3"/>
            <w:noWrap w:val="0"/>
            <w:vAlign w:val="center"/>
          </w:tcPr>
          <w:p w14:paraId="5AFF8112">
            <w:pPr>
              <w:pStyle w:val="19"/>
              <w:adjustRightInd w:val="0"/>
              <w:spacing w:line="360" w:lineRule="auto"/>
              <w:jc w:val="center"/>
              <w:rPr>
                <w:rFonts w:hint="eastAsia" w:eastAsia="宋体"/>
                <w:color w:val="auto"/>
                <w:sz w:val="24"/>
                <w:szCs w:val="24"/>
                <w:lang w:val="en-US" w:eastAsia="zh-CN"/>
              </w:rPr>
            </w:pPr>
            <w:r>
              <w:rPr>
                <w:rFonts w:hint="eastAsia"/>
                <w:color w:val="auto"/>
                <w:sz w:val="24"/>
                <w:szCs w:val="24"/>
                <w:lang w:val="en-US" w:eastAsia="zh-CN"/>
              </w:rPr>
              <w:t>无</w:t>
            </w:r>
          </w:p>
        </w:tc>
      </w:tr>
      <w:tr w14:paraId="40D7949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30" w:hRule="atLeast"/>
          <w:jc w:val="center"/>
        </w:trPr>
        <w:tc>
          <w:tcPr>
            <w:tcW w:w="1096" w:type="pct"/>
            <w:gridSpan w:val="2"/>
            <w:noWrap w:val="0"/>
            <w:vAlign w:val="center"/>
          </w:tcPr>
          <w:p w14:paraId="53978F4B">
            <w:pPr>
              <w:autoSpaceDE w:val="0"/>
              <w:autoSpaceDN w:val="0"/>
              <w:adjustRightInd w:val="0"/>
              <w:snapToGrid w:val="0"/>
              <w:jc w:val="center"/>
              <w:rPr>
                <w:rFonts w:hint="eastAsia" w:cs="宋体"/>
                <w:color w:val="auto"/>
                <w:kern w:val="0"/>
                <w:sz w:val="24"/>
              </w:rPr>
            </w:pPr>
            <w:r>
              <w:rPr>
                <w:rFonts w:hint="eastAsia" w:cs="宋体"/>
                <w:color w:val="auto"/>
                <w:sz w:val="24"/>
              </w:rPr>
              <w:t>规划情况</w:t>
            </w:r>
          </w:p>
        </w:tc>
        <w:tc>
          <w:tcPr>
            <w:tcW w:w="3903" w:type="pct"/>
            <w:gridSpan w:val="3"/>
            <w:noWrap w:val="0"/>
            <w:vAlign w:val="center"/>
          </w:tcPr>
          <w:p w14:paraId="6C31F840">
            <w:pPr>
              <w:keepNext w:val="0"/>
              <w:keepLines w:val="0"/>
              <w:pageBreakBefore w:val="0"/>
              <w:widowControl w:val="0"/>
              <w:kinsoku/>
              <w:wordWrap/>
              <w:overflowPunct/>
              <w:topLinePunct w:val="0"/>
              <w:autoSpaceDE w:val="0"/>
              <w:autoSpaceDN w:val="0"/>
              <w:bidi w:val="0"/>
              <w:adjustRightInd w:val="0"/>
              <w:snapToGrid w:val="0"/>
              <w:spacing w:line="360" w:lineRule="auto"/>
              <w:ind w:firstLine="0" w:firstLineChars="0"/>
              <w:jc w:val="both"/>
              <w:textAlignment w:val="auto"/>
              <w:rPr>
                <w:rFonts w:hint="eastAsia"/>
                <w:color w:val="auto"/>
                <w:sz w:val="24"/>
              </w:rPr>
            </w:pPr>
            <w:r>
              <w:rPr>
                <w:rFonts w:hint="eastAsia"/>
                <w:color w:val="0000FF"/>
                <w:kern w:val="0"/>
                <w:sz w:val="24"/>
              </w:rPr>
              <w:t>《昌吉高新技术产业开发区国土空间详细规划》</w:t>
            </w:r>
          </w:p>
        </w:tc>
      </w:tr>
      <w:tr w14:paraId="14614EB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941" w:hRule="atLeast"/>
          <w:jc w:val="center"/>
        </w:trPr>
        <w:tc>
          <w:tcPr>
            <w:tcW w:w="1096" w:type="pct"/>
            <w:gridSpan w:val="2"/>
            <w:noWrap w:val="0"/>
            <w:vAlign w:val="center"/>
          </w:tcPr>
          <w:p w14:paraId="5F9BEDB3">
            <w:pPr>
              <w:autoSpaceDE w:val="0"/>
              <w:autoSpaceDN w:val="0"/>
              <w:adjustRightInd w:val="0"/>
              <w:snapToGrid w:val="0"/>
              <w:jc w:val="center"/>
              <w:rPr>
                <w:rFonts w:hint="eastAsia" w:cs="宋体"/>
                <w:color w:val="auto"/>
                <w:kern w:val="0"/>
                <w:sz w:val="24"/>
              </w:rPr>
            </w:pPr>
            <w:r>
              <w:rPr>
                <w:rFonts w:hint="eastAsia" w:cs="宋体"/>
                <w:color w:val="auto"/>
                <w:sz w:val="24"/>
              </w:rPr>
              <w:t>规划环境影响评</w:t>
            </w:r>
            <w:r>
              <w:rPr>
                <w:rFonts w:hint="eastAsia" w:cs="宋体"/>
                <w:color w:val="auto"/>
                <w:sz w:val="24"/>
                <w:lang w:val="en-US" w:eastAsia="zh-CN"/>
              </w:rPr>
              <w:t xml:space="preserve"> </w:t>
            </w:r>
            <w:r>
              <w:rPr>
                <w:rFonts w:hint="eastAsia" w:cs="宋体"/>
                <w:color w:val="auto"/>
                <w:sz w:val="24"/>
              </w:rPr>
              <w:t>情况</w:t>
            </w:r>
          </w:p>
        </w:tc>
        <w:tc>
          <w:tcPr>
            <w:tcW w:w="3903" w:type="pct"/>
            <w:gridSpan w:val="3"/>
            <w:noWrap w:val="0"/>
            <w:vAlign w:val="center"/>
          </w:tcPr>
          <w:p w14:paraId="5B29673A">
            <w:pPr>
              <w:keepNext w:val="0"/>
              <w:keepLines w:val="0"/>
              <w:pageBreakBefore w:val="0"/>
              <w:widowControl w:val="0"/>
              <w:kinsoku/>
              <w:wordWrap/>
              <w:overflowPunct/>
              <w:topLinePunct/>
              <w:autoSpaceDE w:val="0"/>
              <w:autoSpaceDN w:val="0"/>
              <w:bidi w:val="0"/>
              <w:adjustRightInd w:val="0"/>
              <w:snapToGrid w:val="0"/>
              <w:spacing w:line="360" w:lineRule="auto"/>
              <w:ind w:firstLine="0" w:firstLineChars="0"/>
              <w:jc w:val="both"/>
              <w:textAlignment w:val="auto"/>
              <w:rPr>
                <w:rFonts w:hint="eastAsia" w:ascii="Times New Roman" w:hAnsi="Times New Roman" w:eastAsia="宋体" w:cs="Times New Roman"/>
                <w:color w:val="auto"/>
                <w:kern w:val="0"/>
                <w:sz w:val="24"/>
              </w:rPr>
            </w:pPr>
            <w:r>
              <w:rPr>
                <w:rFonts w:hint="eastAsia" w:ascii="Times New Roman" w:hAnsi="Times New Roman" w:eastAsia="宋体" w:cs="Times New Roman"/>
                <w:color w:val="auto"/>
                <w:kern w:val="0"/>
                <w:sz w:val="24"/>
                <w:lang w:val="en-US" w:eastAsia="zh-CN"/>
              </w:rPr>
              <w:t>规</w:t>
            </w:r>
            <w:r>
              <w:rPr>
                <w:rFonts w:hint="eastAsia" w:ascii="Times New Roman" w:hAnsi="Times New Roman" w:eastAsia="宋体" w:cs="Times New Roman"/>
                <w:color w:val="auto"/>
                <w:kern w:val="0"/>
                <w:sz w:val="24"/>
              </w:rPr>
              <w:t>划环评名称：《昌吉高新技术产业开发区总体规划（2014-2030</w:t>
            </w:r>
            <w:r>
              <w:rPr>
                <w:rFonts w:hint="eastAsia"/>
                <w:color w:val="auto"/>
                <w:lang w:val="en-US" w:eastAsia="zh-CN"/>
              </w:rPr>
              <w:t>年</w:t>
            </w:r>
            <w:r>
              <w:rPr>
                <w:rFonts w:hint="eastAsia" w:ascii="Times New Roman" w:hAnsi="Times New Roman" w:eastAsia="宋体" w:cs="Times New Roman"/>
                <w:color w:val="auto"/>
                <w:kern w:val="0"/>
                <w:sz w:val="24"/>
              </w:rPr>
              <w:t>）规划环境影响评价报告书》</w:t>
            </w:r>
          </w:p>
          <w:p w14:paraId="43B8D43C">
            <w:pPr>
              <w:keepNext w:val="0"/>
              <w:keepLines w:val="0"/>
              <w:pageBreakBefore w:val="0"/>
              <w:widowControl w:val="0"/>
              <w:kinsoku/>
              <w:wordWrap/>
              <w:overflowPunct/>
              <w:topLinePunct w:val="0"/>
              <w:autoSpaceDE w:val="0"/>
              <w:autoSpaceDN w:val="0"/>
              <w:bidi w:val="0"/>
              <w:adjustRightInd w:val="0"/>
              <w:snapToGrid w:val="0"/>
              <w:spacing w:line="360" w:lineRule="auto"/>
              <w:ind w:firstLine="0" w:firstLineChars="0"/>
              <w:jc w:val="both"/>
              <w:textAlignment w:val="auto"/>
              <w:rPr>
                <w:rFonts w:hint="eastAsia" w:ascii="Times New Roman" w:hAnsi="Times New Roman" w:eastAsia="宋体" w:cs="Times New Roman"/>
                <w:color w:val="auto"/>
                <w:kern w:val="0"/>
                <w:sz w:val="24"/>
              </w:rPr>
            </w:pPr>
            <w:r>
              <w:rPr>
                <w:rFonts w:hint="eastAsia" w:ascii="Times New Roman" w:hAnsi="Times New Roman" w:eastAsia="宋体" w:cs="Times New Roman"/>
                <w:color w:val="auto"/>
                <w:kern w:val="0"/>
                <w:sz w:val="24"/>
              </w:rPr>
              <w:t>规划环评审查机关：</w:t>
            </w:r>
            <w:r>
              <w:rPr>
                <w:rFonts w:hint="eastAsia" w:ascii="Times New Roman" w:hAnsi="Times New Roman" w:eastAsia="宋体" w:cs="Times New Roman"/>
                <w:color w:val="auto"/>
                <w:kern w:val="0"/>
                <w:sz w:val="24"/>
                <w:lang w:val="en-US" w:eastAsia="zh-CN"/>
              </w:rPr>
              <w:t>原</w:t>
            </w:r>
            <w:r>
              <w:rPr>
                <w:rFonts w:hint="eastAsia" w:ascii="Times New Roman" w:hAnsi="Times New Roman" w:eastAsia="宋体" w:cs="Times New Roman"/>
                <w:color w:val="auto"/>
                <w:kern w:val="0"/>
                <w:sz w:val="24"/>
              </w:rPr>
              <w:t>新疆维吾尔自治区环境保护厅</w:t>
            </w:r>
          </w:p>
          <w:p w14:paraId="74716E11">
            <w:pPr>
              <w:pStyle w:val="90"/>
              <w:spacing w:line="360" w:lineRule="auto"/>
              <w:ind w:firstLine="0" w:firstLineChars="0"/>
              <w:jc w:val="left"/>
              <w:rPr>
                <w:rFonts w:hint="eastAsia" w:cs="宋体"/>
                <w:color w:val="auto"/>
                <w:kern w:val="0"/>
                <w:sz w:val="24"/>
              </w:rPr>
            </w:pPr>
            <w:r>
              <w:rPr>
                <w:rFonts w:hint="eastAsia" w:ascii="Times New Roman" w:hAnsi="Times New Roman" w:eastAsia="宋体" w:cs="Times New Roman"/>
                <w:color w:val="auto"/>
                <w:kern w:val="0"/>
                <w:sz w:val="24"/>
              </w:rPr>
              <w:t>审查文件名称</w:t>
            </w:r>
            <w:r>
              <w:rPr>
                <w:rFonts w:hint="eastAsia" w:ascii="Times New Roman" w:hAnsi="Times New Roman" w:eastAsia="宋体" w:cs="Times New Roman"/>
                <w:color w:val="auto"/>
                <w:kern w:val="0"/>
                <w:sz w:val="24"/>
                <w:lang w:val="en-US" w:eastAsia="zh-CN"/>
              </w:rPr>
              <w:t>及文号</w:t>
            </w:r>
            <w:r>
              <w:rPr>
                <w:rFonts w:hint="eastAsia" w:ascii="Times New Roman" w:hAnsi="Times New Roman" w:eastAsia="宋体" w:cs="Times New Roman"/>
                <w:color w:val="auto"/>
                <w:kern w:val="0"/>
                <w:sz w:val="24"/>
              </w:rPr>
              <w:t>：《关于昌吉高新技术产业开发区总体规划（2014-2030）环境影响报告书的审查意见》</w:t>
            </w:r>
            <w:r>
              <w:rPr>
                <w:rFonts w:hint="eastAsia" w:ascii="Times New Roman" w:hAnsi="Times New Roman" w:eastAsia="宋体" w:cs="Times New Roman"/>
                <w:color w:val="auto"/>
                <w:kern w:val="0"/>
                <w:sz w:val="24"/>
                <w:lang w:eastAsia="zh-CN"/>
              </w:rPr>
              <w:t>（</w:t>
            </w:r>
            <w:r>
              <w:rPr>
                <w:rFonts w:hint="eastAsia" w:ascii="Times New Roman" w:hAnsi="Times New Roman" w:eastAsia="宋体" w:cs="Times New Roman"/>
                <w:color w:val="auto"/>
                <w:kern w:val="0"/>
                <w:sz w:val="24"/>
              </w:rPr>
              <w:t>新环函〔2015〕306号</w:t>
            </w:r>
            <w:r>
              <w:rPr>
                <w:rFonts w:hint="eastAsia" w:ascii="Times New Roman" w:hAnsi="Times New Roman" w:eastAsia="宋体" w:cs="Times New Roman"/>
                <w:color w:val="auto"/>
                <w:kern w:val="0"/>
                <w:sz w:val="24"/>
                <w:lang w:eastAsia="zh-CN"/>
              </w:rPr>
              <w:t>）</w:t>
            </w:r>
          </w:p>
        </w:tc>
      </w:tr>
      <w:tr w14:paraId="2DA5A43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507" w:type="pct"/>
            <w:noWrap w:val="0"/>
            <w:vAlign w:val="center"/>
          </w:tcPr>
          <w:p w14:paraId="5B144ADC">
            <w:pPr>
              <w:autoSpaceDE w:val="0"/>
              <w:autoSpaceDN w:val="0"/>
              <w:adjustRightInd w:val="0"/>
              <w:snapToGrid w:val="0"/>
              <w:jc w:val="center"/>
              <w:rPr>
                <w:rFonts w:cs="宋体"/>
                <w:color w:val="auto"/>
                <w:kern w:val="0"/>
                <w:sz w:val="24"/>
              </w:rPr>
            </w:pPr>
            <w:r>
              <w:rPr>
                <w:rFonts w:hint="eastAsia" w:cs="宋体"/>
                <w:color w:val="auto"/>
                <w:kern w:val="0"/>
                <w:sz w:val="24"/>
              </w:rPr>
              <w:t>规划及规划环境影响评价符合性分析</w:t>
            </w:r>
          </w:p>
        </w:tc>
        <w:tc>
          <w:tcPr>
            <w:tcW w:w="4492" w:type="pct"/>
            <w:gridSpan w:val="4"/>
            <w:noWrap w:val="0"/>
            <w:vAlign w:val="center"/>
          </w:tcPr>
          <w:p w14:paraId="792D726E">
            <w:pPr>
              <w:autoSpaceDE w:val="0"/>
              <w:autoSpaceDN w:val="0"/>
              <w:adjustRightInd w:val="0"/>
              <w:snapToGrid w:val="0"/>
              <w:spacing w:line="360" w:lineRule="auto"/>
              <w:ind w:firstLine="482" w:firstLineChars="200"/>
              <w:rPr>
                <w:b w:val="0"/>
                <w:bCs/>
                <w:color w:val="auto"/>
                <w:kern w:val="0"/>
                <w:sz w:val="24"/>
              </w:rPr>
            </w:pPr>
            <w:r>
              <w:rPr>
                <w:b/>
                <w:bCs w:val="0"/>
                <w:color w:val="0000FF"/>
                <w:kern w:val="0"/>
                <w:sz w:val="24"/>
              </w:rPr>
              <w:t>1</w:t>
            </w:r>
            <w:r>
              <w:rPr>
                <w:rFonts w:hint="eastAsia"/>
                <w:b/>
                <w:bCs w:val="0"/>
                <w:color w:val="0000FF"/>
                <w:kern w:val="0"/>
                <w:sz w:val="24"/>
                <w:lang w:eastAsia="zh-CN"/>
              </w:rPr>
              <w:t>、</w:t>
            </w:r>
            <w:r>
              <w:rPr>
                <w:b/>
                <w:bCs w:val="0"/>
                <w:color w:val="0000FF"/>
                <w:kern w:val="0"/>
                <w:sz w:val="24"/>
              </w:rPr>
              <w:t>与</w:t>
            </w:r>
            <w:r>
              <w:rPr>
                <w:rFonts w:hint="eastAsia"/>
                <w:color w:val="0000FF"/>
                <w:kern w:val="0"/>
                <w:sz w:val="24"/>
              </w:rPr>
              <w:t>《昌吉高新技术产业开发区国土空间详细规划》</w:t>
            </w:r>
            <w:r>
              <w:rPr>
                <w:b/>
                <w:bCs w:val="0"/>
                <w:color w:val="0000FF"/>
                <w:kern w:val="0"/>
                <w:sz w:val="24"/>
              </w:rPr>
              <w:t>符合性分析</w:t>
            </w:r>
          </w:p>
          <w:p w14:paraId="7D70CAB0">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eastAsia" w:ascii="Times New Roman" w:hAnsi="Times New Roman" w:eastAsia="宋体" w:cs="Times New Roman"/>
                <w:b w:val="0"/>
                <w:bCs/>
                <w:color w:val="auto"/>
                <w:kern w:val="0"/>
                <w:sz w:val="24"/>
              </w:rPr>
            </w:pPr>
            <w:r>
              <w:rPr>
                <w:rFonts w:hint="eastAsia" w:ascii="Times New Roman" w:hAnsi="Times New Roman" w:eastAsia="宋体" w:cs="Times New Roman"/>
                <w:b w:val="0"/>
                <w:bCs/>
                <w:color w:val="auto"/>
                <w:kern w:val="0"/>
                <w:sz w:val="24"/>
              </w:rPr>
              <w:t>根据《昌吉高新技术产业开发区国土空间详细规划》，昌吉高新技术产业开发区</w:t>
            </w:r>
            <w:r>
              <w:rPr>
                <w:rFonts w:hint="eastAsia" w:cs="Times New Roman"/>
                <w:b w:val="0"/>
                <w:bCs/>
                <w:color w:val="auto"/>
                <w:kern w:val="0"/>
                <w:sz w:val="24"/>
                <w:lang w:val="en-US" w:eastAsia="zh-CN"/>
              </w:rPr>
              <w:t>形成</w:t>
            </w:r>
            <w:r>
              <w:rPr>
                <w:rFonts w:hint="eastAsia" w:ascii="Times New Roman" w:hAnsi="Times New Roman" w:eastAsia="宋体" w:cs="Times New Roman"/>
                <w:b w:val="0"/>
                <w:bCs/>
                <w:color w:val="auto"/>
                <w:kern w:val="0"/>
                <w:sz w:val="24"/>
              </w:rPr>
              <w:t>双核：高新文化中心和榆树沟服务中心，助力高新区产城融合</w:t>
            </w:r>
            <w:r>
              <w:rPr>
                <w:rFonts w:hint="eastAsia" w:cs="Times New Roman"/>
                <w:b w:val="0"/>
                <w:bCs/>
                <w:color w:val="auto"/>
                <w:kern w:val="0"/>
                <w:sz w:val="24"/>
                <w:lang w:eastAsia="zh-CN"/>
              </w:rPr>
              <w:t>；</w:t>
            </w:r>
            <w:r>
              <w:rPr>
                <w:rFonts w:hint="eastAsia" w:ascii="Times New Roman" w:hAnsi="Times New Roman" w:eastAsia="宋体" w:cs="Times New Roman"/>
                <w:b w:val="0"/>
                <w:bCs/>
                <w:color w:val="auto"/>
                <w:kern w:val="0"/>
                <w:sz w:val="24"/>
              </w:rPr>
              <w:t>十字轴：东西向“乌昌创新发展示范轴”与南北向“综合服务发展轴”两极：指特变电工科技城和蓝山屯河科技城两处增长极</w:t>
            </w:r>
            <w:r>
              <w:rPr>
                <w:rFonts w:hint="eastAsia" w:cs="Times New Roman"/>
                <w:b w:val="0"/>
                <w:bCs/>
                <w:color w:val="auto"/>
                <w:kern w:val="0"/>
                <w:sz w:val="24"/>
                <w:lang w:eastAsia="zh-CN"/>
              </w:rPr>
              <w:t>；</w:t>
            </w:r>
            <w:r>
              <w:rPr>
                <w:rFonts w:hint="eastAsia" w:ascii="Times New Roman" w:hAnsi="Times New Roman" w:eastAsia="宋体" w:cs="Times New Roman"/>
                <w:b w:val="0"/>
                <w:bCs/>
                <w:color w:val="auto"/>
                <w:kern w:val="0"/>
                <w:sz w:val="24"/>
              </w:rPr>
              <w:t>多园区：装备制造产业区、新材料产业区、生物科技区、曙光园、综合活力区。本项目位于昌吉高新技术产业开发区总体规划（2014-2030年）所划定的装备制造产业区内，土地属于昌吉高新技术产业开发区现规划的工业用地。</w:t>
            </w:r>
          </w:p>
          <w:p w14:paraId="3A8C1CCD">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eastAsia" w:ascii="Times New Roman" w:hAnsi="Times New Roman" w:eastAsia="宋体" w:cs="Times New Roman"/>
                <w:b w:val="0"/>
                <w:bCs/>
                <w:color w:val="auto"/>
                <w:kern w:val="0"/>
                <w:sz w:val="24"/>
              </w:rPr>
            </w:pPr>
            <w:r>
              <w:rPr>
                <w:rFonts w:hint="eastAsia" w:ascii="Times New Roman" w:hAnsi="Times New Roman" w:eastAsia="宋体" w:cs="Times New Roman"/>
                <w:b w:val="0"/>
                <w:bCs/>
                <w:color w:val="auto"/>
                <w:kern w:val="0"/>
                <w:sz w:val="24"/>
              </w:rPr>
              <w:t>园区发展定位：以装备制造业、新材料产业、生物科技和食品产业为主，配套现代服务业，将园区打造成全区重要先进制造业基地，昌吉州生产性服务业创新中心。园区划分为精细化工、工程机械装备制造业、综合产业园（管理服务、装备制造、食品生物科技）、新材料产业园（新型建材、节能环保材料）等分区。</w:t>
            </w:r>
          </w:p>
          <w:p w14:paraId="113A2D90">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eastAsia="宋体" w:cs="Times New Roman"/>
                <w:b w:val="0"/>
                <w:bCs/>
                <w:color w:val="auto"/>
                <w:kern w:val="0"/>
                <w:sz w:val="24"/>
                <w:lang w:val="en-US" w:eastAsia="zh-CN"/>
              </w:rPr>
            </w:pPr>
            <w:r>
              <w:rPr>
                <w:rFonts w:hint="eastAsia" w:ascii="Times New Roman" w:hAnsi="Times New Roman" w:eastAsia="宋体" w:cs="Times New Roman"/>
                <w:b w:val="0"/>
                <w:bCs/>
                <w:color w:val="auto"/>
                <w:kern w:val="0"/>
                <w:sz w:val="24"/>
              </w:rPr>
              <w:t>根据《昌吉高新技术产业开发区总体规划（2014-2030年）》</w:t>
            </w:r>
            <w:r>
              <w:rPr>
                <w:rFonts w:hint="eastAsia" w:ascii="Times New Roman" w:hAnsi="Times New Roman" w:eastAsia="宋体" w:cs="Times New Roman"/>
                <w:b w:val="0"/>
                <w:bCs/>
                <w:color w:val="auto"/>
                <w:kern w:val="0"/>
                <w:sz w:val="24"/>
                <w:lang w:val="en-US" w:eastAsia="zh-CN"/>
              </w:rPr>
              <w:t>规划</w:t>
            </w:r>
            <w:r>
              <w:rPr>
                <w:rFonts w:hint="eastAsia" w:ascii="Times New Roman" w:hAnsi="Times New Roman" w:eastAsia="宋体" w:cs="Times New Roman"/>
                <w:b w:val="0"/>
                <w:bCs/>
                <w:color w:val="auto"/>
                <w:kern w:val="0"/>
                <w:sz w:val="24"/>
              </w:rPr>
              <w:t>图，本项目位于</w:t>
            </w:r>
            <w:r>
              <w:rPr>
                <w:rFonts w:hint="eastAsia" w:ascii="Times New Roman" w:hAnsi="Times New Roman" w:eastAsia="宋体" w:cs="Times New Roman"/>
                <w:b w:val="0"/>
                <w:bCs/>
                <w:color w:val="auto"/>
                <w:kern w:val="0"/>
                <w:sz w:val="24"/>
                <w:lang w:val="en-US" w:eastAsia="zh-CN"/>
              </w:rPr>
              <w:t>新疆华爱康塑业科技发展有限公司院内</w:t>
            </w:r>
            <w:r>
              <w:rPr>
                <w:rFonts w:hint="eastAsia" w:ascii="Times New Roman" w:hAnsi="Times New Roman" w:eastAsia="宋体" w:cs="Times New Roman"/>
                <w:b w:val="0"/>
                <w:bCs/>
                <w:color w:val="auto"/>
                <w:kern w:val="0"/>
                <w:sz w:val="24"/>
              </w:rPr>
              <w:t>，所在位置</w:t>
            </w:r>
            <w:r>
              <w:rPr>
                <w:rFonts w:hint="eastAsia" w:ascii="Times New Roman" w:hAnsi="Times New Roman" w:eastAsia="宋体" w:cs="Times New Roman"/>
                <w:b w:val="0"/>
                <w:bCs/>
                <w:color w:val="auto"/>
                <w:kern w:val="0"/>
                <w:sz w:val="24"/>
                <w:lang w:val="en-US" w:eastAsia="zh-CN"/>
              </w:rPr>
              <w:t>属于</w:t>
            </w:r>
            <w:r>
              <w:rPr>
                <w:rFonts w:hint="eastAsia" w:ascii="Times New Roman" w:hAnsi="Times New Roman" w:eastAsia="宋体" w:cs="Times New Roman"/>
                <w:b w:val="0"/>
                <w:bCs/>
                <w:color w:val="auto"/>
                <w:kern w:val="0"/>
                <w:sz w:val="24"/>
              </w:rPr>
              <w:t>装备制造</w:t>
            </w:r>
            <w:r>
              <w:rPr>
                <w:rFonts w:hint="eastAsia" w:cs="Times New Roman"/>
                <w:b w:val="0"/>
                <w:bCs/>
                <w:color w:val="auto"/>
                <w:kern w:val="0"/>
                <w:sz w:val="24"/>
                <w:lang w:val="en-US" w:eastAsia="zh-CN"/>
              </w:rPr>
              <w:t>产</w:t>
            </w:r>
            <w:r>
              <w:rPr>
                <w:rFonts w:hint="eastAsia" w:ascii="Times New Roman" w:hAnsi="Times New Roman" w:eastAsia="宋体" w:cs="Times New Roman"/>
                <w:b w:val="0"/>
                <w:bCs/>
                <w:color w:val="auto"/>
                <w:kern w:val="0"/>
                <w:sz w:val="24"/>
              </w:rPr>
              <w:t>业</w:t>
            </w:r>
            <w:r>
              <w:rPr>
                <w:rFonts w:hint="eastAsia" w:cs="Times New Roman"/>
                <w:b w:val="0"/>
                <w:bCs/>
                <w:color w:val="auto"/>
                <w:kern w:val="0"/>
                <w:sz w:val="24"/>
                <w:lang w:val="en-US" w:eastAsia="zh-CN"/>
              </w:rPr>
              <w:t>区</w:t>
            </w:r>
            <w:r>
              <w:rPr>
                <w:rFonts w:hint="eastAsia" w:ascii="Times New Roman" w:hAnsi="Times New Roman" w:eastAsia="宋体" w:cs="Times New Roman"/>
                <w:b w:val="0"/>
                <w:bCs/>
                <w:color w:val="auto"/>
                <w:kern w:val="0"/>
                <w:sz w:val="24"/>
                <w:lang w:eastAsia="zh-CN"/>
              </w:rPr>
              <w:t>，</w:t>
            </w:r>
            <w:r>
              <w:rPr>
                <w:rFonts w:hint="eastAsia" w:ascii="Times New Roman" w:hAnsi="Times New Roman" w:eastAsia="宋体" w:cs="Times New Roman"/>
                <w:b w:val="0"/>
                <w:bCs/>
                <w:color w:val="auto"/>
                <w:kern w:val="0"/>
                <w:sz w:val="24"/>
                <w:lang w:val="en-US" w:eastAsia="zh-CN"/>
              </w:rPr>
              <w:t>本项目建设</w:t>
            </w:r>
            <w:r>
              <w:rPr>
                <w:rFonts w:hint="eastAsia" w:ascii="Times New Roman" w:hAnsi="Times New Roman" w:eastAsia="宋体" w:cs="Times New Roman"/>
                <w:b w:val="0"/>
                <w:bCs/>
                <w:color w:val="auto"/>
                <w:kern w:val="0"/>
                <w:sz w:val="24"/>
                <w:lang w:eastAsia="zh-CN"/>
              </w:rPr>
              <w:t>矿石检测</w:t>
            </w:r>
            <w:r>
              <w:rPr>
                <w:rFonts w:hint="eastAsia" w:ascii="Times New Roman" w:hAnsi="Times New Roman" w:eastAsia="宋体" w:cs="Times New Roman"/>
                <w:b w:val="0"/>
                <w:bCs/>
                <w:color w:val="auto"/>
                <w:kern w:val="0"/>
                <w:sz w:val="24"/>
                <w:lang w:val="en-US" w:eastAsia="zh-CN"/>
              </w:rPr>
              <w:t>实验室，属于生产性服务业，可为园区内装备制造、新材料、精细化工等产业提供原料检测、质量控制支撑，符合“产业配套服务”的功能定位。项目用地</w:t>
            </w:r>
            <w:r>
              <w:rPr>
                <w:rFonts w:hint="eastAsia" w:ascii="Times New Roman" w:hAnsi="Times New Roman" w:eastAsia="宋体" w:cs="Times New Roman"/>
                <w:b w:val="0"/>
                <w:bCs/>
                <w:color w:val="auto"/>
                <w:kern w:val="0"/>
                <w:sz w:val="24"/>
              </w:rPr>
              <w:t>土地性质为工业用地，符合用地管控要求</w:t>
            </w:r>
            <w:r>
              <w:rPr>
                <w:rFonts w:hint="eastAsia" w:cs="Times New Roman"/>
                <w:b w:val="0"/>
                <w:bCs/>
                <w:color w:val="auto"/>
                <w:kern w:val="0"/>
                <w:sz w:val="24"/>
                <w:lang w:eastAsia="zh-CN"/>
              </w:rPr>
              <w:t>。</w:t>
            </w:r>
            <w:r>
              <w:rPr>
                <w:rFonts w:hint="eastAsia" w:cs="Times New Roman"/>
                <w:b w:val="0"/>
                <w:bCs/>
                <w:color w:val="auto"/>
                <w:kern w:val="0"/>
                <w:sz w:val="24"/>
                <w:lang w:val="en-US" w:eastAsia="zh-CN"/>
              </w:rPr>
              <w:t>综上，项目符合</w:t>
            </w:r>
            <w:r>
              <w:rPr>
                <w:rFonts w:hint="eastAsia" w:ascii="Times New Roman" w:hAnsi="Times New Roman" w:eastAsia="宋体" w:cs="Times New Roman"/>
                <w:b w:val="0"/>
                <w:bCs/>
                <w:color w:val="auto"/>
                <w:kern w:val="0"/>
                <w:sz w:val="24"/>
              </w:rPr>
              <w:t>《昌吉高新技术产业开发区总体规划（2014-2030年）》</w:t>
            </w:r>
            <w:r>
              <w:rPr>
                <w:rFonts w:hint="eastAsia" w:ascii="Times New Roman" w:hAnsi="Times New Roman" w:eastAsia="宋体" w:cs="Times New Roman"/>
                <w:b w:val="0"/>
                <w:bCs/>
                <w:color w:val="auto"/>
                <w:kern w:val="0"/>
                <w:sz w:val="24"/>
                <w:lang w:eastAsia="zh-CN"/>
              </w:rPr>
              <w:t>。</w:t>
            </w:r>
            <w:r>
              <w:rPr>
                <w:rFonts w:hint="eastAsia" w:ascii="Times New Roman" w:hAnsi="Times New Roman" w:eastAsia="宋体" w:cs="Times New Roman"/>
                <w:b w:val="0"/>
                <w:bCs/>
                <w:color w:val="auto"/>
                <w:kern w:val="0"/>
                <w:sz w:val="24"/>
                <w:lang w:val="en-US" w:eastAsia="zh-CN"/>
              </w:rPr>
              <w:t>项目与</w:t>
            </w:r>
            <w:r>
              <w:rPr>
                <w:rFonts w:hint="eastAsia" w:ascii="Times New Roman" w:hAnsi="Times New Roman" w:eastAsia="宋体" w:cs="Times New Roman"/>
                <w:b w:val="0"/>
                <w:bCs/>
                <w:color w:val="auto"/>
                <w:kern w:val="0"/>
                <w:sz w:val="24"/>
              </w:rPr>
              <w:t>昌吉高新技术产业开发区总体规划</w:t>
            </w:r>
            <w:r>
              <w:rPr>
                <w:rFonts w:hint="eastAsia" w:ascii="Times New Roman" w:hAnsi="Times New Roman" w:eastAsia="宋体" w:cs="Times New Roman"/>
                <w:b w:val="0"/>
                <w:bCs/>
                <w:color w:val="auto"/>
                <w:kern w:val="0"/>
                <w:sz w:val="24"/>
                <w:lang w:val="en-US" w:eastAsia="zh-CN"/>
              </w:rPr>
              <w:t>位置关系见附图4，项目与</w:t>
            </w:r>
            <w:r>
              <w:rPr>
                <w:rFonts w:hint="eastAsia" w:ascii="Times New Roman" w:hAnsi="Times New Roman" w:eastAsia="宋体" w:cs="Times New Roman"/>
                <w:b w:val="0"/>
                <w:bCs/>
                <w:color w:val="auto"/>
                <w:kern w:val="0"/>
                <w:sz w:val="24"/>
              </w:rPr>
              <w:t>昌吉高新技术产业开发区</w:t>
            </w:r>
            <w:r>
              <w:rPr>
                <w:rFonts w:hint="eastAsia" w:ascii="Times New Roman" w:hAnsi="Times New Roman" w:eastAsia="宋体" w:cs="Times New Roman"/>
                <w:b w:val="0"/>
                <w:bCs/>
                <w:color w:val="auto"/>
                <w:kern w:val="0"/>
                <w:sz w:val="24"/>
                <w:lang w:val="en-US" w:eastAsia="zh-CN"/>
              </w:rPr>
              <w:t>功能分区见附图5。</w:t>
            </w:r>
          </w:p>
          <w:p w14:paraId="411D297C">
            <w:pPr>
              <w:autoSpaceDE w:val="0"/>
              <w:autoSpaceDN w:val="0"/>
              <w:adjustRightInd w:val="0"/>
              <w:snapToGrid w:val="0"/>
              <w:spacing w:line="360" w:lineRule="auto"/>
              <w:ind w:firstLine="482" w:firstLineChars="200"/>
              <w:rPr>
                <w:rFonts w:ascii="Times New Roman" w:hAnsi="Times New Roman" w:eastAsia="宋体" w:cs="Times New Roman"/>
                <w:b/>
                <w:bCs w:val="0"/>
                <w:color w:val="auto"/>
                <w:kern w:val="0"/>
                <w:sz w:val="24"/>
              </w:rPr>
            </w:pPr>
            <w:r>
              <w:rPr>
                <w:rFonts w:ascii="Times New Roman" w:hAnsi="Times New Roman" w:eastAsia="宋体" w:cs="Times New Roman"/>
                <w:b/>
                <w:bCs w:val="0"/>
                <w:color w:val="auto"/>
                <w:kern w:val="0"/>
                <w:sz w:val="24"/>
              </w:rPr>
              <w:t>2</w:t>
            </w:r>
            <w:r>
              <w:rPr>
                <w:rFonts w:hint="eastAsia" w:ascii="Times New Roman" w:hAnsi="Times New Roman" w:eastAsia="宋体" w:cs="Times New Roman"/>
                <w:b/>
                <w:bCs w:val="0"/>
                <w:color w:val="auto"/>
                <w:kern w:val="0"/>
                <w:sz w:val="24"/>
                <w:lang w:eastAsia="zh-CN"/>
              </w:rPr>
              <w:t>、</w:t>
            </w:r>
            <w:r>
              <w:rPr>
                <w:rFonts w:ascii="Times New Roman" w:hAnsi="Times New Roman" w:eastAsia="宋体" w:cs="Times New Roman"/>
                <w:b/>
                <w:bCs w:val="0"/>
                <w:color w:val="auto"/>
                <w:kern w:val="0"/>
                <w:sz w:val="24"/>
              </w:rPr>
              <w:t>与《昌吉高新技术产业开发区总体规划（2014-2030）环境影响报告书》</w:t>
            </w:r>
            <w:r>
              <w:rPr>
                <w:rFonts w:hint="eastAsia" w:ascii="Times New Roman" w:hAnsi="Times New Roman" w:eastAsia="宋体" w:cs="Times New Roman"/>
                <w:b/>
                <w:bCs w:val="0"/>
                <w:color w:val="auto"/>
                <w:kern w:val="0"/>
                <w:sz w:val="24"/>
                <w:lang w:val="en-US" w:eastAsia="zh-CN"/>
              </w:rPr>
              <w:t>及审查意见的</w:t>
            </w:r>
            <w:r>
              <w:rPr>
                <w:rFonts w:ascii="Times New Roman" w:hAnsi="Times New Roman" w:eastAsia="宋体" w:cs="Times New Roman"/>
                <w:b/>
                <w:bCs w:val="0"/>
                <w:color w:val="auto"/>
                <w:kern w:val="0"/>
                <w:sz w:val="24"/>
              </w:rPr>
              <w:t>符合性分析</w:t>
            </w:r>
          </w:p>
          <w:p w14:paraId="41BE3AFF">
            <w:pPr>
              <w:autoSpaceDE w:val="0"/>
              <w:autoSpaceDN w:val="0"/>
              <w:adjustRightInd w:val="0"/>
              <w:snapToGrid w:val="0"/>
              <w:spacing w:line="240" w:lineRule="auto"/>
              <w:jc w:val="center"/>
              <w:rPr>
                <w:rFonts w:hint="eastAsia" w:eastAsia="宋体"/>
                <w:b/>
                <w:bCs w:val="0"/>
                <w:color w:val="auto"/>
                <w:sz w:val="21"/>
                <w:szCs w:val="21"/>
                <w:lang w:val="en-US" w:eastAsia="zh-CN"/>
              </w:rPr>
            </w:pPr>
            <w:r>
              <w:rPr>
                <w:rFonts w:hint="eastAsia" w:ascii="Times New Roman" w:hAnsi="Times New Roman" w:eastAsia="宋体" w:cs="Times New Roman"/>
                <w:b/>
                <w:bCs w:val="0"/>
                <w:color w:val="auto"/>
                <w:kern w:val="0"/>
                <w:sz w:val="21"/>
                <w:szCs w:val="21"/>
                <w:lang w:val="en-US" w:eastAsia="zh-CN"/>
              </w:rPr>
              <w:t xml:space="preserve">表1-1  </w:t>
            </w:r>
            <w:r>
              <w:rPr>
                <w:rFonts w:ascii="Times New Roman" w:hAnsi="Times New Roman" w:eastAsia="宋体" w:cs="Times New Roman"/>
                <w:b/>
                <w:bCs w:val="0"/>
                <w:color w:val="auto"/>
                <w:kern w:val="0"/>
                <w:sz w:val="21"/>
                <w:szCs w:val="21"/>
              </w:rPr>
              <w:t>与《昌吉高新技术产业开发区总体规划（2014-2030）环境影响报告书》</w:t>
            </w:r>
            <w:r>
              <w:rPr>
                <w:rFonts w:hint="eastAsia" w:ascii="Times New Roman" w:hAnsi="Times New Roman" w:eastAsia="宋体" w:cs="Times New Roman"/>
                <w:b/>
                <w:bCs w:val="0"/>
                <w:color w:val="auto"/>
                <w:kern w:val="0"/>
                <w:sz w:val="21"/>
                <w:szCs w:val="21"/>
                <w:lang w:val="en-US" w:eastAsia="zh-CN"/>
              </w:rPr>
              <w:t>及审查意见的</w:t>
            </w:r>
            <w:r>
              <w:rPr>
                <w:rFonts w:ascii="Times New Roman" w:hAnsi="Times New Roman" w:eastAsia="宋体" w:cs="Times New Roman"/>
                <w:b/>
                <w:bCs w:val="0"/>
                <w:color w:val="auto"/>
                <w:kern w:val="0"/>
                <w:sz w:val="21"/>
                <w:szCs w:val="21"/>
              </w:rPr>
              <w:t>符合性</w:t>
            </w:r>
            <w:r>
              <w:rPr>
                <w:rFonts w:hint="eastAsia" w:ascii="Times New Roman" w:hAnsi="Times New Roman" w:eastAsia="宋体" w:cs="Times New Roman"/>
                <w:b/>
                <w:bCs w:val="0"/>
                <w:color w:val="auto"/>
                <w:kern w:val="0"/>
                <w:sz w:val="21"/>
                <w:szCs w:val="21"/>
                <w:lang w:val="en-US" w:eastAsia="zh-CN"/>
              </w:rPr>
              <w:t>分析</w:t>
            </w:r>
          </w:p>
          <w:tbl>
            <w:tblPr>
              <w:tblStyle w:val="86"/>
              <w:tblW w:w="803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929"/>
              <w:gridCol w:w="3833"/>
              <w:gridCol w:w="2573"/>
              <w:gridCol w:w="704"/>
            </w:tblGrid>
            <w:tr w14:paraId="32B658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929" w:type="dxa"/>
                  <w:noWrap w:val="0"/>
                  <w:tcMar>
                    <w:top w:w="0" w:type="dxa"/>
                    <w:left w:w="108" w:type="dxa"/>
                    <w:bottom w:w="0" w:type="dxa"/>
                    <w:right w:w="108" w:type="dxa"/>
                  </w:tcMar>
                  <w:vAlign w:val="center"/>
                </w:tcPr>
                <w:p w14:paraId="3E21878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color w:val="auto"/>
                      <w:spacing w:val="0"/>
                      <w:position w:val="0"/>
                      <w:sz w:val="21"/>
                      <w:szCs w:val="21"/>
                    </w:rPr>
                  </w:pPr>
                  <w:r>
                    <w:rPr>
                      <w:rFonts w:hint="default" w:ascii="Times New Roman" w:hAnsi="Times New Roman" w:eastAsia="宋体" w:cs="Times New Roman"/>
                      <w:b w:val="0"/>
                      <w:bCs w:val="0"/>
                      <w:color w:val="auto"/>
                      <w:spacing w:val="0"/>
                      <w:position w:val="0"/>
                      <w:sz w:val="21"/>
                      <w:szCs w:val="21"/>
                    </w:rPr>
                    <w:t>文件</w:t>
                  </w:r>
                </w:p>
              </w:tc>
              <w:tc>
                <w:tcPr>
                  <w:tcW w:w="3833" w:type="dxa"/>
                  <w:noWrap w:val="0"/>
                  <w:tcMar>
                    <w:top w:w="0" w:type="dxa"/>
                    <w:left w:w="108" w:type="dxa"/>
                    <w:bottom w:w="0" w:type="dxa"/>
                    <w:right w:w="108" w:type="dxa"/>
                  </w:tcMar>
                  <w:vAlign w:val="center"/>
                </w:tcPr>
                <w:p w14:paraId="0FFC6C3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color w:val="auto"/>
                      <w:spacing w:val="0"/>
                      <w:position w:val="0"/>
                      <w:sz w:val="21"/>
                      <w:szCs w:val="21"/>
                    </w:rPr>
                  </w:pPr>
                  <w:r>
                    <w:rPr>
                      <w:rFonts w:hint="default" w:ascii="Times New Roman" w:hAnsi="Times New Roman" w:eastAsia="宋体" w:cs="Times New Roman"/>
                      <w:b w:val="0"/>
                      <w:bCs w:val="0"/>
                      <w:color w:val="auto"/>
                      <w:spacing w:val="0"/>
                      <w:position w:val="0"/>
                      <w:sz w:val="21"/>
                      <w:szCs w:val="21"/>
                    </w:rPr>
                    <w:t>规划要求</w:t>
                  </w:r>
                </w:p>
              </w:tc>
              <w:tc>
                <w:tcPr>
                  <w:tcW w:w="2573" w:type="dxa"/>
                  <w:noWrap w:val="0"/>
                  <w:tcMar>
                    <w:top w:w="0" w:type="dxa"/>
                    <w:left w:w="108" w:type="dxa"/>
                    <w:bottom w:w="0" w:type="dxa"/>
                    <w:right w:w="108" w:type="dxa"/>
                  </w:tcMar>
                  <w:vAlign w:val="center"/>
                </w:tcPr>
                <w:p w14:paraId="6B618CF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color w:val="auto"/>
                      <w:spacing w:val="0"/>
                      <w:position w:val="0"/>
                      <w:sz w:val="21"/>
                      <w:szCs w:val="21"/>
                    </w:rPr>
                  </w:pPr>
                  <w:r>
                    <w:rPr>
                      <w:rFonts w:hint="default" w:ascii="Times New Roman" w:hAnsi="Times New Roman" w:eastAsia="宋体" w:cs="Times New Roman"/>
                      <w:b w:val="0"/>
                      <w:bCs w:val="0"/>
                      <w:color w:val="auto"/>
                      <w:spacing w:val="0"/>
                      <w:position w:val="0"/>
                      <w:sz w:val="21"/>
                      <w:szCs w:val="21"/>
                    </w:rPr>
                    <w:t>项目情况</w:t>
                  </w:r>
                </w:p>
              </w:tc>
              <w:tc>
                <w:tcPr>
                  <w:tcW w:w="704" w:type="dxa"/>
                  <w:noWrap w:val="0"/>
                  <w:tcMar>
                    <w:top w:w="0" w:type="dxa"/>
                    <w:left w:w="108" w:type="dxa"/>
                    <w:bottom w:w="0" w:type="dxa"/>
                    <w:right w:w="108" w:type="dxa"/>
                  </w:tcMar>
                  <w:vAlign w:val="center"/>
                </w:tcPr>
                <w:p w14:paraId="155D641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color w:val="auto"/>
                      <w:spacing w:val="0"/>
                      <w:position w:val="0"/>
                      <w:sz w:val="21"/>
                      <w:szCs w:val="21"/>
                    </w:rPr>
                  </w:pPr>
                  <w:r>
                    <w:rPr>
                      <w:rFonts w:hint="default" w:ascii="Times New Roman" w:hAnsi="Times New Roman" w:eastAsia="宋体" w:cs="Times New Roman"/>
                      <w:b w:val="0"/>
                      <w:bCs w:val="0"/>
                      <w:color w:val="auto"/>
                      <w:spacing w:val="0"/>
                      <w:position w:val="0"/>
                      <w:sz w:val="21"/>
                      <w:szCs w:val="21"/>
                    </w:rPr>
                    <w:t>符合性</w:t>
                  </w:r>
                </w:p>
              </w:tc>
            </w:tr>
            <w:tr w14:paraId="5DF346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929" w:type="dxa"/>
                  <w:vMerge w:val="restart"/>
                  <w:noWrap w:val="0"/>
                  <w:tcMar>
                    <w:top w:w="0" w:type="dxa"/>
                    <w:left w:w="108" w:type="dxa"/>
                    <w:bottom w:w="0" w:type="dxa"/>
                    <w:right w:w="108" w:type="dxa"/>
                  </w:tcMar>
                  <w:vAlign w:val="center"/>
                </w:tcPr>
                <w:p w14:paraId="0D09370F">
                  <w:pPr>
                    <w:keepNext w:val="0"/>
                    <w:keepLines w:val="0"/>
                    <w:pageBreakBefore w:val="0"/>
                    <w:widowControl/>
                    <w:tabs>
                      <w:tab w:val="left" w:pos="349"/>
                    </w:tabs>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color w:val="auto"/>
                      <w:spacing w:val="0"/>
                      <w:position w:val="0"/>
                      <w:sz w:val="21"/>
                      <w:szCs w:val="21"/>
                    </w:rPr>
                  </w:pPr>
                  <w:r>
                    <w:rPr>
                      <w:rFonts w:hint="default" w:ascii="Times New Roman" w:hAnsi="Times New Roman" w:eastAsia="宋体" w:cs="Times New Roman"/>
                      <w:b w:val="0"/>
                      <w:bCs w:val="0"/>
                      <w:color w:val="auto"/>
                      <w:spacing w:val="0"/>
                      <w:position w:val="0"/>
                      <w:sz w:val="21"/>
                      <w:szCs w:val="21"/>
                    </w:rPr>
                    <w:t>《昌吉高新技术产业开发区总体规划</w:t>
                  </w:r>
                  <w:r>
                    <w:rPr>
                      <w:rFonts w:hint="eastAsia" w:ascii="Times New Roman" w:hAnsi="Times New Roman" w:eastAsia="宋体" w:cs="Times New Roman"/>
                      <w:b w:val="0"/>
                      <w:bCs w:val="0"/>
                      <w:color w:val="auto"/>
                      <w:spacing w:val="0"/>
                      <w:position w:val="0"/>
                      <w:sz w:val="21"/>
                      <w:szCs w:val="21"/>
                      <w:lang w:eastAsia="zh-CN"/>
                    </w:rPr>
                    <w:t>（</w:t>
                  </w:r>
                  <w:r>
                    <w:rPr>
                      <w:rFonts w:hint="default" w:ascii="Times New Roman" w:hAnsi="Times New Roman" w:eastAsia="宋体" w:cs="Times New Roman"/>
                      <w:b w:val="0"/>
                      <w:bCs w:val="0"/>
                      <w:color w:val="auto"/>
                      <w:spacing w:val="0"/>
                      <w:position w:val="0"/>
                      <w:sz w:val="21"/>
                      <w:szCs w:val="21"/>
                    </w:rPr>
                    <w:t>2014-2030年</w:t>
                  </w:r>
                  <w:r>
                    <w:rPr>
                      <w:rFonts w:hint="eastAsia" w:ascii="Times New Roman" w:hAnsi="Times New Roman" w:eastAsia="宋体" w:cs="Times New Roman"/>
                      <w:b w:val="0"/>
                      <w:bCs w:val="0"/>
                      <w:color w:val="auto"/>
                      <w:spacing w:val="0"/>
                      <w:position w:val="0"/>
                      <w:sz w:val="21"/>
                      <w:szCs w:val="21"/>
                      <w:lang w:eastAsia="zh-CN"/>
                    </w:rPr>
                    <w:t>）</w:t>
                  </w:r>
                  <w:r>
                    <w:rPr>
                      <w:rFonts w:hint="default" w:ascii="Times New Roman" w:hAnsi="Times New Roman" w:eastAsia="宋体" w:cs="Times New Roman"/>
                      <w:b w:val="0"/>
                      <w:bCs w:val="0"/>
                      <w:color w:val="auto"/>
                      <w:spacing w:val="0"/>
                      <w:position w:val="0"/>
                      <w:sz w:val="21"/>
                      <w:szCs w:val="21"/>
                    </w:rPr>
                    <w:t>环境影响报告书》</w:t>
                  </w:r>
                </w:p>
              </w:tc>
              <w:tc>
                <w:tcPr>
                  <w:tcW w:w="3833" w:type="dxa"/>
                  <w:noWrap w:val="0"/>
                  <w:tcMar>
                    <w:top w:w="0" w:type="dxa"/>
                    <w:left w:w="108" w:type="dxa"/>
                    <w:bottom w:w="0" w:type="dxa"/>
                    <w:right w:w="108" w:type="dxa"/>
                  </w:tcMar>
                  <w:vAlign w:val="center"/>
                </w:tcPr>
                <w:p w14:paraId="097093F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eastAsia="宋体" w:cs="Times New Roman"/>
                      <w:b w:val="0"/>
                      <w:bCs w:val="0"/>
                      <w:color w:val="auto"/>
                      <w:spacing w:val="0"/>
                      <w:position w:val="0"/>
                      <w:sz w:val="21"/>
                      <w:szCs w:val="21"/>
                    </w:rPr>
                  </w:pPr>
                  <w:r>
                    <w:rPr>
                      <w:rFonts w:hint="eastAsia" w:ascii="Times New Roman" w:hAnsi="Times New Roman" w:eastAsia="宋体" w:cs="Times New Roman"/>
                      <w:b w:val="0"/>
                      <w:bCs w:val="0"/>
                      <w:color w:val="auto"/>
                      <w:spacing w:val="0"/>
                      <w:position w:val="0"/>
                      <w:sz w:val="21"/>
                      <w:szCs w:val="21"/>
                      <w:lang w:eastAsia="zh-CN"/>
                    </w:rPr>
                    <w:t>（</w:t>
                  </w:r>
                  <w:r>
                    <w:rPr>
                      <w:rFonts w:hint="eastAsia" w:ascii="Times New Roman" w:hAnsi="Times New Roman" w:eastAsia="宋体" w:cs="Times New Roman"/>
                      <w:b w:val="0"/>
                      <w:bCs w:val="0"/>
                      <w:color w:val="auto"/>
                      <w:spacing w:val="0"/>
                      <w:position w:val="0"/>
                      <w:sz w:val="21"/>
                      <w:szCs w:val="21"/>
                      <w:lang w:val="en-US" w:eastAsia="zh-CN"/>
                    </w:rPr>
                    <w:t>1</w:t>
                  </w:r>
                  <w:r>
                    <w:rPr>
                      <w:rFonts w:hint="eastAsia" w:ascii="Times New Roman" w:hAnsi="Times New Roman" w:eastAsia="宋体" w:cs="Times New Roman"/>
                      <w:b w:val="0"/>
                      <w:bCs w:val="0"/>
                      <w:color w:val="auto"/>
                      <w:spacing w:val="0"/>
                      <w:position w:val="0"/>
                      <w:sz w:val="21"/>
                      <w:szCs w:val="21"/>
                      <w:lang w:eastAsia="zh-CN"/>
                    </w:rPr>
                    <w:t>）</w:t>
                  </w:r>
                  <w:r>
                    <w:rPr>
                      <w:rFonts w:hint="default" w:ascii="Times New Roman" w:hAnsi="Times New Roman" w:eastAsia="宋体" w:cs="Times New Roman"/>
                      <w:b w:val="0"/>
                      <w:bCs w:val="0"/>
                      <w:color w:val="auto"/>
                      <w:spacing w:val="0"/>
                      <w:position w:val="0"/>
                      <w:sz w:val="21"/>
                      <w:szCs w:val="21"/>
                    </w:rPr>
                    <w:t>大气环境影响</w:t>
                  </w:r>
                </w:p>
                <w:p w14:paraId="2BFB8A6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eastAsia="宋体" w:cs="Times New Roman"/>
                      <w:b w:val="0"/>
                      <w:bCs w:val="0"/>
                      <w:color w:val="auto"/>
                      <w:spacing w:val="0"/>
                      <w:position w:val="0"/>
                      <w:sz w:val="21"/>
                      <w:szCs w:val="21"/>
                    </w:rPr>
                  </w:pPr>
                  <w:r>
                    <w:rPr>
                      <w:rFonts w:hint="default" w:ascii="Times New Roman" w:hAnsi="Times New Roman" w:eastAsia="宋体" w:cs="Times New Roman"/>
                      <w:b w:val="0"/>
                      <w:bCs w:val="0"/>
                      <w:color w:val="auto"/>
                      <w:spacing w:val="0"/>
                      <w:position w:val="0"/>
                      <w:sz w:val="21"/>
                      <w:szCs w:val="21"/>
                    </w:rPr>
                    <w:t>工业园区主要入驻企业污染物排放对评价区的SO</w:t>
                  </w:r>
                  <w:r>
                    <w:rPr>
                      <w:rFonts w:hint="default" w:ascii="Times New Roman" w:hAnsi="Times New Roman" w:eastAsia="宋体" w:cs="Times New Roman"/>
                      <w:b w:val="0"/>
                      <w:bCs w:val="0"/>
                      <w:color w:val="auto"/>
                      <w:spacing w:val="0"/>
                      <w:position w:val="0"/>
                      <w:sz w:val="21"/>
                      <w:szCs w:val="21"/>
                      <w:vertAlign w:val="subscript"/>
                    </w:rPr>
                    <w:t>2</w:t>
                  </w:r>
                  <w:r>
                    <w:rPr>
                      <w:rFonts w:hint="default" w:ascii="Times New Roman" w:hAnsi="Times New Roman" w:eastAsia="宋体" w:cs="Times New Roman"/>
                      <w:b w:val="0"/>
                      <w:bCs w:val="0"/>
                      <w:color w:val="auto"/>
                      <w:spacing w:val="0"/>
                      <w:position w:val="0"/>
                      <w:sz w:val="21"/>
                      <w:szCs w:val="21"/>
                    </w:rPr>
                    <w:t>、NO</w:t>
                  </w:r>
                  <w:r>
                    <w:rPr>
                      <w:rFonts w:hint="eastAsia" w:ascii="Times New Roman" w:hAnsi="Times New Roman" w:eastAsia="宋体" w:cs="Times New Roman"/>
                      <w:b w:val="0"/>
                      <w:bCs w:val="0"/>
                      <w:color w:val="auto"/>
                      <w:spacing w:val="0"/>
                      <w:position w:val="0"/>
                      <w:sz w:val="21"/>
                      <w:szCs w:val="21"/>
                      <w:vertAlign w:val="subscript"/>
                      <w:lang w:val="en-US" w:eastAsia="zh-CN"/>
                    </w:rPr>
                    <w:t>X</w:t>
                  </w:r>
                  <w:r>
                    <w:rPr>
                      <w:rFonts w:hint="default" w:ascii="Times New Roman" w:hAnsi="Times New Roman" w:eastAsia="宋体" w:cs="Times New Roman"/>
                      <w:b w:val="0"/>
                      <w:bCs w:val="0"/>
                      <w:color w:val="auto"/>
                      <w:spacing w:val="0"/>
                      <w:position w:val="0"/>
                      <w:sz w:val="21"/>
                      <w:szCs w:val="21"/>
                    </w:rPr>
                    <w:t>、TSP浓度最大贡献值较低，主要污染物对评价区各敏感点环境空气质量产生影响较少。园区规划期环境影响是可以接受的。</w:t>
                  </w:r>
                </w:p>
              </w:tc>
              <w:tc>
                <w:tcPr>
                  <w:tcW w:w="2573" w:type="dxa"/>
                  <w:noWrap w:val="0"/>
                  <w:tcMar>
                    <w:top w:w="0" w:type="dxa"/>
                    <w:left w:w="108" w:type="dxa"/>
                    <w:bottom w:w="0" w:type="dxa"/>
                    <w:right w:w="108" w:type="dxa"/>
                  </w:tcMar>
                  <w:vAlign w:val="center"/>
                </w:tcPr>
                <w:p w14:paraId="78AB475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both"/>
                    <w:textAlignment w:val="baseline"/>
                    <w:rPr>
                      <w:rFonts w:hint="eastAsia" w:ascii="Times New Roman" w:hAnsi="Times New Roman" w:eastAsia="宋体" w:cs="Times New Roman"/>
                      <w:b w:val="0"/>
                      <w:bCs w:val="0"/>
                      <w:color w:val="auto"/>
                      <w:spacing w:val="0"/>
                      <w:position w:val="0"/>
                      <w:sz w:val="21"/>
                      <w:szCs w:val="21"/>
                      <w:lang w:eastAsia="zh-CN"/>
                    </w:rPr>
                  </w:pPr>
                  <w:r>
                    <w:rPr>
                      <w:rFonts w:hint="default" w:ascii="Times New Roman" w:hAnsi="Times New Roman" w:eastAsia="宋体" w:cs="Times New Roman"/>
                      <w:b w:val="0"/>
                      <w:bCs w:val="0"/>
                      <w:color w:val="auto"/>
                      <w:spacing w:val="0"/>
                      <w:position w:val="0"/>
                      <w:sz w:val="21"/>
                      <w:szCs w:val="21"/>
                    </w:rPr>
                    <w:t>本项目位于昌吉高新技术产业开发区，符合“严格建设项目环境准入”的要求；本项目</w:t>
                  </w:r>
                  <w:r>
                    <w:rPr>
                      <w:rFonts w:hint="eastAsia" w:ascii="Times New Roman" w:hAnsi="Times New Roman" w:eastAsia="宋体" w:cs="Times New Roman"/>
                      <w:b w:val="0"/>
                      <w:bCs w:val="0"/>
                      <w:color w:val="auto"/>
                      <w:spacing w:val="0"/>
                      <w:position w:val="0"/>
                      <w:sz w:val="21"/>
                      <w:szCs w:val="21"/>
                      <w:lang w:val="en-US" w:eastAsia="zh-CN"/>
                    </w:rPr>
                    <w:t>污染物均采取可行的环保措施处理后达标排放</w:t>
                  </w:r>
                  <w:r>
                    <w:rPr>
                      <w:rFonts w:hint="eastAsia" w:ascii="Times New Roman" w:hAnsi="Times New Roman" w:eastAsia="宋体" w:cs="Times New Roman"/>
                      <w:b w:val="0"/>
                      <w:bCs w:val="0"/>
                      <w:color w:val="auto"/>
                      <w:spacing w:val="0"/>
                      <w:position w:val="0"/>
                      <w:sz w:val="21"/>
                      <w:szCs w:val="21"/>
                      <w:lang w:eastAsia="zh-CN"/>
                    </w:rPr>
                    <w:t>。</w:t>
                  </w:r>
                </w:p>
              </w:tc>
              <w:tc>
                <w:tcPr>
                  <w:tcW w:w="704" w:type="dxa"/>
                  <w:noWrap w:val="0"/>
                  <w:tcMar>
                    <w:top w:w="0" w:type="dxa"/>
                    <w:left w:w="108" w:type="dxa"/>
                    <w:bottom w:w="0" w:type="dxa"/>
                    <w:right w:w="108" w:type="dxa"/>
                  </w:tcMar>
                  <w:vAlign w:val="center"/>
                </w:tcPr>
                <w:p w14:paraId="133CF66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color w:val="auto"/>
                      <w:spacing w:val="0"/>
                      <w:position w:val="0"/>
                      <w:sz w:val="21"/>
                      <w:szCs w:val="21"/>
                    </w:rPr>
                  </w:pPr>
                  <w:r>
                    <w:rPr>
                      <w:rFonts w:hint="default" w:ascii="Times New Roman" w:hAnsi="Times New Roman" w:eastAsia="宋体" w:cs="Times New Roman"/>
                      <w:b w:val="0"/>
                      <w:bCs w:val="0"/>
                      <w:color w:val="auto"/>
                      <w:spacing w:val="0"/>
                      <w:position w:val="0"/>
                      <w:sz w:val="21"/>
                      <w:szCs w:val="21"/>
                    </w:rPr>
                    <w:t>符合</w:t>
                  </w:r>
                </w:p>
              </w:tc>
            </w:tr>
            <w:tr w14:paraId="26FA05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929" w:type="dxa"/>
                  <w:vMerge w:val="continue"/>
                  <w:noWrap w:val="0"/>
                  <w:tcMar>
                    <w:top w:w="0" w:type="dxa"/>
                    <w:left w:w="108" w:type="dxa"/>
                    <w:bottom w:w="0" w:type="dxa"/>
                    <w:right w:w="108" w:type="dxa"/>
                  </w:tcMar>
                  <w:vAlign w:val="center"/>
                </w:tcPr>
                <w:p w14:paraId="141B0EC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color w:val="auto"/>
                      <w:spacing w:val="0"/>
                      <w:position w:val="0"/>
                      <w:sz w:val="21"/>
                      <w:szCs w:val="21"/>
                    </w:rPr>
                  </w:pPr>
                </w:p>
              </w:tc>
              <w:tc>
                <w:tcPr>
                  <w:tcW w:w="3833" w:type="dxa"/>
                  <w:noWrap w:val="0"/>
                  <w:tcMar>
                    <w:top w:w="0" w:type="dxa"/>
                    <w:left w:w="108" w:type="dxa"/>
                    <w:bottom w:w="0" w:type="dxa"/>
                    <w:right w:w="108" w:type="dxa"/>
                  </w:tcMar>
                  <w:vAlign w:val="center"/>
                </w:tcPr>
                <w:p w14:paraId="7F9656D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eastAsia="宋体" w:cs="Times New Roman"/>
                      <w:b w:val="0"/>
                      <w:bCs w:val="0"/>
                      <w:color w:val="auto"/>
                      <w:spacing w:val="0"/>
                      <w:position w:val="0"/>
                      <w:sz w:val="21"/>
                      <w:szCs w:val="21"/>
                    </w:rPr>
                  </w:pPr>
                  <w:r>
                    <w:rPr>
                      <w:rFonts w:hint="eastAsia" w:ascii="Times New Roman" w:hAnsi="Times New Roman" w:eastAsia="宋体" w:cs="Times New Roman"/>
                      <w:b w:val="0"/>
                      <w:bCs w:val="0"/>
                      <w:color w:val="auto"/>
                      <w:spacing w:val="0"/>
                      <w:position w:val="0"/>
                      <w:sz w:val="21"/>
                      <w:szCs w:val="21"/>
                      <w:lang w:eastAsia="zh-CN"/>
                    </w:rPr>
                    <w:t>（</w:t>
                  </w:r>
                  <w:r>
                    <w:rPr>
                      <w:rFonts w:hint="eastAsia" w:ascii="Times New Roman" w:hAnsi="Times New Roman" w:eastAsia="宋体" w:cs="Times New Roman"/>
                      <w:b w:val="0"/>
                      <w:bCs w:val="0"/>
                      <w:color w:val="auto"/>
                      <w:spacing w:val="0"/>
                      <w:position w:val="0"/>
                      <w:sz w:val="21"/>
                      <w:szCs w:val="21"/>
                      <w:lang w:val="en-US" w:eastAsia="zh-CN"/>
                    </w:rPr>
                    <w:t>2</w:t>
                  </w:r>
                  <w:r>
                    <w:rPr>
                      <w:rFonts w:hint="eastAsia" w:ascii="Times New Roman" w:hAnsi="Times New Roman" w:eastAsia="宋体" w:cs="Times New Roman"/>
                      <w:b w:val="0"/>
                      <w:bCs w:val="0"/>
                      <w:color w:val="auto"/>
                      <w:spacing w:val="0"/>
                      <w:position w:val="0"/>
                      <w:sz w:val="21"/>
                      <w:szCs w:val="21"/>
                      <w:lang w:eastAsia="zh-CN"/>
                    </w:rPr>
                    <w:t>）</w:t>
                  </w:r>
                  <w:r>
                    <w:rPr>
                      <w:rFonts w:hint="default" w:ascii="Times New Roman" w:hAnsi="Times New Roman" w:eastAsia="宋体" w:cs="Times New Roman"/>
                      <w:b w:val="0"/>
                      <w:bCs w:val="0"/>
                      <w:color w:val="auto"/>
                      <w:spacing w:val="0"/>
                      <w:position w:val="0"/>
                      <w:sz w:val="21"/>
                      <w:szCs w:val="21"/>
                    </w:rPr>
                    <w:t>水环境影响</w:t>
                  </w:r>
                </w:p>
                <w:p w14:paraId="73D5D091">
                  <w:pPr>
                    <w:keepNext w:val="0"/>
                    <w:keepLines w:val="0"/>
                    <w:pageBreakBefore w:val="0"/>
                    <w:widowControl/>
                    <w:tabs>
                      <w:tab w:val="left" w:pos="218"/>
                    </w:tabs>
                    <w:kinsoku w:val="0"/>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eastAsia="宋体" w:cs="Times New Roman"/>
                      <w:b w:val="0"/>
                      <w:bCs w:val="0"/>
                      <w:color w:val="auto"/>
                      <w:spacing w:val="0"/>
                      <w:position w:val="0"/>
                      <w:sz w:val="21"/>
                      <w:szCs w:val="21"/>
                    </w:rPr>
                  </w:pPr>
                  <w:r>
                    <w:rPr>
                      <w:rFonts w:hint="default" w:ascii="Times New Roman" w:hAnsi="Times New Roman" w:eastAsia="宋体" w:cs="Times New Roman"/>
                      <w:b w:val="0"/>
                      <w:bCs w:val="0"/>
                      <w:color w:val="auto"/>
                      <w:spacing w:val="0"/>
                      <w:position w:val="0"/>
                      <w:sz w:val="21"/>
                      <w:szCs w:val="21"/>
                    </w:rPr>
                    <w:t>环评建议：高新区近期应加快落实三屯河地表水作为主要供水水源，辅助开采区域潜水和浅层承压水作为备用水源，远期应争取加大三屯河地表水供给量和采用大流域调水，保障园区用水需求。落实区域地下水总量控制和水位控制的“双控”措施，保证区域水资源采补平衡，并强化水资源管理，按照区域水资源规划在近期园区供水水源采用地表水的基础上，会对园区企业排放废水先经企业自行处理达到《污水综合排放标准》三级标准后排入园区排水管道，最后进入园区污水处理厂，出水水质达到《城镇污水处理厂污染物排放标准》</w:t>
                  </w:r>
                  <w:r>
                    <w:rPr>
                      <w:rFonts w:hint="eastAsia" w:ascii="Times New Roman" w:hAnsi="Times New Roman" w:eastAsia="宋体" w:cs="Times New Roman"/>
                      <w:b w:val="0"/>
                      <w:bCs w:val="0"/>
                      <w:color w:val="auto"/>
                      <w:spacing w:val="0"/>
                      <w:position w:val="0"/>
                      <w:sz w:val="21"/>
                      <w:szCs w:val="21"/>
                      <w:lang w:eastAsia="zh-CN"/>
                    </w:rPr>
                    <w:t>（</w:t>
                  </w:r>
                  <w:r>
                    <w:rPr>
                      <w:rFonts w:hint="default" w:ascii="Times New Roman" w:hAnsi="Times New Roman" w:eastAsia="宋体" w:cs="Times New Roman"/>
                      <w:b w:val="0"/>
                      <w:bCs w:val="0"/>
                      <w:color w:val="auto"/>
                      <w:spacing w:val="0"/>
                      <w:position w:val="0"/>
                      <w:sz w:val="21"/>
                      <w:szCs w:val="21"/>
                    </w:rPr>
                    <w:t>GB18918-2002</w:t>
                  </w:r>
                  <w:r>
                    <w:rPr>
                      <w:rFonts w:hint="eastAsia" w:ascii="Times New Roman" w:hAnsi="Times New Roman" w:eastAsia="宋体" w:cs="Times New Roman"/>
                      <w:b w:val="0"/>
                      <w:bCs w:val="0"/>
                      <w:color w:val="auto"/>
                      <w:spacing w:val="0"/>
                      <w:position w:val="0"/>
                      <w:sz w:val="21"/>
                      <w:szCs w:val="21"/>
                      <w:lang w:eastAsia="zh-CN"/>
                    </w:rPr>
                    <w:t>）</w:t>
                  </w:r>
                  <w:r>
                    <w:rPr>
                      <w:rFonts w:hint="default" w:ascii="Times New Roman" w:hAnsi="Times New Roman" w:eastAsia="宋体" w:cs="Times New Roman"/>
                      <w:b w:val="0"/>
                      <w:bCs w:val="0"/>
                      <w:color w:val="auto"/>
                      <w:spacing w:val="0"/>
                      <w:position w:val="0"/>
                      <w:sz w:val="21"/>
                      <w:szCs w:val="21"/>
                    </w:rPr>
                    <w:t>一级B标准，符合《城市杂用水水质标准</w:t>
                  </w:r>
                  <w:r>
                    <w:rPr>
                      <w:rFonts w:hint="eastAsia" w:ascii="Times New Roman" w:hAnsi="Times New Roman" w:eastAsia="宋体" w:cs="Times New Roman"/>
                      <w:b w:val="0"/>
                      <w:bCs w:val="0"/>
                      <w:color w:val="auto"/>
                      <w:spacing w:val="0"/>
                      <w:position w:val="0"/>
                      <w:sz w:val="21"/>
                      <w:szCs w:val="21"/>
                      <w:lang w:eastAsia="zh-CN"/>
                    </w:rPr>
                    <w:t>（</w:t>
                  </w:r>
                  <w:r>
                    <w:rPr>
                      <w:rFonts w:hint="default" w:ascii="Times New Roman" w:hAnsi="Times New Roman" w:eastAsia="宋体" w:cs="Times New Roman"/>
                      <w:b w:val="0"/>
                      <w:bCs w:val="0"/>
                      <w:color w:val="auto"/>
                      <w:spacing w:val="0"/>
                      <w:position w:val="0"/>
                      <w:sz w:val="21"/>
                      <w:szCs w:val="21"/>
                    </w:rPr>
                    <w:t>绿化</w:t>
                  </w:r>
                  <w:r>
                    <w:rPr>
                      <w:rFonts w:hint="eastAsia" w:ascii="Times New Roman" w:hAnsi="Times New Roman" w:eastAsia="宋体" w:cs="Times New Roman"/>
                      <w:b w:val="0"/>
                      <w:bCs w:val="0"/>
                      <w:color w:val="auto"/>
                      <w:spacing w:val="0"/>
                      <w:position w:val="0"/>
                      <w:sz w:val="21"/>
                      <w:szCs w:val="21"/>
                      <w:lang w:eastAsia="zh-CN"/>
                    </w:rPr>
                    <w:t>）</w:t>
                  </w:r>
                  <w:r>
                    <w:rPr>
                      <w:rFonts w:hint="default" w:ascii="Times New Roman" w:hAnsi="Times New Roman" w:eastAsia="宋体" w:cs="Times New Roman"/>
                      <w:b w:val="0"/>
                      <w:bCs w:val="0"/>
                      <w:color w:val="auto"/>
                      <w:spacing w:val="0"/>
                      <w:position w:val="0"/>
                      <w:sz w:val="21"/>
                      <w:szCs w:val="21"/>
                    </w:rPr>
                    <w:t>》</w:t>
                  </w:r>
                  <w:r>
                    <w:rPr>
                      <w:rFonts w:hint="eastAsia" w:ascii="Times New Roman" w:hAnsi="Times New Roman" w:eastAsia="宋体" w:cs="Times New Roman"/>
                      <w:b w:val="0"/>
                      <w:bCs w:val="0"/>
                      <w:color w:val="auto"/>
                      <w:spacing w:val="0"/>
                      <w:position w:val="0"/>
                      <w:sz w:val="21"/>
                      <w:szCs w:val="21"/>
                      <w:lang w:eastAsia="zh-CN"/>
                    </w:rPr>
                    <w:t>（</w:t>
                  </w:r>
                  <w:r>
                    <w:rPr>
                      <w:rFonts w:hint="default" w:ascii="Times New Roman" w:hAnsi="Times New Roman" w:eastAsia="宋体" w:cs="Times New Roman"/>
                      <w:b w:val="0"/>
                      <w:bCs w:val="0"/>
                      <w:color w:val="auto"/>
                      <w:spacing w:val="0"/>
                      <w:position w:val="0"/>
                      <w:sz w:val="21"/>
                      <w:szCs w:val="21"/>
                    </w:rPr>
                    <w:t>GB/T18920-2002</w:t>
                  </w:r>
                  <w:r>
                    <w:rPr>
                      <w:rFonts w:hint="eastAsia" w:ascii="Times New Roman" w:hAnsi="Times New Roman" w:eastAsia="宋体" w:cs="Times New Roman"/>
                      <w:b w:val="0"/>
                      <w:bCs w:val="0"/>
                      <w:color w:val="auto"/>
                      <w:spacing w:val="0"/>
                      <w:position w:val="0"/>
                      <w:sz w:val="21"/>
                      <w:szCs w:val="21"/>
                      <w:lang w:eastAsia="zh-CN"/>
                    </w:rPr>
                    <w:t>）</w:t>
                  </w:r>
                  <w:r>
                    <w:rPr>
                      <w:rFonts w:hint="default" w:ascii="Times New Roman" w:hAnsi="Times New Roman" w:eastAsia="宋体" w:cs="Times New Roman"/>
                      <w:b w:val="0"/>
                      <w:bCs w:val="0"/>
                      <w:color w:val="auto"/>
                      <w:spacing w:val="0"/>
                      <w:position w:val="0"/>
                      <w:sz w:val="21"/>
                      <w:szCs w:val="21"/>
                    </w:rPr>
                    <w:t>，在园区作为防护林绿化用水使用后，多余废水排放至50公里外的荒漠区作为生态恢复用水，在保证污水处理厂处理达标排放情况下，对荒漠区的生态恢复将产生积极影响。</w:t>
                  </w:r>
                </w:p>
              </w:tc>
              <w:tc>
                <w:tcPr>
                  <w:tcW w:w="2573" w:type="dxa"/>
                  <w:noWrap w:val="0"/>
                  <w:tcMar>
                    <w:top w:w="0" w:type="dxa"/>
                    <w:left w:w="108" w:type="dxa"/>
                    <w:bottom w:w="0" w:type="dxa"/>
                    <w:right w:w="108" w:type="dxa"/>
                  </w:tcMar>
                  <w:vAlign w:val="center"/>
                </w:tcPr>
                <w:p w14:paraId="450E017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both"/>
                    <w:textAlignment w:val="baseline"/>
                    <w:rPr>
                      <w:rFonts w:hint="eastAsia" w:ascii="Times New Roman" w:hAnsi="Times New Roman" w:eastAsia="宋体" w:cs="Times New Roman"/>
                      <w:b w:val="0"/>
                      <w:bCs w:val="0"/>
                      <w:color w:val="auto"/>
                      <w:spacing w:val="0"/>
                      <w:position w:val="0"/>
                      <w:sz w:val="21"/>
                      <w:szCs w:val="21"/>
                      <w:lang w:eastAsia="zh-CN"/>
                    </w:rPr>
                  </w:pPr>
                  <w:r>
                    <w:rPr>
                      <w:rFonts w:hint="default" w:ascii="Times New Roman" w:hAnsi="Times New Roman" w:eastAsia="宋体" w:cs="Times New Roman"/>
                      <w:b w:val="0"/>
                      <w:bCs w:val="0"/>
                      <w:color w:val="auto"/>
                      <w:spacing w:val="0"/>
                      <w:position w:val="0"/>
                      <w:sz w:val="21"/>
                      <w:szCs w:val="21"/>
                    </w:rPr>
                    <w:t>本项目排放的废水主要为</w:t>
                  </w:r>
                  <w:r>
                    <w:rPr>
                      <w:rFonts w:hint="eastAsia" w:ascii="Times New Roman" w:hAnsi="Times New Roman" w:eastAsia="宋体" w:cs="Times New Roman"/>
                      <w:b w:val="0"/>
                      <w:bCs w:val="0"/>
                      <w:color w:val="auto"/>
                      <w:spacing w:val="0"/>
                      <w:position w:val="0"/>
                      <w:sz w:val="21"/>
                      <w:szCs w:val="21"/>
                      <w:lang w:val="en-US" w:eastAsia="zh-CN"/>
                    </w:rPr>
                    <w:t>实验</w:t>
                  </w:r>
                  <w:r>
                    <w:rPr>
                      <w:rFonts w:hint="default" w:ascii="Times New Roman" w:hAnsi="Times New Roman" w:eastAsia="宋体" w:cs="Times New Roman"/>
                      <w:b w:val="0"/>
                      <w:bCs w:val="0"/>
                      <w:color w:val="auto"/>
                      <w:spacing w:val="0"/>
                      <w:position w:val="0"/>
                      <w:sz w:val="21"/>
                      <w:szCs w:val="21"/>
                    </w:rPr>
                    <w:t>废水，</w:t>
                  </w:r>
                  <w:r>
                    <w:rPr>
                      <w:rFonts w:hint="eastAsia" w:ascii="Times New Roman" w:hAnsi="Times New Roman" w:eastAsia="宋体" w:cs="Times New Roman"/>
                      <w:b w:val="0"/>
                      <w:bCs w:val="0"/>
                      <w:color w:val="auto"/>
                      <w:spacing w:val="0"/>
                      <w:position w:val="0"/>
                      <w:sz w:val="21"/>
                      <w:szCs w:val="21"/>
                      <w:lang w:val="en-US" w:eastAsia="zh-CN"/>
                    </w:rPr>
                    <w:t>经实验室</w:t>
                  </w:r>
                  <w:r>
                    <w:rPr>
                      <w:rFonts w:hint="eastAsia" w:ascii="Calibri" w:hAnsi="Calibri"/>
                      <w:color w:val="auto"/>
                      <w:lang w:val="en-US" w:eastAsia="zh-CN"/>
                    </w:rPr>
                    <w:t>一体化污水处理设备处理满足《综合污水排放标准》（GB8978-1996）</w:t>
                  </w:r>
                  <w:r>
                    <w:rPr>
                      <w:rFonts w:hint="eastAsia" w:ascii="Calibri" w:hAnsi="Calibri"/>
                      <w:color w:val="0000FF"/>
                      <w:lang w:val="en-US" w:eastAsia="zh-CN"/>
                    </w:rPr>
                    <w:t>三级排放标准后</w:t>
                  </w:r>
                  <w:r>
                    <w:rPr>
                      <w:rFonts w:hint="default" w:ascii="Times New Roman" w:hAnsi="Times New Roman" w:eastAsia="宋体" w:cs="Times New Roman"/>
                      <w:b w:val="0"/>
                      <w:bCs w:val="0"/>
                      <w:color w:val="0000FF"/>
                      <w:spacing w:val="0"/>
                      <w:position w:val="0"/>
                      <w:sz w:val="21"/>
                      <w:szCs w:val="21"/>
                      <w:lang w:val="en-US" w:eastAsia="zh-CN"/>
                    </w:rPr>
                    <w:t>排入</w:t>
                  </w:r>
                  <w:r>
                    <w:rPr>
                      <w:rFonts w:hint="eastAsia" w:cs="Times New Roman"/>
                      <w:b w:val="0"/>
                      <w:bCs w:val="0"/>
                      <w:color w:val="0000FF"/>
                      <w:spacing w:val="0"/>
                      <w:position w:val="0"/>
                      <w:sz w:val="21"/>
                      <w:szCs w:val="21"/>
                      <w:lang w:val="en-US" w:eastAsia="zh-CN"/>
                    </w:rPr>
                    <w:t>废水池</w:t>
                  </w:r>
                  <w:r>
                    <w:rPr>
                      <w:rFonts w:hint="default" w:ascii="Times New Roman" w:hAnsi="Times New Roman" w:eastAsia="宋体" w:cs="Times New Roman"/>
                      <w:b w:val="0"/>
                      <w:bCs w:val="0"/>
                      <w:color w:val="0000FF"/>
                      <w:spacing w:val="0"/>
                      <w:position w:val="0"/>
                      <w:sz w:val="21"/>
                      <w:szCs w:val="21"/>
                      <w:lang w:val="en-US" w:eastAsia="zh-CN"/>
                    </w:rPr>
                    <w:t>，最终</w:t>
                  </w:r>
                  <w:r>
                    <w:rPr>
                      <w:rFonts w:hint="eastAsia" w:cs="Times New Roman"/>
                      <w:b w:val="0"/>
                      <w:bCs w:val="0"/>
                      <w:color w:val="0000FF"/>
                      <w:spacing w:val="0"/>
                      <w:position w:val="0"/>
                      <w:sz w:val="21"/>
                      <w:szCs w:val="21"/>
                      <w:lang w:val="en-US" w:eastAsia="zh-CN"/>
                    </w:rPr>
                    <w:t>由吸污车定期拉运至</w:t>
                  </w:r>
                  <w:r>
                    <w:rPr>
                      <w:rFonts w:hint="default" w:ascii="Times New Roman" w:hAnsi="Times New Roman" w:eastAsia="宋体" w:cs="Times New Roman"/>
                      <w:b w:val="0"/>
                      <w:bCs w:val="0"/>
                      <w:color w:val="0000FF"/>
                      <w:spacing w:val="0"/>
                      <w:position w:val="0"/>
                      <w:sz w:val="21"/>
                      <w:szCs w:val="21"/>
                      <w:lang w:val="en-US" w:eastAsia="zh-CN"/>
                    </w:rPr>
                    <w:t>园区污水处理厂处置</w:t>
                  </w:r>
                  <w:r>
                    <w:rPr>
                      <w:rFonts w:hint="eastAsia" w:ascii="Times New Roman" w:hAnsi="Times New Roman" w:eastAsia="宋体" w:cs="Times New Roman"/>
                      <w:b w:val="0"/>
                      <w:bCs w:val="0"/>
                      <w:color w:val="0000FF"/>
                      <w:spacing w:val="0"/>
                      <w:position w:val="0"/>
                      <w:sz w:val="21"/>
                      <w:szCs w:val="21"/>
                      <w:lang w:val="en-US" w:eastAsia="zh-CN"/>
                    </w:rPr>
                    <w:t>。</w:t>
                  </w:r>
                </w:p>
              </w:tc>
              <w:tc>
                <w:tcPr>
                  <w:tcW w:w="704" w:type="dxa"/>
                  <w:noWrap w:val="0"/>
                  <w:tcMar>
                    <w:top w:w="0" w:type="dxa"/>
                    <w:left w:w="108" w:type="dxa"/>
                    <w:bottom w:w="0" w:type="dxa"/>
                    <w:right w:w="108" w:type="dxa"/>
                  </w:tcMar>
                  <w:vAlign w:val="center"/>
                </w:tcPr>
                <w:p w14:paraId="4974362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color w:val="auto"/>
                      <w:spacing w:val="0"/>
                      <w:position w:val="0"/>
                      <w:sz w:val="21"/>
                      <w:szCs w:val="21"/>
                    </w:rPr>
                  </w:pPr>
                  <w:r>
                    <w:rPr>
                      <w:rFonts w:hint="default" w:ascii="Times New Roman" w:hAnsi="Times New Roman" w:eastAsia="宋体" w:cs="Times New Roman"/>
                      <w:b w:val="0"/>
                      <w:bCs w:val="0"/>
                      <w:color w:val="auto"/>
                      <w:spacing w:val="0"/>
                      <w:position w:val="0"/>
                      <w:sz w:val="21"/>
                      <w:szCs w:val="21"/>
                    </w:rPr>
                    <w:t>符合</w:t>
                  </w:r>
                </w:p>
              </w:tc>
            </w:tr>
            <w:tr w14:paraId="0A28F0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929" w:type="dxa"/>
                  <w:vMerge w:val="continue"/>
                  <w:noWrap w:val="0"/>
                  <w:tcMar>
                    <w:top w:w="0" w:type="dxa"/>
                    <w:left w:w="108" w:type="dxa"/>
                    <w:bottom w:w="0" w:type="dxa"/>
                    <w:right w:w="108" w:type="dxa"/>
                  </w:tcMar>
                  <w:vAlign w:val="center"/>
                </w:tcPr>
                <w:p w14:paraId="2B8B911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color w:val="auto"/>
                      <w:spacing w:val="0"/>
                      <w:position w:val="0"/>
                      <w:sz w:val="21"/>
                      <w:szCs w:val="21"/>
                    </w:rPr>
                  </w:pPr>
                </w:p>
              </w:tc>
              <w:tc>
                <w:tcPr>
                  <w:tcW w:w="3833" w:type="dxa"/>
                  <w:noWrap w:val="0"/>
                  <w:tcMar>
                    <w:top w:w="0" w:type="dxa"/>
                    <w:left w:w="108" w:type="dxa"/>
                    <w:bottom w:w="0" w:type="dxa"/>
                    <w:right w:w="108" w:type="dxa"/>
                  </w:tcMar>
                  <w:vAlign w:val="center"/>
                </w:tcPr>
                <w:p w14:paraId="01D30056">
                  <w:pPr>
                    <w:keepNext w:val="0"/>
                    <w:keepLines w:val="0"/>
                    <w:pageBreakBefore w:val="0"/>
                    <w:widowControl/>
                    <w:kinsoku/>
                    <w:wordWrap/>
                    <w:overflowPunct/>
                    <w:topLinePunct/>
                    <w:autoSpaceDE w:val="0"/>
                    <w:autoSpaceDN w:val="0"/>
                    <w:bidi w:val="0"/>
                    <w:adjustRightInd w:val="0"/>
                    <w:snapToGrid w:val="0"/>
                    <w:spacing w:line="240" w:lineRule="auto"/>
                    <w:ind w:left="0" w:right="0" w:firstLine="0"/>
                    <w:jc w:val="both"/>
                    <w:textAlignment w:val="baseline"/>
                    <w:rPr>
                      <w:rFonts w:hint="default" w:ascii="Times New Roman" w:hAnsi="Times New Roman" w:eastAsia="宋体" w:cs="Times New Roman"/>
                      <w:b w:val="0"/>
                      <w:bCs w:val="0"/>
                      <w:color w:val="auto"/>
                      <w:spacing w:val="0"/>
                      <w:position w:val="0"/>
                      <w:sz w:val="21"/>
                      <w:szCs w:val="21"/>
                    </w:rPr>
                  </w:pPr>
                  <w:r>
                    <w:rPr>
                      <w:rFonts w:hint="eastAsia" w:ascii="Times New Roman" w:hAnsi="Times New Roman" w:eastAsia="宋体" w:cs="Times New Roman"/>
                      <w:b w:val="0"/>
                      <w:bCs w:val="0"/>
                      <w:color w:val="auto"/>
                      <w:spacing w:val="0"/>
                      <w:position w:val="0"/>
                      <w:sz w:val="21"/>
                      <w:szCs w:val="21"/>
                      <w:lang w:eastAsia="zh-CN"/>
                    </w:rPr>
                    <w:t>（</w:t>
                  </w:r>
                  <w:r>
                    <w:rPr>
                      <w:rFonts w:hint="eastAsia" w:ascii="Times New Roman" w:hAnsi="Times New Roman" w:eastAsia="宋体" w:cs="Times New Roman"/>
                      <w:b w:val="0"/>
                      <w:bCs w:val="0"/>
                      <w:color w:val="auto"/>
                      <w:spacing w:val="0"/>
                      <w:position w:val="0"/>
                      <w:sz w:val="21"/>
                      <w:szCs w:val="21"/>
                      <w:lang w:val="en-US" w:eastAsia="zh-CN"/>
                    </w:rPr>
                    <w:t>3</w:t>
                  </w:r>
                  <w:r>
                    <w:rPr>
                      <w:rFonts w:hint="eastAsia" w:ascii="Times New Roman" w:hAnsi="Times New Roman" w:eastAsia="宋体" w:cs="Times New Roman"/>
                      <w:b w:val="0"/>
                      <w:bCs w:val="0"/>
                      <w:color w:val="auto"/>
                      <w:spacing w:val="0"/>
                      <w:position w:val="0"/>
                      <w:sz w:val="21"/>
                      <w:szCs w:val="21"/>
                      <w:lang w:eastAsia="zh-CN"/>
                    </w:rPr>
                    <w:t>）</w:t>
                  </w:r>
                  <w:r>
                    <w:rPr>
                      <w:rFonts w:hint="default" w:ascii="Times New Roman" w:hAnsi="Times New Roman" w:eastAsia="宋体" w:cs="Times New Roman"/>
                      <w:b w:val="0"/>
                      <w:bCs w:val="0"/>
                      <w:color w:val="auto"/>
                      <w:spacing w:val="0"/>
                      <w:position w:val="0"/>
                      <w:sz w:val="21"/>
                      <w:szCs w:val="21"/>
                    </w:rPr>
                    <w:t>声环境影响</w:t>
                  </w:r>
                </w:p>
                <w:p w14:paraId="5D8D8FC8">
                  <w:pPr>
                    <w:keepNext w:val="0"/>
                    <w:keepLines w:val="0"/>
                    <w:pageBreakBefore w:val="0"/>
                    <w:widowControl/>
                    <w:kinsoku/>
                    <w:wordWrap/>
                    <w:overflowPunct/>
                    <w:topLinePunct/>
                    <w:autoSpaceDE w:val="0"/>
                    <w:autoSpaceDN w:val="0"/>
                    <w:bidi w:val="0"/>
                    <w:adjustRightInd w:val="0"/>
                    <w:snapToGrid w:val="0"/>
                    <w:spacing w:line="240" w:lineRule="auto"/>
                    <w:ind w:left="0" w:leftChars="0" w:right="0" w:rightChars="0" w:firstLine="0" w:firstLineChars="0"/>
                    <w:jc w:val="both"/>
                    <w:textAlignment w:val="baseline"/>
                    <w:rPr>
                      <w:rFonts w:hint="default" w:ascii="Times New Roman" w:hAnsi="Times New Roman" w:eastAsia="宋体" w:cs="Times New Roman"/>
                      <w:b w:val="0"/>
                      <w:bCs w:val="0"/>
                      <w:snapToGrid w:val="0"/>
                      <w:color w:val="auto"/>
                      <w:spacing w:val="0"/>
                      <w:kern w:val="0"/>
                      <w:position w:val="0"/>
                      <w:sz w:val="21"/>
                      <w:szCs w:val="21"/>
                    </w:rPr>
                  </w:pPr>
                  <w:r>
                    <w:rPr>
                      <w:rFonts w:hint="default" w:ascii="Times New Roman" w:hAnsi="Times New Roman" w:eastAsia="宋体" w:cs="Times New Roman"/>
                      <w:b w:val="0"/>
                      <w:bCs w:val="0"/>
                      <w:color w:val="auto"/>
                      <w:spacing w:val="0"/>
                      <w:position w:val="0"/>
                      <w:sz w:val="21"/>
                      <w:szCs w:val="21"/>
                    </w:rPr>
                    <w:t>工业园区声环境现状符合《声环境质量标准》</w:t>
                  </w:r>
                  <w:r>
                    <w:rPr>
                      <w:rFonts w:hint="eastAsia" w:ascii="Times New Roman" w:hAnsi="Times New Roman" w:eastAsia="宋体" w:cs="Times New Roman"/>
                      <w:b w:val="0"/>
                      <w:bCs w:val="0"/>
                      <w:color w:val="auto"/>
                      <w:spacing w:val="0"/>
                      <w:position w:val="0"/>
                      <w:sz w:val="21"/>
                      <w:szCs w:val="21"/>
                      <w:lang w:eastAsia="zh-CN"/>
                    </w:rPr>
                    <w:t>（</w:t>
                  </w:r>
                  <w:r>
                    <w:rPr>
                      <w:rFonts w:hint="default" w:ascii="Times New Roman" w:hAnsi="Times New Roman" w:eastAsia="宋体" w:cs="Times New Roman"/>
                      <w:b w:val="0"/>
                      <w:bCs w:val="0"/>
                      <w:color w:val="auto"/>
                      <w:spacing w:val="0"/>
                      <w:position w:val="0"/>
                      <w:sz w:val="21"/>
                      <w:szCs w:val="21"/>
                    </w:rPr>
                    <w:t>GB3096-2008</w:t>
                  </w:r>
                  <w:r>
                    <w:rPr>
                      <w:rFonts w:hint="eastAsia" w:ascii="Times New Roman" w:hAnsi="Times New Roman" w:eastAsia="宋体" w:cs="Times New Roman"/>
                      <w:b w:val="0"/>
                      <w:bCs w:val="0"/>
                      <w:color w:val="auto"/>
                      <w:spacing w:val="0"/>
                      <w:position w:val="0"/>
                      <w:sz w:val="21"/>
                      <w:szCs w:val="21"/>
                      <w:lang w:eastAsia="zh-CN"/>
                    </w:rPr>
                    <w:t>）</w:t>
                  </w:r>
                  <w:r>
                    <w:rPr>
                      <w:rFonts w:hint="default" w:ascii="Times New Roman" w:hAnsi="Times New Roman" w:eastAsia="宋体" w:cs="Times New Roman"/>
                      <w:b w:val="0"/>
                      <w:bCs w:val="0"/>
                      <w:color w:val="auto"/>
                      <w:spacing w:val="0"/>
                      <w:position w:val="0"/>
                      <w:sz w:val="21"/>
                      <w:szCs w:val="21"/>
                    </w:rPr>
                    <w:t>中的相应标准。随着工业园区的建设，一些隔音降噪措施采用后区域声环境质量状况亦能够满足GB3096-2008中的相应标准要求。同时工业园区道路两侧、边界都设置了较宽的绿化带，可有效降低噪声的影响，保障区域声环境质量满足功能区划的要求。</w:t>
                  </w:r>
                </w:p>
              </w:tc>
              <w:tc>
                <w:tcPr>
                  <w:tcW w:w="2573" w:type="dxa"/>
                  <w:noWrap w:val="0"/>
                  <w:tcMar>
                    <w:top w:w="0" w:type="dxa"/>
                    <w:left w:w="108" w:type="dxa"/>
                    <w:bottom w:w="0" w:type="dxa"/>
                    <w:right w:w="108" w:type="dxa"/>
                  </w:tcMar>
                  <w:vAlign w:val="center"/>
                </w:tcPr>
                <w:p w14:paraId="62863E68">
                  <w:pPr>
                    <w:keepNext w:val="0"/>
                    <w:keepLines w:val="0"/>
                    <w:pageBreakBefore w:val="0"/>
                    <w:widowControl/>
                    <w:tabs>
                      <w:tab w:val="left" w:pos="222"/>
                    </w:tabs>
                    <w:kinsoku w:val="0"/>
                    <w:wordWrap/>
                    <w:overflowPunct/>
                    <w:topLinePunct w:val="0"/>
                    <w:autoSpaceDE w:val="0"/>
                    <w:autoSpaceDN w:val="0"/>
                    <w:bidi w:val="0"/>
                    <w:adjustRightInd w:val="0"/>
                    <w:snapToGrid w:val="0"/>
                    <w:spacing w:line="240" w:lineRule="auto"/>
                    <w:ind w:left="0" w:leftChars="0" w:right="0" w:rightChars="0" w:firstLine="0" w:firstLineChars="0"/>
                    <w:jc w:val="both"/>
                    <w:textAlignment w:val="baseline"/>
                    <w:rPr>
                      <w:rFonts w:hint="eastAsia" w:ascii="Times New Roman" w:hAnsi="Times New Roman" w:eastAsia="宋体" w:cs="Times New Roman"/>
                      <w:b w:val="0"/>
                      <w:bCs w:val="0"/>
                      <w:snapToGrid w:val="0"/>
                      <w:color w:val="auto"/>
                      <w:spacing w:val="0"/>
                      <w:kern w:val="0"/>
                      <w:position w:val="0"/>
                      <w:sz w:val="21"/>
                      <w:szCs w:val="21"/>
                      <w:lang w:eastAsia="zh-CN"/>
                    </w:rPr>
                  </w:pPr>
                  <w:r>
                    <w:rPr>
                      <w:rFonts w:hint="default" w:ascii="Times New Roman" w:hAnsi="Times New Roman" w:eastAsia="宋体" w:cs="Times New Roman"/>
                      <w:b w:val="0"/>
                      <w:bCs w:val="0"/>
                      <w:color w:val="auto"/>
                      <w:spacing w:val="0"/>
                      <w:position w:val="0"/>
                      <w:sz w:val="21"/>
                      <w:szCs w:val="21"/>
                    </w:rPr>
                    <w:t>本项目产噪设备主要为</w:t>
                  </w:r>
                  <w:r>
                    <w:rPr>
                      <w:rFonts w:hint="eastAsia" w:ascii="Times New Roman" w:hAnsi="Times New Roman" w:eastAsia="宋体" w:cs="Times New Roman"/>
                      <w:b w:val="0"/>
                      <w:bCs w:val="0"/>
                      <w:color w:val="auto"/>
                      <w:spacing w:val="0"/>
                      <w:position w:val="0"/>
                      <w:sz w:val="21"/>
                      <w:szCs w:val="21"/>
                      <w:lang w:val="en-US" w:eastAsia="zh-CN"/>
                    </w:rPr>
                    <w:t>破碎机</w:t>
                  </w:r>
                  <w:r>
                    <w:rPr>
                      <w:rFonts w:hint="default" w:ascii="Times New Roman" w:hAnsi="Times New Roman" w:eastAsia="宋体" w:cs="Times New Roman"/>
                      <w:b w:val="0"/>
                      <w:bCs w:val="0"/>
                      <w:color w:val="auto"/>
                      <w:spacing w:val="0"/>
                      <w:position w:val="0"/>
                      <w:sz w:val="21"/>
                      <w:szCs w:val="21"/>
                    </w:rPr>
                    <w:t>等，经减噪、隔声等措施处理后，满足《声环境质量》</w:t>
                  </w:r>
                  <w:r>
                    <w:rPr>
                      <w:rFonts w:hint="eastAsia" w:ascii="Times New Roman" w:hAnsi="Times New Roman" w:eastAsia="宋体" w:cs="Times New Roman"/>
                      <w:b w:val="0"/>
                      <w:bCs w:val="0"/>
                      <w:color w:val="auto"/>
                      <w:spacing w:val="0"/>
                      <w:position w:val="0"/>
                      <w:sz w:val="21"/>
                      <w:szCs w:val="21"/>
                      <w:lang w:eastAsia="zh-CN"/>
                    </w:rPr>
                    <w:t>（</w:t>
                  </w:r>
                  <w:r>
                    <w:rPr>
                      <w:rFonts w:hint="default" w:ascii="Times New Roman" w:hAnsi="Times New Roman" w:eastAsia="宋体" w:cs="Times New Roman"/>
                      <w:b w:val="0"/>
                      <w:bCs w:val="0"/>
                      <w:color w:val="auto"/>
                      <w:spacing w:val="0"/>
                      <w:position w:val="0"/>
                      <w:sz w:val="21"/>
                      <w:szCs w:val="21"/>
                    </w:rPr>
                    <w:t>GB3096-2008</w:t>
                  </w:r>
                  <w:r>
                    <w:rPr>
                      <w:rFonts w:hint="eastAsia" w:ascii="Times New Roman" w:hAnsi="Times New Roman" w:eastAsia="宋体" w:cs="Times New Roman"/>
                      <w:b w:val="0"/>
                      <w:bCs w:val="0"/>
                      <w:color w:val="auto"/>
                      <w:spacing w:val="0"/>
                      <w:position w:val="0"/>
                      <w:sz w:val="21"/>
                      <w:szCs w:val="21"/>
                      <w:lang w:eastAsia="zh-CN"/>
                    </w:rPr>
                    <w:t>）</w:t>
                  </w:r>
                  <w:r>
                    <w:rPr>
                      <w:rFonts w:hint="default" w:ascii="Times New Roman" w:hAnsi="Times New Roman" w:eastAsia="宋体" w:cs="Times New Roman"/>
                      <w:b w:val="0"/>
                      <w:bCs w:val="0"/>
                      <w:color w:val="auto"/>
                      <w:spacing w:val="0"/>
                      <w:position w:val="0"/>
                      <w:sz w:val="21"/>
                      <w:szCs w:val="21"/>
                    </w:rPr>
                    <w:t>中的3类标准</w:t>
                  </w:r>
                  <w:r>
                    <w:rPr>
                      <w:rFonts w:hint="eastAsia" w:ascii="Times New Roman" w:hAnsi="Times New Roman" w:eastAsia="宋体" w:cs="Times New Roman"/>
                      <w:b w:val="0"/>
                      <w:bCs w:val="0"/>
                      <w:color w:val="auto"/>
                      <w:spacing w:val="0"/>
                      <w:position w:val="0"/>
                      <w:sz w:val="21"/>
                      <w:szCs w:val="21"/>
                      <w:lang w:eastAsia="zh-CN"/>
                    </w:rPr>
                    <w:t>。</w:t>
                  </w:r>
                </w:p>
              </w:tc>
              <w:tc>
                <w:tcPr>
                  <w:tcW w:w="704" w:type="dxa"/>
                  <w:noWrap w:val="0"/>
                  <w:tcMar>
                    <w:top w:w="0" w:type="dxa"/>
                    <w:left w:w="108" w:type="dxa"/>
                    <w:bottom w:w="0" w:type="dxa"/>
                    <w:right w:w="108" w:type="dxa"/>
                  </w:tcMar>
                  <w:vAlign w:val="center"/>
                </w:tcPr>
                <w:p w14:paraId="55C55307">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b w:val="0"/>
                      <w:bCs w:val="0"/>
                      <w:snapToGrid w:val="0"/>
                      <w:color w:val="auto"/>
                      <w:spacing w:val="0"/>
                      <w:kern w:val="0"/>
                      <w:position w:val="0"/>
                      <w:sz w:val="21"/>
                      <w:szCs w:val="21"/>
                    </w:rPr>
                  </w:pPr>
                  <w:r>
                    <w:rPr>
                      <w:rFonts w:hint="default" w:ascii="Times New Roman" w:hAnsi="Times New Roman" w:eastAsia="宋体" w:cs="Times New Roman"/>
                      <w:b w:val="0"/>
                      <w:bCs w:val="0"/>
                      <w:color w:val="auto"/>
                      <w:spacing w:val="0"/>
                      <w:position w:val="0"/>
                      <w:sz w:val="21"/>
                      <w:szCs w:val="21"/>
                    </w:rPr>
                    <w:t>符合</w:t>
                  </w:r>
                </w:p>
              </w:tc>
            </w:tr>
            <w:tr w14:paraId="625091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929" w:type="dxa"/>
                  <w:vMerge w:val="continue"/>
                  <w:noWrap w:val="0"/>
                  <w:tcMar>
                    <w:top w:w="0" w:type="dxa"/>
                    <w:left w:w="108" w:type="dxa"/>
                    <w:bottom w:w="0" w:type="dxa"/>
                    <w:right w:w="108" w:type="dxa"/>
                  </w:tcMar>
                  <w:vAlign w:val="center"/>
                </w:tcPr>
                <w:p w14:paraId="7EAF4BD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color w:val="auto"/>
                      <w:spacing w:val="0"/>
                      <w:position w:val="0"/>
                      <w:sz w:val="21"/>
                      <w:szCs w:val="21"/>
                    </w:rPr>
                  </w:pPr>
                </w:p>
              </w:tc>
              <w:tc>
                <w:tcPr>
                  <w:tcW w:w="3833" w:type="dxa"/>
                  <w:noWrap w:val="0"/>
                  <w:tcMar>
                    <w:top w:w="0" w:type="dxa"/>
                    <w:left w:w="108" w:type="dxa"/>
                    <w:bottom w:w="0" w:type="dxa"/>
                    <w:right w:w="108" w:type="dxa"/>
                  </w:tcMar>
                  <w:vAlign w:val="center"/>
                </w:tcPr>
                <w:p w14:paraId="2D095AB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eastAsia="宋体" w:cs="Times New Roman"/>
                      <w:b w:val="0"/>
                      <w:bCs w:val="0"/>
                      <w:color w:val="auto"/>
                      <w:spacing w:val="0"/>
                      <w:position w:val="0"/>
                      <w:sz w:val="21"/>
                      <w:szCs w:val="21"/>
                    </w:rPr>
                  </w:pPr>
                  <w:r>
                    <w:rPr>
                      <w:rFonts w:hint="eastAsia" w:ascii="Times New Roman" w:hAnsi="Times New Roman" w:eastAsia="宋体" w:cs="Times New Roman"/>
                      <w:b w:val="0"/>
                      <w:bCs w:val="0"/>
                      <w:color w:val="auto"/>
                      <w:spacing w:val="0"/>
                      <w:position w:val="0"/>
                      <w:sz w:val="21"/>
                      <w:szCs w:val="21"/>
                      <w:lang w:eastAsia="zh-CN"/>
                    </w:rPr>
                    <w:t>（</w:t>
                  </w:r>
                  <w:r>
                    <w:rPr>
                      <w:rFonts w:hint="eastAsia" w:ascii="Times New Roman" w:hAnsi="Times New Roman" w:eastAsia="宋体" w:cs="Times New Roman"/>
                      <w:b w:val="0"/>
                      <w:bCs w:val="0"/>
                      <w:color w:val="auto"/>
                      <w:spacing w:val="0"/>
                      <w:position w:val="0"/>
                      <w:sz w:val="21"/>
                      <w:szCs w:val="21"/>
                      <w:lang w:val="en-US" w:eastAsia="zh-CN"/>
                    </w:rPr>
                    <w:t>4</w:t>
                  </w:r>
                  <w:r>
                    <w:rPr>
                      <w:rFonts w:hint="eastAsia" w:ascii="Times New Roman" w:hAnsi="Times New Roman" w:eastAsia="宋体" w:cs="Times New Roman"/>
                      <w:b w:val="0"/>
                      <w:bCs w:val="0"/>
                      <w:color w:val="auto"/>
                      <w:spacing w:val="0"/>
                      <w:position w:val="0"/>
                      <w:sz w:val="21"/>
                      <w:szCs w:val="21"/>
                      <w:lang w:eastAsia="zh-CN"/>
                    </w:rPr>
                    <w:t>）</w:t>
                  </w:r>
                  <w:r>
                    <w:rPr>
                      <w:rFonts w:hint="default" w:ascii="Times New Roman" w:hAnsi="Times New Roman" w:eastAsia="宋体" w:cs="Times New Roman"/>
                      <w:b w:val="0"/>
                      <w:bCs w:val="0"/>
                      <w:color w:val="auto"/>
                      <w:spacing w:val="0"/>
                      <w:position w:val="0"/>
                      <w:sz w:val="21"/>
                      <w:szCs w:val="21"/>
                    </w:rPr>
                    <w:t>固体废弃物环境影响</w:t>
                  </w:r>
                </w:p>
                <w:p w14:paraId="2DD8599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eastAsia="宋体" w:cs="Times New Roman"/>
                      <w:b w:val="0"/>
                      <w:bCs w:val="0"/>
                      <w:color w:val="auto"/>
                      <w:spacing w:val="0"/>
                      <w:position w:val="0"/>
                      <w:sz w:val="21"/>
                      <w:szCs w:val="21"/>
                    </w:rPr>
                  </w:pPr>
                  <w:r>
                    <w:rPr>
                      <w:rFonts w:hint="default" w:ascii="Times New Roman" w:hAnsi="Times New Roman" w:eastAsia="宋体" w:cs="Times New Roman"/>
                      <w:b w:val="0"/>
                      <w:bCs w:val="0"/>
                      <w:color w:val="auto"/>
                      <w:spacing w:val="0"/>
                      <w:position w:val="0"/>
                      <w:sz w:val="21"/>
                      <w:szCs w:val="21"/>
                    </w:rPr>
                    <w:t>工业区固废收集、处置系统建成后，生活垃圾、工业固体废物可实现及时清运、填埋。</w:t>
                  </w:r>
                </w:p>
              </w:tc>
              <w:tc>
                <w:tcPr>
                  <w:tcW w:w="2573" w:type="dxa"/>
                  <w:noWrap w:val="0"/>
                  <w:tcMar>
                    <w:top w:w="0" w:type="dxa"/>
                    <w:left w:w="108" w:type="dxa"/>
                    <w:bottom w:w="0" w:type="dxa"/>
                    <w:right w:w="108" w:type="dxa"/>
                  </w:tcMar>
                  <w:vAlign w:val="center"/>
                </w:tcPr>
                <w:p w14:paraId="1483D11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both"/>
                    <w:textAlignment w:val="baseline"/>
                    <w:rPr>
                      <w:rFonts w:hint="eastAsia" w:ascii="Times New Roman" w:hAnsi="Times New Roman" w:eastAsia="宋体" w:cs="Times New Roman"/>
                      <w:b w:val="0"/>
                      <w:bCs w:val="0"/>
                      <w:color w:val="auto"/>
                      <w:spacing w:val="0"/>
                      <w:position w:val="0"/>
                      <w:sz w:val="21"/>
                      <w:szCs w:val="21"/>
                      <w:lang w:eastAsia="zh-CN"/>
                    </w:rPr>
                  </w:pPr>
                  <w:r>
                    <w:rPr>
                      <w:rFonts w:hint="default" w:ascii="Times New Roman" w:hAnsi="Times New Roman" w:eastAsia="宋体" w:cs="Times New Roman"/>
                      <w:b w:val="0"/>
                      <w:bCs w:val="0"/>
                      <w:color w:val="auto"/>
                      <w:spacing w:val="0"/>
                      <w:position w:val="0"/>
                      <w:sz w:val="21"/>
                      <w:szCs w:val="21"/>
                    </w:rPr>
                    <w:t>本项目产生的</w:t>
                  </w:r>
                  <w:r>
                    <w:rPr>
                      <w:rFonts w:hint="eastAsia" w:ascii="Times New Roman" w:hAnsi="Times New Roman" w:eastAsia="宋体" w:cs="Times New Roman"/>
                      <w:b w:val="0"/>
                      <w:bCs w:val="0"/>
                      <w:color w:val="auto"/>
                      <w:spacing w:val="0"/>
                      <w:position w:val="0"/>
                      <w:sz w:val="21"/>
                      <w:szCs w:val="21"/>
                      <w:lang w:val="en-US" w:eastAsia="zh-CN"/>
                    </w:rPr>
                    <w:t>生活垃圾交环卫部门清运，工业固废集中处置</w:t>
                  </w:r>
                  <w:r>
                    <w:rPr>
                      <w:rFonts w:hint="default" w:ascii="Times New Roman" w:hAnsi="Times New Roman" w:eastAsia="宋体" w:cs="Times New Roman"/>
                      <w:b w:val="0"/>
                      <w:bCs w:val="0"/>
                      <w:color w:val="auto"/>
                      <w:spacing w:val="0"/>
                      <w:position w:val="0"/>
                      <w:sz w:val="21"/>
                      <w:szCs w:val="21"/>
                    </w:rPr>
                    <w:t>，</w:t>
                  </w:r>
                  <w:r>
                    <w:rPr>
                      <w:rFonts w:hint="eastAsia" w:ascii="Times New Roman" w:hAnsi="Times New Roman" w:eastAsia="宋体" w:cs="Times New Roman"/>
                      <w:b w:val="0"/>
                      <w:bCs w:val="0"/>
                      <w:color w:val="auto"/>
                      <w:spacing w:val="0"/>
                      <w:position w:val="0"/>
                      <w:sz w:val="21"/>
                      <w:szCs w:val="21"/>
                      <w:lang w:val="en-US" w:eastAsia="zh-CN"/>
                    </w:rPr>
                    <w:t>危险废物暂存危险废物暂存间，</w:t>
                  </w:r>
                  <w:r>
                    <w:rPr>
                      <w:rFonts w:hint="eastAsia" w:cs="Times New Roman"/>
                      <w:b w:val="0"/>
                      <w:bCs w:val="0"/>
                      <w:color w:val="auto"/>
                      <w:spacing w:val="0"/>
                      <w:position w:val="0"/>
                      <w:sz w:val="21"/>
                      <w:szCs w:val="21"/>
                      <w:lang w:val="en-US" w:eastAsia="zh-CN"/>
                    </w:rPr>
                    <w:t>交由有</w:t>
                  </w:r>
                  <w:r>
                    <w:rPr>
                      <w:rFonts w:hint="eastAsia" w:ascii="Times New Roman" w:hAnsi="Times New Roman" w:eastAsia="宋体" w:cs="Times New Roman"/>
                      <w:b w:val="0"/>
                      <w:bCs w:val="0"/>
                      <w:color w:val="auto"/>
                      <w:spacing w:val="0"/>
                      <w:position w:val="0"/>
                      <w:sz w:val="21"/>
                      <w:szCs w:val="21"/>
                      <w:lang w:val="en-US" w:eastAsia="zh-CN"/>
                    </w:rPr>
                    <w:t>资质单位处置</w:t>
                  </w:r>
                  <w:r>
                    <w:rPr>
                      <w:rFonts w:hint="eastAsia" w:ascii="Times New Roman" w:hAnsi="Times New Roman" w:eastAsia="宋体" w:cs="Times New Roman"/>
                      <w:b w:val="0"/>
                      <w:bCs w:val="0"/>
                      <w:color w:val="auto"/>
                      <w:spacing w:val="0"/>
                      <w:position w:val="0"/>
                      <w:sz w:val="21"/>
                      <w:szCs w:val="21"/>
                      <w:lang w:eastAsia="zh-CN"/>
                    </w:rPr>
                    <w:t>。</w:t>
                  </w:r>
                </w:p>
              </w:tc>
              <w:tc>
                <w:tcPr>
                  <w:tcW w:w="704" w:type="dxa"/>
                  <w:noWrap w:val="0"/>
                  <w:tcMar>
                    <w:top w:w="0" w:type="dxa"/>
                    <w:left w:w="108" w:type="dxa"/>
                    <w:bottom w:w="0" w:type="dxa"/>
                    <w:right w:w="108" w:type="dxa"/>
                  </w:tcMar>
                  <w:vAlign w:val="center"/>
                </w:tcPr>
                <w:p w14:paraId="7E118BF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color w:val="auto"/>
                      <w:spacing w:val="0"/>
                      <w:position w:val="0"/>
                      <w:sz w:val="21"/>
                      <w:szCs w:val="21"/>
                    </w:rPr>
                  </w:pPr>
                  <w:r>
                    <w:rPr>
                      <w:rFonts w:hint="default" w:ascii="Times New Roman" w:hAnsi="Times New Roman" w:eastAsia="宋体" w:cs="Times New Roman"/>
                      <w:b w:val="0"/>
                      <w:bCs w:val="0"/>
                      <w:color w:val="auto"/>
                      <w:spacing w:val="0"/>
                      <w:position w:val="0"/>
                      <w:sz w:val="21"/>
                      <w:szCs w:val="21"/>
                    </w:rPr>
                    <w:t>符合</w:t>
                  </w:r>
                </w:p>
              </w:tc>
            </w:tr>
            <w:tr w14:paraId="78B02A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929" w:type="dxa"/>
                  <w:vMerge w:val="restart"/>
                  <w:noWrap w:val="0"/>
                  <w:tcMar>
                    <w:top w:w="0" w:type="dxa"/>
                    <w:left w:w="108" w:type="dxa"/>
                    <w:bottom w:w="0" w:type="dxa"/>
                    <w:right w:w="108" w:type="dxa"/>
                  </w:tcMar>
                  <w:vAlign w:val="center"/>
                </w:tcPr>
                <w:p w14:paraId="1008ACA4">
                  <w:pPr>
                    <w:keepNext w:val="0"/>
                    <w:keepLines w:val="0"/>
                    <w:pageBreakBefore w:val="0"/>
                    <w:widowControl/>
                    <w:tabs>
                      <w:tab w:val="left" w:pos="242"/>
                    </w:tabs>
                    <w:kinsoku w:val="0"/>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eastAsia="宋体" w:cs="Times New Roman"/>
                      <w:b w:val="0"/>
                      <w:bCs w:val="0"/>
                      <w:color w:val="auto"/>
                      <w:spacing w:val="0"/>
                      <w:position w:val="0"/>
                      <w:sz w:val="21"/>
                      <w:szCs w:val="21"/>
                    </w:rPr>
                  </w:pPr>
                  <w:r>
                    <w:rPr>
                      <w:rFonts w:hint="default" w:ascii="Times New Roman" w:hAnsi="Times New Roman" w:eastAsia="宋体" w:cs="Times New Roman"/>
                      <w:b w:val="0"/>
                      <w:bCs w:val="0"/>
                      <w:color w:val="auto"/>
                      <w:spacing w:val="0"/>
                      <w:position w:val="0"/>
                      <w:sz w:val="21"/>
                      <w:szCs w:val="21"/>
                    </w:rPr>
                    <w:t>《昌吉高新技术产业开发区总体规划</w:t>
                  </w:r>
                  <w:r>
                    <w:rPr>
                      <w:rFonts w:hint="eastAsia" w:ascii="Times New Roman" w:hAnsi="Times New Roman" w:eastAsia="宋体" w:cs="Times New Roman"/>
                      <w:b w:val="0"/>
                      <w:bCs w:val="0"/>
                      <w:color w:val="auto"/>
                      <w:spacing w:val="0"/>
                      <w:position w:val="0"/>
                      <w:sz w:val="21"/>
                      <w:szCs w:val="21"/>
                      <w:lang w:eastAsia="zh-CN"/>
                    </w:rPr>
                    <w:t>（</w:t>
                  </w:r>
                  <w:r>
                    <w:rPr>
                      <w:rFonts w:hint="default" w:ascii="Times New Roman" w:hAnsi="Times New Roman" w:eastAsia="宋体" w:cs="Times New Roman"/>
                      <w:b w:val="0"/>
                      <w:bCs w:val="0"/>
                      <w:color w:val="auto"/>
                      <w:spacing w:val="0"/>
                      <w:position w:val="0"/>
                      <w:sz w:val="21"/>
                      <w:szCs w:val="21"/>
                    </w:rPr>
                    <w:t>2014-2030年</w:t>
                  </w:r>
                  <w:r>
                    <w:rPr>
                      <w:rFonts w:hint="eastAsia" w:ascii="Times New Roman" w:hAnsi="Times New Roman" w:eastAsia="宋体" w:cs="Times New Roman"/>
                      <w:b w:val="0"/>
                      <w:bCs w:val="0"/>
                      <w:color w:val="auto"/>
                      <w:spacing w:val="0"/>
                      <w:position w:val="0"/>
                      <w:sz w:val="21"/>
                      <w:szCs w:val="21"/>
                      <w:lang w:eastAsia="zh-CN"/>
                    </w:rPr>
                    <w:t>）</w:t>
                  </w:r>
                  <w:r>
                    <w:rPr>
                      <w:rFonts w:hint="default" w:ascii="Times New Roman" w:hAnsi="Times New Roman" w:eastAsia="宋体" w:cs="Times New Roman"/>
                      <w:b w:val="0"/>
                      <w:bCs w:val="0"/>
                      <w:color w:val="auto"/>
                      <w:spacing w:val="0"/>
                      <w:position w:val="0"/>
                      <w:sz w:val="21"/>
                      <w:szCs w:val="21"/>
                    </w:rPr>
                    <w:t>环境影响报告书》审查意见</w:t>
                  </w:r>
                </w:p>
              </w:tc>
              <w:tc>
                <w:tcPr>
                  <w:tcW w:w="3833" w:type="dxa"/>
                  <w:noWrap w:val="0"/>
                  <w:tcMar>
                    <w:top w:w="0" w:type="dxa"/>
                    <w:left w:w="108" w:type="dxa"/>
                    <w:bottom w:w="0" w:type="dxa"/>
                    <w:right w:w="108" w:type="dxa"/>
                  </w:tcMar>
                  <w:vAlign w:val="center"/>
                </w:tcPr>
                <w:p w14:paraId="752F133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eastAsia="宋体" w:cs="Times New Roman"/>
                      <w:b w:val="0"/>
                      <w:bCs w:val="0"/>
                      <w:color w:val="auto"/>
                      <w:spacing w:val="0"/>
                      <w:position w:val="0"/>
                      <w:sz w:val="21"/>
                      <w:szCs w:val="21"/>
                    </w:rPr>
                  </w:pPr>
                  <w:r>
                    <w:rPr>
                      <w:rFonts w:hint="eastAsia" w:ascii="Times New Roman" w:hAnsi="Times New Roman" w:eastAsia="宋体" w:cs="Times New Roman"/>
                      <w:b w:val="0"/>
                      <w:bCs w:val="0"/>
                      <w:color w:val="auto"/>
                      <w:spacing w:val="0"/>
                      <w:position w:val="0"/>
                      <w:sz w:val="21"/>
                      <w:szCs w:val="21"/>
                      <w:lang w:eastAsia="zh-CN"/>
                    </w:rPr>
                    <w:t>（</w:t>
                  </w:r>
                  <w:r>
                    <w:rPr>
                      <w:rFonts w:hint="eastAsia" w:ascii="Times New Roman" w:hAnsi="Times New Roman" w:eastAsia="宋体" w:cs="Times New Roman"/>
                      <w:b w:val="0"/>
                      <w:bCs w:val="0"/>
                      <w:color w:val="auto"/>
                      <w:spacing w:val="0"/>
                      <w:position w:val="0"/>
                      <w:sz w:val="21"/>
                      <w:szCs w:val="21"/>
                      <w:lang w:val="en-US" w:eastAsia="zh-CN"/>
                    </w:rPr>
                    <w:t>1</w:t>
                  </w:r>
                  <w:r>
                    <w:rPr>
                      <w:rFonts w:hint="eastAsia" w:ascii="Times New Roman" w:hAnsi="Times New Roman" w:eastAsia="宋体" w:cs="Times New Roman"/>
                      <w:b w:val="0"/>
                      <w:bCs w:val="0"/>
                      <w:color w:val="auto"/>
                      <w:spacing w:val="0"/>
                      <w:position w:val="0"/>
                      <w:sz w:val="21"/>
                      <w:szCs w:val="21"/>
                      <w:lang w:eastAsia="zh-CN"/>
                    </w:rPr>
                    <w:t>）</w:t>
                  </w:r>
                  <w:r>
                    <w:rPr>
                      <w:rFonts w:hint="default" w:ascii="Times New Roman" w:hAnsi="Times New Roman" w:eastAsia="宋体" w:cs="Times New Roman"/>
                      <w:b w:val="0"/>
                      <w:bCs w:val="0"/>
                      <w:color w:val="auto"/>
                      <w:spacing w:val="0"/>
                      <w:position w:val="0"/>
                      <w:sz w:val="21"/>
                      <w:szCs w:val="21"/>
                    </w:rPr>
                    <w:t>园区发展定位</w:t>
                  </w:r>
                  <w:r>
                    <w:rPr>
                      <w:rFonts w:hint="eastAsia" w:ascii="Times New Roman" w:hAnsi="Times New Roman" w:eastAsia="宋体" w:cs="Times New Roman"/>
                      <w:b w:val="0"/>
                      <w:bCs w:val="0"/>
                      <w:color w:val="auto"/>
                      <w:spacing w:val="0"/>
                      <w:position w:val="0"/>
                      <w:sz w:val="21"/>
                      <w:szCs w:val="21"/>
                      <w:lang w:eastAsia="zh-CN"/>
                    </w:rPr>
                    <w:t>：</w:t>
                  </w:r>
                  <w:r>
                    <w:rPr>
                      <w:rFonts w:hint="default" w:ascii="Times New Roman" w:hAnsi="Times New Roman" w:eastAsia="宋体" w:cs="Times New Roman"/>
                      <w:b w:val="0"/>
                      <w:bCs w:val="0"/>
                      <w:color w:val="auto"/>
                      <w:spacing w:val="0"/>
                      <w:position w:val="0"/>
                      <w:sz w:val="21"/>
                      <w:szCs w:val="21"/>
                    </w:rPr>
                    <w:t>以装备制造业、新材料产业、生物科技和食品产业为主，配套现代服务业，将园区打造成为全区重要先进制造业基地，昌吉州生产性服务业创新中心。</w:t>
                  </w:r>
                </w:p>
              </w:tc>
              <w:tc>
                <w:tcPr>
                  <w:tcW w:w="2573" w:type="dxa"/>
                  <w:noWrap w:val="0"/>
                  <w:tcMar>
                    <w:top w:w="0" w:type="dxa"/>
                    <w:left w:w="108" w:type="dxa"/>
                    <w:bottom w:w="0" w:type="dxa"/>
                    <w:right w:w="108" w:type="dxa"/>
                  </w:tcMar>
                  <w:vAlign w:val="center"/>
                </w:tcPr>
                <w:p w14:paraId="60E2AAEB">
                  <w:pPr>
                    <w:keepNext w:val="0"/>
                    <w:keepLines w:val="0"/>
                    <w:pageBreakBefore w:val="0"/>
                    <w:widowControl/>
                    <w:kinsoku/>
                    <w:wordWrap/>
                    <w:overflowPunct/>
                    <w:topLinePunct/>
                    <w:autoSpaceDE w:val="0"/>
                    <w:autoSpaceDN/>
                    <w:bidi w:val="0"/>
                    <w:adjustRightInd w:val="0"/>
                    <w:snapToGrid w:val="0"/>
                    <w:spacing w:line="240" w:lineRule="auto"/>
                    <w:ind w:left="0" w:right="0" w:firstLine="0"/>
                    <w:jc w:val="both"/>
                    <w:textAlignment w:val="baseline"/>
                    <w:rPr>
                      <w:rFonts w:hint="default" w:ascii="Times New Roman" w:hAnsi="Times New Roman" w:eastAsia="宋体" w:cs="Times New Roman"/>
                      <w:b w:val="0"/>
                      <w:bCs w:val="0"/>
                      <w:color w:val="auto"/>
                      <w:spacing w:val="0"/>
                      <w:position w:val="0"/>
                      <w:sz w:val="21"/>
                      <w:szCs w:val="21"/>
                    </w:rPr>
                  </w:pPr>
                  <w:r>
                    <w:rPr>
                      <w:rFonts w:hint="eastAsia" w:ascii="Times New Roman" w:hAnsi="Times New Roman" w:eastAsia="宋体" w:cs="Times New Roman"/>
                      <w:b w:val="0"/>
                      <w:bCs w:val="0"/>
                      <w:color w:val="auto"/>
                      <w:spacing w:val="0"/>
                      <w:position w:val="0"/>
                      <w:sz w:val="21"/>
                      <w:szCs w:val="21"/>
                      <w:lang w:val="en-US" w:eastAsia="zh-CN"/>
                    </w:rPr>
                    <w:t>项目</w:t>
                  </w:r>
                  <w:r>
                    <w:rPr>
                      <w:rFonts w:hint="default" w:ascii="Times New Roman" w:hAnsi="Times New Roman" w:eastAsia="宋体" w:cs="Times New Roman"/>
                      <w:b w:val="0"/>
                      <w:bCs w:val="0"/>
                      <w:color w:val="auto"/>
                      <w:spacing w:val="0"/>
                      <w:position w:val="0"/>
                      <w:sz w:val="21"/>
                      <w:szCs w:val="21"/>
                    </w:rPr>
                    <w:t>位于</w:t>
                  </w:r>
                  <w:r>
                    <w:rPr>
                      <w:rFonts w:hint="default" w:ascii="Times New Roman" w:hAnsi="Times New Roman" w:eastAsia="宋体" w:cs="Times New Roman"/>
                      <w:b w:val="0"/>
                      <w:bCs w:val="0"/>
                      <w:color w:val="auto"/>
                      <w:spacing w:val="0"/>
                      <w:position w:val="0"/>
                      <w:sz w:val="21"/>
                      <w:szCs w:val="21"/>
                      <w:lang w:val="en-US" w:eastAsia="zh-CN"/>
                    </w:rPr>
                    <w:t>高新技术开发区工程机械装备制造业</w:t>
                  </w:r>
                  <w:r>
                    <w:rPr>
                      <w:rFonts w:hint="eastAsia" w:ascii="Times New Roman" w:hAnsi="Times New Roman" w:eastAsia="宋体" w:cs="Times New Roman"/>
                      <w:b w:val="0"/>
                      <w:bCs w:val="0"/>
                      <w:color w:val="auto"/>
                      <w:spacing w:val="0"/>
                      <w:position w:val="0"/>
                      <w:sz w:val="21"/>
                      <w:szCs w:val="21"/>
                      <w:lang w:val="en-US" w:eastAsia="zh-CN"/>
                    </w:rPr>
                    <w:t>园区</w:t>
                  </w:r>
                  <w:r>
                    <w:rPr>
                      <w:rFonts w:hint="default" w:ascii="Times New Roman" w:hAnsi="Times New Roman" w:eastAsia="宋体" w:cs="Times New Roman"/>
                      <w:b w:val="0"/>
                      <w:bCs w:val="0"/>
                      <w:color w:val="auto"/>
                      <w:spacing w:val="0"/>
                      <w:position w:val="0"/>
                      <w:sz w:val="21"/>
                      <w:szCs w:val="21"/>
                    </w:rPr>
                    <w:t>，主要从事</w:t>
                  </w:r>
                  <w:r>
                    <w:rPr>
                      <w:rFonts w:hint="eastAsia" w:ascii="Times New Roman" w:hAnsi="Times New Roman" w:eastAsia="宋体" w:cs="Times New Roman"/>
                      <w:b w:val="0"/>
                      <w:bCs w:val="0"/>
                      <w:color w:val="auto"/>
                      <w:spacing w:val="0"/>
                      <w:position w:val="0"/>
                      <w:sz w:val="21"/>
                      <w:szCs w:val="21"/>
                      <w:lang w:val="en-US" w:eastAsia="zh-CN"/>
                    </w:rPr>
                    <w:t>矿石检测技术服务</w:t>
                  </w:r>
                  <w:r>
                    <w:rPr>
                      <w:rFonts w:hint="default" w:ascii="Times New Roman" w:hAnsi="Times New Roman" w:eastAsia="宋体" w:cs="Times New Roman"/>
                      <w:b w:val="0"/>
                      <w:bCs w:val="0"/>
                      <w:color w:val="auto"/>
                      <w:spacing w:val="0"/>
                      <w:position w:val="0"/>
                      <w:sz w:val="21"/>
                      <w:szCs w:val="21"/>
                    </w:rPr>
                    <w:t>，符合园区生产性服务业创新中心规划。</w:t>
                  </w:r>
                </w:p>
              </w:tc>
              <w:tc>
                <w:tcPr>
                  <w:tcW w:w="704" w:type="dxa"/>
                  <w:noWrap w:val="0"/>
                  <w:tcMar>
                    <w:top w:w="0" w:type="dxa"/>
                    <w:left w:w="108" w:type="dxa"/>
                    <w:bottom w:w="0" w:type="dxa"/>
                    <w:right w:w="108" w:type="dxa"/>
                  </w:tcMar>
                  <w:vAlign w:val="center"/>
                </w:tcPr>
                <w:p w14:paraId="1F947AD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color w:val="auto"/>
                      <w:spacing w:val="0"/>
                      <w:position w:val="0"/>
                      <w:sz w:val="21"/>
                      <w:szCs w:val="21"/>
                    </w:rPr>
                  </w:pPr>
                  <w:r>
                    <w:rPr>
                      <w:rFonts w:hint="default" w:ascii="Times New Roman" w:hAnsi="Times New Roman" w:eastAsia="宋体" w:cs="Times New Roman"/>
                      <w:b w:val="0"/>
                      <w:bCs w:val="0"/>
                      <w:color w:val="auto"/>
                      <w:spacing w:val="0"/>
                      <w:position w:val="0"/>
                      <w:sz w:val="21"/>
                      <w:szCs w:val="21"/>
                    </w:rPr>
                    <w:t>符合</w:t>
                  </w:r>
                </w:p>
              </w:tc>
            </w:tr>
            <w:tr w14:paraId="2BB372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929" w:type="dxa"/>
                  <w:vMerge w:val="continue"/>
                  <w:noWrap w:val="0"/>
                  <w:tcMar>
                    <w:top w:w="0" w:type="dxa"/>
                    <w:left w:w="108" w:type="dxa"/>
                    <w:bottom w:w="0" w:type="dxa"/>
                    <w:right w:w="108" w:type="dxa"/>
                  </w:tcMar>
                  <w:vAlign w:val="center"/>
                </w:tcPr>
                <w:p w14:paraId="36CA817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color w:val="auto"/>
                      <w:spacing w:val="0"/>
                      <w:position w:val="0"/>
                      <w:sz w:val="21"/>
                      <w:szCs w:val="21"/>
                    </w:rPr>
                  </w:pPr>
                </w:p>
              </w:tc>
              <w:tc>
                <w:tcPr>
                  <w:tcW w:w="3833" w:type="dxa"/>
                  <w:noWrap w:val="0"/>
                  <w:tcMar>
                    <w:top w:w="0" w:type="dxa"/>
                    <w:left w:w="108" w:type="dxa"/>
                    <w:bottom w:w="0" w:type="dxa"/>
                    <w:right w:w="108" w:type="dxa"/>
                  </w:tcMar>
                  <w:vAlign w:val="center"/>
                </w:tcPr>
                <w:p w14:paraId="138A7A3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eastAsia="宋体" w:cs="Times New Roman"/>
                      <w:b w:val="0"/>
                      <w:bCs w:val="0"/>
                      <w:color w:val="auto"/>
                      <w:spacing w:val="0"/>
                      <w:position w:val="0"/>
                      <w:sz w:val="21"/>
                      <w:szCs w:val="21"/>
                    </w:rPr>
                  </w:pPr>
                  <w:r>
                    <w:rPr>
                      <w:rFonts w:hint="eastAsia" w:ascii="Times New Roman" w:hAnsi="Times New Roman" w:eastAsia="宋体" w:cs="Times New Roman"/>
                      <w:b w:val="0"/>
                      <w:bCs w:val="0"/>
                      <w:color w:val="auto"/>
                      <w:spacing w:val="0"/>
                      <w:position w:val="0"/>
                      <w:sz w:val="21"/>
                      <w:szCs w:val="21"/>
                      <w:lang w:eastAsia="zh-CN"/>
                    </w:rPr>
                    <w:t>（</w:t>
                  </w:r>
                  <w:r>
                    <w:rPr>
                      <w:rFonts w:hint="eastAsia" w:ascii="Times New Roman" w:hAnsi="Times New Roman" w:eastAsia="宋体" w:cs="Times New Roman"/>
                      <w:b w:val="0"/>
                      <w:bCs w:val="0"/>
                      <w:color w:val="auto"/>
                      <w:spacing w:val="0"/>
                      <w:position w:val="0"/>
                      <w:sz w:val="21"/>
                      <w:szCs w:val="21"/>
                      <w:lang w:val="en-US" w:eastAsia="zh-CN"/>
                    </w:rPr>
                    <w:t>2</w:t>
                  </w:r>
                  <w:r>
                    <w:rPr>
                      <w:rFonts w:hint="eastAsia" w:ascii="Times New Roman" w:hAnsi="Times New Roman" w:eastAsia="宋体" w:cs="Times New Roman"/>
                      <w:b w:val="0"/>
                      <w:bCs w:val="0"/>
                      <w:color w:val="auto"/>
                      <w:spacing w:val="0"/>
                      <w:position w:val="0"/>
                      <w:sz w:val="21"/>
                      <w:szCs w:val="21"/>
                      <w:lang w:eastAsia="zh-CN"/>
                    </w:rPr>
                    <w:t>）</w:t>
                  </w:r>
                  <w:r>
                    <w:rPr>
                      <w:rFonts w:hint="default" w:ascii="Times New Roman" w:hAnsi="Times New Roman" w:eastAsia="宋体" w:cs="Times New Roman"/>
                      <w:b w:val="0"/>
                      <w:bCs w:val="0"/>
                      <w:color w:val="auto"/>
                      <w:spacing w:val="0"/>
                      <w:position w:val="0"/>
                      <w:sz w:val="21"/>
                      <w:szCs w:val="21"/>
                    </w:rPr>
                    <w:t>坚持实行入园企业环保准入审核制度，与产业定位方向不符的项目一律不得入园，对于入园的建设项目必须开展建设项目环境影响评价，并严格执行建设项目“三同时”环境管理制度。</w:t>
                  </w:r>
                </w:p>
              </w:tc>
              <w:tc>
                <w:tcPr>
                  <w:tcW w:w="2573" w:type="dxa"/>
                  <w:noWrap w:val="0"/>
                  <w:tcMar>
                    <w:top w:w="0" w:type="dxa"/>
                    <w:left w:w="108" w:type="dxa"/>
                    <w:bottom w:w="0" w:type="dxa"/>
                    <w:right w:w="108" w:type="dxa"/>
                  </w:tcMar>
                  <w:vAlign w:val="center"/>
                </w:tcPr>
                <w:p w14:paraId="04271C4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both"/>
                    <w:textAlignment w:val="baseline"/>
                    <w:rPr>
                      <w:rFonts w:hint="eastAsia" w:ascii="Times New Roman" w:hAnsi="Times New Roman" w:eastAsia="宋体" w:cs="Times New Roman"/>
                      <w:b w:val="0"/>
                      <w:bCs w:val="0"/>
                      <w:color w:val="auto"/>
                      <w:spacing w:val="0"/>
                      <w:position w:val="0"/>
                      <w:sz w:val="21"/>
                      <w:szCs w:val="21"/>
                      <w:lang w:eastAsia="zh-CN"/>
                    </w:rPr>
                  </w:pPr>
                  <w:r>
                    <w:rPr>
                      <w:rFonts w:hint="eastAsia" w:ascii="Times New Roman" w:hAnsi="Times New Roman" w:eastAsia="宋体" w:cs="Times New Roman"/>
                      <w:b w:val="0"/>
                      <w:bCs w:val="0"/>
                      <w:color w:val="auto"/>
                      <w:spacing w:val="0"/>
                      <w:position w:val="0"/>
                      <w:sz w:val="21"/>
                      <w:szCs w:val="21"/>
                      <w:lang w:val="en-US" w:eastAsia="zh-CN"/>
                    </w:rPr>
                    <w:t>项目符合园区产业定位</w:t>
                  </w:r>
                  <w:r>
                    <w:rPr>
                      <w:rFonts w:hint="eastAsia" w:ascii="Times New Roman" w:hAnsi="Times New Roman" w:eastAsia="宋体" w:cs="Times New Roman"/>
                      <w:b w:val="0"/>
                      <w:bCs w:val="0"/>
                      <w:color w:val="auto"/>
                      <w:spacing w:val="0"/>
                      <w:position w:val="0"/>
                      <w:sz w:val="21"/>
                      <w:szCs w:val="21"/>
                      <w:lang w:eastAsia="zh-CN"/>
                    </w:rPr>
                    <w:t>，</w:t>
                  </w:r>
                  <w:r>
                    <w:rPr>
                      <w:rFonts w:hint="default" w:ascii="Times New Roman" w:hAnsi="Times New Roman" w:eastAsia="宋体" w:cs="Times New Roman"/>
                      <w:b w:val="0"/>
                      <w:bCs w:val="0"/>
                      <w:color w:val="auto"/>
                      <w:spacing w:val="0"/>
                      <w:position w:val="0"/>
                      <w:sz w:val="21"/>
                      <w:szCs w:val="21"/>
                    </w:rPr>
                    <w:t>并严格执行建设项目“三同时”环境管理制度</w:t>
                  </w:r>
                  <w:r>
                    <w:rPr>
                      <w:rFonts w:hint="eastAsia" w:ascii="Times New Roman" w:hAnsi="Times New Roman" w:eastAsia="宋体" w:cs="Times New Roman"/>
                      <w:b w:val="0"/>
                      <w:bCs w:val="0"/>
                      <w:color w:val="auto"/>
                      <w:spacing w:val="0"/>
                      <w:position w:val="0"/>
                      <w:sz w:val="21"/>
                      <w:szCs w:val="21"/>
                      <w:lang w:eastAsia="zh-CN"/>
                    </w:rPr>
                    <w:t>。</w:t>
                  </w:r>
                </w:p>
              </w:tc>
              <w:tc>
                <w:tcPr>
                  <w:tcW w:w="704" w:type="dxa"/>
                  <w:noWrap w:val="0"/>
                  <w:tcMar>
                    <w:top w:w="0" w:type="dxa"/>
                    <w:left w:w="108" w:type="dxa"/>
                    <w:bottom w:w="0" w:type="dxa"/>
                    <w:right w:w="108" w:type="dxa"/>
                  </w:tcMar>
                  <w:vAlign w:val="center"/>
                </w:tcPr>
                <w:p w14:paraId="74A46B0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color w:val="auto"/>
                      <w:spacing w:val="0"/>
                      <w:position w:val="0"/>
                      <w:sz w:val="21"/>
                      <w:szCs w:val="21"/>
                    </w:rPr>
                  </w:pPr>
                  <w:r>
                    <w:rPr>
                      <w:rFonts w:hint="default" w:ascii="Times New Roman" w:hAnsi="Times New Roman" w:eastAsia="宋体" w:cs="Times New Roman"/>
                      <w:b w:val="0"/>
                      <w:bCs w:val="0"/>
                      <w:color w:val="auto"/>
                      <w:spacing w:val="0"/>
                      <w:position w:val="0"/>
                      <w:sz w:val="21"/>
                      <w:szCs w:val="21"/>
                    </w:rPr>
                    <w:t>符合</w:t>
                  </w:r>
                </w:p>
              </w:tc>
            </w:tr>
            <w:tr w14:paraId="55DF3D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929" w:type="dxa"/>
                  <w:vMerge w:val="continue"/>
                  <w:noWrap w:val="0"/>
                  <w:tcMar>
                    <w:top w:w="0" w:type="dxa"/>
                    <w:left w:w="108" w:type="dxa"/>
                    <w:bottom w:w="0" w:type="dxa"/>
                    <w:right w:w="108" w:type="dxa"/>
                  </w:tcMar>
                  <w:vAlign w:val="center"/>
                </w:tcPr>
                <w:p w14:paraId="54A11A6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color w:val="auto"/>
                      <w:spacing w:val="0"/>
                      <w:position w:val="0"/>
                      <w:sz w:val="21"/>
                      <w:szCs w:val="21"/>
                    </w:rPr>
                  </w:pPr>
                </w:p>
              </w:tc>
              <w:tc>
                <w:tcPr>
                  <w:tcW w:w="3833" w:type="dxa"/>
                  <w:noWrap w:val="0"/>
                  <w:tcMar>
                    <w:top w:w="0" w:type="dxa"/>
                    <w:left w:w="108" w:type="dxa"/>
                    <w:bottom w:w="0" w:type="dxa"/>
                    <w:right w:w="108" w:type="dxa"/>
                  </w:tcMar>
                  <w:vAlign w:val="center"/>
                </w:tcPr>
                <w:p w14:paraId="5B3F40A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eastAsia="宋体" w:cs="Times New Roman"/>
                      <w:b w:val="0"/>
                      <w:bCs w:val="0"/>
                      <w:color w:val="auto"/>
                      <w:spacing w:val="0"/>
                      <w:position w:val="0"/>
                      <w:sz w:val="21"/>
                      <w:szCs w:val="21"/>
                    </w:rPr>
                  </w:pPr>
                  <w:r>
                    <w:rPr>
                      <w:rFonts w:hint="eastAsia" w:ascii="Times New Roman" w:hAnsi="Times New Roman" w:eastAsia="宋体" w:cs="Times New Roman"/>
                      <w:b w:val="0"/>
                      <w:bCs w:val="0"/>
                      <w:color w:val="auto"/>
                      <w:spacing w:val="0"/>
                      <w:position w:val="0"/>
                      <w:sz w:val="21"/>
                      <w:szCs w:val="21"/>
                      <w:lang w:eastAsia="zh-CN"/>
                    </w:rPr>
                    <w:t>（</w:t>
                  </w:r>
                  <w:r>
                    <w:rPr>
                      <w:rFonts w:hint="eastAsia" w:ascii="Times New Roman" w:hAnsi="Times New Roman" w:eastAsia="宋体" w:cs="Times New Roman"/>
                      <w:b w:val="0"/>
                      <w:bCs w:val="0"/>
                      <w:color w:val="auto"/>
                      <w:spacing w:val="0"/>
                      <w:position w:val="0"/>
                      <w:sz w:val="21"/>
                      <w:szCs w:val="21"/>
                      <w:lang w:val="en-US" w:eastAsia="zh-CN"/>
                    </w:rPr>
                    <w:t>3</w:t>
                  </w:r>
                  <w:r>
                    <w:rPr>
                      <w:rFonts w:hint="eastAsia" w:ascii="Times New Roman" w:hAnsi="Times New Roman" w:eastAsia="宋体" w:cs="Times New Roman"/>
                      <w:b w:val="0"/>
                      <w:bCs w:val="0"/>
                      <w:color w:val="auto"/>
                      <w:spacing w:val="0"/>
                      <w:position w:val="0"/>
                      <w:sz w:val="21"/>
                      <w:szCs w:val="21"/>
                      <w:lang w:eastAsia="zh-CN"/>
                    </w:rPr>
                    <w:t>）</w:t>
                  </w:r>
                  <w:r>
                    <w:rPr>
                      <w:rFonts w:hint="default" w:ascii="Times New Roman" w:hAnsi="Times New Roman" w:eastAsia="宋体" w:cs="Times New Roman"/>
                      <w:b w:val="0"/>
                      <w:bCs w:val="0"/>
                      <w:color w:val="auto"/>
                      <w:spacing w:val="0"/>
                      <w:position w:val="0"/>
                      <w:sz w:val="21"/>
                      <w:szCs w:val="21"/>
                    </w:rPr>
                    <w:t>园区范围内企业，应办理合法的环保手续，不符合园区规划布局、产业定位的企业应予以搬迁。园区项目须严格落实污染物总量控制要求，提出污染物减排具体方案和保障措施。</w:t>
                  </w:r>
                </w:p>
              </w:tc>
              <w:tc>
                <w:tcPr>
                  <w:tcW w:w="2573" w:type="dxa"/>
                  <w:noWrap w:val="0"/>
                  <w:tcMar>
                    <w:top w:w="0" w:type="dxa"/>
                    <w:left w:w="108" w:type="dxa"/>
                    <w:bottom w:w="0" w:type="dxa"/>
                    <w:right w:w="108" w:type="dxa"/>
                  </w:tcMar>
                  <w:vAlign w:val="center"/>
                </w:tcPr>
                <w:p w14:paraId="1D27A14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both"/>
                    <w:textAlignment w:val="baseline"/>
                    <w:rPr>
                      <w:rFonts w:hint="eastAsia" w:ascii="Times New Roman" w:hAnsi="Times New Roman" w:eastAsia="宋体" w:cs="Times New Roman"/>
                      <w:b w:val="0"/>
                      <w:bCs w:val="0"/>
                      <w:color w:val="auto"/>
                      <w:spacing w:val="0"/>
                      <w:position w:val="0"/>
                      <w:sz w:val="21"/>
                      <w:szCs w:val="21"/>
                      <w:lang w:eastAsia="zh-CN"/>
                    </w:rPr>
                  </w:pPr>
                  <w:r>
                    <w:rPr>
                      <w:rFonts w:hint="default" w:ascii="Times New Roman" w:hAnsi="Times New Roman" w:eastAsia="宋体" w:cs="Times New Roman"/>
                      <w:b w:val="0"/>
                      <w:bCs w:val="0"/>
                      <w:color w:val="auto"/>
                      <w:spacing w:val="0"/>
                      <w:position w:val="0"/>
                      <w:sz w:val="21"/>
                      <w:szCs w:val="21"/>
                    </w:rPr>
                    <w:t>本项目从事</w:t>
                  </w:r>
                  <w:r>
                    <w:rPr>
                      <w:rFonts w:hint="eastAsia" w:ascii="Times New Roman" w:hAnsi="Times New Roman" w:eastAsia="宋体" w:cs="Times New Roman"/>
                      <w:b w:val="0"/>
                      <w:bCs w:val="0"/>
                      <w:color w:val="auto"/>
                      <w:spacing w:val="0"/>
                      <w:position w:val="0"/>
                      <w:sz w:val="21"/>
                      <w:szCs w:val="21"/>
                      <w:lang w:val="en-US" w:eastAsia="zh-CN"/>
                    </w:rPr>
                    <w:t>矿石检测技术服务</w:t>
                  </w:r>
                  <w:r>
                    <w:rPr>
                      <w:rFonts w:hint="default" w:ascii="Times New Roman" w:hAnsi="Times New Roman" w:eastAsia="宋体" w:cs="Times New Roman"/>
                      <w:b w:val="0"/>
                      <w:bCs w:val="0"/>
                      <w:color w:val="auto"/>
                      <w:spacing w:val="0"/>
                      <w:position w:val="0"/>
                      <w:sz w:val="21"/>
                      <w:szCs w:val="21"/>
                    </w:rPr>
                    <w:t>，符合园区生产性服务业创新中心规划，符合园区规划。本项目</w:t>
                  </w:r>
                  <w:r>
                    <w:rPr>
                      <w:rFonts w:hint="eastAsia" w:ascii="Times New Roman" w:hAnsi="Times New Roman" w:eastAsia="宋体" w:cs="Times New Roman"/>
                      <w:b w:val="0"/>
                      <w:bCs w:val="0"/>
                      <w:color w:val="auto"/>
                      <w:spacing w:val="0"/>
                      <w:position w:val="0"/>
                      <w:sz w:val="21"/>
                      <w:szCs w:val="21"/>
                      <w:lang w:val="en-US" w:eastAsia="zh-CN"/>
                    </w:rPr>
                    <w:t>废水经一体化污水处理设备处理后排入</w:t>
                  </w:r>
                  <w:r>
                    <w:rPr>
                      <w:rFonts w:hint="eastAsia" w:cs="Times New Roman"/>
                      <w:b w:val="0"/>
                      <w:bCs w:val="0"/>
                      <w:color w:val="auto"/>
                      <w:spacing w:val="0"/>
                      <w:position w:val="0"/>
                      <w:sz w:val="21"/>
                      <w:szCs w:val="21"/>
                      <w:lang w:val="en-US" w:eastAsia="zh-CN"/>
                    </w:rPr>
                    <w:t>废水池，</w:t>
                  </w:r>
                  <w:r>
                    <w:rPr>
                      <w:rFonts w:hint="default" w:ascii="Times New Roman" w:hAnsi="Times New Roman" w:eastAsia="宋体" w:cs="Times New Roman"/>
                      <w:b w:val="0"/>
                      <w:bCs w:val="0"/>
                      <w:color w:val="0000FF"/>
                      <w:spacing w:val="0"/>
                      <w:position w:val="0"/>
                      <w:sz w:val="21"/>
                      <w:szCs w:val="21"/>
                      <w:lang w:val="en-US" w:eastAsia="zh-CN"/>
                    </w:rPr>
                    <w:t>最终</w:t>
                  </w:r>
                  <w:r>
                    <w:rPr>
                      <w:rFonts w:hint="eastAsia" w:cs="Times New Roman"/>
                      <w:b w:val="0"/>
                      <w:bCs w:val="0"/>
                      <w:color w:val="0000FF"/>
                      <w:spacing w:val="0"/>
                      <w:position w:val="0"/>
                      <w:sz w:val="21"/>
                      <w:szCs w:val="21"/>
                      <w:lang w:val="en-US" w:eastAsia="zh-CN"/>
                    </w:rPr>
                    <w:t>由吸污车定期拉运至</w:t>
                  </w:r>
                  <w:r>
                    <w:rPr>
                      <w:rFonts w:hint="default" w:ascii="Times New Roman" w:hAnsi="Times New Roman" w:eastAsia="宋体" w:cs="Times New Roman"/>
                      <w:b w:val="0"/>
                      <w:bCs w:val="0"/>
                      <w:color w:val="0000FF"/>
                      <w:spacing w:val="0"/>
                      <w:position w:val="0"/>
                      <w:sz w:val="21"/>
                      <w:szCs w:val="21"/>
                      <w:lang w:val="en-US" w:eastAsia="zh-CN"/>
                    </w:rPr>
                    <w:t>园区污水处理厂处置</w:t>
                  </w:r>
                  <w:r>
                    <w:rPr>
                      <w:rFonts w:hint="default" w:ascii="Times New Roman" w:hAnsi="Times New Roman" w:eastAsia="宋体" w:cs="Times New Roman"/>
                      <w:b w:val="0"/>
                      <w:bCs w:val="0"/>
                      <w:color w:val="auto"/>
                      <w:spacing w:val="0"/>
                      <w:position w:val="0"/>
                      <w:sz w:val="21"/>
                      <w:szCs w:val="21"/>
                    </w:rPr>
                    <w:t>；设备选用低噪声设备，并设置隔声减振装置；产生的</w:t>
                  </w:r>
                  <w:r>
                    <w:rPr>
                      <w:rFonts w:hint="eastAsia" w:ascii="Times New Roman" w:hAnsi="Times New Roman" w:eastAsia="宋体" w:cs="Times New Roman"/>
                      <w:b w:val="0"/>
                      <w:bCs w:val="0"/>
                      <w:color w:val="auto"/>
                      <w:spacing w:val="0"/>
                      <w:position w:val="0"/>
                      <w:sz w:val="21"/>
                      <w:szCs w:val="21"/>
                      <w:lang w:val="en-US" w:eastAsia="zh-CN"/>
                    </w:rPr>
                    <w:t>工业固废集中处置</w:t>
                  </w:r>
                  <w:r>
                    <w:rPr>
                      <w:rFonts w:hint="default" w:ascii="Times New Roman" w:hAnsi="Times New Roman" w:eastAsia="宋体" w:cs="Times New Roman"/>
                      <w:b w:val="0"/>
                      <w:bCs w:val="0"/>
                      <w:color w:val="auto"/>
                      <w:spacing w:val="0"/>
                      <w:position w:val="0"/>
                      <w:sz w:val="21"/>
                      <w:szCs w:val="21"/>
                    </w:rPr>
                    <w:t>，</w:t>
                  </w:r>
                  <w:r>
                    <w:rPr>
                      <w:rFonts w:hint="eastAsia" w:ascii="Times New Roman" w:hAnsi="Times New Roman" w:eastAsia="宋体" w:cs="Times New Roman"/>
                      <w:b w:val="0"/>
                      <w:bCs w:val="0"/>
                      <w:color w:val="auto"/>
                      <w:spacing w:val="0"/>
                      <w:position w:val="0"/>
                      <w:sz w:val="21"/>
                      <w:szCs w:val="21"/>
                      <w:lang w:val="en-US" w:eastAsia="zh-CN"/>
                    </w:rPr>
                    <w:t>危险废物交有资质单位处置</w:t>
                  </w:r>
                  <w:r>
                    <w:rPr>
                      <w:rFonts w:hint="default" w:ascii="Times New Roman" w:hAnsi="Times New Roman" w:eastAsia="宋体" w:cs="Times New Roman"/>
                      <w:b w:val="0"/>
                      <w:bCs w:val="0"/>
                      <w:color w:val="auto"/>
                      <w:spacing w:val="0"/>
                      <w:position w:val="0"/>
                      <w:sz w:val="21"/>
                      <w:szCs w:val="21"/>
                    </w:rPr>
                    <w:t>。严格落实污染物总量控制要求</w:t>
                  </w:r>
                  <w:r>
                    <w:rPr>
                      <w:rFonts w:hint="eastAsia" w:ascii="Times New Roman" w:hAnsi="Times New Roman" w:eastAsia="宋体" w:cs="Times New Roman"/>
                      <w:b w:val="0"/>
                      <w:bCs w:val="0"/>
                      <w:color w:val="auto"/>
                      <w:spacing w:val="0"/>
                      <w:position w:val="0"/>
                      <w:sz w:val="21"/>
                      <w:szCs w:val="21"/>
                      <w:lang w:eastAsia="zh-CN"/>
                    </w:rPr>
                    <w:t>。</w:t>
                  </w:r>
                </w:p>
              </w:tc>
              <w:tc>
                <w:tcPr>
                  <w:tcW w:w="704" w:type="dxa"/>
                  <w:noWrap w:val="0"/>
                  <w:tcMar>
                    <w:top w:w="0" w:type="dxa"/>
                    <w:left w:w="108" w:type="dxa"/>
                    <w:bottom w:w="0" w:type="dxa"/>
                    <w:right w:w="108" w:type="dxa"/>
                  </w:tcMar>
                  <w:vAlign w:val="center"/>
                </w:tcPr>
                <w:p w14:paraId="028CF4F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color w:val="auto"/>
                      <w:spacing w:val="0"/>
                      <w:position w:val="0"/>
                      <w:sz w:val="21"/>
                      <w:szCs w:val="21"/>
                    </w:rPr>
                  </w:pPr>
                  <w:r>
                    <w:rPr>
                      <w:rFonts w:hint="default" w:ascii="Times New Roman" w:hAnsi="Times New Roman" w:eastAsia="宋体" w:cs="Times New Roman"/>
                      <w:b w:val="0"/>
                      <w:bCs w:val="0"/>
                      <w:color w:val="auto"/>
                      <w:spacing w:val="0"/>
                      <w:position w:val="0"/>
                      <w:sz w:val="21"/>
                      <w:szCs w:val="21"/>
                    </w:rPr>
                    <w:t>符合</w:t>
                  </w:r>
                </w:p>
              </w:tc>
            </w:tr>
            <w:tr w14:paraId="2FC06E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929" w:type="dxa"/>
                  <w:vMerge w:val="continue"/>
                  <w:noWrap w:val="0"/>
                  <w:tcMar>
                    <w:top w:w="0" w:type="dxa"/>
                    <w:left w:w="108" w:type="dxa"/>
                    <w:bottom w:w="0" w:type="dxa"/>
                    <w:right w:w="108" w:type="dxa"/>
                  </w:tcMar>
                  <w:vAlign w:val="center"/>
                </w:tcPr>
                <w:p w14:paraId="4E9050C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color w:val="auto"/>
                      <w:spacing w:val="0"/>
                      <w:position w:val="0"/>
                      <w:sz w:val="21"/>
                      <w:szCs w:val="21"/>
                    </w:rPr>
                  </w:pPr>
                </w:p>
              </w:tc>
              <w:tc>
                <w:tcPr>
                  <w:tcW w:w="3833" w:type="dxa"/>
                  <w:noWrap w:val="0"/>
                  <w:tcMar>
                    <w:top w:w="0" w:type="dxa"/>
                    <w:left w:w="108" w:type="dxa"/>
                    <w:bottom w:w="0" w:type="dxa"/>
                    <w:right w:w="108" w:type="dxa"/>
                  </w:tcMar>
                  <w:vAlign w:val="center"/>
                </w:tcPr>
                <w:p w14:paraId="512A7F6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eastAsia="宋体" w:cs="Times New Roman"/>
                      <w:b w:val="0"/>
                      <w:bCs w:val="0"/>
                      <w:color w:val="auto"/>
                      <w:spacing w:val="0"/>
                      <w:position w:val="0"/>
                      <w:sz w:val="21"/>
                      <w:szCs w:val="21"/>
                    </w:rPr>
                  </w:pPr>
                </w:p>
                <w:p w14:paraId="16CA6A42">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both"/>
                    <w:textAlignment w:val="baseline"/>
                    <w:rPr>
                      <w:rFonts w:hint="default" w:ascii="Times New Roman" w:hAnsi="Times New Roman" w:eastAsia="宋体" w:cs="Times New Roman"/>
                      <w:b w:val="0"/>
                      <w:bCs w:val="0"/>
                      <w:color w:val="auto"/>
                      <w:spacing w:val="0"/>
                      <w:position w:val="0"/>
                      <w:sz w:val="21"/>
                      <w:szCs w:val="21"/>
                    </w:rPr>
                  </w:pPr>
                  <w:r>
                    <w:rPr>
                      <w:rFonts w:hint="eastAsia" w:ascii="Times New Roman" w:hAnsi="Times New Roman" w:eastAsia="宋体" w:cs="Times New Roman"/>
                      <w:b w:val="0"/>
                      <w:bCs w:val="0"/>
                      <w:color w:val="auto"/>
                      <w:spacing w:val="0"/>
                      <w:position w:val="0"/>
                      <w:sz w:val="21"/>
                      <w:szCs w:val="21"/>
                      <w:lang w:eastAsia="zh-CN"/>
                    </w:rPr>
                    <w:t>（</w:t>
                  </w:r>
                  <w:r>
                    <w:rPr>
                      <w:rFonts w:hint="eastAsia" w:ascii="Times New Roman" w:hAnsi="Times New Roman" w:eastAsia="宋体" w:cs="Times New Roman"/>
                      <w:b w:val="0"/>
                      <w:bCs w:val="0"/>
                      <w:color w:val="auto"/>
                      <w:spacing w:val="0"/>
                      <w:position w:val="0"/>
                      <w:sz w:val="21"/>
                      <w:szCs w:val="21"/>
                      <w:lang w:val="en-US" w:eastAsia="zh-CN"/>
                    </w:rPr>
                    <w:t>4</w:t>
                  </w:r>
                  <w:r>
                    <w:rPr>
                      <w:rFonts w:hint="eastAsia" w:ascii="Times New Roman" w:hAnsi="Times New Roman" w:eastAsia="宋体" w:cs="Times New Roman"/>
                      <w:b w:val="0"/>
                      <w:bCs w:val="0"/>
                      <w:color w:val="auto"/>
                      <w:spacing w:val="0"/>
                      <w:position w:val="0"/>
                      <w:sz w:val="21"/>
                      <w:szCs w:val="21"/>
                      <w:lang w:eastAsia="zh-CN"/>
                    </w:rPr>
                    <w:t>）</w:t>
                  </w:r>
                  <w:r>
                    <w:rPr>
                      <w:rFonts w:hint="default" w:ascii="Times New Roman" w:hAnsi="Times New Roman" w:eastAsia="宋体" w:cs="Times New Roman"/>
                      <w:b w:val="0"/>
                      <w:bCs w:val="0"/>
                      <w:color w:val="auto"/>
                      <w:spacing w:val="0"/>
                      <w:position w:val="0"/>
                      <w:sz w:val="21"/>
                      <w:szCs w:val="21"/>
                    </w:rPr>
                    <w:t>加快基础设施建设，优先建设集中供热设施；企业生活、生产废水须经处理达到相应标准后，方可排入园区污水处理厂；严格按照国家有关规定进行危险废物贮存、处理和处置，产生的固废优先综合利用，不能利用的按规范安全处置。</w:t>
                  </w:r>
                </w:p>
              </w:tc>
              <w:tc>
                <w:tcPr>
                  <w:tcW w:w="2573" w:type="dxa"/>
                  <w:noWrap w:val="0"/>
                  <w:tcMar>
                    <w:top w:w="0" w:type="dxa"/>
                    <w:left w:w="108" w:type="dxa"/>
                    <w:bottom w:w="0" w:type="dxa"/>
                    <w:right w:w="108" w:type="dxa"/>
                  </w:tcMar>
                  <w:vAlign w:val="center"/>
                </w:tcPr>
                <w:p w14:paraId="7F581983">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both"/>
                    <w:textAlignment w:val="baseline"/>
                    <w:rPr>
                      <w:rFonts w:hint="default" w:ascii="Times New Roman" w:hAnsi="Times New Roman" w:eastAsia="宋体" w:cs="Times New Roman"/>
                      <w:b w:val="0"/>
                      <w:bCs w:val="0"/>
                      <w:color w:val="auto"/>
                      <w:spacing w:val="0"/>
                      <w:position w:val="0"/>
                      <w:sz w:val="21"/>
                      <w:szCs w:val="21"/>
                    </w:rPr>
                  </w:pPr>
                  <w:r>
                    <w:rPr>
                      <w:rFonts w:hint="default" w:ascii="Times New Roman" w:hAnsi="Times New Roman" w:eastAsia="宋体" w:cs="Times New Roman"/>
                      <w:b w:val="0"/>
                      <w:bCs w:val="0"/>
                      <w:color w:val="auto"/>
                      <w:spacing w:val="0"/>
                      <w:position w:val="0"/>
                      <w:sz w:val="21"/>
                      <w:szCs w:val="21"/>
                    </w:rPr>
                    <w:t>本项目废水</w:t>
                  </w:r>
                  <w:r>
                    <w:rPr>
                      <w:rFonts w:hint="eastAsia" w:ascii="Times New Roman" w:hAnsi="Times New Roman" w:eastAsia="宋体" w:cs="Times New Roman"/>
                      <w:b w:val="0"/>
                      <w:bCs w:val="0"/>
                      <w:color w:val="auto"/>
                      <w:spacing w:val="0"/>
                      <w:position w:val="0"/>
                      <w:sz w:val="21"/>
                      <w:szCs w:val="21"/>
                      <w:lang w:val="en-US" w:eastAsia="zh-CN"/>
                    </w:rPr>
                    <w:t>经实验室</w:t>
                  </w:r>
                  <w:r>
                    <w:rPr>
                      <w:rFonts w:hint="eastAsia" w:ascii="Calibri" w:hAnsi="Calibri"/>
                      <w:color w:val="auto"/>
                      <w:lang w:val="en-US" w:eastAsia="zh-CN"/>
                    </w:rPr>
                    <w:t>一体化污水处理设备处理满足《综合污水排放标准》（GB8978-1996）三级排放标准后</w:t>
                  </w:r>
                  <w:r>
                    <w:rPr>
                      <w:rFonts w:hint="eastAsia" w:ascii="Times New Roman" w:hAnsi="Times New Roman" w:eastAsia="宋体" w:cs="Times New Roman"/>
                      <w:b w:val="0"/>
                      <w:bCs w:val="0"/>
                      <w:color w:val="auto"/>
                      <w:spacing w:val="0"/>
                      <w:position w:val="0"/>
                      <w:sz w:val="21"/>
                      <w:szCs w:val="21"/>
                      <w:lang w:val="en-US" w:eastAsia="zh-CN"/>
                    </w:rPr>
                    <w:t>排入</w:t>
                  </w:r>
                  <w:r>
                    <w:rPr>
                      <w:rFonts w:hint="eastAsia" w:cs="Times New Roman"/>
                      <w:b w:val="0"/>
                      <w:bCs w:val="0"/>
                      <w:color w:val="auto"/>
                      <w:spacing w:val="0"/>
                      <w:position w:val="0"/>
                      <w:sz w:val="21"/>
                      <w:szCs w:val="21"/>
                      <w:lang w:val="en-US" w:eastAsia="zh-CN"/>
                    </w:rPr>
                    <w:t>废水池，</w:t>
                  </w:r>
                  <w:r>
                    <w:rPr>
                      <w:rFonts w:hint="default" w:ascii="Times New Roman" w:hAnsi="Times New Roman" w:eastAsia="宋体" w:cs="Times New Roman"/>
                      <w:b w:val="0"/>
                      <w:bCs w:val="0"/>
                      <w:color w:val="0000FF"/>
                      <w:spacing w:val="0"/>
                      <w:position w:val="0"/>
                      <w:sz w:val="21"/>
                      <w:szCs w:val="21"/>
                      <w:lang w:val="en-US" w:eastAsia="zh-CN"/>
                    </w:rPr>
                    <w:t>最终</w:t>
                  </w:r>
                  <w:r>
                    <w:rPr>
                      <w:rFonts w:hint="eastAsia" w:cs="Times New Roman"/>
                      <w:b w:val="0"/>
                      <w:bCs w:val="0"/>
                      <w:color w:val="0000FF"/>
                      <w:spacing w:val="0"/>
                      <w:position w:val="0"/>
                      <w:sz w:val="21"/>
                      <w:szCs w:val="21"/>
                      <w:lang w:val="en-US" w:eastAsia="zh-CN"/>
                    </w:rPr>
                    <w:t>由吸污车定期拉运至</w:t>
                  </w:r>
                  <w:r>
                    <w:rPr>
                      <w:rFonts w:hint="default" w:ascii="Times New Roman" w:hAnsi="Times New Roman" w:eastAsia="宋体" w:cs="Times New Roman"/>
                      <w:b w:val="0"/>
                      <w:bCs w:val="0"/>
                      <w:color w:val="0000FF"/>
                      <w:spacing w:val="0"/>
                      <w:position w:val="0"/>
                      <w:sz w:val="21"/>
                      <w:szCs w:val="21"/>
                      <w:lang w:val="en-US" w:eastAsia="zh-CN"/>
                    </w:rPr>
                    <w:t>园区污水处理厂处置</w:t>
                  </w:r>
                  <w:r>
                    <w:rPr>
                      <w:rFonts w:hint="default" w:ascii="Times New Roman" w:hAnsi="Times New Roman" w:eastAsia="宋体" w:cs="Times New Roman"/>
                      <w:b w:val="0"/>
                      <w:bCs w:val="0"/>
                      <w:color w:val="auto"/>
                      <w:spacing w:val="0"/>
                      <w:position w:val="0"/>
                      <w:sz w:val="21"/>
                      <w:szCs w:val="21"/>
                    </w:rPr>
                    <w:t>；产生的</w:t>
                  </w:r>
                  <w:r>
                    <w:rPr>
                      <w:rFonts w:hint="eastAsia" w:ascii="Times New Roman" w:hAnsi="Times New Roman" w:eastAsia="宋体" w:cs="Times New Roman"/>
                      <w:b w:val="0"/>
                      <w:bCs w:val="0"/>
                      <w:color w:val="auto"/>
                      <w:spacing w:val="0"/>
                      <w:position w:val="0"/>
                      <w:sz w:val="21"/>
                      <w:szCs w:val="21"/>
                      <w:lang w:val="en-US" w:eastAsia="zh-CN"/>
                    </w:rPr>
                    <w:t>工业固废集中处置</w:t>
                  </w:r>
                  <w:r>
                    <w:rPr>
                      <w:rFonts w:hint="default" w:ascii="Times New Roman" w:hAnsi="Times New Roman" w:eastAsia="宋体" w:cs="Times New Roman"/>
                      <w:b w:val="0"/>
                      <w:bCs w:val="0"/>
                      <w:color w:val="auto"/>
                      <w:spacing w:val="0"/>
                      <w:position w:val="0"/>
                      <w:sz w:val="21"/>
                      <w:szCs w:val="21"/>
                    </w:rPr>
                    <w:t>，</w:t>
                  </w:r>
                  <w:r>
                    <w:rPr>
                      <w:rFonts w:hint="eastAsia" w:ascii="Times New Roman" w:hAnsi="Times New Roman" w:eastAsia="宋体" w:cs="Times New Roman"/>
                      <w:b w:val="0"/>
                      <w:bCs w:val="0"/>
                      <w:color w:val="auto"/>
                      <w:spacing w:val="0"/>
                      <w:position w:val="0"/>
                      <w:sz w:val="21"/>
                      <w:szCs w:val="21"/>
                      <w:lang w:val="en-US" w:eastAsia="zh-CN"/>
                    </w:rPr>
                    <w:t>危险废物交有资质单位处置</w:t>
                  </w:r>
                  <w:r>
                    <w:rPr>
                      <w:rFonts w:hint="default" w:ascii="Times New Roman" w:hAnsi="Times New Roman" w:eastAsia="宋体" w:cs="Times New Roman"/>
                      <w:b w:val="0"/>
                      <w:bCs w:val="0"/>
                      <w:color w:val="auto"/>
                      <w:spacing w:val="0"/>
                      <w:position w:val="0"/>
                      <w:sz w:val="21"/>
                      <w:szCs w:val="21"/>
                    </w:rPr>
                    <w:t>。</w:t>
                  </w:r>
                </w:p>
              </w:tc>
              <w:tc>
                <w:tcPr>
                  <w:tcW w:w="704" w:type="dxa"/>
                  <w:noWrap w:val="0"/>
                  <w:tcMar>
                    <w:top w:w="0" w:type="dxa"/>
                    <w:left w:w="108" w:type="dxa"/>
                    <w:bottom w:w="0" w:type="dxa"/>
                    <w:right w:w="108" w:type="dxa"/>
                  </w:tcMar>
                  <w:vAlign w:val="center"/>
                </w:tcPr>
                <w:p w14:paraId="55D376CE">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b w:val="0"/>
                      <w:bCs w:val="0"/>
                      <w:color w:val="auto"/>
                      <w:spacing w:val="0"/>
                      <w:position w:val="0"/>
                      <w:sz w:val="21"/>
                      <w:szCs w:val="21"/>
                    </w:rPr>
                  </w:pPr>
                  <w:r>
                    <w:rPr>
                      <w:rFonts w:hint="default" w:ascii="Times New Roman" w:hAnsi="Times New Roman" w:eastAsia="宋体" w:cs="Times New Roman"/>
                      <w:b w:val="0"/>
                      <w:bCs w:val="0"/>
                      <w:color w:val="auto"/>
                      <w:spacing w:val="0"/>
                      <w:position w:val="0"/>
                      <w:sz w:val="21"/>
                      <w:szCs w:val="21"/>
                    </w:rPr>
                    <w:t>符合</w:t>
                  </w:r>
                </w:p>
              </w:tc>
            </w:tr>
            <w:tr w14:paraId="0C5315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929" w:type="dxa"/>
                  <w:vMerge w:val="continue"/>
                  <w:noWrap w:val="0"/>
                  <w:tcMar>
                    <w:top w:w="0" w:type="dxa"/>
                    <w:left w:w="108" w:type="dxa"/>
                    <w:bottom w:w="0" w:type="dxa"/>
                    <w:right w:w="108" w:type="dxa"/>
                  </w:tcMar>
                  <w:vAlign w:val="center"/>
                </w:tcPr>
                <w:p w14:paraId="5E4F252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color w:val="auto"/>
                      <w:spacing w:val="0"/>
                      <w:position w:val="0"/>
                      <w:sz w:val="21"/>
                      <w:szCs w:val="21"/>
                    </w:rPr>
                  </w:pPr>
                </w:p>
              </w:tc>
              <w:tc>
                <w:tcPr>
                  <w:tcW w:w="3833" w:type="dxa"/>
                  <w:noWrap w:val="0"/>
                  <w:tcMar>
                    <w:top w:w="0" w:type="dxa"/>
                    <w:left w:w="108" w:type="dxa"/>
                    <w:bottom w:w="0" w:type="dxa"/>
                    <w:right w:w="108" w:type="dxa"/>
                  </w:tcMar>
                  <w:vAlign w:val="center"/>
                </w:tcPr>
                <w:p w14:paraId="35EB8339">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both"/>
                    <w:textAlignment w:val="baseline"/>
                    <w:rPr>
                      <w:rFonts w:hint="default" w:ascii="Times New Roman" w:hAnsi="Times New Roman" w:eastAsia="宋体" w:cs="Times New Roman"/>
                      <w:b w:val="0"/>
                      <w:bCs w:val="0"/>
                      <w:color w:val="auto"/>
                      <w:spacing w:val="0"/>
                      <w:position w:val="0"/>
                      <w:sz w:val="21"/>
                      <w:szCs w:val="21"/>
                    </w:rPr>
                  </w:pPr>
                  <w:r>
                    <w:rPr>
                      <w:rFonts w:hint="eastAsia" w:ascii="Times New Roman" w:hAnsi="Times New Roman" w:eastAsia="宋体" w:cs="Times New Roman"/>
                      <w:b w:val="0"/>
                      <w:bCs w:val="0"/>
                      <w:color w:val="auto"/>
                      <w:spacing w:val="0"/>
                      <w:position w:val="0"/>
                      <w:sz w:val="21"/>
                      <w:szCs w:val="21"/>
                      <w:lang w:eastAsia="zh-CN"/>
                    </w:rPr>
                    <w:t>（</w:t>
                  </w:r>
                  <w:r>
                    <w:rPr>
                      <w:rFonts w:hint="eastAsia" w:ascii="Times New Roman" w:hAnsi="Times New Roman" w:eastAsia="宋体" w:cs="Times New Roman"/>
                      <w:b w:val="0"/>
                      <w:bCs w:val="0"/>
                      <w:color w:val="auto"/>
                      <w:spacing w:val="0"/>
                      <w:position w:val="0"/>
                      <w:sz w:val="21"/>
                      <w:szCs w:val="21"/>
                      <w:lang w:val="en-US" w:eastAsia="zh-CN"/>
                    </w:rPr>
                    <w:t>5</w:t>
                  </w:r>
                  <w:r>
                    <w:rPr>
                      <w:rFonts w:hint="eastAsia" w:ascii="Times New Roman" w:hAnsi="Times New Roman" w:eastAsia="宋体" w:cs="Times New Roman"/>
                      <w:b w:val="0"/>
                      <w:bCs w:val="0"/>
                      <w:color w:val="auto"/>
                      <w:spacing w:val="0"/>
                      <w:position w:val="0"/>
                      <w:sz w:val="21"/>
                      <w:szCs w:val="21"/>
                      <w:lang w:eastAsia="zh-CN"/>
                    </w:rPr>
                    <w:t>）</w:t>
                  </w:r>
                  <w:r>
                    <w:rPr>
                      <w:rFonts w:hint="default" w:ascii="Times New Roman" w:hAnsi="Times New Roman" w:eastAsia="宋体" w:cs="Times New Roman"/>
                      <w:b w:val="0"/>
                      <w:bCs w:val="0"/>
                      <w:color w:val="auto"/>
                      <w:spacing w:val="0"/>
                      <w:position w:val="0"/>
                      <w:sz w:val="21"/>
                      <w:szCs w:val="21"/>
                    </w:rPr>
                    <w:t>严格设置园区企业的环境准入标准，积极开展清洁生产审核，入园企业的清洁生产水平必须达到国内先进水平，与园区产业类型不相符和达不到环境准入条件的建设项目禁入园区。</w:t>
                  </w:r>
                </w:p>
              </w:tc>
              <w:tc>
                <w:tcPr>
                  <w:tcW w:w="2573" w:type="dxa"/>
                  <w:noWrap w:val="0"/>
                  <w:tcMar>
                    <w:top w:w="0" w:type="dxa"/>
                    <w:left w:w="108" w:type="dxa"/>
                    <w:bottom w:w="0" w:type="dxa"/>
                    <w:right w:w="108" w:type="dxa"/>
                  </w:tcMar>
                  <w:vAlign w:val="center"/>
                </w:tcPr>
                <w:p w14:paraId="1BE28B42">
                  <w:pPr>
                    <w:keepNext w:val="0"/>
                    <w:keepLines w:val="0"/>
                    <w:pageBreakBefore w:val="0"/>
                    <w:widowControl/>
                    <w:kinsoku/>
                    <w:wordWrap/>
                    <w:overflowPunct/>
                    <w:topLinePunct/>
                    <w:autoSpaceDE w:val="0"/>
                    <w:autoSpaceDN w:val="0"/>
                    <w:bidi w:val="0"/>
                    <w:adjustRightInd w:val="0"/>
                    <w:snapToGrid w:val="0"/>
                    <w:spacing w:line="240" w:lineRule="auto"/>
                    <w:ind w:left="0" w:leftChars="0" w:right="0" w:rightChars="0" w:firstLine="0" w:firstLineChars="0"/>
                    <w:jc w:val="both"/>
                    <w:textAlignment w:val="baseline"/>
                    <w:rPr>
                      <w:rFonts w:hint="default" w:ascii="Times New Roman" w:hAnsi="Times New Roman" w:eastAsia="宋体" w:cs="Times New Roman"/>
                      <w:b w:val="0"/>
                      <w:bCs w:val="0"/>
                      <w:color w:val="auto"/>
                      <w:spacing w:val="0"/>
                      <w:position w:val="0"/>
                      <w:sz w:val="21"/>
                      <w:szCs w:val="21"/>
                    </w:rPr>
                  </w:pPr>
                  <w:r>
                    <w:rPr>
                      <w:rFonts w:hint="eastAsia" w:ascii="Times New Roman" w:hAnsi="Times New Roman" w:eastAsia="宋体" w:cs="Times New Roman"/>
                      <w:b w:val="0"/>
                      <w:bCs w:val="0"/>
                      <w:color w:val="auto"/>
                      <w:spacing w:val="0"/>
                      <w:position w:val="0"/>
                      <w:sz w:val="21"/>
                      <w:szCs w:val="21"/>
                      <w:lang w:val="en-US" w:eastAsia="zh-CN"/>
                    </w:rPr>
                    <w:t>本项目</w:t>
                  </w:r>
                  <w:r>
                    <w:rPr>
                      <w:rFonts w:hint="eastAsia" w:ascii="Calibri" w:hAnsi="Calibri"/>
                      <w:color w:val="auto"/>
                      <w:lang w:val="en-US" w:eastAsia="zh-CN"/>
                    </w:rPr>
                    <w:t>提供矿石试验检测技术服务，不属于高耗水</w:t>
                  </w:r>
                  <w:r>
                    <w:rPr>
                      <w:rFonts w:hint="eastAsia" w:ascii="Calibri" w:hAnsi="Calibri" w:eastAsia="宋体"/>
                      <w:color w:val="auto"/>
                      <w:lang w:eastAsia="zh-CN"/>
                    </w:rPr>
                    <w:t>、高污染行业</w:t>
                  </w:r>
                  <w:r>
                    <w:rPr>
                      <w:rFonts w:hint="eastAsia" w:ascii="Times New Roman" w:hAnsi="Times New Roman" w:eastAsia="宋体" w:cs="Times New Roman"/>
                      <w:b w:val="0"/>
                      <w:bCs w:val="0"/>
                      <w:color w:val="auto"/>
                      <w:spacing w:val="0"/>
                      <w:position w:val="0"/>
                      <w:sz w:val="21"/>
                      <w:szCs w:val="21"/>
                      <w:lang w:val="en-US" w:eastAsia="zh-CN"/>
                    </w:rPr>
                    <w:t>。</w:t>
                  </w:r>
                </w:p>
              </w:tc>
              <w:tc>
                <w:tcPr>
                  <w:tcW w:w="704" w:type="dxa"/>
                  <w:noWrap w:val="0"/>
                  <w:tcMar>
                    <w:top w:w="0" w:type="dxa"/>
                    <w:left w:w="108" w:type="dxa"/>
                    <w:bottom w:w="0" w:type="dxa"/>
                    <w:right w:w="108" w:type="dxa"/>
                  </w:tcMar>
                  <w:vAlign w:val="center"/>
                </w:tcPr>
                <w:p w14:paraId="7AB297E7">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b w:val="0"/>
                      <w:bCs w:val="0"/>
                      <w:color w:val="auto"/>
                      <w:spacing w:val="0"/>
                      <w:position w:val="0"/>
                      <w:sz w:val="21"/>
                      <w:szCs w:val="21"/>
                    </w:rPr>
                  </w:pPr>
                  <w:r>
                    <w:rPr>
                      <w:rFonts w:hint="default" w:ascii="Times New Roman" w:hAnsi="Times New Roman" w:eastAsia="宋体" w:cs="Times New Roman"/>
                      <w:b w:val="0"/>
                      <w:bCs w:val="0"/>
                      <w:color w:val="auto"/>
                      <w:spacing w:val="0"/>
                      <w:position w:val="0"/>
                      <w:sz w:val="21"/>
                      <w:szCs w:val="21"/>
                    </w:rPr>
                    <w:t>符合</w:t>
                  </w:r>
                </w:p>
              </w:tc>
            </w:tr>
            <w:tr w14:paraId="1C740D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929" w:type="dxa"/>
                  <w:vMerge w:val="continue"/>
                  <w:noWrap w:val="0"/>
                  <w:tcMar>
                    <w:top w:w="0" w:type="dxa"/>
                    <w:left w:w="108" w:type="dxa"/>
                    <w:bottom w:w="0" w:type="dxa"/>
                    <w:right w:w="108" w:type="dxa"/>
                  </w:tcMar>
                  <w:vAlign w:val="center"/>
                </w:tcPr>
                <w:p w14:paraId="1A55283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color w:val="auto"/>
                      <w:spacing w:val="0"/>
                      <w:position w:val="0"/>
                      <w:sz w:val="21"/>
                      <w:szCs w:val="21"/>
                    </w:rPr>
                  </w:pPr>
                </w:p>
              </w:tc>
              <w:tc>
                <w:tcPr>
                  <w:tcW w:w="3833" w:type="dxa"/>
                  <w:noWrap w:val="0"/>
                  <w:tcMar>
                    <w:top w:w="0" w:type="dxa"/>
                    <w:left w:w="108" w:type="dxa"/>
                    <w:bottom w:w="0" w:type="dxa"/>
                    <w:right w:w="108" w:type="dxa"/>
                  </w:tcMar>
                  <w:vAlign w:val="center"/>
                </w:tcPr>
                <w:p w14:paraId="4E8CAD59">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both"/>
                    <w:textAlignment w:val="baseline"/>
                    <w:rPr>
                      <w:rFonts w:hint="default" w:ascii="Times New Roman" w:hAnsi="Times New Roman" w:eastAsia="宋体" w:cs="Times New Roman"/>
                      <w:b w:val="0"/>
                      <w:bCs w:val="0"/>
                      <w:color w:val="auto"/>
                      <w:spacing w:val="0"/>
                      <w:position w:val="0"/>
                      <w:sz w:val="21"/>
                      <w:szCs w:val="21"/>
                    </w:rPr>
                  </w:pPr>
                  <w:r>
                    <w:rPr>
                      <w:rFonts w:hint="eastAsia" w:ascii="Times New Roman" w:hAnsi="Times New Roman" w:eastAsia="宋体" w:cs="Times New Roman"/>
                      <w:b w:val="0"/>
                      <w:bCs w:val="0"/>
                      <w:color w:val="auto"/>
                      <w:spacing w:val="0"/>
                      <w:position w:val="0"/>
                      <w:sz w:val="21"/>
                      <w:szCs w:val="21"/>
                      <w:lang w:eastAsia="zh-CN"/>
                    </w:rPr>
                    <w:t>（</w:t>
                  </w:r>
                  <w:r>
                    <w:rPr>
                      <w:rFonts w:hint="eastAsia" w:ascii="Times New Roman" w:hAnsi="Times New Roman" w:eastAsia="宋体" w:cs="Times New Roman"/>
                      <w:b w:val="0"/>
                      <w:bCs w:val="0"/>
                      <w:color w:val="auto"/>
                      <w:spacing w:val="0"/>
                      <w:position w:val="0"/>
                      <w:sz w:val="21"/>
                      <w:szCs w:val="21"/>
                      <w:lang w:val="en-US" w:eastAsia="zh-CN"/>
                    </w:rPr>
                    <w:t>6</w:t>
                  </w:r>
                  <w:r>
                    <w:rPr>
                      <w:rFonts w:hint="eastAsia" w:ascii="Times New Roman" w:hAnsi="Times New Roman" w:eastAsia="宋体" w:cs="Times New Roman"/>
                      <w:b w:val="0"/>
                      <w:bCs w:val="0"/>
                      <w:color w:val="auto"/>
                      <w:spacing w:val="0"/>
                      <w:position w:val="0"/>
                      <w:sz w:val="21"/>
                      <w:szCs w:val="21"/>
                      <w:lang w:eastAsia="zh-CN"/>
                    </w:rPr>
                    <w:t>）</w:t>
                  </w:r>
                  <w:r>
                    <w:rPr>
                      <w:rFonts w:hint="default" w:ascii="Times New Roman" w:hAnsi="Times New Roman" w:eastAsia="宋体" w:cs="Times New Roman"/>
                      <w:b w:val="0"/>
                      <w:bCs w:val="0"/>
                      <w:color w:val="auto"/>
                      <w:spacing w:val="0"/>
                      <w:position w:val="0"/>
                      <w:sz w:val="21"/>
                      <w:szCs w:val="21"/>
                    </w:rPr>
                    <w:t>大力发展园区循环经济，制定切实可行的一般固体废物、危险废物和生产废水综合利用方案，提高资源利用效率。严格落实污染物总量控制要求，提出污染物减排具体方案及保障措施。</w:t>
                  </w:r>
                </w:p>
              </w:tc>
              <w:tc>
                <w:tcPr>
                  <w:tcW w:w="2573" w:type="dxa"/>
                  <w:noWrap w:val="0"/>
                  <w:tcMar>
                    <w:top w:w="0" w:type="dxa"/>
                    <w:left w:w="108" w:type="dxa"/>
                    <w:bottom w:w="0" w:type="dxa"/>
                    <w:right w:w="108" w:type="dxa"/>
                  </w:tcMar>
                  <w:vAlign w:val="center"/>
                </w:tcPr>
                <w:p w14:paraId="6755312D">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both"/>
                    <w:textAlignment w:val="baseline"/>
                    <w:rPr>
                      <w:rFonts w:hint="default" w:ascii="Times New Roman" w:hAnsi="Times New Roman" w:eastAsia="宋体" w:cs="Times New Roman"/>
                      <w:b w:val="0"/>
                      <w:bCs w:val="0"/>
                      <w:color w:val="auto"/>
                      <w:spacing w:val="0"/>
                      <w:position w:val="0"/>
                      <w:sz w:val="21"/>
                      <w:szCs w:val="21"/>
                    </w:rPr>
                  </w:pPr>
                  <w:r>
                    <w:rPr>
                      <w:rFonts w:hint="default" w:ascii="Times New Roman" w:hAnsi="Times New Roman" w:eastAsia="宋体" w:cs="Times New Roman"/>
                      <w:b w:val="0"/>
                      <w:bCs w:val="0"/>
                      <w:color w:val="auto"/>
                      <w:spacing w:val="0"/>
                      <w:position w:val="0"/>
                      <w:sz w:val="21"/>
                      <w:szCs w:val="21"/>
                    </w:rPr>
                    <w:t>本项目</w:t>
                  </w:r>
                  <w:r>
                    <w:rPr>
                      <w:rFonts w:hint="eastAsia" w:ascii="Times New Roman" w:hAnsi="Times New Roman" w:eastAsia="宋体" w:cs="Times New Roman"/>
                      <w:b w:val="0"/>
                      <w:bCs w:val="0"/>
                      <w:color w:val="auto"/>
                      <w:spacing w:val="0"/>
                      <w:position w:val="0"/>
                      <w:sz w:val="21"/>
                      <w:szCs w:val="21"/>
                      <w:lang w:val="en-US" w:eastAsia="zh-CN"/>
                    </w:rPr>
                    <w:t>实验废气采用喷淋净化塔碱液洗涤水中和处理达标排放，</w:t>
                  </w:r>
                  <w:r>
                    <w:rPr>
                      <w:rFonts w:hint="eastAsia" w:ascii="Times New Roman" w:hAnsi="Times New Roman" w:eastAsia="宋体" w:cs="Times New Roman"/>
                      <w:b w:val="0"/>
                      <w:bCs w:val="0"/>
                      <w:color w:val="FF0000"/>
                      <w:spacing w:val="0"/>
                      <w:position w:val="0"/>
                      <w:sz w:val="21"/>
                      <w:szCs w:val="21"/>
                      <w:lang w:val="en-US" w:eastAsia="zh-CN"/>
                    </w:rPr>
                    <w:t>矿石破碎</w:t>
                  </w:r>
                  <w:r>
                    <w:rPr>
                      <w:rFonts w:hint="eastAsia" w:cs="Times New Roman"/>
                      <w:b w:val="0"/>
                      <w:bCs w:val="0"/>
                      <w:color w:val="FF0000"/>
                      <w:spacing w:val="0"/>
                      <w:position w:val="0"/>
                      <w:sz w:val="21"/>
                      <w:szCs w:val="21"/>
                      <w:lang w:val="en-US" w:eastAsia="zh-CN"/>
                    </w:rPr>
                    <w:t>、研磨采用密闭设备，无废气排放，设备吹气清理废气经通风橱</w:t>
                  </w:r>
                  <w:r>
                    <w:rPr>
                      <w:rFonts w:hint="eastAsia" w:ascii="Times New Roman" w:hAnsi="Times New Roman" w:eastAsia="宋体" w:cs="Times New Roman"/>
                      <w:b w:val="0"/>
                      <w:bCs w:val="0"/>
                      <w:color w:val="FF0000"/>
                      <w:spacing w:val="0"/>
                      <w:position w:val="0"/>
                      <w:sz w:val="21"/>
                      <w:szCs w:val="21"/>
                      <w:lang w:val="en-US" w:eastAsia="zh-CN"/>
                    </w:rPr>
                    <w:t>收集后经布袋除尘器处理后洁净空气再次作为棒磨筒清理的吹气气源；</w:t>
                  </w:r>
                  <w:r>
                    <w:rPr>
                      <w:rFonts w:hint="eastAsia" w:ascii="Times New Roman" w:hAnsi="Times New Roman" w:eastAsia="宋体" w:cs="Times New Roman"/>
                      <w:b w:val="0"/>
                      <w:bCs w:val="0"/>
                      <w:color w:val="auto"/>
                      <w:spacing w:val="0"/>
                      <w:position w:val="0"/>
                      <w:sz w:val="21"/>
                      <w:szCs w:val="21"/>
                      <w:lang w:val="en-US" w:eastAsia="zh-CN"/>
                    </w:rPr>
                    <w:t>实验废水经废水经一体化污水处理设备处理后排入</w:t>
                  </w:r>
                  <w:r>
                    <w:rPr>
                      <w:rFonts w:hint="eastAsia" w:cs="Times New Roman"/>
                      <w:b w:val="0"/>
                      <w:bCs w:val="0"/>
                      <w:color w:val="auto"/>
                      <w:spacing w:val="0"/>
                      <w:position w:val="0"/>
                      <w:sz w:val="21"/>
                      <w:szCs w:val="21"/>
                      <w:lang w:val="en-US" w:eastAsia="zh-CN"/>
                    </w:rPr>
                    <w:t>废水池，</w:t>
                  </w:r>
                  <w:r>
                    <w:rPr>
                      <w:rFonts w:hint="default" w:ascii="Times New Roman" w:hAnsi="Times New Roman" w:eastAsia="宋体" w:cs="Times New Roman"/>
                      <w:b w:val="0"/>
                      <w:bCs w:val="0"/>
                      <w:color w:val="0000FF"/>
                      <w:spacing w:val="0"/>
                      <w:position w:val="0"/>
                      <w:sz w:val="21"/>
                      <w:szCs w:val="21"/>
                      <w:lang w:val="en-US" w:eastAsia="zh-CN"/>
                    </w:rPr>
                    <w:t>最终</w:t>
                  </w:r>
                  <w:r>
                    <w:rPr>
                      <w:rFonts w:hint="eastAsia" w:cs="Times New Roman"/>
                      <w:b w:val="0"/>
                      <w:bCs w:val="0"/>
                      <w:color w:val="0000FF"/>
                      <w:spacing w:val="0"/>
                      <w:position w:val="0"/>
                      <w:sz w:val="21"/>
                      <w:szCs w:val="21"/>
                      <w:lang w:val="en-US" w:eastAsia="zh-CN"/>
                    </w:rPr>
                    <w:t>由吸污车定期拉运至</w:t>
                  </w:r>
                  <w:r>
                    <w:rPr>
                      <w:rFonts w:hint="default" w:ascii="Times New Roman" w:hAnsi="Times New Roman" w:eastAsia="宋体" w:cs="Times New Roman"/>
                      <w:b w:val="0"/>
                      <w:bCs w:val="0"/>
                      <w:color w:val="0000FF"/>
                      <w:spacing w:val="0"/>
                      <w:position w:val="0"/>
                      <w:sz w:val="21"/>
                      <w:szCs w:val="21"/>
                      <w:lang w:val="en-US" w:eastAsia="zh-CN"/>
                    </w:rPr>
                    <w:t>园区污水处理厂处置</w:t>
                  </w:r>
                  <w:r>
                    <w:rPr>
                      <w:rFonts w:hint="default" w:ascii="Times New Roman" w:hAnsi="Times New Roman" w:eastAsia="宋体" w:cs="Times New Roman"/>
                      <w:b w:val="0"/>
                      <w:bCs w:val="0"/>
                      <w:color w:val="auto"/>
                      <w:spacing w:val="0"/>
                      <w:position w:val="0"/>
                      <w:sz w:val="21"/>
                      <w:szCs w:val="21"/>
                    </w:rPr>
                    <w:t>；设备选用低噪声设备，并设置隔声减振装置；产生的</w:t>
                  </w:r>
                  <w:r>
                    <w:rPr>
                      <w:rFonts w:hint="eastAsia" w:ascii="Times New Roman" w:hAnsi="Times New Roman" w:eastAsia="宋体" w:cs="Times New Roman"/>
                      <w:b w:val="0"/>
                      <w:bCs w:val="0"/>
                      <w:color w:val="auto"/>
                      <w:spacing w:val="0"/>
                      <w:position w:val="0"/>
                      <w:sz w:val="21"/>
                      <w:szCs w:val="21"/>
                      <w:lang w:val="en-US" w:eastAsia="zh-CN"/>
                    </w:rPr>
                    <w:t>工业固废集中处置</w:t>
                  </w:r>
                  <w:r>
                    <w:rPr>
                      <w:rFonts w:hint="default" w:ascii="Times New Roman" w:hAnsi="Times New Roman" w:eastAsia="宋体" w:cs="Times New Roman"/>
                      <w:b w:val="0"/>
                      <w:bCs w:val="0"/>
                      <w:color w:val="auto"/>
                      <w:spacing w:val="0"/>
                      <w:position w:val="0"/>
                      <w:sz w:val="21"/>
                      <w:szCs w:val="21"/>
                    </w:rPr>
                    <w:t>，</w:t>
                  </w:r>
                  <w:r>
                    <w:rPr>
                      <w:rFonts w:hint="eastAsia" w:ascii="Times New Roman" w:hAnsi="Times New Roman" w:eastAsia="宋体" w:cs="Times New Roman"/>
                      <w:b w:val="0"/>
                      <w:bCs w:val="0"/>
                      <w:color w:val="auto"/>
                      <w:spacing w:val="0"/>
                      <w:position w:val="0"/>
                      <w:sz w:val="21"/>
                      <w:szCs w:val="21"/>
                      <w:lang w:val="en-US" w:eastAsia="zh-CN"/>
                    </w:rPr>
                    <w:t>危险废物交有资质单位处置</w:t>
                  </w:r>
                  <w:r>
                    <w:rPr>
                      <w:rFonts w:hint="default" w:ascii="Times New Roman" w:hAnsi="Times New Roman" w:eastAsia="宋体" w:cs="Times New Roman"/>
                      <w:b w:val="0"/>
                      <w:bCs w:val="0"/>
                      <w:color w:val="auto"/>
                      <w:spacing w:val="0"/>
                      <w:position w:val="0"/>
                      <w:sz w:val="21"/>
                      <w:szCs w:val="21"/>
                    </w:rPr>
                    <w:t>。严格落实污染物总量控制要求</w:t>
                  </w:r>
                  <w:r>
                    <w:rPr>
                      <w:rFonts w:hint="eastAsia" w:ascii="Times New Roman" w:hAnsi="Times New Roman" w:eastAsia="宋体" w:cs="Times New Roman"/>
                      <w:b w:val="0"/>
                      <w:bCs w:val="0"/>
                      <w:color w:val="auto"/>
                      <w:spacing w:val="0"/>
                      <w:position w:val="0"/>
                      <w:sz w:val="21"/>
                      <w:szCs w:val="21"/>
                      <w:lang w:eastAsia="zh-CN"/>
                    </w:rPr>
                    <w:t>。</w:t>
                  </w:r>
                </w:p>
              </w:tc>
              <w:tc>
                <w:tcPr>
                  <w:tcW w:w="704" w:type="dxa"/>
                  <w:noWrap w:val="0"/>
                  <w:tcMar>
                    <w:top w:w="0" w:type="dxa"/>
                    <w:left w:w="108" w:type="dxa"/>
                    <w:bottom w:w="0" w:type="dxa"/>
                    <w:right w:w="108" w:type="dxa"/>
                  </w:tcMar>
                  <w:vAlign w:val="center"/>
                </w:tcPr>
                <w:p w14:paraId="4A27EAE3">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b w:val="0"/>
                      <w:bCs w:val="0"/>
                      <w:color w:val="auto"/>
                      <w:spacing w:val="0"/>
                      <w:position w:val="0"/>
                      <w:sz w:val="21"/>
                      <w:szCs w:val="21"/>
                    </w:rPr>
                  </w:pPr>
                  <w:r>
                    <w:rPr>
                      <w:rFonts w:hint="default" w:ascii="Times New Roman" w:hAnsi="Times New Roman" w:eastAsia="宋体" w:cs="Times New Roman"/>
                      <w:b w:val="0"/>
                      <w:bCs w:val="0"/>
                      <w:color w:val="auto"/>
                      <w:spacing w:val="0"/>
                      <w:position w:val="0"/>
                      <w:sz w:val="21"/>
                      <w:szCs w:val="21"/>
                    </w:rPr>
                    <w:t>符合</w:t>
                  </w:r>
                </w:p>
              </w:tc>
            </w:tr>
            <w:tr w14:paraId="64F939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929" w:type="dxa"/>
                  <w:vMerge w:val="continue"/>
                  <w:noWrap w:val="0"/>
                  <w:tcMar>
                    <w:top w:w="0" w:type="dxa"/>
                    <w:left w:w="108" w:type="dxa"/>
                    <w:bottom w:w="0" w:type="dxa"/>
                    <w:right w:w="108" w:type="dxa"/>
                  </w:tcMar>
                  <w:vAlign w:val="center"/>
                </w:tcPr>
                <w:p w14:paraId="6F96334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b w:val="0"/>
                      <w:bCs w:val="0"/>
                      <w:color w:val="auto"/>
                      <w:spacing w:val="0"/>
                      <w:position w:val="0"/>
                      <w:sz w:val="21"/>
                      <w:szCs w:val="21"/>
                    </w:rPr>
                  </w:pPr>
                </w:p>
              </w:tc>
              <w:tc>
                <w:tcPr>
                  <w:tcW w:w="3833" w:type="dxa"/>
                  <w:noWrap w:val="0"/>
                  <w:tcMar>
                    <w:top w:w="0" w:type="dxa"/>
                    <w:left w:w="108" w:type="dxa"/>
                    <w:bottom w:w="0" w:type="dxa"/>
                    <w:right w:w="108" w:type="dxa"/>
                  </w:tcMar>
                  <w:vAlign w:val="center"/>
                </w:tcPr>
                <w:p w14:paraId="29A184AA">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both"/>
                    <w:textAlignment w:val="baseline"/>
                    <w:rPr>
                      <w:rFonts w:hint="default" w:ascii="Times New Roman" w:hAnsi="Times New Roman" w:eastAsia="宋体" w:cs="Times New Roman"/>
                      <w:b w:val="0"/>
                      <w:bCs w:val="0"/>
                      <w:color w:val="auto"/>
                      <w:spacing w:val="0"/>
                      <w:position w:val="0"/>
                      <w:sz w:val="21"/>
                      <w:szCs w:val="21"/>
                    </w:rPr>
                  </w:pPr>
                  <w:r>
                    <w:rPr>
                      <w:rFonts w:hint="eastAsia" w:ascii="Times New Roman" w:hAnsi="Times New Roman" w:eastAsia="宋体" w:cs="Times New Roman"/>
                      <w:b w:val="0"/>
                      <w:bCs w:val="0"/>
                      <w:color w:val="auto"/>
                      <w:spacing w:val="0"/>
                      <w:position w:val="0"/>
                      <w:sz w:val="21"/>
                      <w:szCs w:val="21"/>
                      <w:lang w:eastAsia="zh-CN"/>
                    </w:rPr>
                    <w:t>（</w:t>
                  </w:r>
                  <w:r>
                    <w:rPr>
                      <w:rFonts w:hint="eastAsia" w:ascii="Times New Roman" w:hAnsi="Times New Roman" w:eastAsia="宋体" w:cs="Times New Roman"/>
                      <w:b w:val="0"/>
                      <w:bCs w:val="0"/>
                      <w:color w:val="auto"/>
                      <w:spacing w:val="0"/>
                      <w:position w:val="0"/>
                      <w:sz w:val="21"/>
                      <w:szCs w:val="21"/>
                      <w:lang w:val="en-US" w:eastAsia="zh-CN"/>
                    </w:rPr>
                    <w:t>7</w:t>
                  </w:r>
                  <w:r>
                    <w:rPr>
                      <w:rFonts w:hint="eastAsia" w:ascii="Times New Roman" w:hAnsi="Times New Roman" w:eastAsia="宋体" w:cs="Times New Roman"/>
                      <w:b w:val="0"/>
                      <w:bCs w:val="0"/>
                      <w:color w:val="auto"/>
                      <w:spacing w:val="0"/>
                      <w:position w:val="0"/>
                      <w:sz w:val="21"/>
                      <w:szCs w:val="21"/>
                      <w:lang w:eastAsia="zh-CN"/>
                    </w:rPr>
                    <w:t>）</w:t>
                  </w:r>
                  <w:r>
                    <w:rPr>
                      <w:rFonts w:hint="default" w:ascii="Times New Roman" w:hAnsi="Times New Roman" w:eastAsia="宋体" w:cs="Times New Roman"/>
                      <w:b w:val="0"/>
                      <w:bCs w:val="0"/>
                      <w:color w:val="auto"/>
                      <w:spacing w:val="0"/>
                      <w:position w:val="0"/>
                      <w:sz w:val="21"/>
                      <w:szCs w:val="21"/>
                    </w:rPr>
                    <w:t>建立健全环境管理机构，完善各种环境管理制度、环境风险防控体系、污染防治制度和环境监控体系，确保环境安全。在园区基础设施和企业建设项目运营管理中须制定并落实事故风险防范措施和应急预案，配套完善的运行管理设施，防止污染事故的</w:t>
                  </w:r>
                </w:p>
              </w:tc>
              <w:tc>
                <w:tcPr>
                  <w:tcW w:w="2573" w:type="dxa"/>
                  <w:noWrap w:val="0"/>
                  <w:tcMar>
                    <w:top w:w="0" w:type="dxa"/>
                    <w:left w:w="108" w:type="dxa"/>
                    <w:bottom w:w="0" w:type="dxa"/>
                    <w:right w:w="108" w:type="dxa"/>
                  </w:tcMar>
                  <w:vAlign w:val="center"/>
                </w:tcPr>
                <w:p w14:paraId="2665C933">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b w:val="0"/>
                      <w:bCs w:val="0"/>
                      <w:color w:val="auto"/>
                      <w:spacing w:val="0"/>
                      <w:position w:val="0"/>
                      <w:sz w:val="21"/>
                      <w:szCs w:val="21"/>
                    </w:rPr>
                  </w:pPr>
                  <w:r>
                    <w:rPr>
                      <w:rFonts w:hint="default" w:ascii="Times New Roman" w:hAnsi="Times New Roman" w:eastAsia="宋体" w:cs="Times New Roman"/>
                      <w:b w:val="0"/>
                      <w:bCs w:val="0"/>
                      <w:color w:val="auto"/>
                      <w:spacing w:val="0"/>
                      <w:position w:val="0"/>
                      <w:sz w:val="21"/>
                      <w:szCs w:val="21"/>
                    </w:rPr>
                    <w:t>本环评建议企业编制突发环境事件应急预案</w:t>
                  </w:r>
                </w:p>
              </w:tc>
              <w:tc>
                <w:tcPr>
                  <w:tcW w:w="704" w:type="dxa"/>
                  <w:noWrap w:val="0"/>
                  <w:tcMar>
                    <w:top w:w="0" w:type="dxa"/>
                    <w:left w:w="108" w:type="dxa"/>
                    <w:bottom w:w="0" w:type="dxa"/>
                    <w:right w:w="108" w:type="dxa"/>
                  </w:tcMar>
                  <w:vAlign w:val="center"/>
                </w:tcPr>
                <w:p w14:paraId="00BFCFF6">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b w:val="0"/>
                      <w:bCs w:val="0"/>
                      <w:color w:val="auto"/>
                      <w:spacing w:val="0"/>
                      <w:position w:val="0"/>
                      <w:sz w:val="21"/>
                      <w:szCs w:val="21"/>
                    </w:rPr>
                  </w:pPr>
                  <w:r>
                    <w:rPr>
                      <w:rFonts w:hint="default" w:ascii="Times New Roman" w:hAnsi="Times New Roman" w:eastAsia="宋体" w:cs="Times New Roman"/>
                      <w:b w:val="0"/>
                      <w:bCs w:val="0"/>
                      <w:color w:val="auto"/>
                      <w:spacing w:val="0"/>
                      <w:position w:val="0"/>
                      <w:sz w:val="21"/>
                      <w:szCs w:val="21"/>
                    </w:rPr>
                    <w:t>符合</w:t>
                  </w:r>
                </w:p>
              </w:tc>
            </w:tr>
          </w:tbl>
          <w:p w14:paraId="7BE3D2FB">
            <w:pPr>
              <w:adjustRightInd w:val="0"/>
              <w:snapToGrid w:val="0"/>
              <w:spacing w:line="360" w:lineRule="auto"/>
              <w:ind w:firstLine="480" w:firstLineChars="200"/>
              <w:rPr>
                <w:rFonts w:hint="eastAsia" w:cs="宋体"/>
                <w:color w:val="auto"/>
                <w:kern w:val="0"/>
                <w:sz w:val="24"/>
              </w:rPr>
            </w:pPr>
          </w:p>
        </w:tc>
      </w:tr>
      <w:tr w14:paraId="69154CE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306" w:hRule="atLeast"/>
          <w:jc w:val="center"/>
        </w:trPr>
        <w:tc>
          <w:tcPr>
            <w:tcW w:w="507" w:type="pct"/>
            <w:noWrap w:val="0"/>
            <w:vAlign w:val="center"/>
          </w:tcPr>
          <w:p w14:paraId="3967051D">
            <w:pPr>
              <w:autoSpaceDE w:val="0"/>
              <w:autoSpaceDN w:val="0"/>
              <w:adjustRightInd w:val="0"/>
              <w:snapToGrid w:val="0"/>
              <w:jc w:val="center"/>
              <w:rPr>
                <w:rFonts w:hint="eastAsia" w:cs="宋体"/>
                <w:color w:val="auto"/>
                <w:kern w:val="0"/>
                <w:szCs w:val="21"/>
              </w:rPr>
            </w:pPr>
            <w:r>
              <w:rPr>
                <w:rFonts w:hint="eastAsia" w:cs="宋体"/>
                <w:color w:val="auto"/>
                <w:kern w:val="0"/>
                <w:sz w:val="24"/>
              </w:rPr>
              <w:t>其他符合性分析</w:t>
            </w:r>
          </w:p>
        </w:tc>
        <w:tc>
          <w:tcPr>
            <w:tcW w:w="4492" w:type="pct"/>
            <w:gridSpan w:val="4"/>
            <w:noWrap w:val="0"/>
            <w:vAlign w:val="center"/>
          </w:tcPr>
          <w:p w14:paraId="6A6144A9">
            <w:pPr>
              <w:pBdr>
                <w:top w:val="none" w:color="auto" w:sz="0" w:space="1"/>
                <w:left w:val="none" w:color="auto" w:sz="0" w:space="4"/>
                <w:bottom w:val="none" w:color="auto" w:sz="0" w:space="1"/>
                <w:right w:val="none" w:color="auto" w:sz="0" w:space="4"/>
              </w:pBdr>
              <w:spacing w:line="360" w:lineRule="auto"/>
              <w:outlineLvl w:val="1"/>
              <w:rPr>
                <w:b/>
                <w:bCs/>
                <w:color w:val="auto"/>
                <w:sz w:val="24"/>
              </w:rPr>
            </w:pPr>
            <w:r>
              <w:rPr>
                <w:rFonts w:hint="eastAsia"/>
                <w:b/>
                <w:bCs/>
                <w:color w:val="auto"/>
                <w:sz w:val="24"/>
              </w:rPr>
              <w:t>1</w:t>
            </w:r>
            <w:r>
              <w:rPr>
                <w:rFonts w:hint="eastAsia"/>
                <w:b/>
                <w:bCs/>
                <w:color w:val="auto"/>
                <w:sz w:val="24"/>
                <w:lang w:eastAsia="zh-CN"/>
              </w:rPr>
              <w:t>、</w:t>
            </w:r>
            <w:r>
              <w:rPr>
                <w:rFonts w:hint="eastAsia"/>
                <w:b/>
                <w:bCs/>
                <w:color w:val="auto"/>
                <w:sz w:val="24"/>
              </w:rPr>
              <w:t>产业政策符合性</w:t>
            </w:r>
          </w:p>
          <w:p w14:paraId="2226684A">
            <w:pPr>
              <w:spacing w:line="360" w:lineRule="auto"/>
              <w:ind w:firstLine="480" w:firstLineChars="200"/>
              <w:rPr>
                <w:color w:val="auto"/>
                <w:sz w:val="24"/>
              </w:rPr>
            </w:pPr>
            <w:r>
              <w:rPr>
                <w:rFonts w:hint="eastAsia"/>
                <w:color w:val="auto"/>
                <w:sz w:val="24"/>
              </w:rPr>
              <w:t>本项目</w:t>
            </w:r>
            <w:r>
              <w:rPr>
                <w:rFonts w:hint="eastAsia"/>
                <w:color w:val="auto"/>
                <w:sz w:val="24"/>
                <w:lang w:val="en-US" w:eastAsia="zh-CN"/>
              </w:rPr>
              <w:t>建设地质矿产分析实验室，提供试验检测技术服务，</w:t>
            </w:r>
            <w:r>
              <w:rPr>
                <w:color w:val="auto"/>
                <w:kern w:val="0"/>
                <w:sz w:val="24"/>
              </w:rPr>
              <w:t>根据</w:t>
            </w:r>
            <w:r>
              <w:rPr>
                <w:color w:val="auto"/>
                <w:sz w:val="24"/>
              </w:rPr>
              <w:t>国家发展和改革委员会《产业结构调整指导目录（20</w:t>
            </w:r>
            <w:r>
              <w:rPr>
                <w:rFonts w:hint="eastAsia"/>
                <w:color w:val="auto"/>
                <w:sz w:val="24"/>
              </w:rPr>
              <w:t>24</w:t>
            </w:r>
            <w:r>
              <w:rPr>
                <w:color w:val="auto"/>
                <w:sz w:val="24"/>
              </w:rPr>
              <w:t>年本）》</w:t>
            </w:r>
            <w:r>
              <w:rPr>
                <w:rFonts w:hint="eastAsia"/>
                <w:color w:val="auto"/>
                <w:sz w:val="24"/>
              </w:rPr>
              <w:t>，属于</w:t>
            </w:r>
            <w:r>
              <w:rPr>
                <w:rFonts w:hint="eastAsia"/>
                <w:color w:val="auto"/>
                <w:sz w:val="24"/>
                <w:lang w:val="en-US" w:eastAsia="zh-CN"/>
              </w:rPr>
              <w:t>鼓励类</w:t>
            </w:r>
            <w:r>
              <w:rPr>
                <w:rFonts w:hint="eastAsia"/>
                <w:color w:val="auto"/>
                <w:sz w:val="24"/>
                <w:lang w:eastAsia="zh-CN"/>
              </w:rPr>
              <w:t>“</w:t>
            </w:r>
            <w:r>
              <w:rPr>
                <w:rFonts w:hint="eastAsia"/>
                <w:color w:val="auto"/>
                <w:sz w:val="24"/>
                <w:lang w:val="en-US" w:eastAsia="zh-CN"/>
              </w:rPr>
              <w:t>三十一、科技服务业</w:t>
            </w:r>
            <w:r>
              <w:rPr>
                <w:rFonts w:hint="eastAsia"/>
                <w:color w:val="auto"/>
                <w:sz w:val="24"/>
              </w:rPr>
              <w:t>，</w:t>
            </w:r>
            <w:r>
              <w:rPr>
                <w:rFonts w:hint="eastAsia"/>
                <w:color w:val="auto"/>
                <w:sz w:val="24"/>
                <w:lang w:val="en-US" w:eastAsia="zh-CN"/>
              </w:rPr>
              <w:t>5．检验检测认证服务：分析、试验、测试以及相关技术咨询与研发服务，智能产品整体方案、人机工程设计、系统仿真等设计服务</w:t>
            </w:r>
            <w:r>
              <w:rPr>
                <w:rFonts w:hint="eastAsia"/>
                <w:color w:val="auto"/>
                <w:sz w:val="24"/>
                <w:lang w:eastAsia="zh-CN"/>
              </w:rPr>
              <w:t>”，</w:t>
            </w:r>
            <w:r>
              <w:rPr>
                <w:rFonts w:hint="eastAsia"/>
                <w:color w:val="auto"/>
                <w:sz w:val="24"/>
              </w:rPr>
              <w:t>符合国家产业政策。同时，项目已取得新</w:t>
            </w:r>
            <w:r>
              <w:rPr>
                <w:rFonts w:hint="eastAsia"/>
                <w:color w:val="auto"/>
                <w:sz w:val="24"/>
                <w:lang w:val="en-US" w:eastAsia="zh-CN"/>
              </w:rPr>
              <w:t>昌吉高新技术产业开发区产业发展科技局审批的投资项目</w:t>
            </w:r>
            <w:r>
              <w:rPr>
                <w:rFonts w:hint="eastAsia"/>
                <w:color w:val="auto"/>
                <w:sz w:val="24"/>
              </w:rPr>
              <w:t>备案证（备案证号</w:t>
            </w:r>
            <w:r>
              <w:rPr>
                <w:rFonts w:hint="eastAsia"/>
                <w:color w:val="auto"/>
                <w:sz w:val="24"/>
                <w:lang w:eastAsia="zh-CN"/>
              </w:rPr>
              <w:t>：</w:t>
            </w:r>
            <w:r>
              <w:rPr>
                <w:rFonts w:hint="eastAsia"/>
                <w:color w:val="auto"/>
                <w:sz w:val="24"/>
              </w:rPr>
              <w:t>2511181617652312000066</w:t>
            </w:r>
            <w:r>
              <w:rPr>
                <w:rFonts w:hint="eastAsia"/>
                <w:color w:val="auto"/>
                <w:sz w:val="24"/>
                <w:lang w:eastAsia="zh-CN"/>
              </w:rPr>
              <w:t>，</w:t>
            </w:r>
            <w:r>
              <w:rPr>
                <w:rFonts w:hint="eastAsia"/>
                <w:color w:val="auto"/>
                <w:sz w:val="24"/>
                <w:lang w:val="en-US" w:eastAsia="zh-CN"/>
              </w:rPr>
              <w:t>附件2</w:t>
            </w:r>
            <w:r>
              <w:rPr>
                <w:rFonts w:hint="eastAsia"/>
                <w:color w:val="auto"/>
                <w:sz w:val="24"/>
              </w:rPr>
              <w:t>），项目符合国家及地方产业政策。</w:t>
            </w:r>
          </w:p>
          <w:p w14:paraId="04BAEF2B">
            <w:pPr>
              <w:pBdr>
                <w:top w:val="none" w:color="auto" w:sz="0" w:space="1"/>
                <w:left w:val="none" w:color="auto" w:sz="0" w:space="4"/>
                <w:bottom w:val="none" w:color="auto" w:sz="0" w:space="1"/>
                <w:right w:val="none" w:color="auto" w:sz="0" w:space="4"/>
              </w:pBdr>
              <w:adjustRightInd w:val="0"/>
              <w:snapToGrid w:val="0"/>
              <w:spacing w:line="360" w:lineRule="auto"/>
              <w:rPr>
                <w:b/>
                <w:bCs/>
                <w:color w:val="auto"/>
                <w:sz w:val="24"/>
              </w:rPr>
            </w:pPr>
            <w:r>
              <w:rPr>
                <w:rFonts w:hint="eastAsia"/>
                <w:b/>
                <w:bCs/>
                <w:color w:val="auto"/>
                <w:sz w:val="24"/>
              </w:rPr>
              <w:t>2</w:t>
            </w:r>
            <w:r>
              <w:rPr>
                <w:rFonts w:hint="eastAsia"/>
                <w:b/>
                <w:bCs/>
                <w:color w:val="auto"/>
                <w:sz w:val="24"/>
                <w:lang w:eastAsia="zh-CN"/>
              </w:rPr>
              <w:t>、</w:t>
            </w:r>
            <w:r>
              <w:rPr>
                <w:rFonts w:hint="eastAsia"/>
                <w:b/>
                <w:bCs/>
                <w:color w:val="auto"/>
                <w:sz w:val="24"/>
              </w:rPr>
              <w:t>与《昌吉回族自治州区域空间生态环境评价暨“三线一单”生态环境准入清单动态更新成果》符合性分析</w:t>
            </w:r>
          </w:p>
          <w:p w14:paraId="19BDCA5E">
            <w:pPr>
              <w:keepNext w:val="0"/>
              <w:keepLines w:val="0"/>
              <w:pageBreakBefore w:val="0"/>
              <w:widowControl/>
              <w:suppressLineNumbers w:val="0"/>
              <w:kinsoku/>
              <w:wordWrap/>
              <w:overflowPunct/>
              <w:topLinePunct w:val="0"/>
              <w:autoSpaceDE w:val="0"/>
              <w:autoSpaceDN/>
              <w:bidi w:val="0"/>
              <w:adjustRightInd/>
              <w:snapToGrid/>
              <w:spacing w:before="0" w:beforeAutospacing="0" w:after="0" w:afterAutospacing="0" w:line="360" w:lineRule="auto"/>
              <w:ind w:left="0" w:right="0" w:firstLine="480" w:firstLineChars="200"/>
              <w:jc w:val="left"/>
              <w:textAlignment w:val="auto"/>
              <w:rPr>
                <w:rFonts w:hint="default"/>
                <w:color w:val="auto"/>
                <w:sz w:val="24"/>
                <w:szCs w:val="24"/>
                <w:lang w:val="en-US" w:eastAsia="zh-CN"/>
              </w:rPr>
            </w:pPr>
            <w:r>
              <w:rPr>
                <w:rFonts w:hint="eastAsia" w:cs="宋体"/>
                <w:color w:val="auto"/>
                <w:kern w:val="0"/>
                <w:sz w:val="24"/>
              </w:rPr>
              <w:t>根据《昌吉回族自治州区域空间生态环境评价暨“三线一单”生态环境准入清单动态更新成果》，</w:t>
            </w:r>
            <w:r>
              <w:rPr>
                <w:rFonts w:hint="eastAsia"/>
                <w:color w:val="auto"/>
                <w:sz w:val="24"/>
                <w:szCs w:val="24"/>
                <w:lang w:val="en-US" w:eastAsia="zh-CN"/>
              </w:rPr>
              <w:t>同时于</w:t>
            </w:r>
            <w:r>
              <w:rPr>
                <w:rFonts w:hint="default"/>
                <w:color w:val="auto"/>
                <w:sz w:val="24"/>
                <w:szCs w:val="24"/>
                <w:lang w:val="en-US" w:eastAsia="zh-CN"/>
              </w:rPr>
              <w:t>新疆维吾尔自治区“三线一单”信息应用</w:t>
            </w:r>
            <w:r>
              <w:rPr>
                <w:rFonts w:hint="eastAsia"/>
                <w:color w:val="auto"/>
                <w:sz w:val="24"/>
                <w:szCs w:val="24"/>
                <w:lang w:val="en-US" w:eastAsia="zh-CN"/>
              </w:rPr>
              <w:t>平台查询（查询结果见附图3），结果显示</w:t>
            </w:r>
            <w:r>
              <w:rPr>
                <w:rFonts w:hint="default"/>
                <w:color w:val="auto"/>
                <w:sz w:val="24"/>
                <w:szCs w:val="24"/>
                <w:lang w:val="en-US" w:eastAsia="zh-CN"/>
              </w:rPr>
              <w:t>本项目位于</w:t>
            </w:r>
            <w:r>
              <w:rPr>
                <w:rFonts w:hint="eastAsia"/>
                <w:color w:val="auto"/>
                <w:sz w:val="24"/>
                <w:szCs w:val="24"/>
                <w:lang w:val="en-US" w:eastAsia="zh-CN"/>
              </w:rPr>
              <w:t>昌吉州西部限采区</w:t>
            </w:r>
            <w:r>
              <w:rPr>
                <w:rFonts w:hint="default"/>
                <w:color w:val="auto"/>
                <w:sz w:val="24"/>
                <w:szCs w:val="24"/>
                <w:lang w:val="en-US" w:eastAsia="zh-CN"/>
              </w:rPr>
              <w:t>，环境管控单元</w:t>
            </w:r>
            <w:r>
              <w:rPr>
                <w:rFonts w:hint="eastAsia"/>
                <w:color w:val="auto"/>
                <w:sz w:val="24"/>
                <w:szCs w:val="24"/>
                <w:lang w:val="en-US" w:eastAsia="zh-CN"/>
              </w:rPr>
              <w:t>名称为昌吉州西部限采区，环境管控单元</w:t>
            </w:r>
            <w:r>
              <w:rPr>
                <w:rFonts w:hint="default"/>
                <w:color w:val="auto"/>
                <w:sz w:val="24"/>
                <w:szCs w:val="24"/>
                <w:lang w:val="en-US" w:eastAsia="zh-CN"/>
              </w:rPr>
              <w:t>编码ZH65</w:t>
            </w:r>
            <w:r>
              <w:rPr>
                <w:rFonts w:hint="eastAsia"/>
                <w:color w:val="auto"/>
                <w:sz w:val="24"/>
                <w:szCs w:val="24"/>
                <w:lang w:val="en-US" w:eastAsia="zh-CN"/>
              </w:rPr>
              <w:t>230120008</w:t>
            </w:r>
            <w:r>
              <w:rPr>
                <w:rFonts w:hint="default"/>
                <w:color w:val="auto"/>
                <w:sz w:val="24"/>
                <w:szCs w:val="24"/>
                <w:lang w:val="en-US" w:eastAsia="zh-CN"/>
              </w:rPr>
              <w:t>，</w:t>
            </w:r>
            <w:r>
              <w:rPr>
                <w:rFonts w:hint="eastAsia"/>
                <w:color w:val="auto"/>
                <w:sz w:val="24"/>
                <w:szCs w:val="24"/>
                <w:lang w:val="en-US" w:eastAsia="zh-CN"/>
              </w:rPr>
              <w:t>（</w:t>
            </w:r>
            <w:r>
              <w:rPr>
                <w:rFonts w:hint="eastAsia" w:cs="宋体"/>
                <w:color w:val="auto"/>
                <w:kern w:val="0"/>
                <w:sz w:val="24"/>
              </w:rPr>
              <w:t>昌吉回族自治州</w:t>
            </w:r>
            <w:r>
              <w:rPr>
                <w:rFonts w:hint="eastAsia"/>
                <w:color w:val="auto"/>
                <w:sz w:val="24"/>
                <w:szCs w:val="24"/>
                <w:lang w:val="en-US" w:eastAsia="zh-CN"/>
              </w:rPr>
              <w:t>环境管控单元分类图见附图2）</w:t>
            </w:r>
            <w:r>
              <w:rPr>
                <w:rFonts w:hint="default"/>
                <w:color w:val="auto"/>
                <w:sz w:val="24"/>
                <w:szCs w:val="24"/>
                <w:lang w:val="en-US" w:eastAsia="zh-CN"/>
              </w:rPr>
              <w:t>。本项目与生态环境分区管控要求的符合性分析见表</w:t>
            </w:r>
            <w:r>
              <w:rPr>
                <w:rFonts w:hint="eastAsia"/>
                <w:color w:val="auto"/>
                <w:sz w:val="24"/>
                <w:szCs w:val="24"/>
                <w:lang w:val="en-US" w:eastAsia="zh-CN"/>
              </w:rPr>
              <w:t>1-2。</w:t>
            </w:r>
          </w:p>
          <w:p w14:paraId="567E550E">
            <w:pPr>
              <w:keepNext w:val="0"/>
              <w:keepLines w:val="0"/>
              <w:widowControl/>
              <w:suppressLineNumbers w:val="0"/>
              <w:autoSpaceDE w:val="0"/>
              <w:spacing w:before="0" w:beforeAutospacing="0" w:after="0" w:afterAutospacing="0"/>
              <w:ind w:left="0" w:right="0"/>
              <w:jc w:val="center"/>
              <w:rPr>
                <w:rFonts w:hint="default"/>
                <w:color w:val="auto"/>
              </w:rPr>
            </w:pPr>
            <w:r>
              <w:rPr>
                <w:rFonts w:hint="default"/>
                <w:b/>
                <w:bCs/>
                <w:color w:val="auto"/>
              </w:rPr>
              <w:t>表1</w:t>
            </w:r>
            <w:r>
              <w:rPr>
                <w:rFonts w:hint="eastAsia"/>
                <w:b/>
                <w:bCs/>
                <w:color w:val="auto"/>
                <w:lang w:val="en-US" w:eastAsia="zh-CN"/>
              </w:rPr>
              <w:t>-2</w:t>
            </w:r>
            <w:r>
              <w:rPr>
                <w:rFonts w:hint="default"/>
                <w:b/>
                <w:bCs/>
                <w:color w:val="auto"/>
              </w:rPr>
              <w:t xml:space="preserve">  项目与昌吉回族自治州生态环境分区管控要求符合性分析</w:t>
            </w:r>
          </w:p>
          <w:tbl>
            <w:tblPr>
              <w:tblStyle w:val="28"/>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699"/>
              <w:gridCol w:w="3738"/>
              <w:gridCol w:w="2813"/>
              <w:gridCol w:w="670"/>
            </w:tblGrid>
            <w:tr w14:paraId="5DA8CD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trPr>
              <w:tc>
                <w:tcPr>
                  <w:tcW w:w="2800" w:type="pct"/>
                  <w:gridSpan w:val="2"/>
                  <w:tcBorders>
                    <w:tl2br w:val="nil"/>
                    <w:tr2bl w:val="nil"/>
                  </w:tcBorders>
                  <w:noWrap w:val="0"/>
                  <w:tcMar>
                    <w:top w:w="0" w:type="dxa"/>
                    <w:left w:w="108" w:type="dxa"/>
                    <w:bottom w:w="0" w:type="dxa"/>
                    <w:right w:w="108" w:type="dxa"/>
                  </w:tcMar>
                  <w:vAlign w:val="center"/>
                </w:tcPr>
                <w:p w14:paraId="03F7623A">
                  <w:pPr>
                    <w:keepNext w:val="0"/>
                    <w:keepLines w:val="0"/>
                    <w:suppressLineNumbers w:val="0"/>
                    <w:overflowPunct w:val="0"/>
                    <w:autoSpaceDE w:val="0"/>
                    <w:spacing w:before="0" w:beforeAutospacing="0" w:after="0" w:afterAutospacing="0"/>
                    <w:ind w:left="0" w:right="0"/>
                    <w:jc w:val="center"/>
                    <w:rPr>
                      <w:rFonts w:hint="default" w:eastAsia="宋体"/>
                      <w:b/>
                      <w:bCs/>
                      <w:color w:val="auto"/>
                      <w:lang w:val="en-US" w:eastAsia="zh-CN"/>
                    </w:rPr>
                  </w:pPr>
                  <w:r>
                    <w:rPr>
                      <w:rFonts w:hint="eastAsia"/>
                      <w:b/>
                      <w:bCs/>
                      <w:color w:val="auto"/>
                      <w:lang w:val="en-US" w:eastAsia="zh-CN"/>
                    </w:rPr>
                    <w:t>管控要求</w:t>
                  </w:r>
                </w:p>
              </w:tc>
              <w:tc>
                <w:tcPr>
                  <w:tcW w:w="1775" w:type="pct"/>
                  <w:tcBorders>
                    <w:tl2br w:val="nil"/>
                    <w:tr2bl w:val="nil"/>
                  </w:tcBorders>
                  <w:noWrap w:val="0"/>
                  <w:tcMar>
                    <w:top w:w="0" w:type="dxa"/>
                    <w:left w:w="108" w:type="dxa"/>
                    <w:bottom w:w="0" w:type="dxa"/>
                    <w:right w:w="108" w:type="dxa"/>
                  </w:tcMar>
                  <w:vAlign w:val="center"/>
                </w:tcPr>
                <w:p w14:paraId="03B31E41">
                  <w:pPr>
                    <w:keepNext w:val="0"/>
                    <w:keepLines w:val="0"/>
                    <w:suppressLineNumbers w:val="0"/>
                    <w:overflowPunct w:val="0"/>
                    <w:autoSpaceDE w:val="0"/>
                    <w:spacing w:before="0" w:beforeAutospacing="0" w:after="0" w:afterAutospacing="0"/>
                    <w:ind w:left="0" w:right="0"/>
                    <w:jc w:val="center"/>
                    <w:rPr>
                      <w:rFonts w:hint="default" w:eastAsia="宋体"/>
                      <w:b/>
                      <w:bCs/>
                      <w:color w:val="auto"/>
                      <w:lang w:val="en-US" w:eastAsia="zh-CN"/>
                    </w:rPr>
                  </w:pPr>
                  <w:r>
                    <w:rPr>
                      <w:rFonts w:hint="eastAsia"/>
                      <w:b/>
                      <w:bCs/>
                      <w:color w:val="auto"/>
                      <w:lang w:val="en-US" w:eastAsia="zh-CN"/>
                    </w:rPr>
                    <w:t>项目情况</w:t>
                  </w:r>
                </w:p>
              </w:tc>
              <w:tc>
                <w:tcPr>
                  <w:tcW w:w="423" w:type="pct"/>
                  <w:tcBorders>
                    <w:tl2br w:val="nil"/>
                    <w:tr2bl w:val="nil"/>
                  </w:tcBorders>
                  <w:noWrap w:val="0"/>
                  <w:tcMar>
                    <w:top w:w="0" w:type="dxa"/>
                    <w:left w:w="108" w:type="dxa"/>
                    <w:bottom w:w="0" w:type="dxa"/>
                    <w:right w:w="108" w:type="dxa"/>
                  </w:tcMar>
                  <w:vAlign w:val="center"/>
                </w:tcPr>
                <w:p w14:paraId="24F9F456">
                  <w:pPr>
                    <w:keepNext w:val="0"/>
                    <w:keepLines w:val="0"/>
                    <w:suppressLineNumbers w:val="0"/>
                    <w:overflowPunct w:val="0"/>
                    <w:autoSpaceDE w:val="0"/>
                    <w:spacing w:before="0" w:beforeAutospacing="0" w:after="0" w:afterAutospacing="0"/>
                    <w:ind w:left="0" w:right="0"/>
                    <w:jc w:val="center"/>
                    <w:rPr>
                      <w:rFonts w:hint="default"/>
                      <w:b/>
                      <w:bCs/>
                      <w:color w:val="auto"/>
                    </w:rPr>
                  </w:pPr>
                  <w:r>
                    <w:rPr>
                      <w:rFonts w:hint="default"/>
                      <w:b/>
                      <w:bCs/>
                      <w:color w:val="auto"/>
                    </w:rPr>
                    <w:t>符合性</w:t>
                  </w:r>
                </w:p>
              </w:tc>
            </w:tr>
            <w:tr w14:paraId="1B5707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trPr>
              <w:tc>
                <w:tcPr>
                  <w:tcW w:w="441" w:type="pct"/>
                  <w:tcBorders>
                    <w:tl2br w:val="nil"/>
                    <w:tr2bl w:val="nil"/>
                  </w:tcBorders>
                  <w:noWrap w:val="0"/>
                  <w:tcMar>
                    <w:top w:w="0" w:type="dxa"/>
                    <w:left w:w="108" w:type="dxa"/>
                    <w:bottom w:w="0" w:type="dxa"/>
                    <w:right w:w="108" w:type="dxa"/>
                  </w:tcMar>
                  <w:vAlign w:val="center"/>
                </w:tcPr>
                <w:p w14:paraId="392610DF">
                  <w:pPr>
                    <w:keepNext w:val="0"/>
                    <w:keepLines w:val="0"/>
                    <w:suppressLineNumbers w:val="0"/>
                    <w:overflowPunct w:val="0"/>
                    <w:autoSpaceDE w:val="0"/>
                    <w:spacing w:before="0" w:beforeAutospacing="0" w:after="0" w:afterAutospacing="0"/>
                    <w:ind w:left="0" w:right="0"/>
                    <w:jc w:val="center"/>
                    <w:rPr>
                      <w:rFonts w:hint="default" w:eastAsia="宋体"/>
                      <w:color w:val="auto"/>
                      <w:lang w:val="en-US" w:eastAsia="zh-CN"/>
                    </w:rPr>
                  </w:pPr>
                  <w:r>
                    <w:rPr>
                      <w:rFonts w:hint="eastAsia"/>
                      <w:color w:val="auto"/>
                      <w:lang w:val="en-US" w:eastAsia="zh-CN"/>
                    </w:rPr>
                    <w:t>空间布局约束</w:t>
                  </w:r>
                </w:p>
              </w:tc>
              <w:tc>
                <w:tcPr>
                  <w:tcW w:w="2359" w:type="pct"/>
                  <w:tcBorders>
                    <w:tl2br w:val="nil"/>
                    <w:tr2bl w:val="nil"/>
                  </w:tcBorders>
                  <w:noWrap w:val="0"/>
                  <w:tcMar>
                    <w:top w:w="0" w:type="dxa"/>
                    <w:left w:w="108" w:type="dxa"/>
                    <w:bottom w:w="0" w:type="dxa"/>
                    <w:right w:w="108" w:type="dxa"/>
                  </w:tcMar>
                  <w:vAlign w:val="center"/>
                </w:tcPr>
                <w:p w14:paraId="239C99FF">
                  <w:pPr>
                    <w:keepNext w:val="0"/>
                    <w:keepLines w:val="0"/>
                    <w:suppressLineNumbers w:val="0"/>
                    <w:overflowPunct w:val="0"/>
                    <w:autoSpaceDE w:val="0"/>
                    <w:spacing w:before="0" w:beforeAutospacing="0" w:after="0" w:afterAutospacing="0"/>
                    <w:ind w:left="0" w:right="0"/>
                    <w:rPr>
                      <w:rFonts w:hint="eastAsia" w:eastAsia="宋体"/>
                      <w:color w:val="auto"/>
                      <w:lang w:eastAsia="zh-CN"/>
                    </w:rPr>
                  </w:pPr>
                  <w:r>
                    <w:rPr>
                      <w:rFonts w:hint="eastAsia" w:eastAsia="宋体"/>
                      <w:color w:val="auto"/>
                      <w:lang w:eastAsia="zh-CN"/>
                    </w:rPr>
                    <w:t>1、严格控制缺水地区、水污染严重区域和敏感区域高耗水、高污染行业发展。</w:t>
                  </w:r>
                </w:p>
              </w:tc>
              <w:tc>
                <w:tcPr>
                  <w:tcW w:w="1775" w:type="pct"/>
                  <w:tcBorders>
                    <w:tl2br w:val="nil"/>
                    <w:tr2bl w:val="nil"/>
                  </w:tcBorders>
                  <w:noWrap w:val="0"/>
                  <w:tcMar>
                    <w:top w:w="0" w:type="dxa"/>
                    <w:left w:w="108" w:type="dxa"/>
                    <w:bottom w:w="0" w:type="dxa"/>
                    <w:right w:w="108" w:type="dxa"/>
                  </w:tcMar>
                  <w:vAlign w:val="center"/>
                </w:tcPr>
                <w:p w14:paraId="60DCD402">
                  <w:pPr>
                    <w:keepNext w:val="0"/>
                    <w:keepLines w:val="0"/>
                    <w:suppressLineNumbers w:val="0"/>
                    <w:overflowPunct w:val="0"/>
                    <w:autoSpaceDE w:val="0"/>
                    <w:spacing w:before="0" w:beforeAutospacing="0" w:after="0" w:afterAutospacing="0"/>
                    <w:ind w:left="0" w:right="0"/>
                    <w:jc w:val="center"/>
                    <w:rPr>
                      <w:rFonts w:hint="default" w:eastAsia="宋体"/>
                      <w:color w:val="auto"/>
                      <w:lang w:val="en-US" w:eastAsia="zh-CN"/>
                    </w:rPr>
                  </w:pPr>
                  <w:r>
                    <w:rPr>
                      <w:rFonts w:hint="eastAsia"/>
                      <w:color w:val="auto"/>
                      <w:lang w:val="en-US" w:eastAsia="zh-CN"/>
                    </w:rPr>
                    <w:t>项目建设地质矿产分析实验室，提供矿石试验检测技术服务，不属于高耗水</w:t>
                  </w:r>
                  <w:r>
                    <w:rPr>
                      <w:rFonts w:hint="eastAsia" w:eastAsia="宋体"/>
                      <w:color w:val="auto"/>
                      <w:lang w:eastAsia="zh-CN"/>
                    </w:rPr>
                    <w:t>、高污染行业</w:t>
                  </w:r>
                </w:p>
              </w:tc>
              <w:tc>
                <w:tcPr>
                  <w:tcW w:w="423" w:type="pct"/>
                  <w:tcBorders>
                    <w:tl2br w:val="nil"/>
                    <w:tr2bl w:val="nil"/>
                  </w:tcBorders>
                  <w:noWrap w:val="0"/>
                  <w:tcMar>
                    <w:top w:w="0" w:type="dxa"/>
                    <w:left w:w="108" w:type="dxa"/>
                    <w:bottom w:w="0" w:type="dxa"/>
                    <w:right w:w="108" w:type="dxa"/>
                  </w:tcMar>
                  <w:vAlign w:val="center"/>
                </w:tcPr>
                <w:p w14:paraId="34A8EFD4">
                  <w:pPr>
                    <w:keepNext w:val="0"/>
                    <w:keepLines w:val="0"/>
                    <w:suppressLineNumbers w:val="0"/>
                    <w:overflowPunct w:val="0"/>
                    <w:autoSpaceDE w:val="0"/>
                    <w:spacing w:before="0" w:beforeAutospacing="0" w:after="0" w:afterAutospacing="0"/>
                    <w:ind w:left="0" w:right="0"/>
                    <w:jc w:val="center"/>
                    <w:rPr>
                      <w:rFonts w:hint="default"/>
                      <w:color w:val="auto"/>
                    </w:rPr>
                  </w:pPr>
                  <w:r>
                    <w:rPr>
                      <w:rFonts w:hint="default"/>
                      <w:color w:val="auto"/>
                    </w:rPr>
                    <w:t>符合</w:t>
                  </w:r>
                </w:p>
              </w:tc>
            </w:tr>
            <w:tr w14:paraId="4806FE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trPr>
              <w:tc>
                <w:tcPr>
                  <w:tcW w:w="441" w:type="pct"/>
                  <w:tcBorders>
                    <w:tl2br w:val="nil"/>
                    <w:tr2bl w:val="nil"/>
                  </w:tcBorders>
                  <w:noWrap w:val="0"/>
                  <w:tcMar>
                    <w:top w:w="0" w:type="dxa"/>
                    <w:left w:w="108" w:type="dxa"/>
                    <w:bottom w:w="0" w:type="dxa"/>
                    <w:right w:w="108" w:type="dxa"/>
                  </w:tcMar>
                  <w:vAlign w:val="center"/>
                </w:tcPr>
                <w:p w14:paraId="1463330E">
                  <w:pPr>
                    <w:keepNext w:val="0"/>
                    <w:keepLines w:val="0"/>
                    <w:suppressLineNumbers w:val="0"/>
                    <w:overflowPunct w:val="0"/>
                    <w:autoSpaceDE w:val="0"/>
                    <w:spacing w:before="0" w:beforeAutospacing="0" w:after="0" w:afterAutospacing="0"/>
                    <w:ind w:left="0" w:leftChars="0" w:right="0" w:rightChars="0"/>
                    <w:jc w:val="center"/>
                    <w:rPr>
                      <w:rFonts w:hint="default" w:eastAsia="宋体"/>
                      <w:color w:val="auto"/>
                      <w:lang w:val="en-US" w:eastAsia="zh-CN"/>
                    </w:rPr>
                  </w:pPr>
                  <w:r>
                    <w:rPr>
                      <w:rFonts w:hint="eastAsia"/>
                      <w:color w:val="auto"/>
                      <w:lang w:val="en-US" w:eastAsia="zh-CN"/>
                    </w:rPr>
                    <w:t>污染物排放管控</w:t>
                  </w:r>
                </w:p>
              </w:tc>
              <w:tc>
                <w:tcPr>
                  <w:tcW w:w="2359" w:type="pct"/>
                  <w:tcBorders>
                    <w:tl2br w:val="nil"/>
                    <w:tr2bl w:val="nil"/>
                  </w:tcBorders>
                  <w:noWrap w:val="0"/>
                  <w:tcMar>
                    <w:top w:w="0" w:type="dxa"/>
                    <w:left w:w="108" w:type="dxa"/>
                    <w:bottom w:w="0" w:type="dxa"/>
                    <w:right w:w="108" w:type="dxa"/>
                  </w:tcMar>
                  <w:vAlign w:val="center"/>
                </w:tcPr>
                <w:p w14:paraId="47DC5C11">
                  <w:pPr>
                    <w:keepNext w:val="0"/>
                    <w:keepLines w:val="0"/>
                    <w:suppressLineNumbers w:val="0"/>
                    <w:overflowPunct w:val="0"/>
                    <w:topLinePunct/>
                    <w:spacing w:before="0" w:beforeAutospacing="0" w:after="0" w:afterAutospacing="0"/>
                    <w:ind w:left="0" w:leftChars="0" w:right="0" w:rightChars="0"/>
                    <w:rPr>
                      <w:rFonts w:hint="default"/>
                      <w:color w:val="auto"/>
                    </w:rPr>
                  </w:pPr>
                  <w:r>
                    <w:rPr>
                      <w:rFonts w:hint="default"/>
                      <w:color w:val="auto"/>
                    </w:rPr>
                    <w:t>1、推进地表水与地下水协同防治。以傍河型地下水饮用水水源为重点，防范受污染河段侧渗和垂直补给对地下水污染。加强化学品生产企业、工业聚集区、矿山开采区等污染源的地表、地下协同防治与环境风险管控。加强工业污染防治。推动重点行业、重点企业绿色发展，严格落实水污染物排放标准和排污许可制度。支持企业积极实施节水技术改造，加强工业园区污水集中处理设施运行管理，加快再生水回用设施建设，提升园区水资源循环利用水平。</w:t>
                  </w:r>
                </w:p>
              </w:tc>
              <w:tc>
                <w:tcPr>
                  <w:tcW w:w="1775" w:type="pct"/>
                  <w:tcBorders>
                    <w:tl2br w:val="nil"/>
                    <w:tr2bl w:val="nil"/>
                  </w:tcBorders>
                  <w:noWrap w:val="0"/>
                  <w:tcMar>
                    <w:top w:w="0" w:type="dxa"/>
                    <w:left w:w="108" w:type="dxa"/>
                    <w:bottom w:w="0" w:type="dxa"/>
                    <w:right w:w="108" w:type="dxa"/>
                  </w:tcMar>
                  <w:vAlign w:val="center"/>
                </w:tcPr>
                <w:p w14:paraId="78BC41E7">
                  <w:pPr>
                    <w:keepNext w:val="0"/>
                    <w:keepLines w:val="0"/>
                    <w:pageBreakBefore w:val="0"/>
                    <w:widowControl w:val="0"/>
                    <w:suppressLineNumbers w:val="0"/>
                    <w:kinsoku/>
                    <w:wordWrap w:val="0"/>
                    <w:overflowPunct/>
                    <w:topLinePunct/>
                    <w:autoSpaceDE/>
                    <w:autoSpaceDN/>
                    <w:bidi w:val="0"/>
                    <w:adjustRightInd/>
                    <w:snapToGrid/>
                    <w:spacing w:before="0" w:beforeAutospacing="0" w:after="0" w:afterAutospacing="0"/>
                    <w:ind w:left="0" w:leftChars="0" w:right="0" w:rightChars="0"/>
                    <w:jc w:val="center"/>
                    <w:textAlignment w:val="auto"/>
                    <w:rPr>
                      <w:rFonts w:hint="default" w:eastAsia="宋体"/>
                      <w:color w:val="auto"/>
                      <w:lang w:val="en-US" w:eastAsia="zh-CN"/>
                    </w:rPr>
                  </w:pPr>
                  <w:r>
                    <w:rPr>
                      <w:rFonts w:hint="eastAsia"/>
                      <w:color w:val="auto"/>
                      <w:lang w:val="en-US" w:eastAsia="zh-CN"/>
                    </w:rPr>
                    <w:t>项目建设地质矿产分析实验，主要进行矿石试验检测技术服务，废水经一体化污水处理设备处理满足《综合污水排放标准》（GB8978-1996）三级排放标准后</w:t>
                  </w:r>
                  <w:r>
                    <w:rPr>
                      <w:rFonts w:hint="eastAsia" w:ascii="Times New Roman" w:hAnsi="Times New Roman" w:eastAsia="宋体" w:cs="Times New Roman"/>
                      <w:b w:val="0"/>
                      <w:bCs w:val="0"/>
                      <w:color w:val="auto"/>
                      <w:spacing w:val="0"/>
                      <w:position w:val="0"/>
                      <w:sz w:val="21"/>
                      <w:szCs w:val="21"/>
                      <w:lang w:val="en-US" w:eastAsia="zh-CN"/>
                    </w:rPr>
                    <w:t>排入</w:t>
                  </w:r>
                  <w:r>
                    <w:rPr>
                      <w:rFonts w:hint="eastAsia" w:cs="Times New Roman"/>
                      <w:b w:val="0"/>
                      <w:bCs w:val="0"/>
                      <w:color w:val="auto"/>
                      <w:spacing w:val="0"/>
                      <w:position w:val="0"/>
                      <w:sz w:val="21"/>
                      <w:szCs w:val="21"/>
                      <w:lang w:val="en-US" w:eastAsia="zh-CN"/>
                    </w:rPr>
                    <w:t>废水池，</w:t>
                  </w:r>
                  <w:r>
                    <w:rPr>
                      <w:rFonts w:hint="default" w:ascii="Times New Roman" w:hAnsi="Times New Roman" w:eastAsia="宋体" w:cs="Times New Roman"/>
                      <w:b w:val="0"/>
                      <w:bCs w:val="0"/>
                      <w:color w:val="0000FF"/>
                      <w:spacing w:val="0"/>
                      <w:position w:val="0"/>
                      <w:sz w:val="21"/>
                      <w:szCs w:val="21"/>
                      <w:lang w:val="en-US" w:eastAsia="zh-CN"/>
                    </w:rPr>
                    <w:t>最终</w:t>
                  </w:r>
                  <w:r>
                    <w:rPr>
                      <w:rFonts w:hint="eastAsia" w:cs="Times New Roman"/>
                      <w:b w:val="0"/>
                      <w:bCs w:val="0"/>
                      <w:color w:val="0000FF"/>
                      <w:spacing w:val="0"/>
                      <w:position w:val="0"/>
                      <w:sz w:val="21"/>
                      <w:szCs w:val="21"/>
                      <w:lang w:val="en-US" w:eastAsia="zh-CN"/>
                    </w:rPr>
                    <w:t>由吸污车定期拉运至</w:t>
                  </w:r>
                  <w:r>
                    <w:rPr>
                      <w:rFonts w:hint="default" w:ascii="Times New Roman" w:hAnsi="Times New Roman" w:eastAsia="宋体" w:cs="Times New Roman"/>
                      <w:b w:val="0"/>
                      <w:bCs w:val="0"/>
                      <w:color w:val="0000FF"/>
                      <w:spacing w:val="0"/>
                      <w:position w:val="0"/>
                      <w:sz w:val="21"/>
                      <w:szCs w:val="21"/>
                      <w:lang w:val="en-US" w:eastAsia="zh-CN"/>
                    </w:rPr>
                    <w:t>园区污水处理厂处置</w:t>
                  </w:r>
                  <w:r>
                    <w:rPr>
                      <w:rFonts w:hint="eastAsia"/>
                      <w:color w:val="auto"/>
                      <w:lang w:val="en-US" w:eastAsia="zh-CN"/>
                    </w:rPr>
                    <w:t>。</w:t>
                  </w:r>
                </w:p>
              </w:tc>
              <w:tc>
                <w:tcPr>
                  <w:tcW w:w="423" w:type="pct"/>
                  <w:tcBorders>
                    <w:tl2br w:val="nil"/>
                    <w:tr2bl w:val="nil"/>
                  </w:tcBorders>
                  <w:noWrap w:val="0"/>
                  <w:tcMar>
                    <w:top w:w="0" w:type="dxa"/>
                    <w:left w:w="108" w:type="dxa"/>
                    <w:bottom w:w="0" w:type="dxa"/>
                    <w:right w:w="108" w:type="dxa"/>
                  </w:tcMar>
                  <w:vAlign w:val="center"/>
                </w:tcPr>
                <w:p w14:paraId="2E7EE475">
                  <w:pPr>
                    <w:keepNext w:val="0"/>
                    <w:keepLines w:val="0"/>
                    <w:suppressLineNumbers w:val="0"/>
                    <w:overflowPunct w:val="0"/>
                    <w:autoSpaceDE w:val="0"/>
                    <w:spacing w:before="0" w:beforeAutospacing="0" w:after="0" w:afterAutospacing="0"/>
                    <w:ind w:left="0" w:leftChars="0" w:right="0" w:rightChars="0"/>
                    <w:jc w:val="center"/>
                    <w:rPr>
                      <w:rFonts w:hint="default"/>
                      <w:color w:val="auto"/>
                    </w:rPr>
                  </w:pPr>
                  <w:r>
                    <w:rPr>
                      <w:rFonts w:hint="default"/>
                      <w:color w:val="auto"/>
                    </w:rPr>
                    <w:t>符合</w:t>
                  </w:r>
                </w:p>
              </w:tc>
            </w:tr>
            <w:tr w14:paraId="06D080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trPr>
              <w:tc>
                <w:tcPr>
                  <w:tcW w:w="441" w:type="pct"/>
                  <w:tcBorders>
                    <w:tl2br w:val="nil"/>
                    <w:tr2bl w:val="nil"/>
                  </w:tcBorders>
                  <w:noWrap w:val="0"/>
                  <w:tcMar>
                    <w:top w:w="0" w:type="dxa"/>
                    <w:left w:w="108" w:type="dxa"/>
                    <w:bottom w:w="0" w:type="dxa"/>
                    <w:right w:w="108" w:type="dxa"/>
                  </w:tcMar>
                  <w:vAlign w:val="center"/>
                </w:tcPr>
                <w:p w14:paraId="434D51CF">
                  <w:pPr>
                    <w:keepNext w:val="0"/>
                    <w:keepLines w:val="0"/>
                    <w:suppressLineNumbers w:val="0"/>
                    <w:overflowPunct w:val="0"/>
                    <w:autoSpaceDE w:val="0"/>
                    <w:spacing w:before="0" w:beforeAutospacing="0" w:after="0" w:afterAutospacing="0"/>
                    <w:ind w:left="0" w:leftChars="0" w:right="0" w:rightChars="0"/>
                    <w:jc w:val="center"/>
                    <w:rPr>
                      <w:rFonts w:hint="default" w:eastAsia="宋体"/>
                      <w:color w:val="auto"/>
                      <w:lang w:val="en-US" w:eastAsia="zh-CN"/>
                    </w:rPr>
                  </w:pPr>
                  <w:r>
                    <w:rPr>
                      <w:rFonts w:hint="eastAsia"/>
                      <w:color w:val="auto"/>
                      <w:lang w:val="en-US" w:eastAsia="zh-CN"/>
                    </w:rPr>
                    <w:t>环境风险防控</w:t>
                  </w:r>
                </w:p>
              </w:tc>
              <w:tc>
                <w:tcPr>
                  <w:tcW w:w="2359" w:type="pct"/>
                  <w:tcBorders>
                    <w:tl2br w:val="nil"/>
                    <w:tr2bl w:val="nil"/>
                  </w:tcBorders>
                  <w:noWrap w:val="0"/>
                  <w:tcMar>
                    <w:top w:w="0" w:type="dxa"/>
                    <w:left w:w="108" w:type="dxa"/>
                    <w:bottom w:w="0" w:type="dxa"/>
                    <w:right w:w="108" w:type="dxa"/>
                  </w:tcMar>
                  <w:vAlign w:val="center"/>
                </w:tcPr>
                <w:p w14:paraId="50D09A33">
                  <w:pPr>
                    <w:keepNext w:val="0"/>
                    <w:keepLines w:val="0"/>
                    <w:suppressLineNumbers w:val="0"/>
                    <w:overflowPunct w:val="0"/>
                    <w:topLinePunct/>
                    <w:spacing w:before="0" w:beforeAutospacing="0" w:after="0" w:afterAutospacing="0"/>
                    <w:ind w:left="0" w:leftChars="0" w:right="0" w:rightChars="0"/>
                    <w:rPr>
                      <w:rFonts w:hint="eastAsia" w:eastAsia="宋体"/>
                      <w:color w:val="auto"/>
                      <w:lang w:eastAsia="zh-CN"/>
                    </w:rPr>
                  </w:pPr>
                  <w:r>
                    <w:rPr>
                      <w:rFonts w:hint="eastAsia" w:eastAsia="宋体"/>
                      <w:color w:val="auto"/>
                      <w:lang w:eastAsia="zh-CN"/>
                    </w:rPr>
                    <w:t>1、强化重点区域地下水环境风险管控。对化学品生产企业、工业集聚区、尾矿库、矿山开采区、危险废物处置场、垃圾填埋场等地下水污染源及周边区域，逐步开展地下水环境状况调查评估，加强风险管控。</w:t>
                  </w:r>
                </w:p>
              </w:tc>
              <w:tc>
                <w:tcPr>
                  <w:tcW w:w="1775" w:type="pct"/>
                  <w:tcBorders>
                    <w:tl2br w:val="nil"/>
                    <w:tr2bl w:val="nil"/>
                  </w:tcBorders>
                  <w:noWrap w:val="0"/>
                  <w:tcMar>
                    <w:top w:w="0" w:type="dxa"/>
                    <w:left w:w="108" w:type="dxa"/>
                    <w:bottom w:w="0" w:type="dxa"/>
                    <w:right w:w="108" w:type="dxa"/>
                  </w:tcMar>
                  <w:vAlign w:val="center"/>
                </w:tcPr>
                <w:p w14:paraId="4E65E1F4">
                  <w:pPr>
                    <w:keepNext w:val="0"/>
                    <w:keepLines w:val="0"/>
                    <w:suppressLineNumbers w:val="0"/>
                    <w:overflowPunct w:val="0"/>
                    <w:autoSpaceDE w:val="0"/>
                    <w:spacing w:before="0" w:beforeAutospacing="0" w:after="0" w:afterAutospacing="0"/>
                    <w:ind w:left="0" w:leftChars="0" w:right="0" w:rightChars="0"/>
                    <w:jc w:val="center"/>
                    <w:rPr>
                      <w:rFonts w:hint="default" w:eastAsia="宋体"/>
                      <w:color w:val="auto"/>
                      <w:lang w:val="en-US" w:eastAsia="zh-CN"/>
                    </w:rPr>
                  </w:pPr>
                  <w:r>
                    <w:rPr>
                      <w:rFonts w:hint="eastAsia" w:eastAsia="宋体"/>
                      <w:color w:val="auto"/>
                      <w:lang w:val="en-US" w:eastAsia="zh-CN"/>
                    </w:rPr>
                    <w:t>项目</w:t>
                  </w:r>
                  <w:r>
                    <w:rPr>
                      <w:rFonts w:hint="eastAsia"/>
                      <w:color w:val="auto"/>
                      <w:lang w:val="en-US" w:eastAsia="zh-CN"/>
                    </w:rPr>
                    <w:t>建设地质矿产分析实验室，提供矿石试验检测技术服务，不属于工业污染企业，项目检测过程使用部分化学药剂，使用量较少，实验室地面进行防渗防腐处理，不属于</w:t>
                  </w:r>
                  <w:r>
                    <w:rPr>
                      <w:rFonts w:hint="eastAsia" w:eastAsia="宋体"/>
                      <w:color w:val="auto"/>
                      <w:lang w:val="en-US" w:eastAsia="zh-CN"/>
                    </w:rPr>
                    <w:t>上述重点企业</w:t>
                  </w:r>
                  <w:r>
                    <w:rPr>
                      <w:rFonts w:hint="eastAsia" w:eastAsia="宋体"/>
                      <w:color w:val="auto"/>
                      <w:lang w:eastAsia="zh-CN"/>
                    </w:rPr>
                    <w:t>地下水污染源</w:t>
                  </w:r>
                </w:p>
              </w:tc>
              <w:tc>
                <w:tcPr>
                  <w:tcW w:w="423" w:type="pct"/>
                  <w:tcBorders>
                    <w:tl2br w:val="nil"/>
                    <w:tr2bl w:val="nil"/>
                  </w:tcBorders>
                  <w:noWrap w:val="0"/>
                  <w:tcMar>
                    <w:top w:w="0" w:type="dxa"/>
                    <w:left w:w="108" w:type="dxa"/>
                    <w:bottom w:w="0" w:type="dxa"/>
                    <w:right w:w="108" w:type="dxa"/>
                  </w:tcMar>
                  <w:vAlign w:val="center"/>
                </w:tcPr>
                <w:p w14:paraId="36BD609B">
                  <w:pPr>
                    <w:keepNext w:val="0"/>
                    <w:keepLines w:val="0"/>
                    <w:suppressLineNumbers w:val="0"/>
                    <w:overflowPunct w:val="0"/>
                    <w:autoSpaceDE w:val="0"/>
                    <w:spacing w:before="0" w:beforeAutospacing="0" w:after="0" w:afterAutospacing="0"/>
                    <w:ind w:left="0" w:leftChars="0" w:right="0" w:rightChars="0"/>
                    <w:jc w:val="center"/>
                    <w:rPr>
                      <w:rFonts w:hint="eastAsia" w:eastAsia="宋体"/>
                      <w:color w:val="auto"/>
                      <w:lang w:val="en-US" w:eastAsia="zh-CN"/>
                    </w:rPr>
                  </w:pPr>
                  <w:r>
                    <w:rPr>
                      <w:rFonts w:hint="eastAsia"/>
                      <w:color w:val="auto"/>
                      <w:lang w:val="en-US" w:eastAsia="zh-CN"/>
                    </w:rPr>
                    <w:t>符合</w:t>
                  </w:r>
                </w:p>
              </w:tc>
            </w:tr>
            <w:tr w14:paraId="634EBF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trPr>
              <w:tc>
                <w:tcPr>
                  <w:tcW w:w="441" w:type="pct"/>
                  <w:tcBorders>
                    <w:tl2br w:val="nil"/>
                    <w:tr2bl w:val="nil"/>
                  </w:tcBorders>
                  <w:noWrap w:val="0"/>
                  <w:tcMar>
                    <w:top w:w="0" w:type="dxa"/>
                    <w:left w:w="108" w:type="dxa"/>
                    <w:bottom w:w="0" w:type="dxa"/>
                    <w:right w:w="108" w:type="dxa"/>
                  </w:tcMar>
                  <w:vAlign w:val="center"/>
                </w:tcPr>
                <w:p w14:paraId="0AD42BA6">
                  <w:pPr>
                    <w:keepNext w:val="0"/>
                    <w:keepLines w:val="0"/>
                    <w:suppressLineNumbers w:val="0"/>
                    <w:overflowPunct w:val="0"/>
                    <w:autoSpaceDE w:val="0"/>
                    <w:spacing w:before="0" w:beforeAutospacing="0" w:after="0" w:afterAutospacing="0"/>
                    <w:ind w:left="0" w:leftChars="0" w:right="0" w:rightChars="0"/>
                    <w:jc w:val="center"/>
                    <w:rPr>
                      <w:rFonts w:hint="default" w:eastAsia="宋体"/>
                      <w:color w:val="auto"/>
                      <w:lang w:val="en-US" w:eastAsia="zh-CN"/>
                    </w:rPr>
                  </w:pPr>
                  <w:r>
                    <w:rPr>
                      <w:rFonts w:hint="eastAsia"/>
                      <w:color w:val="auto"/>
                      <w:lang w:val="en-US" w:eastAsia="zh-CN"/>
                    </w:rPr>
                    <w:t>资源利用效率</w:t>
                  </w:r>
                </w:p>
              </w:tc>
              <w:tc>
                <w:tcPr>
                  <w:tcW w:w="2359" w:type="pct"/>
                  <w:tcBorders>
                    <w:tl2br w:val="nil"/>
                    <w:tr2bl w:val="nil"/>
                  </w:tcBorders>
                  <w:noWrap w:val="0"/>
                  <w:tcMar>
                    <w:top w:w="0" w:type="dxa"/>
                    <w:left w:w="108" w:type="dxa"/>
                    <w:bottom w:w="0" w:type="dxa"/>
                    <w:right w:w="108" w:type="dxa"/>
                  </w:tcMar>
                  <w:vAlign w:val="center"/>
                </w:tcPr>
                <w:p w14:paraId="66280554">
                  <w:pPr>
                    <w:keepNext w:val="0"/>
                    <w:keepLines w:val="0"/>
                    <w:suppressLineNumbers w:val="0"/>
                    <w:overflowPunct w:val="0"/>
                    <w:topLinePunct/>
                    <w:spacing w:before="0" w:beforeAutospacing="0" w:after="0" w:afterAutospacing="0"/>
                    <w:ind w:left="0" w:leftChars="0" w:right="0" w:rightChars="0"/>
                    <w:rPr>
                      <w:rFonts w:hint="default"/>
                      <w:color w:val="auto"/>
                    </w:rPr>
                  </w:pPr>
                  <w:r>
                    <w:rPr>
                      <w:rFonts w:hint="default"/>
                      <w:color w:val="auto"/>
                    </w:rPr>
                    <w:t>1、县级以上人民政府水行政主管部门应当合理配置地表水、地下水，从严控制地下水取水总量。</w:t>
                  </w:r>
                </w:p>
                <w:p w14:paraId="4D9F2392">
                  <w:pPr>
                    <w:keepNext w:val="0"/>
                    <w:keepLines w:val="0"/>
                    <w:suppressLineNumbers w:val="0"/>
                    <w:overflowPunct w:val="0"/>
                    <w:topLinePunct/>
                    <w:spacing w:before="0" w:beforeAutospacing="0" w:after="0" w:afterAutospacing="0"/>
                    <w:ind w:left="0" w:leftChars="0" w:right="0" w:rightChars="0"/>
                    <w:rPr>
                      <w:rFonts w:hint="default"/>
                      <w:color w:val="auto"/>
                    </w:rPr>
                  </w:pPr>
                  <w:r>
                    <w:rPr>
                      <w:rFonts w:hint="default"/>
                      <w:color w:val="auto"/>
                    </w:rPr>
                    <w:t>2、严守水资源开发利用控制、用水效率控制和水功能区限制纳污“三条红线”，严格实行区域用水总量和强度控制，强化用水定额管理。推进地下水超采综合治理。</w:t>
                  </w:r>
                </w:p>
              </w:tc>
              <w:tc>
                <w:tcPr>
                  <w:tcW w:w="1775" w:type="pct"/>
                  <w:tcBorders>
                    <w:tl2br w:val="nil"/>
                    <w:tr2bl w:val="nil"/>
                  </w:tcBorders>
                  <w:noWrap w:val="0"/>
                  <w:tcMar>
                    <w:top w:w="0" w:type="dxa"/>
                    <w:left w:w="108" w:type="dxa"/>
                    <w:bottom w:w="0" w:type="dxa"/>
                    <w:right w:w="108" w:type="dxa"/>
                  </w:tcMar>
                  <w:vAlign w:val="center"/>
                </w:tcPr>
                <w:p w14:paraId="062958E3">
                  <w:pPr>
                    <w:keepNext w:val="0"/>
                    <w:keepLines w:val="0"/>
                    <w:suppressLineNumbers w:val="0"/>
                    <w:overflowPunct w:val="0"/>
                    <w:autoSpaceDE w:val="0"/>
                    <w:spacing w:before="0" w:beforeAutospacing="0" w:after="0" w:afterAutospacing="0"/>
                    <w:ind w:left="0" w:leftChars="0" w:right="0" w:rightChars="0"/>
                    <w:jc w:val="both"/>
                    <w:rPr>
                      <w:rFonts w:hint="default" w:eastAsia="宋体"/>
                      <w:color w:val="auto"/>
                      <w:lang w:val="en-US" w:eastAsia="zh-CN"/>
                    </w:rPr>
                  </w:pPr>
                  <w:r>
                    <w:rPr>
                      <w:rFonts w:hint="eastAsia" w:eastAsia="宋体"/>
                      <w:color w:val="auto"/>
                      <w:lang w:val="en-US" w:eastAsia="zh-CN"/>
                    </w:rPr>
                    <w:t>项目用水由市政管网提供，不涉及地下水取水。</w:t>
                  </w:r>
                </w:p>
              </w:tc>
              <w:tc>
                <w:tcPr>
                  <w:tcW w:w="423" w:type="pct"/>
                  <w:tcBorders>
                    <w:tl2br w:val="nil"/>
                    <w:tr2bl w:val="nil"/>
                  </w:tcBorders>
                  <w:noWrap w:val="0"/>
                  <w:tcMar>
                    <w:top w:w="0" w:type="dxa"/>
                    <w:left w:w="108" w:type="dxa"/>
                    <w:bottom w:w="0" w:type="dxa"/>
                    <w:right w:w="108" w:type="dxa"/>
                  </w:tcMar>
                  <w:vAlign w:val="center"/>
                </w:tcPr>
                <w:p w14:paraId="05479287">
                  <w:pPr>
                    <w:keepNext w:val="0"/>
                    <w:keepLines w:val="0"/>
                    <w:suppressLineNumbers w:val="0"/>
                    <w:overflowPunct w:val="0"/>
                    <w:autoSpaceDE w:val="0"/>
                    <w:spacing w:before="0" w:beforeAutospacing="0" w:after="0" w:afterAutospacing="0"/>
                    <w:ind w:left="0" w:leftChars="0" w:right="0" w:rightChars="0"/>
                    <w:jc w:val="center"/>
                    <w:rPr>
                      <w:rFonts w:hint="eastAsia" w:eastAsia="宋体"/>
                      <w:color w:val="auto"/>
                      <w:lang w:val="en-US" w:eastAsia="zh-CN"/>
                    </w:rPr>
                  </w:pPr>
                  <w:r>
                    <w:rPr>
                      <w:rFonts w:hint="eastAsia"/>
                      <w:color w:val="auto"/>
                      <w:lang w:val="en-US" w:eastAsia="zh-CN"/>
                    </w:rPr>
                    <w:t>符合</w:t>
                  </w:r>
                </w:p>
              </w:tc>
            </w:tr>
          </w:tbl>
          <w:p w14:paraId="0C185E13">
            <w:pPr>
              <w:autoSpaceDE w:val="0"/>
              <w:autoSpaceDN w:val="0"/>
              <w:spacing w:line="360" w:lineRule="auto"/>
              <w:ind w:firstLine="480" w:firstLineChars="200"/>
              <w:jc w:val="left"/>
              <w:rPr>
                <w:rFonts w:cs="宋体"/>
                <w:color w:val="auto"/>
                <w:kern w:val="0"/>
                <w:sz w:val="24"/>
              </w:rPr>
            </w:pPr>
            <w:r>
              <w:rPr>
                <w:rFonts w:hint="eastAsia" w:cs="宋体"/>
                <w:color w:val="auto"/>
                <w:kern w:val="0"/>
                <w:sz w:val="24"/>
              </w:rPr>
              <w:t>综上所述，本项目建设符合“三线一单”要求。</w:t>
            </w:r>
          </w:p>
          <w:p w14:paraId="464D22C0">
            <w:pPr>
              <w:spacing w:line="360" w:lineRule="auto"/>
              <w:outlineLvl w:val="1"/>
              <w:rPr>
                <w:rFonts w:hint="eastAsia" w:ascii="Times New Roman" w:hAnsi="Times New Roman" w:eastAsia="宋体" w:cs="Times New Roman"/>
                <w:b/>
                <w:bCs/>
                <w:color w:val="auto"/>
                <w:sz w:val="24"/>
              </w:rPr>
            </w:pPr>
            <w:r>
              <w:rPr>
                <w:rFonts w:hint="eastAsia" w:ascii="Times New Roman" w:hAnsi="Times New Roman" w:eastAsia="宋体" w:cs="Times New Roman"/>
                <w:b/>
                <w:bCs/>
                <w:color w:val="auto"/>
                <w:sz w:val="24"/>
              </w:rPr>
              <w:t>3</w:t>
            </w:r>
            <w:r>
              <w:rPr>
                <w:rFonts w:hint="eastAsia" w:ascii="Times New Roman" w:hAnsi="Times New Roman" w:eastAsia="宋体" w:cs="Times New Roman"/>
                <w:b/>
                <w:bCs/>
                <w:color w:val="auto"/>
                <w:sz w:val="24"/>
                <w:lang w:eastAsia="zh-CN"/>
              </w:rPr>
              <w:t>、</w:t>
            </w:r>
            <w:r>
              <w:rPr>
                <w:rFonts w:hint="eastAsia" w:ascii="Times New Roman" w:hAnsi="Times New Roman" w:eastAsia="宋体" w:cs="Times New Roman"/>
                <w:b/>
                <w:bCs/>
                <w:color w:val="auto"/>
                <w:sz w:val="24"/>
              </w:rPr>
              <w:t>与《关于加强乌鲁木齐、昌吉、石河子、五家渠区域环境同防同治的意见》符合性分析</w:t>
            </w:r>
          </w:p>
          <w:p w14:paraId="4FE8BDED">
            <w:pPr>
              <w:autoSpaceDE w:val="0"/>
              <w:autoSpaceDN w:val="0"/>
              <w:spacing w:line="360" w:lineRule="auto"/>
              <w:ind w:firstLine="480" w:firstLineChars="200"/>
              <w:jc w:val="both"/>
              <w:rPr>
                <w:rFonts w:cs="宋体"/>
                <w:color w:val="auto"/>
                <w:kern w:val="0"/>
                <w:sz w:val="24"/>
              </w:rPr>
            </w:pPr>
            <w:r>
              <w:rPr>
                <w:rFonts w:hint="eastAsia" w:cs="宋体"/>
                <w:color w:val="auto"/>
                <w:kern w:val="0"/>
                <w:sz w:val="24"/>
              </w:rPr>
              <w:t>（1）提高环境准入标准。严格执行国家产业、环境准入政策，防范过剩和落后产能跨地区转移。重点区域内不再布局建设煤化工、电解铝、燃煤纯发电机组、金属硅、碳化硅、聚氯乙烯（电石法）、焦炭（含半焦）等行业的新增产能项目，具备风光电清洁供暖建设条件的区域原则上不新批热电联产项目。</w:t>
            </w:r>
          </w:p>
          <w:p w14:paraId="219D4A7F">
            <w:pPr>
              <w:autoSpaceDE w:val="0"/>
              <w:autoSpaceDN w:val="0"/>
              <w:spacing w:line="360" w:lineRule="auto"/>
              <w:ind w:firstLine="480" w:firstLineChars="200"/>
              <w:jc w:val="both"/>
              <w:rPr>
                <w:rFonts w:cs="宋体"/>
                <w:color w:val="auto"/>
                <w:kern w:val="0"/>
                <w:sz w:val="24"/>
              </w:rPr>
            </w:pPr>
            <w:r>
              <w:rPr>
                <w:rFonts w:hint="eastAsia" w:cs="宋体"/>
                <w:color w:val="auto"/>
                <w:kern w:val="0"/>
                <w:sz w:val="24"/>
              </w:rPr>
              <w:t>（2）严格污染物排放标准。认真落实《重点区域大气污染物排放特别限值的公告》（环保厅〔2</w:t>
            </w:r>
            <w:r>
              <w:rPr>
                <w:rFonts w:cs="宋体"/>
                <w:color w:val="auto"/>
                <w:kern w:val="0"/>
                <w:sz w:val="24"/>
              </w:rPr>
              <w:t>016</w:t>
            </w:r>
            <w:r>
              <w:rPr>
                <w:rFonts w:hint="eastAsia" w:cs="宋体"/>
                <w:color w:val="auto"/>
                <w:kern w:val="0"/>
                <w:sz w:val="24"/>
              </w:rPr>
              <w:t>〕第4</w:t>
            </w:r>
            <w:r>
              <w:rPr>
                <w:rFonts w:cs="宋体"/>
                <w:color w:val="auto"/>
                <w:kern w:val="0"/>
                <w:sz w:val="24"/>
              </w:rPr>
              <w:t>5</w:t>
            </w:r>
            <w:r>
              <w:rPr>
                <w:rFonts w:hint="eastAsia" w:cs="宋体"/>
                <w:color w:val="auto"/>
                <w:kern w:val="0"/>
                <w:sz w:val="24"/>
              </w:rPr>
              <w:t>号）的要求，钢铁、石化、火电、水泥等行业和燃煤锅炉严格执行重点行业污染物特别排放限值要求。其他工业企业一律执行国家最新污染物排放标准，减少污染物排放总量。严格执行无组织排放检测浓度限值和恶臭污染物厂界标准。</w:t>
            </w:r>
          </w:p>
          <w:p w14:paraId="7675F806">
            <w:pPr>
              <w:autoSpaceDE w:val="0"/>
              <w:autoSpaceDN w:val="0"/>
              <w:spacing w:line="360" w:lineRule="auto"/>
              <w:ind w:firstLine="480" w:firstLineChars="200"/>
              <w:jc w:val="both"/>
              <w:rPr>
                <w:rFonts w:hint="eastAsia" w:cs="宋体"/>
                <w:color w:val="auto"/>
                <w:kern w:val="0"/>
                <w:sz w:val="24"/>
              </w:rPr>
            </w:pPr>
            <w:r>
              <w:rPr>
                <w:rFonts w:hint="eastAsia" w:cs="宋体"/>
                <w:color w:val="auto"/>
                <w:kern w:val="0"/>
                <w:sz w:val="24"/>
              </w:rPr>
              <w:t>（</w:t>
            </w:r>
            <w:r>
              <w:rPr>
                <w:rFonts w:cs="宋体"/>
                <w:color w:val="auto"/>
                <w:kern w:val="0"/>
                <w:sz w:val="24"/>
              </w:rPr>
              <w:t>3</w:t>
            </w:r>
            <w:r>
              <w:rPr>
                <w:rFonts w:hint="eastAsia" w:cs="宋体"/>
                <w:color w:val="auto"/>
                <w:kern w:val="0"/>
                <w:sz w:val="24"/>
              </w:rPr>
              <w:t>）加快淘汰落后产能。加大钢铁、水泥、焦炭、玻璃、煤炭等行业落后产能淘汰力度。实施差别电价等价格杠杆，推进落后、过剩产能退出。全面排查区域内装备水平低、环保设施差的小型工业企业，执行分年度治理、搬迁、淘汰专项整治工作方案，取缔不符合国家产业政策的严重污染项目。</w:t>
            </w:r>
          </w:p>
          <w:p w14:paraId="475F2FB5">
            <w:pPr>
              <w:autoSpaceDE w:val="0"/>
              <w:autoSpaceDN w:val="0"/>
              <w:spacing w:line="360" w:lineRule="auto"/>
              <w:ind w:firstLine="480" w:firstLineChars="200"/>
              <w:jc w:val="both"/>
              <w:rPr>
                <w:rFonts w:cs="宋体"/>
                <w:color w:val="FF0000"/>
                <w:kern w:val="0"/>
                <w:sz w:val="24"/>
              </w:rPr>
            </w:pPr>
            <w:r>
              <w:rPr>
                <w:rFonts w:hint="eastAsia" w:cs="宋体"/>
                <w:color w:val="auto"/>
                <w:kern w:val="0"/>
                <w:sz w:val="24"/>
              </w:rPr>
              <w:t>本项目不属于煤化工、电解铝、燃煤纯发电机组、金属硅、碳化硅、聚氯乙烯（电石法）、焦炭（含半焦）行业，供暖</w:t>
            </w:r>
            <w:r>
              <w:rPr>
                <w:rFonts w:hint="eastAsia" w:cs="宋体"/>
                <w:color w:val="auto"/>
                <w:kern w:val="0"/>
                <w:sz w:val="24"/>
                <w:lang w:val="en-US" w:eastAsia="zh-CN"/>
              </w:rPr>
              <w:t>由园区提供</w:t>
            </w:r>
            <w:r>
              <w:rPr>
                <w:rFonts w:hint="eastAsia" w:cs="宋体"/>
                <w:color w:val="auto"/>
                <w:kern w:val="0"/>
                <w:sz w:val="24"/>
              </w:rPr>
              <w:t>，符合要求。本项目运营期废气主要为</w:t>
            </w:r>
            <w:r>
              <w:rPr>
                <w:rFonts w:hint="eastAsia" w:cs="宋体"/>
                <w:color w:val="auto"/>
                <w:kern w:val="0"/>
                <w:sz w:val="24"/>
                <w:lang w:val="en-US" w:eastAsia="zh-CN"/>
              </w:rPr>
              <w:t>实验</w:t>
            </w:r>
            <w:r>
              <w:rPr>
                <w:rFonts w:hint="eastAsia" w:cs="宋体"/>
                <w:color w:val="auto"/>
                <w:kern w:val="0"/>
                <w:sz w:val="24"/>
              </w:rPr>
              <w:t>产生的酸性废气</w:t>
            </w:r>
            <w:r>
              <w:rPr>
                <w:rFonts w:hint="eastAsia" w:cs="宋体"/>
                <w:color w:val="FF0000"/>
                <w:kern w:val="0"/>
                <w:sz w:val="24"/>
                <w:lang w:val="en-US" w:eastAsia="zh-CN"/>
              </w:rPr>
              <w:t>及矿石破碎设备吹气清理废气颗粒物</w:t>
            </w:r>
            <w:r>
              <w:rPr>
                <w:rFonts w:hint="eastAsia" w:cs="宋体"/>
                <w:color w:val="FF0000"/>
                <w:kern w:val="0"/>
                <w:sz w:val="24"/>
              </w:rPr>
              <w:t>，</w:t>
            </w:r>
            <w:r>
              <w:rPr>
                <w:rFonts w:hint="eastAsia" w:cs="宋体"/>
                <w:color w:val="auto"/>
                <w:kern w:val="0"/>
                <w:sz w:val="24"/>
              </w:rPr>
              <w:t>其中酸性废气经1套</w:t>
            </w:r>
            <w:r>
              <w:rPr>
                <w:rFonts w:hint="eastAsia" w:cs="宋体"/>
                <w:color w:val="auto"/>
                <w:kern w:val="0"/>
                <w:sz w:val="24"/>
                <w:lang w:val="en-US" w:eastAsia="zh-CN"/>
              </w:rPr>
              <w:t>碱液喷淋塔处理</w:t>
            </w:r>
            <w:r>
              <w:rPr>
                <w:rFonts w:hint="eastAsia" w:cs="宋体"/>
                <w:color w:val="auto"/>
                <w:kern w:val="0"/>
                <w:sz w:val="24"/>
              </w:rPr>
              <w:t>后由1</w:t>
            </w:r>
            <w:r>
              <w:rPr>
                <w:rFonts w:cs="宋体"/>
                <w:color w:val="auto"/>
                <w:kern w:val="0"/>
                <w:sz w:val="24"/>
              </w:rPr>
              <w:t>5</w:t>
            </w:r>
            <w:r>
              <w:rPr>
                <w:rFonts w:hint="eastAsia" w:cs="宋体"/>
                <w:color w:val="auto"/>
                <w:kern w:val="0"/>
                <w:sz w:val="24"/>
              </w:rPr>
              <w:t>m排气筒排放（DA</w:t>
            </w:r>
            <w:r>
              <w:rPr>
                <w:rFonts w:cs="宋体"/>
                <w:color w:val="auto"/>
                <w:kern w:val="0"/>
                <w:sz w:val="24"/>
              </w:rPr>
              <w:t>001</w:t>
            </w:r>
            <w:r>
              <w:rPr>
                <w:rFonts w:hint="eastAsia" w:cs="宋体"/>
                <w:color w:val="auto"/>
                <w:kern w:val="0"/>
                <w:sz w:val="24"/>
              </w:rPr>
              <w:t>）；</w:t>
            </w:r>
            <w:r>
              <w:rPr>
                <w:rFonts w:hint="eastAsia" w:cs="宋体"/>
                <w:color w:val="FF0000"/>
                <w:kern w:val="0"/>
                <w:sz w:val="24"/>
                <w:lang w:val="en-US" w:eastAsia="zh-CN"/>
              </w:rPr>
              <w:t>矿石破碎、研磨采用密闭设备，无废气排放，设备吹气清理废气由通风橱收集后经连接的布袋除尘器处理，</w:t>
            </w:r>
            <w:r>
              <w:rPr>
                <w:rFonts w:hint="eastAsia"/>
                <w:color w:val="FF0000"/>
                <w:sz w:val="24"/>
                <w:szCs w:val="24"/>
                <w:lang w:val="en-US" w:eastAsia="zh-CN"/>
              </w:rPr>
              <w:t>除尘后的洁净空气，通过回风管路回流至吹气系统，再次作为棒磨筒清理的吹气气源，无废气排放</w:t>
            </w:r>
            <w:r>
              <w:rPr>
                <w:rFonts w:hint="eastAsia" w:cs="宋体"/>
                <w:color w:val="FF0000"/>
                <w:kern w:val="0"/>
                <w:sz w:val="24"/>
                <w:lang w:val="en-US" w:eastAsia="zh-CN"/>
              </w:rPr>
              <w:t>；</w:t>
            </w:r>
            <w:r>
              <w:rPr>
                <w:rFonts w:hint="eastAsia" w:cs="宋体"/>
                <w:color w:val="FF0000"/>
                <w:kern w:val="0"/>
                <w:sz w:val="24"/>
              </w:rPr>
              <w:t>酸性废气排放浓度满足</w:t>
            </w:r>
            <w:r>
              <w:rPr>
                <w:rFonts w:hint="eastAsia" w:cs="宋体"/>
                <w:color w:val="FF0000"/>
                <w:kern w:val="0"/>
                <w:sz w:val="24"/>
                <w:lang w:val="en-US" w:eastAsia="zh-CN"/>
              </w:rPr>
              <w:t>《大气污染物综合排放标准》（GB16297-1996）中表2新污染源大气污染物排放限值</w:t>
            </w:r>
            <w:r>
              <w:rPr>
                <w:rFonts w:hint="eastAsia" w:cs="宋体"/>
                <w:color w:val="FF0000"/>
                <w:kern w:val="0"/>
                <w:sz w:val="24"/>
              </w:rPr>
              <w:t>，对周围大气环境影响较小。</w:t>
            </w:r>
          </w:p>
          <w:p w14:paraId="1205753D">
            <w:pPr>
              <w:autoSpaceDE w:val="0"/>
              <w:autoSpaceDN w:val="0"/>
              <w:spacing w:line="360" w:lineRule="auto"/>
              <w:ind w:firstLine="480" w:firstLineChars="200"/>
              <w:jc w:val="left"/>
              <w:rPr>
                <w:rFonts w:hint="eastAsia" w:cs="宋体"/>
                <w:color w:val="auto"/>
                <w:kern w:val="0"/>
                <w:sz w:val="24"/>
              </w:rPr>
            </w:pPr>
            <w:r>
              <w:rPr>
                <w:rFonts w:hint="eastAsia" w:cs="宋体"/>
                <w:color w:val="auto"/>
                <w:kern w:val="0"/>
                <w:sz w:val="24"/>
              </w:rPr>
              <w:t>（</w:t>
            </w:r>
            <w:r>
              <w:rPr>
                <w:rFonts w:cs="宋体"/>
                <w:color w:val="auto"/>
                <w:kern w:val="0"/>
                <w:sz w:val="24"/>
              </w:rPr>
              <w:t>4</w:t>
            </w:r>
            <w:r>
              <w:rPr>
                <w:rFonts w:hint="eastAsia" w:cs="宋体"/>
                <w:color w:val="auto"/>
                <w:kern w:val="0"/>
                <w:sz w:val="24"/>
              </w:rPr>
              <w:t>）大力推广清洁能源。加大清洁能源供应，提高城市清洁能源使用。</w:t>
            </w:r>
          </w:p>
          <w:p w14:paraId="7168241E">
            <w:pPr>
              <w:autoSpaceDE w:val="0"/>
              <w:autoSpaceDN w:val="0"/>
              <w:spacing w:line="360" w:lineRule="auto"/>
              <w:ind w:firstLine="480" w:firstLineChars="200"/>
              <w:jc w:val="left"/>
              <w:rPr>
                <w:rFonts w:cs="宋体"/>
                <w:color w:val="auto"/>
                <w:kern w:val="0"/>
                <w:sz w:val="24"/>
              </w:rPr>
            </w:pPr>
            <w:r>
              <w:rPr>
                <w:rFonts w:hint="eastAsia" w:cs="宋体"/>
                <w:color w:val="auto"/>
                <w:kern w:val="0"/>
                <w:sz w:val="24"/>
              </w:rPr>
              <w:t>（</w:t>
            </w:r>
            <w:r>
              <w:rPr>
                <w:rFonts w:cs="宋体"/>
                <w:color w:val="auto"/>
                <w:kern w:val="0"/>
                <w:sz w:val="24"/>
              </w:rPr>
              <w:t>5</w:t>
            </w:r>
            <w:r>
              <w:rPr>
                <w:rFonts w:hint="eastAsia" w:cs="宋体"/>
                <w:color w:val="auto"/>
                <w:kern w:val="0"/>
                <w:sz w:val="24"/>
              </w:rPr>
              <w:t>）加强水污染防治。强化水环境质量目标管理，明确水质保护目标、治理任务和完成时限。工业集聚区按规定建成污水集中处理设施并安装自动在线监控装置。工业集聚区内工业废水必须经预处理达到集中处理要求方可进入污水集中处理设施，对不符合环保要求的晾晒池、蒸发塘进行清理整顿，加强工业废水达标情况监管。加快城镇污水处理设施及配套管网建设和提标改造，逐步实现区域内所有市县和重点镇污水收集处理全覆盖。</w:t>
            </w:r>
          </w:p>
          <w:p w14:paraId="6228C730">
            <w:pPr>
              <w:autoSpaceDE w:val="0"/>
              <w:autoSpaceDN w:val="0"/>
              <w:spacing w:line="360" w:lineRule="auto"/>
              <w:ind w:firstLine="480" w:firstLineChars="200"/>
              <w:rPr>
                <w:rFonts w:hint="eastAsia" w:cs="宋体"/>
                <w:color w:val="auto"/>
                <w:kern w:val="0"/>
                <w:sz w:val="24"/>
              </w:rPr>
            </w:pPr>
            <w:r>
              <w:rPr>
                <w:rFonts w:hint="eastAsia" w:cs="宋体"/>
                <w:color w:val="auto"/>
                <w:kern w:val="0"/>
                <w:sz w:val="24"/>
              </w:rPr>
              <w:t>本项目运营期</w:t>
            </w:r>
            <w:r>
              <w:rPr>
                <w:rFonts w:hint="eastAsia" w:cs="宋体"/>
                <w:color w:val="auto"/>
                <w:kern w:val="0"/>
                <w:sz w:val="24"/>
                <w:lang w:val="en-US" w:eastAsia="zh-CN"/>
              </w:rPr>
              <w:t>碱液喷淋塔</w:t>
            </w:r>
            <w:r>
              <w:rPr>
                <w:rFonts w:hint="eastAsia" w:cs="宋体"/>
                <w:color w:val="auto"/>
                <w:kern w:val="0"/>
                <w:sz w:val="24"/>
              </w:rPr>
              <w:t>废水、</w:t>
            </w:r>
            <w:r>
              <w:rPr>
                <w:rFonts w:hint="eastAsia" w:cs="宋体"/>
                <w:color w:val="auto"/>
                <w:kern w:val="0"/>
                <w:sz w:val="24"/>
                <w:lang w:val="en-US" w:eastAsia="zh-CN"/>
              </w:rPr>
              <w:t>实验</w:t>
            </w:r>
            <w:r>
              <w:rPr>
                <w:rFonts w:hint="eastAsia" w:cs="宋体"/>
                <w:color w:val="auto"/>
                <w:kern w:val="0"/>
                <w:sz w:val="24"/>
              </w:rPr>
              <w:t>废水经</w:t>
            </w:r>
            <w:r>
              <w:rPr>
                <w:rFonts w:hint="eastAsia" w:cs="宋体"/>
                <w:color w:val="auto"/>
                <w:kern w:val="0"/>
                <w:sz w:val="24"/>
                <w:lang w:val="en-US" w:eastAsia="zh-CN"/>
              </w:rPr>
              <w:t>一体化污水处理设备处理</w:t>
            </w:r>
            <w:r>
              <w:rPr>
                <w:rFonts w:hint="eastAsia" w:cs="宋体"/>
                <w:color w:val="auto"/>
                <w:kern w:val="0"/>
                <w:sz w:val="24"/>
              </w:rPr>
              <w:t>后满足</w:t>
            </w:r>
            <w:r>
              <w:rPr>
                <w:rFonts w:hint="eastAsia"/>
                <w:color w:val="auto"/>
                <w:spacing w:val="10"/>
                <w:sz w:val="24"/>
              </w:rPr>
              <w:t>《污水综合排放标准》（GB</w:t>
            </w:r>
            <w:r>
              <w:rPr>
                <w:color w:val="auto"/>
                <w:spacing w:val="10"/>
                <w:sz w:val="24"/>
              </w:rPr>
              <w:t>8978-1996</w:t>
            </w:r>
            <w:r>
              <w:rPr>
                <w:rFonts w:hint="eastAsia"/>
                <w:color w:val="auto"/>
                <w:spacing w:val="10"/>
                <w:sz w:val="24"/>
              </w:rPr>
              <w:t>）表4三级标准</w:t>
            </w:r>
            <w:r>
              <w:rPr>
                <w:rFonts w:hint="eastAsia"/>
                <w:color w:val="0000FF"/>
                <w:spacing w:val="10"/>
                <w:sz w:val="24"/>
                <w:lang w:val="en-US" w:eastAsia="zh-CN"/>
              </w:rPr>
              <w:t>排入废水池，最终由吸污车定期拉运至园区污水处理厂处置</w:t>
            </w:r>
            <w:r>
              <w:rPr>
                <w:rFonts w:hint="eastAsia"/>
                <w:color w:val="0000FF"/>
                <w:spacing w:val="10"/>
                <w:sz w:val="24"/>
              </w:rPr>
              <w:t>；</w:t>
            </w:r>
            <w:r>
              <w:rPr>
                <w:rFonts w:hint="eastAsia" w:cs="宋体"/>
                <w:color w:val="0000FF"/>
                <w:kern w:val="0"/>
                <w:sz w:val="24"/>
              </w:rPr>
              <w:t>生活污水排入</w:t>
            </w:r>
            <w:r>
              <w:rPr>
                <w:rFonts w:hint="eastAsia" w:cs="宋体"/>
                <w:color w:val="0000FF"/>
                <w:kern w:val="0"/>
                <w:sz w:val="24"/>
                <w:lang w:val="en-US" w:eastAsia="zh-CN"/>
              </w:rPr>
              <w:t>新疆华爱康塑业科技发展有限公司已建化粪池，</w:t>
            </w:r>
            <w:r>
              <w:rPr>
                <w:rFonts w:hint="eastAsia" w:cs="宋体"/>
                <w:color w:val="auto"/>
                <w:kern w:val="0"/>
                <w:sz w:val="24"/>
              </w:rPr>
              <w:t>对周围地表水和地下水环境影响较小。</w:t>
            </w:r>
          </w:p>
          <w:p w14:paraId="6E893713">
            <w:pPr>
              <w:spacing w:line="360" w:lineRule="auto"/>
              <w:outlineLvl w:val="1"/>
              <w:rPr>
                <w:rFonts w:hint="eastAsia"/>
                <w:b/>
                <w:bCs/>
                <w:color w:val="auto"/>
                <w:sz w:val="24"/>
                <w:lang w:val="en-US" w:eastAsia="zh-CN"/>
              </w:rPr>
            </w:pPr>
            <w:r>
              <w:rPr>
                <w:rFonts w:hint="eastAsia"/>
                <w:b/>
                <w:bCs/>
                <w:color w:val="auto"/>
                <w:sz w:val="24"/>
                <w:lang w:val="en-US" w:eastAsia="zh-CN"/>
              </w:rPr>
              <w:t>4、与《关于进一步加强乌鲁木齐、昌吉、石河子、五家渠区域大气环境同防同治的意见通知》（新政发〔2023〕29号）符合性分析</w:t>
            </w:r>
          </w:p>
          <w:p w14:paraId="6AC35286">
            <w:pPr>
              <w:autoSpaceDE w:val="0"/>
              <w:autoSpaceDN w:val="0"/>
              <w:spacing w:line="360" w:lineRule="auto"/>
              <w:ind w:firstLine="480" w:firstLineChars="200"/>
              <w:jc w:val="left"/>
              <w:rPr>
                <w:rFonts w:hint="default" w:ascii="Times New Roman" w:hAnsi="Times New Roman" w:eastAsia="宋体" w:cs="宋体"/>
                <w:color w:val="auto"/>
                <w:kern w:val="0"/>
                <w:sz w:val="24"/>
                <w:lang w:val="en-US" w:eastAsia="zh-CN"/>
              </w:rPr>
            </w:pPr>
            <w:r>
              <w:rPr>
                <w:rFonts w:hint="default" w:ascii="Times New Roman" w:hAnsi="Times New Roman" w:eastAsia="宋体" w:cs="宋体"/>
                <w:color w:val="auto"/>
                <w:kern w:val="0"/>
                <w:sz w:val="24"/>
                <w:lang w:val="en-US" w:eastAsia="zh-CN"/>
              </w:rPr>
              <w:t>《关于进一步加强乌鲁木齐、昌吉、石河子、五家渠区域环境同防同治的意见》（新政发〔2023〕29号）规定：坚决遏制“高耗能、高排放、低水平”项目盲目发展。加快推进产业布局调整，严格高耗能、高排放、低水平(“两高一低”)项目准入，严格落实国家产业规划、产业政策、“三线一单”、规划环评，以及产能置换、煤炭消费减量替代、区域污染物削减等要求，坚决叫停不符合要求的“两高一低”项目......。</w:t>
            </w:r>
          </w:p>
          <w:p w14:paraId="757E8086">
            <w:pPr>
              <w:autoSpaceDE w:val="0"/>
              <w:autoSpaceDN w:val="0"/>
              <w:spacing w:line="360" w:lineRule="auto"/>
              <w:ind w:firstLine="480" w:firstLineChars="200"/>
              <w:jc w:val="left"/>
              <w:rPr>
                <w:rFonts w:hint="default" w:ascii="Times New Roman" w:hAnsi="Times New Roman" w:eastAsia="宋体" w:cs="宋体"/>
                <w:color w:val="auto"/>
                <w:kern w:val="0"/>
                <w:sz w:val="24"/>
                <w:lang w:val="en-US" w:eastAsia="zh-CN"/>
              </w:rPr>
            </w:pPr>
            <w:r>
              <w:rPr>
                <w:rFonts w:hint="default" w:ascii="Times New Roman" w:hAnsi="Times New Roman" w:eastAsia="宋体" w:cs="宋体"/>
                <w:color w:val="auto"/>
                <w:kern w:val="0"/>
                <w:sz w:val="24"/>
                <w:lang w:val="en-US" w:eastAsia="zh-CN"/>
              </w:rPr>
              <w:t>本项目的建设符合国家产业政策，</w:t>
            </w:r>
            <w:r>
              <w:rPr>
                <w:rFonts w:hint="eastAsia" w:ascii="Times New Roman" w:hAnsi="Times New Roman" w:eastAsia="宋体" w:cs="宋体"/>
                <w:color w:val="auto"/>
                <w:kern w:val="0"/>
                <w:sz w:val="24"/>
                <w:lang w:val="en-US" w:eastAsia="zh-CN"/>
              </w:rPr>
              <w:t>符合园区规划及规划环评，</w:t>
            </w:r>
            <w:r>
              <w:rPr>
                <w:rFonts w:hint="default" w:ascii="Times New Roman" w:hAnsi="Times New Roman" w:eastAsia="宋体" w:cs="宋体"/>
                <w:color w:val="auto"/>
                <w:kern w:val="0"/>
                <w:sz w:val="24"/>
                <w:lang w:val="en-US" w:eastAsia="zh-CN"/>
              </w:rPr>
              <w:t>不属于“两高一低”项目</w:t>
            </w:r>
            <w:r>
              <w:rPr>
                <w:rFonts w:hint="eastAsia" w:ascii="Times New Roman" w:hAnsi="Times New Roman" w:eastAsia="宋体" w:cs="宋体"/>
                <w:color w:val="auto"/>
                <w:kern w:val="0"/>
                <w:sz w:val="24"/>
                <w:lang w:val="en-US" w:eastAsia="zh-CN"/>
              </w:rPr>
              <w:t>，</w:t>
            </w:r>
            <w:r>
              <w:rPr>
                <w:rFonts w:hint="default" w:ascii="Times New Roman" w:hAnsi="Times New Roman" w:eastAsia="宋体" w:cs="宋体"/>
                <w:color w:val="auto"/>
                <w:kern w:val="0"/>
                <w:sz w:val="24"/>
                <w:lang w:val="en-US" w:eastAsia="zh-CN"/>
              </w:rPr>
              <w:t>符合《关于进一步加强乌鲁木齐、昌吉、石河子、五家渠区域环境同防同治的意见》（新政发〔2023〕29号）中的相关要求。</w:t>
            </w:r>
          </w:p>
          <w:p w14:paraId="5D0C3205">
            <w:pPr>
              <w:spacing w:line="360" w:lineRule="auto"/>
              <w:outlineLvl w:val="1"/>
              <w:rPr>
                <w:rFonts w:hint="default"/>
                <w:b/>
                <w:bCs/>
                <w:color w:val="auto"/>
                <w:sz w:val="24"/>
                <w:lang w:val="en-US" w:eastAsia="zh-CN"/>
              </w:rPr>
            </w:pPr>
            <w:r>
              <w:rPr>
                <w:rFonts w:hint="eastAsia"/>
                <w:b/>
                <w:bCs/>
                <w:color w:val="auto"/>
                <w:sz w:val="24"/>
                <w:lang w:val="en-US" w:eastAsia="zh-CN"/>
              </w:rPr>
              <w:t>5、与《国务院关于印发〈空气质量持续改善行动计划〉的通知》（国发〔2023〕24号）符合性分析</w:t>
            </w:r>
          </w:p>
          <w:p w14:paraId="67D8BE94">
            <w:pPr>
              <w:autoSpaceDE w:val="0"/>
              <w:autoSpaceDN w:val="0"/>
              <w:spacing w:line="360" w:lineRule="auto"/>
              <w:ind w:firstLine="480" w:firstLineChars="200"/>
              <w:rPr>
                <w:rFonts w:hint="default" w:ascii="Times New Roman" w:hAnsi="Times New Roman" w:eastAsia="宋体" w:cs="宋体"/>
                <w:color w:val="auto"/>
                <w:kern w:val="0"/>
                <w:sz w:val="24"/>
                <w:lang w:val="en-US" w:eastAsia="zh-CN"/>
              </w:rPr>
            </w:pPr>
            <w:r>
              <w:rPr>
                <w:rFonts w:hint="eastAsia" w:ascii="Times New Roman" w:hAnsi="Times New Roman" w:eastAsia="宋体" w:cs="宋体"/>
                <w:color w:val="auto"/>
                <w:kern w:val="0"/>
                <w:sz w:val="24"/>
                <w:lang w:val="en-US" w:eastAsia="zh-CN"/>
              </w:rPr>
              <w:t>根据</w:t>
            </w:r>
            <w:r>
              <w:rPr>
                <w:rFonts w:hint="default" w:ascii="Times New Roman" w:hAnsi="Times New Roman" w:eastAsia="宋体" w:cs="宋体"/>
                <w:color w:val="auto"/>
                <w:kern w:val="0"/>
                <w:sz w:val="24"/>
                <w:lang w:val="en-US" w:eastAsia="zh-CN"/>
              </w:rPr>
              <w:t>《国务院关于印发〈空气质量持续改善行动计划〉的通知》</w:t>
            </w:r>
            <w:r>
              <w:rPr>
                <w:rFonts w:hint="eastAsia" w:ascii="Times New Roman" w:hAnsi="Times New Roman" w:eastAsia="宋体" w:cs="宋体"/>
                <w:color w:val="auto"/>
                <w:kern w:val="0"/>
                <w:sz w:val="24"/>
                <w:lang w:val="en-US" w:eastAsia="zh-CN"/>
              </w:rPr>
              <w:t>，本项目符合性分析见表1-2。</w:t>
            </w:r>
          </w:p>
          <w:p w14:paraId="0FEC34D5">
            <w:pPr>
              <w:pStyle w:val="2"/>
              <w:keepNext w:val="0"/>
              <w:keepLines w:val="0"/>
              <w:pageBreakBefore w:val="0"/>
              <w:widowControl/>
              <w:kinsoku/>
              <w:wordWrap/>
              <w:overflowPunct/>
              <w:topLinePunct w:val="0"/>
              <w:autoSpaceDE/>
              <w:autoSpaceDN/>
              <w:bidi w:val="0"/>
              <w:adjustRightInd/>
              <w:snapToGrid w:val="0"/>
              <w:spacing w:before="0" w:after="0" w:line="240" w:lineRule="auto"/>
              <w:ind w:left="0" w:leftChars="0" w:right="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表1</w:t>
            </w:r>
            <w:r>
              <w:rPr>
                <w:rFonts w:hint="eastAsia" w:ascii="Times New Roman" w:hAnsi="Times New Roman" w:eastAsia="宋体" w:cs="Times New Roman"/>
                <w:b/>
                <w:bCs/>
                <w:color w:val="auto"/>
                <w:sz w:val="21"/>
                <w:szCs w:val="21"/>
                <w:highlight w:val="none"/>
                <w:lang w:val="en-US" w:eastAsia="zh-CN"/>
              </w:rPr>
              <w:t>-2</w:t>
            </w:r>
            <w:r>
              <w:rPr>
                <w:rFonts w:hint="default" w:ascii="Times New Roman" w:hAnsi="Times New Roman" w:eastAsia="宋体" w:cs="Times New Roman"/>
                <w:b/>
                <w:bCs/>
                <w:color w:val="auto"/>
                <w:sz w:val="21"/>
                <w:szCs w:val="21"/>
                <w:highlight w:val="none"/>
                <w:lang w:val="en-US" w:eastAsia="zh-CN"/>
              </w:rPr>
              <w:t xml:space="preserve"> </w:t>
            </w:r>
            <w:r>
              <w:rPr>
                <w:rFonts w:hint="eastAsia" w:ascii="Times New Roman" w:hAnsi="Times New Roman" w:eastAsia="宋体" w:cs="Times New Roman"/>
                <w:b/>
                <w:bCs/>
                <w:color w:val="auto"/>
                <w:sz w:val="21"/>
                <w:szCs w:val="21"/>
                <w:highlight w:val="none"/>
                <w:lang w:val="en-US" w:eastAsia="zh-CN"/>
              </w:rPr>
              <w:t xml:space="preserve"> </w:t>
            </w:r>
            <w:r>
              <w:rPr>
                <w:rFonts w:hint="default" w:ascii="Times New Roman" w:hAnsi="Times New Roman" w:eastAsia="宋体" w:cs="Times New Roman"/>
                <w:b/>
                <w:bCs/>
                <w:color w:val="auto"/>
                <w:sz w:val="21"/>
                <w:szCs w:val="21"/>
                <w:highlight w:val="none"/>
                <w:lang w:val="en-US" w:eastAsia="zh-CN"/>
              </w:rPr>
              <w:t>与《国务院关于印发〈空气质量持续改善行动计划〉的通知》符合性分析</w:t>
            </w:r>
          </w:p>
          <w:tbl>
            <w:tblPr>
              <w:tblStyle w:val="28"/>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777"/>
              <w:gridCol w:w="3369"/>
              <w:gridCol w:w="771"/>
            </w:tblGrid>
            <w:tr w14:paraId="27F3AF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385" w:type="pct"/>
                  <w:tcBorders>
                    <w:tl2br w:val="nil"/>
                    <w:tr2bl w:val="nil"/>
                  </w:tcBorders>
                  <w:noWrap/>
                  <w:vAlign w:val="center"/>
                </w:tcPr>
                <w:p w14:paraId="2AAC1D7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napToGrid w:val="0"/>
                      <w:color w:val="auto"/>
                      <w:kern w:val="0"/>
                      <w:sz w:val="21"/>
                      <w:szCs w:val="21"/>
                      <w:highlight w:val="none"/>
                      <w:lang w:val="en-US" w:eastAsia="zh-CN"/>
                    </w:rPr>
                  </w:pPr>
                  <w:r>
                    <w:rPr>
                      <w:rFonts w:hint="default" w:ascii="Times New Roman" w:hAnsi="Times New Roman" w:cs="Times New Roman"/>
                      <w:snapToGrid w:val="0"/>
                      <w:color w:val="auto"/>
                      <w:kern w:val="0"/>
                      <w:sz w:val="21"/>
                      <w:szCs w:val="21"/>
                      <w:highlight w:val="none"/>
                      <w:lang w:val="en-US" w:eastAsia="zh-CN"/>
                    </w:rPr>
                    <w:t>相关要求</w:t>
                  </w:r>
                </w:p>
              </w:tc>
              <w:tc>
                <w:tcPr>
                  <w:tcW w:w="2127" w:type="pct"/>
                  <w:tcBorders>
                    <w:tl2br w:val="nil"/>
                    <w:tr2bl w:val="nil"/>
                  </w:tcBorders>
                  <w:noWrap/>
                  <w:vAlign w:val="center"/>
                </w:tcPr>
                <w:p w14:paraId="4F5D9F5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napToGrid w:val="0"/>
                      <w:color w:val="auto"/>
                      <w:kern w:val="0"/>
                      <w:sz w:val="21"/>
                      <w:szCs w:val="21"/>
                      <w:highlight w:val="none"/>
                      <w:lang w:val="en-US" w:eastAsia="zh-CN"/>
                    </w:rPr>
                  </w:pPr>
                  <w:r>
                    <w:rPr>
                      <w:rFonts w:hint="default" w:ascii="Times New Roman" w:hAnsi="Times New Roman" w:cs="Times New Roman"/>
                      <w:snapToGrid w:val="0"/>
                      <w:color w:val="auto"/>
                      <w:kern w:val="0"/>
                      <w:sz w:val="21"/>
                      <w:szCs w:val="21"/>
                      <w:highlight w:val="none"/>
                      <w:lang w:val="en-US" w:eastAsia="zh-CN"/>
                    </w:rPr>
                    <w:t>本项目情况</w:t>
                  </w:r>
                </w:p>
              </w:tc>
              <w:tc>
                <w:tcPr>
                  <w:tcW w:w="487" w:type="pct"/>
                  <w:tcBorders>
                    <w:tl2br w:val="nil"/>
                    <w:tr2bl w:val="nil"/>
                  </w:tcBorders>
                  <w:noWrap/>
                  <w:vAlign w:val="center"/>
                </w:tcPr>
                <w:p w14:paraId="7D1EEFA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napToGrid w:val="0"/>
                      <w:color w:val="auto"/>
                      <w:kern w:val="0"/>
                      <w:sz w:val="21"/>
                      <w:szCs w:val="21"/>
                      <w:highlight w:val="none"/>
                      <w:lang w:val="en-US" w:eastAsia="zh-CN"/>
                    </w:rPr>
                  </w:pPr>
                  <w:r>
                    <w:rPr>
                      <w:rFonts w:hint="default" w:ascii="Times New Roman" w:hAnsi="Times New Roman" w:cs="Times New Roman"/>
                      <w:snapToGrid w:val="0"/>
                      <w:color w:val="auto"/>
                      <w:kern w:val="0"/>
                      <w:sz w:val="21"/>
                      <w:szCs w:val="21"/>
                      <w:highlight w:val="none"/>
                      <w:lang w:val="en-US" w:eastAsia="zh-CN"/>
                    </w:rPr>
                    <w:t>符合性</w:t>
                  </w:r>
                </w:p>
              </w:tc>
            </w:tr>
            <w:tr w14:paraId="5F049D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385" w:type="pct"/>
                  <w:tcBorders>
                    <w:tl2br w:val="nil"/>
                    <w:tr2bl w:val="nil"/>
                  </w:tcBorders>
                  <w:noWrap w:val="0"/>
                  <w:vAlign w:val="center"/>
                </w:tcPr>
                <w:p w14:paraId="738E83F0">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cs="Times New Roman"/>
                      <w:snapToGrid w:val="0"/>
                      <w:color w:val="auto"/>
                      <w:kern w:val="0"/>
                      <w:sz w:val="21"/>
                      <w:szCs w:val="21"/>
                      <w:highlight w:val="none"/>
                      <w:lang w:val="en-US" w:eastAsia="zh-CN"/>
                    </w:rPr>
                  </w:pPr>
                  <w:r>
                    <w:rPr>
                      <w:rFonts w:hint="default" w:ascii="Times New Roman" w:hAnsi="Times New Roman" w:cs="Times New Roman"/>
                      <w:snapToGrid w:val="0"/>
                      <w:color w:val="auto"/>
                      <w:kern w:val="0"/>
                      <w:sz w:val="21"/>
                      <w:szCs w:val="21"/>
                      <w:highlight w:val="none"/>
                      <w:lang w:val="en-US" w:eastAsia="zh-CN"/>
                    </w:rPr>
                    <w:t>坚决遏制高耗能、高排放、低水平项目盲目上马。新改扩建项目严格落实国家产业规划、产业政策、生态环境分区管控方案、规划环评、项目环评、节能审查、产能置换、重点污染物总量控制、污染物排放区域削减、碳排放达峰目标等相关要求，原则上采用清洁运输方式。涉及产能置换的项目，被置换产能及其配套设施关停后，新建项目方可投产。</w:t>
                  </w:r>
                </w:p>
              </w:tc>
              <w:tc>
                <w:tcPr>
                  <w:tcW w:w="2127" w:type="pct"/>
                  <w:tcBorders>
                    <w:tl2br w:val="nil"/>
                    <w:tr2bl w:val="nil"/>
                  </w:tcBorders>
                  <w:noWrap w:val="0"/>
                  <w:vAlign w:val="center"/>
                </w:tcPr>
                <w:p w14:paraId="16CEAC4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napToGrid w:val="0"/>
                      <w:color w:val="auto"/>
                      <w:kern w:val="0"/>
                      <w:sz w:val="21"/>
                      <w:szCs w:val="21"/>
                      <w:highlight w:val="none"/>
                      <w:lang w:val="en-US" w:eastAsia="zh-CN"/>
                    </w:rPr>
                  </w:pPr>
                  <w:r>
                    <w:rPr>
                      <w:rFonts w:hint="eastAsia" w:ascii="Times New Roman" w:hAnsi="Times New Roman" w:cs="Times New Roman"/>
                      <w:snapToGrid w:val="0"/>
                      <w:color w:val="auto"/>
                      <w:kern w:val="0"/>
                      <w:sz w:val="21"/>
                      <w:szCs w:val="21"/>
                      <w:highlight w:val="none"/>
                      <w:lang w:val="en-US" w:eastAsia="zh-CN"/>
                    </w:rPr>
                    <w:t>项目属于检测服务项目，不属于高耗能高排放项目。项目位于昌吉高新技术产业开发区，根据前文分析，项目符合园区规划及规划环评，符合国家产业政策，符合昌吉回族自治州生态环境分区管控方案，</w:t>
                  </w:r>
                  <w:r>
                    <w:rPr>
                      <w:rFonts w:hint="eastAsia" w:ascii="Times New Roman" w:hAnsi="Times New Roman" w:cs="Times New Roman"/>
                      <w:snapToGrid w:val="0"/>
                      <w:color w:val="FF0000"/>
                      <w:kern w:val="0"/>
                      <w:sz w:val="21"/>
                      <w:szCs w:val="21"/>
                      <w:highlight w:val="none"/>
                      <w:lang w:val="en-US" w:eastAsia="zh-CN"/>
                    </w:rPr>
                    <w:t>项目</w:t>
                  </w:r>
                  <w:r>
                    <w:rPr>
                      <w:rFonts w:hint="eastAsia" w:cs="Times New Roman"/>
                      <w:snapToGrid w:val="0"/>
                      <w:color w:val="FF0000"/>
                      <w:kern w:val="0"/>
                      <w:sz w:val="21"/>
                      <w:szCs w:val="21"/>
                      <w:highlight w:val="none"/>
                      <w:lang w:val="en-US" w:eastAsia="zh-CN"/>
                    </w:rPr>
                    <w:t>不</w:t>
                  </w:r>
                  <w:r>
                    <w:rPr>
                      <w:rFonts w:hint="eastAsia" w:ascii="Times New Roman" w:hAnsi="Times New Roman" w:cs="Times New Roman"/>
                      <w:snapToGrid w:val="0"/>
                      <w:color w:val="FF0000"/>
                      <w:kern w:val="0"/>
                      <w:sz w:val="21"/>
                      <w:szCs w:val="21"/>
                      <w:highlight w:val="none"/>
                      <w:lang w:val="en-US" w:eastAsia="zh-CN"/>
                    </w:rPr>
                    <w:t>涉及总量控制</w:t>
                  </w:r>
                  <w:r>
                    <w:rPr>
                      <w:rFonts w:hint="eastAsia" w:ascii="Times New Roman" w:hAnsi="Times New Roman" w:cs="Times New Roman"/>
                      <w:snapToGrid w:val="0"/>
                      <w:color w:val="auto"/>
                      <w:kern w:val="0"/>
                      <w:sz w:val="21"/>
                      <w:szCs w:val="21"/>
                      <w:highlight w:val="none"/>
                      <w:lang w:val="en-US" w:eastAsia="zh-CN"/>
                    </w:rPr>
                    <w:t>，符合要求。</w:t>
                  </w:r>
                </w:p>
              </w:tc>
              <w:tc>
                <w:tcPr>
                  <w:tcW w:w="487" w:type="pct"/>
                  <w:tcBorders>
                    <w:tl2br w:val="nil"/>
                    <w:tr2bl w:val="nil"/>
                  </w:tcBorders>
                  <w:noWrap/>
                  <w:vAlign w:val="center"/>
                </w:tcPr>
                <w:p w14:paraId="128DADC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napToGrid w:val="0"/>
                      <w:color w:val="auto"/>
                      <w:kern w:val="0"/>
                      <w:sz w:val="21"/>
                      <w:szCs w:val="21"/>
                      <w:highlight w:val="none"/>
                      <w:lang w:val="en-US" w:eastAsia="zh-CN"/>
                    </w:rPr>
                  </w:pPr>
                  <w:r>
                    <w:rPr>
                      <w:rFonts w:hint="default" w:ascii="Times New Roman" w:hAnsi="Times New Roman" w:cs="Times New Roman"/>
                      <w:snapToGrid w:val="0"/>
                      <w:color w:val="auto"/>
                      <w:kern w:val="0"/>
                      <w:sz w:val="21"/>
                      <w:szCs w:val="21"/>
                      <w:highlight w:val="none"/>
                      <w:lang w:val="en-US" w:eastAsia="zh-CN"/>
                    </w:rPr>
                    <w:t>符合</w:t>
                  </w:r>
                </w:p>
              </w:tc>
            </w:tr>
            <w:tr w14:paraId="287755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385" w:type="pct"/>
                  <w:tcBorders>
                    <w:tl2br w:val="nil"/>
                    <w:tr2bl w:val="nil"/>
                  </w:tcBorders>
                  <w:noWrap w:val="0"/>
                  <w:vAlign w:val="center"/>
                </w:tcPr>
                <w:p w14:paraId="2D70FA05">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cs="Times New Roman"/>
                      <w:snapToGrid w:val="0"/>
                      <w:color w:val="auto"/>
                      <w:kern w:val="0"/>
                      <w:sz w:val="21"/>
                      <w:szCs w:val="21"/>
                      <w:highlight w:val="none"/>
                      <w:lang w:val="en-US" w:eastAsia="zh-CN"/>
                    </w:rPr>
                  </w:pPr>
                  <w:r>
                    <w:rPr>
                      <w:rFonts w:hint="default" w:ascii="Times New Roman" w:hAnsi="Times New Roman" w:cs="Times New Roman"/>
                      <w:snapToGrid w:val="0"/>
                      <w:color w:val="auto"/>
                      <w:kern w:val="0"/>
                      <w:sz w:val="21"/>
                      <w:szCs w:val="21"/>
                      <w:highlight w:val="none"/>
                      <w:lang w:val="en-US" w:eastAsia="zh-CN"/>
                    </w:rPr>
                    <w:t>加快退出重点行业落后产能。修订《产业结构调整指导目录》，研究将污染物或温室气体排放明显高出行业平均水平、能效和清洁生产水平低的工艺和装备纳入淘汰类和限制类名单。重点区域进一步提高落后产能能耗、环保、质量、安全、技术等要求，逐步退出限制类涉气行业工艺和装备；逐步淘汰步进式烧结机和球团竖炉以及半封闭式硅锰合金、镍铁、高碳铬铁、高碳锰铁电炉。引导重点区域钢铁、焦化、电解铝等产业有序调整优化。</w:t>
                  </w:r>
                </w:p>
              </w:tc>
              <w:tc>
                <w:tcPr>
                  <w:tcW w:w="2127" w:type="pct"/>
                  <w:tcBorders>
                    <w:tl2br w:val="nil"/>
                    <w:tr2bl w:val="nil"/>
                  </w:tcBorders>
                  <w:noWrap w:val="0"/>
                  <w:vAlign w:val="center"/>
                </w:tcPr>
                <w:p w14:paraId="2B0564B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napToGrid w:val="0"/>
                      <w:color w:val="auto"/>
                      <w:kern w:val="0"/>
                      <w:sz w:val="21"/>
                      <w:szCs w:val="21"/>
                      <w:highlight w:val="none"/>
                      <w:lang w:val="en-US" w:eastAsia="zh-CN"/>
                    </w:rPr>
                  </w:pPr>
                  <w:r>
                    <w:rPr>
                      <w:rFonts w:hint="default" w:ascii="Times New Roman" w:hAnsi="Times New Roman" w:cs="Times New Roman"/>
                      <w:snapToGrid w:val="0"/>
                      <w:color w:val="auto"/>
                      <w:kern w:val="0"/>
                      <w:sz w:val="21"/>
                      <w:szCs w:val="21"/>
                      <w:highlight w:val="none"/>
                      <w:lang w:val="en-US" w:eastAsia="zh-CN"/>
                    </w:rPr>
                    <w:t>本项目</w:t>
                  </w:r>
                  <w:r>
                    <w:rPr>
                      <w:rFonts w:hint="eastAsia" w:ascii="Times New Roman" w:hAnsi="Times New Roman" w:cs="Times New Roman"/>
                      <w:snapToGrid w:val="0"/>
                      <w:color w:val="auto"/>
                      <w:kern w:val="0"/>
                      <w:sz w:val="21"/>
                      <w:szCs w:val="21"/>
                      <w:highlight w:val="none"/>
                      <w:lang w:val="en-US" w:eastAsia="zh-CN"/>
                    </w:rPr>
                    <w:t>属于检测服务项目</w:t>
                  </w:r>
                  <w:r>
                    <w:rPr>
                      <w:rFonts w:hint="default" w:ascii="Times New Roman" w:hAnsi="Times New Roman" w:cs="Times New Roman"/>
                      <w:snapToGrid w:val="0"/>
                      <w:color w:val="auto"/>
                      <w:kern w:val="0"/>
                      <w:sz w:val="21"/>
                      <w:szCs w:val="21"/>
                      <w:highlight w:val="none"/>
                      <w:lang w:val="en-US" w:eastAsia="zh-CN"/>
                    </w:rPr>
                    <w:t>，</w:t>
                  </w:r>
                  <w:r>
                    <w:rPr>
                      <w:rFonts w:hint="eastAsia" w:ascii="Times New Roman" w:hAnsi="Times New Roman" w:cs="Times New Roman"/>
                      <w:snapToGrid w:val="0"/>
                      <w:color w:val="auto"/>
                      <w:kern w:val="0"/>
                      <w:sz w:val="21"/>
                      <w:szCs w:val="21"/>
                      <w:highlight w:val="none"/>
                      <w:lang w:val="en-US" w:eastAsia="zh-CN"/>
                    </w:rPr>
                    <w:t>根据</w:t>
                  </w:r>
                  <w:r>
                    <w:rPr>
                      <w:rFonts w:hint="default" w:ascii="Times New Roman" w:hAnsi="Times New Roman" w:cs="Times New Roman"/>
                      <w:snapToGrid w:val="0"/>
                      <w:color w:val="auto"/>
                      <w:kern w:val="0"/>
                      <w:sz w:val="21"/>
                      <w:szCs w:val="21"/>
                      <w:highlight w:val="none"/>
                      <w:lang w:val="en-US" w:eastAsia="zh-CN"/>
                    </w:rPr>
                    <w:t>《产业结构调整指导目录（2024年本）》，</w:t>
                  </w:r>
                  <w:r>
                    <w:rPr>
                      <w:rFonts w:hint="eastAsia" w:ascii="Times New Roman" w:hAnsi="Times New Roman" w:cs="Times New Roman"/>
                      <w:snapToGrid w:val="0"/>
                      <w:color w:val="auto"/>
                      <w:kern w:val="0"/>
                      <w:sz w:val="21"/>
                      <w:szCs w:val="21"/>
                      <w:highlight w:val="none"/>
                      <w:lang w:val="en-US" w:eastAsia="zh-CN"/>
                    </w:rPr>
                    <w:t>项目属于鼓励类项目，符合国家产业政策，项目不涉及使用清洁生产水平低的工艺和装备，符合要求。</w:t>
                  </w:r>
                </w:p>
              </w:tc>
              <w:tc>
                <w:tcPr>
                  <w:tcW w:w="487" w:type="pct"/>
                  <w:tcBorders>
                    <w:tl2br w:val="nil"/>
                    <w:tr2bl w:val="nil"/>
                  </w:tcBorders>
                  <w:noWrap/>
                  <w:vAlign w:val="center"/>
                </w:tcPr>
                <w:p w14:paraId="6BD9222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napToGrid w:val="0"/>
                      <w:color w:val="auto"/>
                      <w:kern w:val="0"/>
                      <w:sz w:val="21"/>
                      <w:szCs w:val="21"/>
                      <w:highlight w:val="none"/>
                      <w:lang w:val="en-US" w:eastAsia="zh-CN"/>
                    </w:rPr>
                  </w:pPr>
                  <w:r>
                    <w:rPr>
                      <w:rFonts w:hint="default" w:ascii="Times New Roman" w:hAnsi="Times New Roman" w:cs="Times New Roman"/>
                      <w:snapToGrid w:val="0"/>
                      <w:color w:val="auto"/>
                      <w:kern w:val="0"/>
                      <w:sz w:val="21"/>
                      <w:szCs w:val="21"/>
                      <w:highlight w:val="none"/>
                      <w:lang w:val="en-US" w:eastAsia="zh-CN"/>
                    </w:rPr>
                    <w:t>符合</w:t>
                  </w:r>
                </w:p>
              </w:tc>
            </w:tr>
            <w:tr w14:paraId="6DA606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385" w:type="pct"/>
                  <w:tcBorders>
                    <w:tl2br w:val="nil"/>
                    <w:tr2bl w:val="nil"/>
                  </w:tcBorders>
                  <w:noWrap w:val="0"/>
                  <w:vAlign w:val="center"/>
                </w:tcPr>
                <w:p w14:paraId="446B991C">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cs="Times New Roman"/>
                      <w:snapToGrid w:val="0"/>
                      <w:color w:val="auto"/>
                      <w:kern w:val="0"/>
                      <w:sz w:val="21"/>
                      <w:szCs w:val="21"/>
                      <w:highlight w:val="none"/>
                      <w:lang w:val="en-US" w:eastAsia="zh-CN"/>
                    </w:rPr>
                  </w:pPr>
                  <w:r>
                    <w:rPr>
                      <w:rFonts w:hint="default" w:ascii="Times New Roman" w:hAnsi="Times New Roman" w:cs="Times New Roman"/>
                      <w:snapToGrid w:val="0"/>
                      <w:color w:val="auto"/>
                      <w:kern w:val="0"/>
                      <w:sz w:val="21"/>
                      <w:szCs w:val="21"/>
                      <w:highlight w:val="none"/>
                      <w:lang w:val="en-US" w:eastAsia="zh-CN"/>
                    </w:rPr>
                    <w:t>全面开展传统产业集群升级改造。中小型传统制造企业集中的城市要制定涉气产业集群发展规划，严格项目审批，严防污染下乡。针对现有产业集群制定专项整治方案，依法淘汰关停一批、搬迁入园一批、就地改造一批、做优做强一批。各地要结合产业集群特点，因地制宜建设集中供热中心、集中喷涂中心、有机溶剂集中回收处置中心、活性炭集中再生中心。</w:t>
                  </w:r>
                </w:p>
              </w:tc>
              <w:tc>
                <w:tcPr>
                  <w:tcW w:w="2127" w:type="pct"/>
                  <w:tcBorders>
                    <w:tl2br w:val="nil"/>
                    <w:tr2bl w:val="nil"/>
                  </w:tcBorders>
                  <w:noWrap w:val="0"/>
                  <w:vAlign w:val="center"/>
                </w:tcPr>
                <w:p w14:paraId="7F10AFD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napToGrid w:val="0"/>
                      <w:color w:val="auto"/>
                      <w:kern w:val="0"/>
                      <w:sz w:val="21"/>
                      <w:szCs w:val="21"/>
                      <w:highlight w:val="none"/>
                      <w:lang w:val="en-US" w:eastAsia="zh-CN"/>
                    </w:rPr>
                  </w:pPr>
                  <w:r>
                    <w:rPr>
                      <w:rFonts w:hint="default" w:ascii="Times New Roman" w:hAnsi="Times New Roman" w:cs="Times New Roman"/>
                      <w:snapToGrid w:val="0"/>
                      <w:color w:val="auto"/>
                      <w:kern w:val="0"/>
                      <w:sz w:val="21"/>
                      <w:szCs w:val="21"/>
                      <w:highlight w:val="none"/>
                      <w:lang w:val="en-US" w:eastAsia="zh-CN"/>
                    </w:rPr>
                    <w:t>本项目</w:t>
                  </w:r>
                  <w:r>
                    <w:rPr>
                      <w:rFonts w:hint="eastAsia" w:ascii="Times New Roman" w:hAnsi="Times New Roman" w:cs="Times New Roman"/>
                      <w:snapToGrid w:val="0"/>
                      <w:color w:val="auto"/>
                      <w:kern w:val="0"/>
                      <w:sz w:val="21"/>
                      <w:szCs w:val="21"/>
                      <w:highlight w:val="none"/>
                      <w:lang w:val="en-US" w:eastAsia="zh-CN"/>
                    </w:rPr>
                    <w:t>位于昌吉高新技术产业开发区，为检测服务项目，供暖由园区提供，不涉及供热、喷涂、有机溶剂使用等，符合要求。</w:t>
                  </w:r>
                </w:p>
              </w:tc>
              <w:tc>
                <w:tcPr>
                  <w:tcW w:w="487" w:type="pct"/>
                  <w:tcBorders>
                    <w:tl2br w:val="nil"/>
                    <w:tr2bl w:val="nil"/>
                  </w:tcBorders>
                  <w:noWrap/>
                  <w:vAlign w:val="center"/>
                </w:tcPr>
                <w:p w14:paraId="72276A4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napToGrid w:val="0"/>
                      <w:color w:val="auto"/>
                      <w:kern w:val="0"/>
                      <w:sz w:val="21"/>
                      <w:szCs w:val="21"/>
                      <w:highlight w:val="none"/>
                      <w:lang w:val="en-US" w:eastAsia="zh-CN"/>
                    </w:rPr>
                  </w:pPr>
                  <w:r>
                    <w:rPr>
                      <w:rFonts w:hint="default" w:ascii="Times New Roman" w:hAnsi="Times New Roman" w:cs="Times New Roman"/>
                      <w:snapToGrid w:val="0"/>
                      <w:color w:val="auto"/>
                      <w:kern w:val="0"/>
                      <w:sz w:val="21"/>
                      <w:szCs w:val="21"/>
                      <w:highlight w:val="none"/>
                      <w:lang w:val="en-US" w:eastAsia="zh-CN"/>
                    </w:rPr>
                    <w:t>符合</w:t>
                  </w:r>
                </w:p>
              </w:tc>
            </w:tr>
            <w:tr w14:paraId="590C4C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385" w:type="pct"/>
                  <w:tcBorders>
                    <w:tl2br w:val="nil"/>
                    <w:tr2bl w:val="nil"/>
                  </w:tcBorders>
                  <w:noWrap w:val="0"/>
                  <w:vAlign w:val="center"/>
                </w:tcPr>
                <w:p w14:paraId="3F0EC2C9">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cs="Times New Roman"/>
                      <w:snapToGrid w:val="0"/>
                      <w:color w:val="auto"/>
                      <w:kern w:val="0"/>
                      <w:sz w:val="21"/>
                      <w:szCs w:val="21"/>
                      <w:highlight w:val="none"/>
                      <w:lang w:val="en-US" w:eastAsia="zh-CN"/>
                    </w:rPr>
                  </w:pPr>
                  <w:r>
                    <w:rPr>
                      <w:rFonts w:hint="default" w:ascii="Times New Roman" w:hAnsi="Times New Roman" w:cs="Times New Roman"/>
                      <w:snapToGrid w:val="0"/>
                      <w:color w:val="auto"/>
                      <w:kern w:val="0"/>
                      <w:sz w:val="21"/>
                      <w:szCs w:val="21"/>
                      <w:highlight w:val="none"/>
                      <w:lang w:val="en-US" w:eastAsia="zh-CN"/>
                    </w:rPr>
                    <w:t>大力发展新能源和清洁能源。到2025年，非化石能源消费比重达20%左右，电能占终端能源消费比重达30%左右。持续增加天然气生产供应，新增天然气优先保障居民生活和清洁取暖需求。</w:t>
                  </w:r>
                </w:p>
              </w:tc>
              <w:tc>
                <w:tcPr>
                  <w:tcW w:w="2127" w:type="pct"/>
                  <w:tcBorders>
                    <w:tl2br w:val="nil"/>
                    <w:tr2bl w:val="nil"/>
                  </w:tcBorders>
                  <w:noWrap w:val="0"/>
                  <w:vAlign w:val="center"/>
                </w:tcPr>
                <w:p w14:paraId="7B88988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napToGrid w:val="0"/>
                      <w:color w:val="auto"/>
                      <w:kern w:val="0"/>
                      <w:sz w:val="21"/>
                      <w:szCs w:val="21"/>
                      <w:highlight w:val="none"/>
                      <w:lang w:val="en-US" w:eastAsia="zh-CN"/>
                    </w:rPr>
                  </w:pPr>
                  <w:r>
                    <w:rPr>
                      <w:rFonts w:hint="default" w:ascii="Times New Roman" w:hAnsi="Times New Roman" w:cs="Times New Roman"/>
                      <w:snapToGrid w:val="0"/>
                      <w:color w:val="auto"/>
                      <w:kern w:val="0"/>
                      <w:sz w:val="21"/>
                      <w:szCs w:val="21"/>
                      <w:highlight w:val="none"/>
                      <w:lang w:val="en-US" w:eastAsia="zh-CN"/>
                    </w:rPr>
                    <w:t>本项目</w:t>
                  </w:r>
                  <w:r>
                    <w:rPr>
                      <w:rFonts w:hint="eastAsia" w:ascii="Times New Roman" w:hAnsi="Times New Roman" w:cs="Times New Roman"/>
                      <w:snapToGrid w:val="0"/>
                      <w:color w:val="auto"/>
                      <w:kern w:val="0"/>
                      <w:sz w:val="21"/>
                      <w:szCs w:val="21"/>
                      <w:highlight w:val="none"/>
                      <w:lang w:val="en-US" w:eastAsia="zh-CN"/>
                    </w:rPr>
                    <w:t>为检测服务项目，供暖由园区提供，不涉及新建锅炉，符合要求。</w:t>
                  </w:r>
                </w:p>
              </w:tc>
              <w:tc>
                <w:tcPr>
                  <w:tcW w:w="487" w:type="pct"/>
                  <w:tcBorders>
                    <w:tl2br w:val="nil"/>
                    <w:tr2bl w:val="nil"/>
                  </w:tcBorders>
                  <w:noWrap/>
                  <w:vAlign w:val="center"/>
                </w:tcPr>
                <w:p w14:paraId="0373C93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napToGrid w:val="0"/>
                      <w:color w:val="auto"/>
                      <w:kern w:val="0"/>
                      <w:sz w:val="21"/>
                      <w:szCs w:val="21"/>
                      <w:highlight w:val="none"/>
                      <w:lang w:val="en-US" w:eastAsia="zh-CN"/>
                    </w:rPr>
                  </w:pPr>
                  <w:r>
                    <w:rPr>
                      <w:rFonts w:hint="eastAsia" w:ascii="Times New Roman" w:hAnsi="Times New Roman" w:cs="Times New Roman"/>
                      <w:snapToGrid w:val="0"/>
                      <w:color w:val="auto"/>
                      <w:kern w:val="0"/>
                      <w:sz w:val="21"/>
                      <w:szCs w:val="21"/>
                      <w:highlight w:val="none"/>
                      <w:lang w:val="en-US" w:eastAsia="zh-CN"/>
                    </w:rPr>
                    <w:t>符合</w:t>
                  </w:r>
                </w:p>
              </w:tc>
            </w:tr>
          </w:tbl>
          <w:p w14:paraId="16C0D62E">
            <w:pPr>
              <w:spacing w:line="360" w:lineRule="auto"/>
              <w:outlineLvl w:val="1"/>
              <w:rPr>
                <w:rFonts w:hint="eastAsia"/>
                <w:b/>
                <w:bCs/>
                <w:color w:val="auto"/>
                <w:sz w:val="24"/>
                <w:lang w:val="en-US" w:eastAsia="zh-CN"/>
              </w:rPr>
            </w:pPr>
            <w:r>
              <w:rPr>
                <w:rFonts w:hint="eastAsia"/>
                <w:b/>
                <w:bCs/>
                <w:color w:val="auto"/>
                <w:sz w:val="24"/>
                <w:lang w:val="en-US" w:eastAsia="zh-CN"/>
              </w:rPr>
              <w:t>6、与《关于印发新疆维吾尔自治区2025年空气质量持续改善行动实施方案的通知》（新政办发〔2024〕58号）》符合性分析</w:t>
            </w:r>
          </w:p>
          <w:p w14:paraId="78E8DFBE">
            <w:pPr>
              <w:autoSpaceDE w:val="0"/>
              <w:autoSpaceDN w:val="0"/>
              <w:spacing w:line="360" w:lineRule="auto"/>
              <w:ind w:firstLine="480" w:firstLineChars="200"/>
              <w:rPr>
                <w:rFonts w:hint="default" w:ascii="Times New Roman" w:hAnsi="Times New Roman" w:eastAsia="宋体" w:cs="宋体"/>
                <w:color w:val="auto"/>
                <w:kern w:val="0"/>
                <w:sz w:val="24"/>
                <w:lang w:val="en-US" w:eastAsia="zh-CN"/>
              </w:rPr>
            </w:pPr>
            <w:r>
              <w:rPr>
                <w:rFonts w:hint="eastAsia" w:ascii="Times New Roman" w:hAnsi="Times New Roman" w:eastAsia="宋体" w:cs="宋体"/>
                <w:color w:val="auto"/>
                <w:kern w:val="0"/>
                <w:sz w:val="24"/>
                <w:lang w:val="en-US" w:eastAsia="zh-CN"/>
              </w:rPr>
              <w:t>根据新疆维吾尔自治区人民政府办公厅 新疆生产建设兵团办公厅关于印发《新疆维吾尔自治区2025年空气质量持续改善行动实施方案》的通知，本项目符合性分析见表1-3。</w:t>
            </w:r>
          </w:p>
          <w:p w14:paraId="63CF592F">
            <w:pPr>
              <w:pStyle w:val="2"/>
              <w:keepNext w:val="0"/>
              <w:keepLines w:val="0"/>
              <w:pageBreakBefore w:val="0"/>
              <w:widowControl/>
              <w:kinsoku/>
              <w:wordWrap/>
              <w:overflowPunct/>
              <w:topLinePunct w:val="0"/>
              <w:autoSpaceDE/>
              <w:autoSpaceDN/>
              <w:bidi w:val="0"/>
              <w:adjustRightInd/>
              <w:snapToGrid w:val="0"/>
              <w:spacing w:before="0" w:after="0" w:line="240" w:lineRule="auto"/>
              <w:ind w:left="0" w:leftChars="0" w:right="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表</w:t>
            </w:r>
            <w:r>
              <w:rPr>
                <w:rFonts w:hint="eastAsia" w:ascii="Times New Roman" w:hAnsi="Times New Roman" w:eastAsia="宋体" w:cs="Times New Roman"/>
                <w:b/>
                <w:bCs/>
                <w:color w:val="auto"/>
                <w:sz w:val="21"/>
                <w:szCs w:val="21"/>
                <w:highlight w:val="none"/>
                <w:lang w:val="en-US" w:eastAsia="zh-CN"/>
              </w:rPr>
              <w:t>1-3</w:t>
            </w:r>
            <w:r>
              <w:rPr>
                <w:rFonts w:hint="default" w:ascii="Times New Roman" w:hAnsi="Times New Roman" w:eastAsia="宋体" w:cs="Times New Roman"/>
                <w:b/>
                <w:bCs/>
                <w:color w:val="auto"/>
                <w:sz w:val="21"/>
                <w:szCs w:val="21"/>
                <w:highlight w:val="none"/>
                <w:lang w:val="en-US" w:eastAsia="zh-CN"/>
              </w:rPr>
              <w:t xml:space="preserve"> </w:t>
            </w:r>
            <w:r>
              <w:rPr>
                <w:rFonts w:hint="eastAsia" w:ascii="Times New Roman" w:hAnsi="Times New Roman" w:eastAsia="宋体" w:cs="Times New Roman"/>
                <w:b/>
                <w:bCs/>
                <w:color w:val="auto"/>
                <w:sz w:val="21"/>
                <w:szCs w:val="21"/>
                <w:highlight w:val="none"/>
                <w:lang w:val="en-US" w:eastAsia="zh-CN"/>
              </w:rPr>
              <w:t xml:space="preserve"> </w:t>
            </w:r>
            <w:r>
              <w:rPr>
                <w:rFonts w:hint="default" w:ascii="Times New Roman" w:hAnsi="Times New Roman" w:eastAsia="宋体" w:cs="Times New Roman"/>
                <w:b/>
                <w:bCs/>
                <w:color w:val="auto"/>
                <w:sz w:val="21"/>
                <w:szCs w:val="21"/>
                <w:highlight w:val="none"/>
                <w:lang w:val="en-US" w:eastAsia="zh-CN"/>
              </w:rPr>
              <w:t>与《新疆维吾尔自治区2025年空气质量持续改善行动实施方案》符合性分析</w:t>
            </w:r>
          </w:p>
          <w:tbl>
            <w:tblPr>
              <w:tblStyle w:val="28"/>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66"/>
              <w:gridCol w:w="2605"/>
              <w:gridCol w:w="846"/>
            </w:tblGrid>
            <w:tr w14:paraId="5717DA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820" w:type="pct"/>
                  <w:tcBorders>
                    <w:tl2br w:val="nil"/>
                    <w:tr2bl w:val="nil"/>
                  </w:tcBorders>
                  <w:noWrap/>
                  <w:vAlign w:val="center"/>
                </w:tcPr>
                <w:p w14:paraId="49AF4F1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napToGrid w:val="0"/>
                      <w:color w:val="auto"/>
                      <w:kern w:val="0"/>
                      <w:sz w:val="21"/>
                      <w:szCs w:val="21"/>
                      <w:highlight w:val="none"/>
                      <w:lang w:val="en-US" w:eastAsia="zh-CN"/>
                    </w:rPr>
                  </w:pPr>
                  <w:r>
                    <w:rPr>
                      <w:rFonts w:hint="default" w:ascii="Times New Roman" w:hAnsi="Times New Roman" w:cs="Times New Roman"/>
                      <w:snapToGrid w:val="0"/>
                      <w:color w:val="auto"/>
                      <w:kern w:val="0"/>
                      <w:sz w:val="21"/>
                      <w:szCs w:val="21"/>
                      <w:highlight w:val="none"/>
                      <w:lang w:val="en-US" w:eastAsia="zh-CN"/>
                    </w:rPr>
                    <w:t>相关要求</w:t>
                  </w:r>
                </w:p>
              </w:tc>
              <w:tc>
                <w:tcPr>
                  <w:tcW w:w="1645" w:type="pct"/>
                  <w:tcBorders>
                    <w:tl2br w:val="nil"/>
                    <w:tr2bl w:val="nil"/>
                  </w:tcBorders>
                  <w:noWrap/>
                  <w:vAlign w:val="center"/>
                </w:tcPr>
                <w:p w14:paraId="38327CE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napToGrid w:val="0"/>
                      <w:color w:val="auto"/>
                      <w:kern w:val="0"/>
                      <w:sz w:val="21"/>
                      <w:szCs w:val="21"/>
                      <w:highlight w:val="none"/>
                      <w:lang w:val="en-US" w:eastAsia="zh-CN"/>
                    </w:rPr>
                  </w:pPr>
                  <w:r>
                    <w:rPr>
                      <w:rFonts w:hint="default" w:ascii="Times New Roman" w:hAnsi="Times New Roman" w:cs="Times New Roman"/>
                      <w:snapToGrid w:val="0"/>
                      <w:color w:val="auto"/>
                      <w:kern w:val="0"/>
                      <w:sz w:val="21"/>
                      <w:szCs w:val="21"/>
                      <w:highlight w:val="none"/>
                      <w:lang w:val="en-US" w:eastAsia="zh-CN"/>
                    </w:rPr>
                    <w:t>本项目情况</w:t>
                  </w:r>
                </w:p>
              </w:tc>
              <w:tc>
                <w:tcPr>
                  <w:tcW w:w="534" w:type="pct"/>
                  <w:tcBorders>
                    <w:tl2br w:val="nil"/>
                    <w:tr2bl w:val="nil"/>
                  </w:tcBorders>
                  <w:noWrap/>
                  <w:vAlign w:val="center"/>
                </w:tcPr>
                <w:p w14:paraId="6E12F3F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napToGrid w:val="0"/>
                      <w:color w:val="auto"/>
                      <w:kern w:val="0"/>
                      <w:sz w:val="21"/>
                      <w:szCs w:val="21"/>
                      <w:highlight w:val="none"/>
                      <w:lang w:val="en-US" w:eastAsia="zh-CN"/>
                    </w:rPr>
                  </w:pPr>
                  <w:r>
                    <w:rPr>
                      <w:rFonts w:hint="default" w:ascii="Times New Roman" w:hAnsi="Times New Roman" w:cs="Times New Roman"/>
                      <w:snapToGrid w:val="0"/>
                      <w:color w:val="auto"/>
                      <w:kern w:val="0"/>
                      <w:sz w:val="21"/>
                      <w:szCs w:val="21"/>
                      <w:highlight w:val="none"/>
                      <w:lang w:val="en-US" w:eastAsia="zh-CN"/>
                    </w:rPr>
                    <w:t>符合性</w:t>
                  </w:r>
                </w:p>
              </w:tc>
            </w:tr>
            <w:tr w14:paraId="0B6772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820" w:type="pct"/>
                  <w:tcBorders>
                    <w:tl2br w:val="nil"/>
                    <w:tr2bl w:val="nil"/>
                  </w:tcBorders>
                  <w:noWrap w:val="0"/>
                  <w:vAlign w:val="center"/>
                </w:tcPr>
                <w:p w14:paraId="45465DCC">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cs="Times New Roman"/>
                      <w:snapToGrid w:val="0"/>
                      <w:color w:val="auto"/>
                      <w:kern w:val="0"/>
                      <w:sz w:val="21"/>
                      <w:szCs w:val="21"/>
                      <w:highlight w:val="none"/>
                      <w:lang w:val="en-US" w:eastAsia="zh-CN"/>
                    </w:rPr>
                  </w:pPr>
                  <w:r>
                    <w:rPr>
                      <w:rFonts w:hint="default" w:ascii="Times New Roman" w:hAnsi="Times New Roman" w:cs="Times New Roman"/>
                      <w:snapToGrid w:val="0"/>
                      <w:color w:val="auto"/>
                      <w:kern w:val="0"/>
                      <w:sz w:val="21"/>
                      <w:szCs w:val="21"/>
                      <w:highlight w:val="none"/>
                      <w:lang w:val="en-US" w:eastAsia="zh-CN"/>
                    </w:rPr>
                    <w:t>（一）坚决遏制高耗能、高排放、低水平项目盲目上马。新改扩建项目严格落实国家和自治区产业规划、产业政策、生态环境分区管控方案、规划环评、项目环评、节能审查、产能置换、重点污染物总量控制、污染物排放区域削减、碳排放达峰目标等相关要求，原则上采用清洁运输方式，达到能效标杆水平、环保绩效A级水平。涉及产能置换的项目，被置换产能及设备关停后，新建项目方可投产。</w:t>
                  </w:r>
                </w:p>
                <w:p w14:paraId="3A43A3A9">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cs="Times New Roman"/>
                      <w:snapToGrid w:val="0"/>
                      <w:color w:val="auto"/>
                      <w:kern w:val="0"/>
                      <w:sz w:val="21"/>
                      <w:szCs w:val="21"/>
                      <w:highlight w:val="none"/>
                      <w:lang w:val="en-US" w:eastAsia="zh-CN"/>
                    </w:rPr>
                  </w:pPr>
                  <w:r>
                    <w:rPr>
                      <w:rFonts w:hint="default" w:ascii="Times New Roman" w:hAnsi="Times New Roman" w:cs="Times New Roman"/>
                      <w:snapToGrid w:val="0"/>
                      <w:color w:val="auto"/>
                      <w:kern w:val="0"/>
                      <w:sz w:val="21"/>
                      <w:szCs w:val="21"/>
                      <w:highlight w:val="none"/>
                      <w:lang w:val="en-US" w:eastAsia="zh-CN"/>
                    </w:rPr>
                    <w:t>严格落实钢铁产能置换，联防联控区严禁新增钢铁产能。推行钢铁、焦化、烧结一体化布局，大幅减少独立焦化、烧结、球团和热轧企业及工序。到2025年，短流程炼钢产量占比力争提升至15%。</w:t>
                  </w:r>
                </w:p>
              </w:tc>
              <w:tc>
                <w:tcPr>
                  <w:tcW w:w="1645" w:type="pct"/>
                  <w:tcBorders>
                    <w:tl2br w:val="nil"/>
                    <w:tr2bl w:val="nil"/>
                  </w:tcBorders>
                  <w:noWrap w:val="0"/>
                  <w:vAlign w:val="center"/>
                </w:tcPr>
                <w:p w14:paraId="31CB77B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napToGrid w:val="0"/>
                      <w:color w:val="auto"/>
                      <w:kern w:val="0"/>
                      <w:sz w:val="21"/>
                      <w:szCs w:val="21"/>
                      <w:highlight w:val="none"/>
                      <w:lang w:val="en-US" w:eastAsia="zh-CN"/>
                    </w:rPr>
                  </w:pPr>
                  <w:r>
                    <w:rPr>
                      <w:rFonts w:hint="eastAsia" w:ascii="Times New Roman" w:hAnsi="Times New Roman" w:cs="Times New Roman"/>
                      <w:snapToGrid w:val="0"/>
                      <w:color w:val="auto"/>
                      <w:kern w:val="0"/>
                      <w:sz w:val="21"/>
                      <w:szCs w:val="21"/>
                      <w:highlight w:val="none"/>
                      <w:lang w:val="en-US" w:eastAsia="zh-CN"/>
                    </w:rPr>
                    <w:t>项目属于检测服务项目，不属于高耗能高排放项目。项目位于昌吉高新技术产业开发区，根据前文分析，项目符合园区规划及规划环评，符合国家产业政策，符合昌吉回族自治州生态环境分区管控方案，</w:t>
                  </w:r>
                  <w:r>
                    <w:rPr>
                      <w:rFonts w:hint="eastAsia" w:ascii="Times New Roman" w:hAnsi="Times New Roman" w:cs="Times New Roman"/>
                      <w:snapToGrid w:val="0"/>
                      <w:color w:val="FF0000"/>
                      <w:kern w:val="0"/>
                      <w:sz w:val="21"/>
                      <w:szCs w:val="21"/>
                      <w:highlight w:val="none"/>
                      <w:lang w:val="en-US" w:eastAsia="zh-CN"/>
                    </w:rPr>
                    <w:t>项目</w:t>
                  </w:r>
                  <w:r>
                    <w:rPr>
                      <w:rFonts w:hint="eastAsia" w:cs="Times New Roman"/>
                      <w:snapToGrid w:val="0"/>
                      <w:color w:val="FF0000"/>
                      <w:kern w:val="0"/>
                      <w:sz w:val="21"/>
                      <w:szCs w:val="21"/>
                      <w:highlight w:val="none"/>
                      <w:lang w:val="en-US" w:eastAsia="zh-CN"/>
                    </w:rPr>
                    <w:t>不涉及总量控制</w:t>
                  </w:r>
                  <w:r>
                    <w:rPr>
                      <w:rFonts w:hint="eastAsia" w:ascii="Times New Roman" w:hAnsi="Times New Roman" w:cs="Times New Roman"/>
                      <w:snapToGrid w:val="0"/>
                      <w:color w:val="FF0000"/>
                      <w:kern w:val="0"/>
                      <w:sz w:val="21"/>
                      <w:szCs w:val="21"/>
                      <w:highlight w:val="none"/>
                      <w:lang w:val="en-US" w:eastAsia="zh-CN"/>
                    </w:rPr>
                    <w:t>，</w:t>
                  </w:r>
                  <w:r>
                    <w:rPr>
                      <w:rFonts w:hint="eastAsia" w:ascii="Times New Roman" w:hAnsi="Times New Roman" w:cs="Times New Roman"/>
                      <w:snapToGrid w:val="0"/>
                      <w:color w:val="auto"/>
                      <w:kern w:val="0"/>
                      <w:sz w:val="21"/>
                      <w:szCs w:val="21"/>
                      <w:highlight w:val="none"/>
                      <w:lang w:val="en-US" w:eastAsia="zh-CN"/>
                    </w:rPr>
                    <w:t>符合要求。</w:t>
                  </w:r>
                </w:p>
              </w:tc>
              <w:tc>
                <w:tcPr>
                  <w:tcW w:w="534" w:type="pct"/>
                  <w:tcBorders>
                    <w:tl2br w:val="nil"/>
                    <w:tr2bl w:val="nil"/>
                  </w:tcBorders>
                  <w:noWrap/>
                  <w:vAlign w:val="center"/>
                </w:tcPr>
                <w:p w14:paraId="4796DEA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napToGrid w:val="0"/>
                      <w:color w:val="auto"/>
                      <w:kern w:val="0"/>
                      <w:sz w:val="21"/>
                      <w:szCs w:val="21"/>
                      <w:highlight w:val="none"/>
                      <w:lang w:val="en-US" w:eastAsia="zh-CN"/>
                    </w:rPr>
                  </w:pPr>
                  <w:r>
                    <w:rPr>
                      <w:rFonts w:hint="default" w:ascii="Times New Roman" w:hAnsi="Times New Roman" w:cs="Times New Roman"/>
                      <w:snapToGrid w:val="0"/>
                      <w:color w:val="auto"/>
                      <w:kern w:val="0"/>
                      <w:sz w:val="21"/>
                      <w:szCs w:val="21"/>
                      <w:highlight w:val="none"/>
                      <w:lang w:val="en-US" w:eastAsia="zh-CN"/>
                    </w:rPr>
                    <w:t>符合</w:t>
                  </w:r>
                </w:p>
              </w:tc>
            </w:tr>
            <w:tr w14:paraId="377365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820" w:type="pct"/>
                  <w:tcBorders>
                    <w:tl2br w:val="nil"/>
                    <w:tr2bl w:val="nil"/>
                  </w:tcBorders>
                  <w:noWrap w:val="0"/>
                  <w:vAlign w:val="center"/>
                </w:tcPr>
                <w:p w14:paraId="10556F59">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cs="Times New Roman"/>
                      <w:snapToGrid w:val="0"/>
                      <w:color w:val="auto"/>
                      <w:kern w:val="0"/>
                      <w:sz w:val="21"/>
                      <w:szCs w:val="21"/>
                      <w:highlight w:val="none"/>
                      <w:lang w:val="en-US" w:eastAsia="zh-CN"/>
                    </w:rPr>
                  </w:pPr>
                  <w:r>
                    <w:rPr>
                      <w:rFonts w:hint="default" w:ascii="Times New Roman" w:hAnsi="Times New Roman" w:cs="Times New Roman"/>
                      <w:snapToGrid w:val="0"/>
                      <w:color w:val="auto"/>
                      <w:kern w:val="0"/>
                      <w:sz w:val="21"/>
                      <w:szCs w:val="21"/>
                      <w:highlight w:val="none"/>
                      <w:lang w:val="en-US" w:eastAsia="zh-CN"/>
                    </w:rPr>
                    <w:t>（二）退出重点行业落后产能。严格执行《产业结构调整指导目录》，依法依规淘汰落后产能。联防联控区进一步提高落后产能能耗、环保、质量、安全、技术等要求，逐步退出限制类涉气行业工艺和装备。提升工业重点领域产能能效标杆水平，到2025年，重点行业能效标杆水平产能比例力争达到30%，能效基准水平以下产能基本清零。联防联控区淘汰炭化室高度4.3米及以下焦炉。</w:t>
                  </w:r>
                </w:p>
              </w:tc>
              <w:tc>
                <w:tcPr>
                  <w:tcW w:w="1645" w:type="pct"/>
                  <w:tcBorders>
                    <w:tl2br w:val="nil"/>
                    <w:tr2bl w:val="nil"/>
                  </w:tcBorders>
                  <w:noWrap w:val="0"/>
                  <w:vAlign w:val="center"/>
                </w:tcPr>
                <w:p w14:paraId="51B87C6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napToGrid w:val="0"/>
                      <w:color w:val="auto"/>
                      <w:kern w:val="0"/>
                      <w:sz w:val="21"/>
                      <w:szCs w:val="21"/>
                      <w:highlight w:val="none"/>
                      <w:lang w:val="en-US" w:eastAsia="zh-CN"/>
                    </w:rPr>
                  </w:pPr>
                  <w:r>
                    <w:rPr>
                      <w:rFonts w:hint="default" w:ascii="Times New Roman" w:hAnsi="Times New Roman" w:cs="Times New Roman"/>
                      <w:snapToGrid w:val="0"/>
                      <w:color w:val="auto"/>
                      <w:kern w:val="0"/>
                      <w:sz w:val="21"/>
                      <w:szCs w:val="21"/>
                      <w:highlight w:val="none"/>
                      <w:lang w:val="en-US" w:eastAsia="zh-CN"/>
                    </w:rPr>
                    <w:t>本项目</w:t>
                  </w:r>
                  <w:r>
                    <w:rPr>
                      <w:rFonts w:hint="eastAsia" w:ascii="Times New Roman" w:hAnsi="Times New Roman" w:cs="Times New Roman"/>
                      <w:snapToGrid w:val="0"/>
                      <w:color w:val="auto"/>
                      <w:kern w:val="0"/>
                      <w:sz w:val="21"/>
                      <w:szCs w:val="21"/>
                      <w:highlight w:val="none"/>
                      <w:lang w:val="en-US" w:eastAsia="zh-CN"/>
                    </w:rPr>
                    <w:t>属于检测服务项目</w:t>
                  </w:r>
                  <w:r>
                    <w:rPr>
                      <w:rFonts w:hint="default" w:ascii="Times New Roman" w:hAnsi="Times New Roman" w:cs="Times New Roman"/>
                      <w:snapToGrid w:val="0"/>
                      <w:color w:val="auto"/>
                      <w:kern w:val="0"/>
                      <w:sz w:val="21"/>
                      <w:szCs w:val="21"/>
                      <w:highlight w:val="none"/>
                      <w:lang w:val="en-US" w:eastAsia="zh-CN"/>
                    </w:rPr>
                    <w:t>，</w:t>
                  </w:r>
                  <w:r>
                    <w:rPr>
                      <w:rFonts w:hint="eastAsia" w:ascii="Times New Roman" w:hAnsi="Times New Roman" w:cs="Times New Roman"/>
                      <w:snapToGrid w:val="0"/>
                      <w:color w:val="auto"/>
                      <w:kern w:val="0"/>
                      <w:sz w:val="21"/>
                      <w:szCs w:val="21"/>
                      <w:highlight w:val="none"/>
                      <w:lang w:val="en-US" w:eastAsia="zh-CN"/>
                    </w:rPr>
                    <w:t>根据</w:t>
                  </w:r>
                  <w:r>
                    <w:rPr>
                      <w:rFonts w:hint="default" w:ascii="Times New Roman" w:hAnsi="Times New Roman" w:cs="Times New Roman"/>
                      <w:snapToGrid w:val="0"/>
                      <w:color w:val="auto"/>
                      <w:kern w:val="0"/>
                      <w:sz w:val="21"/>
                      <w:szCs w:val="21"/>
                      <w:highlight w:val="none"/>
                      <w:lang w:val="en-US" w:eastAsia="zh-CN"/>
                    </w:rPr>
                    <w:t>《产业结构调整指导目录（2024年本）》，</w:t>
                  </w:r>
                  <w:r>
                    <w:rPr>
                      <w:rFonts w:hint="eastAsia" w:ascii="Times New Roman" w:hAnsi="Times New Roman" w:cs="Times New Roman"/>
                      <w:snapToGrid w:val="0"/>
                      <w:color w:val="auto"/>
                      <w:kern w:val="0"/>
                      <w:sz w:val="21"/>
                      <w:szCs w:val="21"/>
                      <w:highlight w:val="none"/>
                      <w:lang w:val="en-US" w:eastAsia="zh-CN"/>
                    </w:rPr>
                    <w:t>项目属于鼓励类项目，符合国家产业政策，项目不涉及使用清洁生产水平低的工艺和装备，符合要求。</w:t>
                  </w:r>
                </w:p>
              </w:tc>
              <w:tc>
                <w:tcPr>
                  <w:tcW w:w="534" w:type="pct"/>
                  <w:tcBorders>
                    <w:tl2br w:val="nil"/>
                    <w:tr2bl w:val="nil"/>
                  </w:tcBorders>
                  <w:noWrap/>
                  <w:vAlign w:val="center"/>
                </w:tcPr>
                <w:p w14:paraId="55A86E5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napToGrid w:val="0"/>
                      <w:color w:val="auto"/>
                      <w:kern w:val="0"/>
                      <w:sz w:val="21"/>
                      <w:szCs w:val="21"/>
                      <w:highlight w:val="none"/>
                      <w:lang w:val="en-US" w:eastAsia="zh-CN"/>
                    </w:rPr>
                  </w:pPr>
                  <w:r>
                    <w:rPr>
                      <w:rFonts w:hint="default" w:ascii="Times New Roman" w:hAnsi="Times New Roman" w:cs="Times New Roman"/>
                      <w:snapToGrid w:val="0"/>
                      <w:color w:val="auto"/>
                      <w:kern w:val="0"/>
                      <w:sz w:val="21"/>
                      <w:szCs w:val="21"/>
                      <w:highlight w:val="none"/>
                      <w:lang w:val="en-US" w:eastAsia="zh-CN"/>
                    </w:rPr>
                    <w:t>符合</w:t>
                  </w:r>
                </w:p>
              </w:tc>
            </w:tr>
            <w:tr w14:paraId="427DF4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820" w:type="pct"/>
                  <w:tcBorders>
                    <w:tl2br w:val="nil"/>
                    <w:tr2bl w:val="nil"/>
                  </w:tcBorders>
                  <w:noWrap w:val="0"/>
                  <w:vAlign w:val="center"/>
                </w:tcPr>
                <w:p w14:paraId="67353D4E">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cs="Times New Roman"/>
                      <w:snapToGrid w:val="0"/>
                      <w:color w:val="auto"/>
                      <w:kern w:val="0"/>
                      <w:sz w:val="21"/>
                      <w:szCs w:val="21"/>
                      <w:highlight w:val="none"/>
                      <w:lang w:val="en-US" w:eastAsia="zh-CN"/>
                    </w:rPr>
                  </w:pPr>
                  <w:r>
                    <w:rPr>
                      <w:rFonts w:hint="default" w:ascii="Times New Roman" w:hAnsi="Times New Roman" w:cs="Times New Roman"/>
                      <w:snapToGrid w:val="0"/>
                      <w:color w:val="auto"/>
                      <w:kern w:val="0"/>
                      <w:sz w:val="21"/>
                      <w:szCs w:val="21"/>
                      <w:highlight w:val="none"/>
                      <w:lang w:val="en-US" w:eastAsia="zh-CN"/>
                    </w:rPr>
                    <w:t>（三）推进传统产业集群升级改造。推动传统产业集群升级发展，开展产业集群专项治理，依法淘汰关停一批、搬迁入园一批、就地改造一批、做优做强一批，因地制宜建设集中供热中心、集中喷涂中心、活性炭集中再生中心和有机溶剂集中回收处置中心。</w:t>
                  </w:r>
                </w:p>
              </w:tc>
              <w:tc>
                <w:tcPr>
                  <w:tcW w:w="1645" w:type="pct"/>
                  <w:tcBorders>
                    <w:tl2br w:val="nil"/>
                    <w:tr2bl w:val="nil"/>
                  </w:tcBorders>
                  <w:noWrap w:val="0"/>
                  <w:vAlign w:val="center"/>
                </w:tcPr>
                <w:p w14:paraId="7FF546E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napToGrid w:val="0"/>
                      <w:color w:val="auto"/>
                      <w:kern w:val="0"/>
                      <w:sz w:val="21"/>
                      <w:szCs w:val="21"/>
                      <w:highlight w:val="none"/>
                      <w:lang w:val="en-US" w:eastAsia="zh-CN"/>
                    </w:rPr>
                  </w:pPr>
                  <w:r>
                    <w:rPr>
                      <w:rFonts w:hint="default" w:ascii="Times New Roman" w:hAnsi="Times New Roman" w:cs="Times New Roman"/>
                      <w:snapToGrid w:val="0"/>
                      <w:color w:val="auto"/>
                      <w:kern w:val="0"/>
                      <w:sz w:val="21"/>
                      <w:szCs w:val="21"/>
                      <w:highlight w:val="none"/>
                      <w:lang w:val="en-US" w:eastAsia="zh-CN"/>
                    </w:rPr>
                    <w:t>本项目</w:t>
                  </w:r>
                  <w:r>
                    <w:rPr>
                      <w:rFonts w:hint="eastAsia" w:ascii="Times New Roman" w:hAnsi="Times New Roman" w:cs="Times New Roman"/>
                      <w:snapToGrid w:val="0"/>
                      <w:color w:val="auto"/>
                      <w:kern w:val="0"/>
                      <w:sz w:val="21"/>
                      <w:szCs w:val="21"/>
                      <w:highlight w:val="none"/>
                      <w:lang w:val="en-US" w:eastAsia="zh-CN"/>
                    </w:rPr>
                    <w:t>位于昌吉高新技术产业开发区，为检测服务项目，供暖由园区提供，不涉及供热、喷涂、有机溶剂使用等，符合要求。</w:t>
                  </w:r>
                </w:p>
              </w:tc>
              <w:tc>
                <w:tcPr>
                  <w:tcW w:w="534" w:type="pct"/>
                  <w:tcBorders>
                    <w:tl2br w:val="nil"/>
                    <w:tr2bl w:val="nil"/>
                  </w:tcBorders>
                  <w:noWrap/>
                  <w:vAlign w:val="center"/>
                </w:tcPr>
                <w:p w14:paraId="03AD75E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napToGrid w:val="0"/>
                      <w:color w:val="auto"/>
                      <w:kern w:val="0"/>
                      <w:sz w:val="21"/>
                      <w:szCs w:val="21"/>
                      <w:highlight w:val="none"/>
                      <w:lang w:val="en-US" w:eastAsia="zh-CN"/>
                    </w:rPr>
                  </w:pPr>
                  <w:r>
                    <w:rPr>
                      <w:rFonts w:hint="default" w:ascii="Times New Roman" w:hAnsi="Times New Roman" w:cs="Times New Roman"/>
                      <w:snapToGrid w:val="0"/>
                      <w:color w:val="auto"/>
                      <w:kern w:val="0"/>
                      <w:sz w:val="21"/>
                      <w:szCs w:val="21"/>
                      <w:highlight w:val="none"/>
                      <w:lang w:val="en-US" w:eastAsia="zh-CN"/>
                    </w:rPr>
                    <w:t>符合</w:t>
                  </w:r>
                </w:p>
              </w:tc>
            </w:tr>
            <w:tr w14:paraId="200D3E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820" w:type="pct"/>
                  <w:tcBorders>
                    <w:tl2br w:val="nil"/>
                    <w:tr2bl w:val="nil"/>
                  </w:tcBorders>
                  <w:noWrap w:val="0"/>
                  <w:vAlign w:val="center"/>
                </w:tcPr>
                <w:p w14:paraId="637FEA1A">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cs="Times New Roman"/>
                      <w:snapToGrid w:val="0"/>
                      <w:color w:val="auto"/>
                      <w:kern w:val="0"/>
                      <w:sz w:val="21"/>
                      <w:szCs w:val="21"/>
                      <w:highlight w:val="none"/>
                      <w:lang w:val="en-US" w:eastAsia="zh-CN"/>
                    </w:rPr>
                  </w:pPr>
                  <w:r>
                    <w:rPr>
                      <w:rFonts w:hint="default" w:ascii="Times New Roman" w:hAnsi="Times New Roman" w:cs="Times New Roman"/>
                      <w:snapToGrid w:val="0"/>
                      <w:color w:val="auto"/>
                      <w:kern w:val="0"/>
                      <w:sz w:val="21"/>
                      <w:szCs w:val="21"/>
                      <w:highlight w:val="none"/>
                      <w:lang w:val="en-US" w:eastAsia="zh-CN"/>
                    </w:rPr>
                    <w:t>（七）持续推进工业炉窑清洁能源替代。有序推进以电代煤，稳妥推进以气代煤。联防联控区原则上不再新增燃料类煤气发生炉，新改扩建加热炉、热处理炉、干燥炉、熔化炉原则上采用清洁低碳能源；安全稳妥推进使用高污染燃料的工业炉窑改用工业余热、电能、天然气等；燃料类煤气发生炉实行清洁能源替代，或因地制宜采取园区（集群）集中供气、分散使用方式；逐步淘汰固定床间歇式煤气发生炉。</w:t>
                  </w:r>
                </w:p>
              </w:tc>
              <w:tc>
                <w:tcPr>
                  <w:tcW w:w="1645" w:type="pct"/>
                  <w:tcBorders>
                    <w:tl2br w:val="nil"/>
                    <w:tr2bl w:val="nil"/>
                  </w:tcBorders>
                  <w:noWrap w:val="0"/>
                  <w:vAlign w:val="center"/>
                </w:tcPr>
                <w:p w14:paraId="26C8269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napToGrid w:val="0"/>
                      <w:color w:val="auto"/>
                      <w:kern w:val="0"/>
                      <w:sz w:val="21"/>
                      <w:szCs w:val="21"/>
                      <w:highlight w:val="none"/>
                      <w:lang w:val="en-US" w:eastAsia="zh-CN"/>
                    </w:rPr>
                  </w:pPr>
                  <w:r>
                    <w:rPr>
                      <w:rFonts w:hint="default" w:ascii="Times New Roman" w:hAnsi="Times New Roman" w:cs="Times New Roman"/>
                      <w:snapToGrid w:val="0"/>
                      <w:color w:val="auto"/>
                      <w:kern w:val="0"/>
                      <w:sz w:val="21"/>
                      <w:szCs w:val="21"/>
                      <w:highlight w:val="none"/>
                      <w:lang w:val="en-US" w:eastAsia="zh-CN"/>
                    </w:rPr>
                    <w:t>本项目</w:t>
                  </w:r>
                  <w:r>
                    <w:rPr>
                      <w:rFonts w:hint="eastAsia" w:ascii="Times New Roman" w:hAnsi="Times New Roman" w:cs="Times New Roman"/>
                      <w:snapToGrid w:val="0"/>
                      <w:color w:val="auto"/>
                      <w:kern w:val="0"/>
                      <w:sz w:val="21"/>
                      <w:szCs w:val="21"/>
                      <w:highlight w:val="none"/>
                      <w:lang w:val="en-US" w:eastAsia="zh-CN"/>
                    </w:rPr>
                    <w:t>为检测服务项目，供暖由园区提供，不涉及新建锅炉，符合要求。</w:t>
                  </w:r>
                </w:p>
              </w:tc>
              <w:tc>
                <w:tcPr>
                  <w:tcW w:w="534" w:type="pct"/>
                  <w:tcBorders>
                    <w:tl2br w:val="nil"/>
                    <w:tr2bl w:val="nil"/>
                  </w:tcBorders>
                  <w:noWrap/>
                  <w:vAlign w:val="center"/>
                </w:tcPr>
                <w:p w14:paraId="681CDCA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snapToGrid w:val="0"/>
                      <w:color w:val="auto"/>
                      <w:kern w:val="0"/>
                      <w:sz w:val="21"/>
                      <w:szCs w:val="21"/>
                      <w:highlight w:val="none"/>
                      <w:lang w:val="en-US" w:eastAsia="zh-CN"/>
                    </w:rPr>
                  </w:pPr>
                  <w:r>
                    <w:rPr>
                      <w:rFonts w:hint="eastAsia" w:ascii="Times New Roman" w:hAnsi="Times New Roman" w:cs="Times New Roman"/>
                      <w:snapToGrid w:val="0"/>
                      <w:color w:val="auto"/>
                      <w:kern w:val="0"/>
                      <w:sz w:val="21"/>
                      <w:szCs w:val="21"/>
                      <w:highlight w:val="none"/>
                      <w:lang w:val="en-US" w:eastAsia="zh-CN"/>
                    </w:rPr>
                    <w:t>符合</w:t>
                  </w:r>
                </w:p>
              </w:tc>
            </w:tr>
          </w:tbl>
          <w:p w14:paraId="686E2A5F">
            <w:pPr>
              <w:spacing w:line="360" w:lineRule="auto"/>
              <w:outlineLvl w:val="1"/>
              <w:rPr>
                <w:rFonts w:hint="default"/>
                <w:b/>
                <w:bCs/>
                <w:color w:val="auto"/>
                <w:sz w:val="24"/>
                <w:lang w:val="en-US" w:eastAsia="zh-CN"/>
              </w:rPr>
            </w:pPr>
            <w:r>
              <w:rPr>
                <w:rFonts w:hint="eastAsia"/>
                <w:b/>
                <w:bCs/>
                <w:color w:val="auto"/>
                <w:sz w:val="24"/>
                <w:lang w:val="en-US" w:eastAsia="zh-CN"/>
              </w:rPr>
              <w:t>7、与《关于“乌—昌—石”区域执行大气污染物特别排放限值的公告》（公告〔2023〕20号）符合性分析</w:t>
            </w:r>
          </w:p>
          <w:p w14:paraId="4261C982">
            <w:pPr>
              <w:autoSpaceDE w:val="0"/>
              <w:autoSpaceDN w:val="0"/>
              <w:spacing w:line="360" w:lineRule="auto"/>
              <w:ind w:firstLine="480" w:firstLineChars="200"/>
              <w:rPr>
                <w:rFonts w:hint="eastAsia" w:ascii="Times New Roman" w:hAnsi="Times New Roman" w:eastAsia="宋体" w:cs="宋体"/>
                <w:color w:val="auto"/>
                <w:kern w:val="0"/>
                <w:sz w:val="24"/>
                <w:lang w:val="en-US" w:eastAsia="zh-CN"/>
              </w:rPr>
            </w:pPr>
            <w:r>
              <w:rPr>
                <w:rFonts w:hint="eastAsia" w:ascii="Times New Roman" w:hAnsi="Times New Roman" w:eastAsia="宋体" w:cs="宋体"/>
                <w:color w:val="auto"/>
                <w:kern w:val="0"/>
                <w:sz w:val="24"/>
                <w:lang w:val="en-US" w:eastAsia="zh-CN"/>
              </w:rPr>
              <w:t>根据《关于“乌—昌—石”区域执行大气污染物特别排放限值的公告》，</w:t>
            </w:r>
          </w:p>
          <w:p w14:paraId="07837942">
            <w:pPr>
              <w:autoSpaceDE w:val="0"/>
              <w:autoSpaceDN w:val="0"/>
              <w:spacing w:line="360" w:lineRule="auto"/>
              <w:ind w:firstLine="480" w:firstLineChars="200"/>
              <w:rPr>
                <w:rFonts w:hint="eastAsia" w:ascii="Times New Roman" w:hAnsi="Times New Roman" w:eastAsia="宋体" w:cs="宋体"/>
                <w:color w:val="auto"/>
                <w:kern w:val="0"/>
                <w:sz w:val="24"/>
                <w:lang w:val="en-US" w:eastAsia="zh-CN"/>
              </w:rPr>
            </w:pPr>
            <w:r>
              <w:rPr>
                <w:rFonts w:hint="eastAsia" w:ascii="Times New Roman" w:hAnsi="Times New Roman" w:eastAsia="宋体" w:cs="宋体"/>
                <w:color w:val="auto"/>
                <w:kern w:val="0"/>
                <w:sz w:val="24"/>
                <w:lang w:val="en-US" w:eastAsia="zh-CN"/>
              </w:rPr>
              <w:t>(一)新建企业(项目)</w:t>
            </w:r>
          </w:p>
          <w:p w14:paraId="3990A69C">
            <w:pPr>
              <w:autoSpaceDE w:val="0"/>
              <w:autoSpaceDN w:val="0"/>
              <w:spacing w:line="360" w:lineRule="auto"/>
              <w:ind w:firstLine="480" w:firstLineChars="200"/>
              <w:rPr>
                <w:rFonts w:hint="eastAsia" w:ascii="Times New Roman" w:hAnsi="Times New Roman" w:eastAsia="宋体" w:cs="宋体"/>
                <w:color w:val="auto"/>
                <w:kern w:val="0"/>
                <w:sz w:val="24"/>
                <w:lang w:val="en-US" w:eastAsia="zh-CN"/>
              </w:rPr>
            </w:pPr>
            <w:r>
              <w:rPr>
                <w:rFonts w:hint="eastAsia" w:ascii="Times New Roman" w:hAnsi="Times New Roman" w:eastAsia="宋体" w:cs="宋体"/>
                <w:color w:val="auto"/>
                <w:kern w:val="0"/>
                <w:sz w:val="24"/>
                <w:lang w:val="en-US" w:eastAsia="zh-CN"/>
              </w:rPr>
              <w:t>1.对于国家排放标准及修改单中已规定大气污染物特别排放限值或特别控制要求的行业以及锅炉，自本公告发布之日起，新受理环评的建设项目执行国家排放标准及修改单中特别排放限值和特别控制要求。</w:t>
            </w:r>
          </w:p>
          <w:p w14:paraId="6476A40E">
            <w:pPr>
              <w:autoSpaceDE w:val="0"/>
              <w:autoSpaceDN w:val="0"/>
              <w:spacing w:line="360" w:lineRule="auto"/>
              <w:ind w:firstLine="480" w:firstLineChars="200"/>
              <w:rPr>
                <w:rFonts w:hint="eastAsia" w:ascii="Times New Roman" w:hAnsi="Times New Roman" w:eastAsia="宋体" w:cs="宋体"/>
                <w:color w:val="auto"/>
                <w:kern w:val="0"/>
                <w:sz w:val="24"/>
                <w:lang w:val="en-US" w:eastAsia="zh-CN"/>
              </w:rPr>
            </w:pPr>
            <w:r>
              <w:rPr>
                <w:rFonts w:hint="eastAsia" w:ascii="Times New Roman" w:hAnsi="Times New Roman" w:eastAsia="宋体" w:cs="宋体"/>
                <w:color w:val="auto"/>
                <w:kern w:val="0"/>
                <w:sz w:val="24"/>
                <w:lang w:val="en-US" w:eastAsia="zh-CN"/>
              </w:rPr>
              <w:t>2.对于目前国家排放标准及修改单中未规定大气污染物特别排放限值的行业，待相应排放标准制修订或修改后，新受理环评的建设项目执行相应大气污染物特别排放限值，执行时间与排放标准实施时间或标准修改单发布时间同步。</w:t>
            </w:r>
          </w:p>
          <w:p w14:paraId="43B5C922">
            <w:pPr>
              <w:autoSpaceDE w:val="0"/>
              <w:autoSpaceDN w:val="0"/>
              <w:spacing w:line="360" w:lineRule="auto"/>
              <w:ind w:firstLine="480" w:firstLineChars="200"/>
              <w:rPr>
                <w:rFonts w:hint="default" w:ascii="Times New Roman" w:hAnsi="Times New Roman" w:eastAsia="宋体" w:cs="宋体"/>
                <w:color w:val="auto"/>
                <w:kern w:val="0"/>
                <w:sz w:val="24"/>
                <w:lang w:val="en-US" w:eastAsia="zh-CN"/>
              </w:rPr>
            </w:pPr>
            <w:r>
              <w:rPr>
                <w:rFonts w:hint="eastAsia" w:cs="宋体"/>
                <w:color w:val="auto"/>
                <w:kern w:val="0"/>
                <w:sz w:val="24"/>
              </w:rPr>
              <w:t>项目运营期废气主要为</w:t>
            </w:r>
            <w:r>
              <w:rPr>
                <w:rFonts w:hint="eastAsia" w:cs="宋体"/>
                <w:color w:val="auto"/>
                <w:kern w:val="0"/>
                <w:sz w:val="24"/>
                <w:lang w:val="en-US" w:eastAsia="zh-CN"/>
              </w:rPr>
              <w:t>实验</w:t>
            </w:r>
            <w:r>
              <w:rPr>
                <w:rFonts w:hint="eastAsia" w:cs="宋体"/>
                <w:color w:val="auto"/>
                <w:kern w:val="0"/>
                <w:sz w:val="24"/>
              </w:rPr>
              <w:t>产生的酸性废气</w:t>
            </w:r>
            <w:r>
              <w:rPr>
                <w:rFonts w:hint="eastAsia" w:cs="宋体"/>
                <w:color w:val="FF0000"/>
                <w:kern w:val="0"/>
                <w:sz w:val="24"/>
                <w:lang w:val="en-US" w:eastAsia="zh-CN"/>
              </w:rPr>
              <w:t>及矿石破碎设备吹气清理废气颗粒物</w:t>
            </w:r>
            <w:r>
              <w:rPr>
                <w:rFonts w:hint="eastAsia" w:cs="宋体"/>
                <w:color w:val="FF0000"/>
                <w:kern w:val="0"/>
                <w:sz w:val="24"/>
              </w:rPr>
              <w:t>，</w:t>
            </w:r>
            <w:r>
              <w:rPr>
                <w:rFonts w:hint="eastAsia" w:cs="宋体"/>
                <w:color w:val="auto"/>
                <w:kern w:val="0"/>
                <w:sz w:val="24"/>
              </w:rPr>
              <w:t>其中酸性废气经1套</w:t>
            </w:r>
            <w:r>
              <w:rPr>
                <w:rFonts w:hint="eastAsia" w:cs="宋体"/>
                <w:color w:val="auto"/>
                <w:kern w:val="0"/>
                <w:sz w:val="24"/>
                <w:lang w:val="en-US" w:eastAsia="zh-CN"/>
              </w:rPr>
              <w:t>碱液喷淋塔处理</w:t>
            </w:r>
            <w:r>
              <w:rPr>
                <w:rFonts w:hint="eastAsia" w:cs="宋体"/>
                <w:color w:val="auto"/>
                <w:kern w:val="0"/>
                <w:sz w:val="24"/>
              </w:rPr>
              <w:t>后由1</w:t>
            </w:r>
            <w:r>
              <w:rPr>
                <w:rFonts w:cs="宋体"/>
                <w:color w:val="auto"/>
                <w:kern w:val="0"/>
                <w:sz w:val="24"/>
              </w:rPr>
              <w:t>5</w:t>
            </w:r>
            <w:r>
              <w:rPr>
                <w:rFonts w:hint="eastAsia" w:cs="宋体"/>
                <w:color w:val="auto"/>
                <w:kern w:val="0"/>
                <w:sz w:val="24"/>
              </w:rPr>
              <w:t>m排气筒排放（DA</w:t>
            </w:r>
            <w:r>
              <w:rPr>
                <w:rFonts w:cs="宋体"/>
                <w:color w:val="auto"/>
                <w:kern w:val="0"/>
                <w:sz w:val="24"/>
              </w:rPr>
              <w:t>001</w:t>
            </w:r>
            <w:r>
              <w:rPr>
                <w:rFonts w:hint="eastAsia" w:cs="宋体"/>
                <w:color w:val="auto"/>
                <w:kern w:val="0"/>
                <w:sz w:val="24"/>
              </w:rPr>
              <w:t>）；</w:t>
            </w:r>
            <w:r>
              <w:rPr>
                <w:rFonts w:hint="eastAsia" w:cs="宋体"/>
                <w:color w:val="FF0000"/>
                <w:kern w:val="0"/>
                <w:sz w:val="24"/>
                <w:lang w:val="en-US" w:eastAsia="zh-CN"/>
              </w:rPr>
              <w:t>矿石破碎、研磨采用密闭设备，无废气排放，设备吹气清理废气由通风橱收集后经连接的布袋除尘器处理，</w:t>
            </w:r>
            <w:r>
              <w:rPr>
                <w:rFonts w:hint="eastAsia"/>
                <w:color w:val="FF0000"/>
                <w:sz w:val="24"/>
                <w:szCs w:val="24"/>
                <w:lang w:val="en-US" w:eastAsia="zh-CN"/>
              </w:rPr>
              <w:t>除尘后的洁净空气，通过回风管路回流至吹气系统，再次作为棒磨筒清理的吹气气源，</w:t>
            </w:r>
            <w:r>
              <w:rPr>
                <w:rFonts w:hint="eastAsia" w:cs="宋体"/>
                <w:color w:val="FF0000"/>
                <w:kern w:val="0"/>
                <w:sz w:val="24"/>
                <w:lang w:val="en-US" w:eastAsia="zh-CN"/>
              </w:rPr>
              <w:t>无废气排放；</w:t>
            </w:r>
            <w:r>
              <w:rPr>
                <w:rFonts w:hint="eastAsia" w:cs="宋体"/>
                <w:color w:val="FF0000"/>
                <w:kern w:val="0"/>
                <w:sz w:val="24"/>
              </w:rPr>
              <w:t>酸性废气排放浓度满足</w:t>
            </w:r>
            <w:r>
              <w:rPr>
                <w:rFonts w:hint="eastAsia" w:cs="宋体"/>
                <w:color w:val="FF0000"/>
                <w:kern w:val="0"/>
                <w:sz w:val="24"/>
                <w:lang w:val="en-US" w:eastAsia="zh-CN"/>
              </w:rPr>
              <w:t>《大气污染物综合排放标准》（GB16297-1996）中表2新污染源大气污染物排放限值</w:t>
            </w:r>
            <w:r>
              <w:rPr>
                <w:rFonts w:hint="eastAsia" w:cs="宋体"/>
                <w:color w:val="FF0000"/>
                <w:kern w:val="0"/>
                <w:sz w:val="24"/>
              </w:rPr>
              <w:t>，</w:t>
            </w:r>
            <w:r>
              <w:rPr>
                <w:rFonts w:hint="eastAsia"/>
                <w:color w:val="auto"/>
                <w:sz w:val="24"/>
                <w:lang w:val="en-US" w:eastAsia="zh-CN"/>
              </w:rPr>
              <w:t>符合要求。</w:t>
            </w:r>
          </w:p>
          <w:p w14:paraId="51EB9A54">
            <w:pPr>
              <w:spacing w:line="360" w:lineRule="auto"/>
              <w:outlineLvl w:val="1"/>
              <w:rPr>
                <w:rFonts w:hint="eastAsia"/>
                <w:b/>
                <w:bCs/>
                <w:color w:val="auto"/>
                <w:sz w:val="24"/>
                <w:lang w:val="en-US" w:eastAsia="zh-CN"/>
              </w:rPr>
            </w:pPr>
            <w:r>
              <w:rPr>
                <w:rFonts w:hint="eastAsia"/>
                <w:b/>
                <w:bCs/>
                <w:color w:val="auto"/>
                <w:sz w:val="24"/>
                <w:lang w:val="en-US" w:eastAsia="zh-CN"/>
              </w:rPr>
              <w:t>8、与《新疆维吾尔自治区大气污染防治条例》符合性分析</w:t>
            </w:r>
          </w:p>
          <w:p w14:paraId="416809E6">
            <w:pPr>
              <w:autoSpaceDE w:val="0"/>
              <w:autoSpaceDN w:val="0"/>
              <w:spacing w:line="360" w:lineRule="auto"/>
              <w:ind w:firstLine="480" w:firstLineChars="200"/>
              <w:rPr>
                <w:rFonts w:hint="eastAsia" w:ascii="Times New Roman" w:hAnsi="Times New Roman" w:eastAsia="宋体" w:cs="宋体"/>
                <w:color w:val="auto"/>
                <w:kern w:val="0"/>
                <w:sz w:val="24"/>
                <w:lang w:val="en-US" w:eastAsia="zh-CN"/>
              </w:rPr>
            </w:pPr>
            <w:r>
              <w:rPr>
                <w:rFonts w:hint="eastAsia" w:ascii="Times New Roman" w:hAnsi="Times New Roman" w:eastAsia="宋体" w:cs="宋体"/>
                <w:color w:val="auto"/>
                <w:kern w:val="0"/>
                <w:sz w:val="24"/>
                <w:lang w:val="en-US" w:eastAsia="zh-CN"/>
              </w:rPr>
              <w:t>根据《新疆维吾尔自治区大气污染防治条例》第三章防治措施第二节工业污染防治：第二十七条禁止在自治区行政区域内引进能（水）耗不符合相关国家标准中准入值要求且污染物排放和环境风险防控不符合国家（地方）标准及有关产业准入条件的高污染（排放）、高能（水）耗、高环境风险的工业项目。第四节扬尘污染防治第三十七条各级人民政府应当加强对建设施工、矿产资源开采、物料运输的扬尘和沙尘污染的治理，保持道路清洁、控制料堆和渣土堆放，科学合理扩大绿地、水面、湿地、地面铺装和防风固沙绿化面积，防治扬尘污染。</w:t>
            </w:r>
          </w:p>
          <w:p w14:paraId="780BDDC5">
            <w:pPr>
              <w:autoSpaceDE w:val="0"/>
              <w:autoSpaceDN w:val="0"/>
              <w:spacing w:line="360" w:lineRule="auto"/>
              <w:ind w:firstLine="480" w:firstLineChars="200"/>
              <w:rPr>
                <w:rFonts w:hint="default" w:ascii="Times New Roman" w:hAnsi="Times New Roman" w:eastAsia="宋体" w:cs="宋体"/>
                <w:color w:val="auto"/>
                <w:kern w:val="0"/>
                <w:sz w:val="24"/>
                <w:lang w:val="en-US" w:eastAsia="zh-CN"/>
              </w:rPr>
            </w:pPr>
            <w:r>
              <w:rPr>
                <w:rFonts w:hint="eastAsia" w:ascii="Times New Roman" w:hAnsi="Times New Roman" w:eastAsia="宋体" w:cs="宋体"/>
                <w:color w:val="auto"/>
                <w:kern w:val="0"/>
                <w:sz w:val="24"/>
                <w:lang w:val="en-US" w:eastAsia="zh-CN"/>
              </w:rPr>
              <w:t>本项目</w:t>
            </w:r>
            <w:r>
              <w:rPr>
                <w:rFonts w:hint="eastAsia" w:cs="宋体"/>
                <w:color w:val="auto"/>
                <w:kern w:val="0"/>
                <w:sz w:val="24"/>
                <w:lang w:val="en-US" w:eastAsia="zh-CN"/>
              </w:rPr>
              <w:t>为检测服务项目，不属于</w:t>
            </w:r>
            <w:r>
              <w:rPr>
                <w:rFonts w:hint="eastAsia" w:ascii="Times New Roman" w:hAnsi="Times New Roman" w:eastAsia="宋体" w:cs="宋体"/>
                <w:color w:val="auto"/>
                <w:kern w:val="0"/>
                <w:sz w:val="24"/>
                <w:lang w:val="en-US" w:eastAsia="zh-CN"/>
              </w:rPr>
              <w:t>高污染（排放）、高能（水）耗、高环境风险的工业项目</w:t>
            </w:r>
            <w:r>
              <w:rPr>
                <w:rFonts w:hint="eastAsia" w:cs="宋体"/>
                <w:color w:val="auto"/>
                <w:kern w:val="0"/>
                <w:sz w:val="24"/>
                <w:lang w:val="en-US" w:eastAsia="zh-CN"/>
              </w:rPr>
              <w:t>，项目</w:t>
            </w:r>
            <w:r>
              <w:rPr>
                <w:rFonts w:hint="eastAsia"/>
                <w:color w:val="auto"/>
                <w:sz w:val="24"/>
                <w:lang w:val="en-US" w:eastAsia="zh-CN"/>
              </w:rPr>
              <w:t>实验过程产生的酸性废气由抽风系统收集，经设置的1套碱液喷淋塔处理后</w:t>
            </w:r>
            <w:r>
              <w:rPr>
                <w:rFonts w:hint="eastAsia" w:cs="宋体"/>
                <w:color w:val="auto"/>
                <w:kern w:val="0"/>
                <w:sz w:val="24"/>
                <w:lang w:val="en-US" w:eastAsia="zh-CN"/>
              </w:rPr>
              <w:t>满足</w:t>
            </w:r>
            <w:r>
              <w:rPr>
                <w:rFonts w:hint="eastAsia"/>
                <w:color w:val="auto"/>
                <w:sz w:val="24"/>
                <w:lang w:val="en-US" w:eastAsia="zh-CN"/>
              </w:rPr>
              <w:t>《大气污染物综合排放标准》（GB16297-1996）中表2新污染源大气污染物排放限值后通过15m排气筒排放；</w:t>
            </w:r>
            <w:r>
              <w:rPr>
                <w:rFonts w:hint="eastAsia" w:cs="宋体"/>
                <w:color w:val="FF0000"/>
                <w:kern w:val="0"/>
                <w:sz w:val="24"/>
                <w:lang w:val="en-US" w:eastAsia="zh-CN"/>
              </w:rPr>
              <w:t>矿石破碎、研磨采用密闭设备，无废气排放，设备吹气清理废气由通风橱收集后经连接的布袋除尘器处理，</w:t>
            </w:r>
            <w:r>
              <w:rPr>
                <w:rFonts w:hint="eastAsia"/>
                <w:color w:val="FF0000"/>
                <w:sz w:val="24"/>
                <w:szCs w:val="24"/>
                <w:lang w:val="en-US" w:eastAsia="zh-CN"/>
              </w:rPr>
              <w:t>除尘后的洁净空气，通过回风管路回流至吹气系统，再次作为棒磨筒清理的吹气气源，无废气排放</w:t>
            </w:r>
            <w:r>
              <w:rPr>
                <w:rFonts w:hint="eastAsia" w:cs="宋体"/>
                <w:color w:val="FF0000"/>
                <w:kern w:val="0"/>
                <w:sz w:val="24"/>
                <w:lang w:val="en-US" w:eastAsia="zh-CN"/>
              </w:rPr>
              <w:t>。综上，项目</w:t>
            </w:r>
            <w:r>
              <w:rPr>
                <w:rFonts w:hint="eastAsia"/>
                <w:color w:val="auto"/>
                <w:sz w:val="24"/>
                <w:lang w:val="en-US" w:eastAsia="zh-CN"/>
              </w:rPr>
              <w:t>能够满足大气污染防治要求，符合《新疆维吾尔自治区大气污染防治条例》相关要求。</w:t>
            </w:r>
          </w:p>
          <w:p w14:paraId="397233EC">
            <w:pPr>
              <w:spacing w:line="360" w:lineRule="auto"/>
              <w:outlineLvl w:val="1"/>
              <w:rPr>
                <w:rFonts w:hint="eastAsia"/>
                <w:b/>
                <w:bCs/>
                <w:color w:val="auto"/>
                <w:sz w:val="24"/>
                <w:lang w:val="en-US" w:eastAsia="zh-CN"/>
              </w:rPr>
            </w:pPr>
            <w:r>
              <w:rPr>
                <w:rFonts w:hint="eastAsia"/>
                <w:b/>
                <w:bCs/>
                <w:color w:val="auto"/>
                <w:sz w:val="24"/>
                <w:lang w:val="en-US" w:eastAsia="zh-CN"/>
              </w:rPr>
              <w:t>9、《新疆维吾尔自治区“乌-昌-石”区域大气环境整治2024-2025年行动方案》</w:t>
            </w:r>
          </w:p>
          <w:p w14:paraId="31E5B6F4">
            <w:pPr>
              <w:autoSpaceDE w:val="0"/>
              <w:autoSpaceDN w:val="0"/>
              <w:spacing w:line="360" w:lineRule="auto"/>
              <w:ind w:firstLine="480" w:firstLineChars="200"/>
              <w:rPr>
                <w:rFonts w:hint="default" w:ascii="Times New Roman" w:hAnsi="Times New Roman" w:eastAsia="宋体" w:cs="宋体"/>
                <w:color w:val="auto"/>
                <w:kern w:val="0"/>
                <w:sz w:val="24"/>
                <w:lang w:val="en-US" w:eastAsia="zh-CN"/>
              </w:rPr>
            </w:pPr>
            <w:r>
              <w:rPr>
                <w:rFonts w:hint="eastAsia" w:ascii="Times New Roman" w:hAnsi="Times New Roman" w:eastAsia="宋体" w:cs="宋体"/>
                <w:color w:val="auto"/>
                <w:kern w:val="0"/>
                <w:sz w:val="24"/>
                <w:lang w:val="en-US" w:eastAsia="zh-CN"/>
              </w:rPr>
              <w:t>根据《新疆维吾尔自治区“乌-昌-石”区域大气环境整治2024-2025年行动方案》：“在工业领域，将实施工业重点行业污染深度治理，开展燃煤锅炉和工业炉窑分类整治等。今年9月底前，完成除尘、脱硫、脱硝低效治理设施提标改造，对无法稳定达标排放的企业实施分类整治；淘汰65蒸吨/小时以下燃煤锅炉，完成65蒸吨/小时及以上燃煤锅炉超低排放改造；今年年底前，完成8家热电联产企业11台供热燃煤机组“热点解耦”改造等”。</w:t>
            </w:r>
          </w:p>
          <w:p w14:paraId="170DFF88">
            <w:pPr>
              <w:autoSpaceDE w:val="0"/>
              <w:autoSpaceDN w:val="0"/>
              <w:spacing w:line="360" w:lineRule="auto"/>
              <w:ind w:firstLine="480" w:firstLineChars="200"/>
              <w:rPr>
                <w:rFonts w:hint="eastAsia" w:ascii="Times New Roman" w:hAnsi="Times New Roman" w:eastAsia="宋体" w:cs="宋体"/>
                <w:color w:val="auto"/>
                <w:kern w:val="0"/>
                <w:sz w:val="24"/>
                <w:lang w:val="en-US" w:eastAsia="zh-CN"/>
              </w:rPr>
            </w:pPr>
            <w:r>
              <w:rPr>
                <w:rFonts w:hint="eastAsia" w:ascii="Times New Roman" w:hAnsi="Times New Roman" w:eastAsia="宋体" w:cs="宋体"/>
                <w:color w:val="auto"/>
                <w:kern w:val="0"/>
                <w:sz w:val="24"/>
                <w:lang w:val="en-US" w:eastAsia="zh-CN"/>
              </w:rPr>
              <w:t>本项目为检测服务项目，项目运行无热源需求，供暖采用集中供暖，</w:t>
            </w:r>
            <w:r>
              <w:rPr>
                <w:rFonts w:hint="eastAsia" w:cs="宋体"/>
                <w:color w:val="auto"/>
                <w:kern w:val="0"/>
                <w:sz w:val="24"/>
              </w:rPr>
              <w:t>项目运营期废气主要为</w:t>
            </w:r>
            <w:r>
              <w:rPr>
                <w:rFonts w:hint="eastAsia" w:cs="宋体"/>
                <w:color w:val="auto"/>
                <w:kern w:val="0"/>
                <w:sz w:val="24"/>
                <w:lang w:val="en-US" w:eastAsia="zh-CN"/>
              </w:rPr>
              <w:t>实验</w:t>
            </w:r>
            <w:r>
              <w:rPr>
                <w:rFonts w:hint="eastAsia" w:cs="宋体"/>
                <w:color w:val="auto"/>
                <w:kern w:val="0"/>
                <w:sz w:val="24"/>
              </w:rPr>
              <w:t>产生的酸性废气</w:t>
            </w:r>
            <w:r>
              <w:rPr>
                <w:rFonts w:hint="eastAsia" w:cs="宋体"/>
                <w:color w:val="FF0000"/>
                <w:kern w:val="0"/>
                <w:sz w:val="24"/>
                <w:lang w:val="en-US" w:eastAsia="zh-CN"/>
              </w:rPr>
              <w:t>及矿石破碎设备吹气清理废气颗粒物</w:t>
            </w:r>
            <w:r>
              <w:rPr>
                <w:rFonts w:hint="eastAsia" w:cs="宋体"/>
                <w:color w:val="FF0000"/>
                <w:kern w:val="0"/>
                <w:sz w:val="24"/>
              </w:rPr>
              <w:t>，</w:t>
            </w:r>
            <w:r>
              <w:rPr>
                <w:rFonts w:hint="eastAsia" w:cs="宋体"/>
                <w:color w:val="auto"/>
                <w:kern w:val="0"/>
                <w:sz w:val="24"/>
              </w:rPr>
              <w:t>其中酸性废气经1套</w:t>
            </w:r>
            <w:r>
              <w:rPr>
                <w:rFonts w:hint="eastAsia" w:cs="宋体"/>
                <w:color w:val="auto"/>
                <w:kern w:val="0"/>
                <w:sz w:val="24"/>
                <w:lang w:val="en-US" w:eastAsia="zh-CN"/>
              </w:rPr>
              <w:t>碱液喷淋塔处理</w:t>
            </w:r>
            <w:r>
              <w:rPr>
                <w:rFonts w:hint="eastAsia" w:cs="宋体"/>
                <w:color w:val="auto"/>
                <w:kern w:val="0"/>
                <w:sz w:val="24"/>
              </w:rPr>
              <w:t>后由1</w:t>
            </w:r>
            <w:r>
              <w:rPr>
                <w:rFonts w:cs="宋体"/>
                <w:color w:val="auto"/>
                <w:kern w:val="0"/>
                <w:sz w:val="24"/>
              </w:rPr>
              <w:t>5</w:t>
            </w:r>
            <w:r>
              <w:rPr>
                <w:rFonts w:hint="eastAsia" w:cs="宋体"/>
                <w:color w:val="auto"/>
                <w:kern w:val="0"/>
                <w:sz w:val="24"/>
              </w:rPr>
              <w:t>m排气筒排放（DA</w:t>
            </w:r>
            <w:r>
              <w:rPr>
                <w:rFonts w:cs="宋体"/>
                <w:color w:val="auto"/>
                <w:kern w:val="0"/>
                <w:sz w:val="24"/>
              </w:rPr>
              <w:t>001</w:t>
            </w:r>
            <w:r>
              <w:rPr>
                <w:rFonts w:hint="eastAsia" w:cs="宋体"/>
                <w:color w:val="auto"/>
                <w:kern w:val="0"/>
                <w:sz w:val="24"/>
              </w:rPr>
              <w:t>）；</w:t>
            </w:r>
            <w:r>
              <w:rPr>
                <w:rFonts w:hint="eastAsia" w:cs="宋体"/>
                <w:color w:val="FF0000"/>
                <w:kern w:val="0"/>
                <w:sz w:val="24"/>
                <w:lang w:val="en-US" w:eastAsia="zh-CN"/>
              </w:rPr>
              <w:t>矿石破碎、研磨采用密闭设备，无废气排放，设备吹气清理废气由通风橱收集后经连接的布袋除尘器处理后出气回用于吹气清理，无废气排放；</w:t>
            </w:r>
            <w:r>
              <w:rPr>
                <w:rFonts w:hint="eastAsia" w:cs="宋体"/>
                <w:color w:val="FF0000"/>
                <w:kern w:val="0"/>
                <w:sz w:val="24"/>
              </w:rPr>
              <w:t>酸性废气排放浓度满足</w:t>
            </w:r>
            <w:r>
              <w:rPr>
                <w:rFonts w:hint="eastAsia" w:cs="宋体"/>
                <w:color w:val="FF0000"/>
                <w:kern w:val="0"/>
                <w:sz w:val="24"/>
                <w:lang w:val="en-US" w:eastAsia="zh-CN"/>
              </w:rPr>
              <w:t>《大气污染物综合排放标准》（GB16297-1996）中表2新污染源大气污染物排放限值</w:t>
            </w:r>
            <w:r>
              <w:rPr>
                <w:rFonts w:hint="eastAsia"/>
                <w:color w:val="auto"/>
                <w:sz w:val="24"/>
                <w:lang w:eastAsia="zh-CN"/>
              </w:rPr>
              <w:t>，</w:t>
            </w:r>
            <w:r>
              <w:rPr>
                <w:rFonts w:hint="eastAsia"/>
                <w:color w:val="auto"/>
                <w:sz w:val="24"/>
                <w:lang w:val="en-US" w:eastAsia="zh-CN"/>
              </w:rPr>
              <w:t>满足</w:t>
            </w:r>
            <w:r>
              <w:rPr>
                <w:rFonts w:hint="eastAsia" w:ascii="Times New Roman" w:hAnsi="Times New Roman" w:eastAsia="宋体" w:cs="宋体"/>
                <w:color w:val="auto"/>
                <w:kern w:val="0"/>
                <w:sz w:val="24"/>
                <w:lang w:val="en-US" w:eastAsia="zh-CN"/>
              </w:rPr>
              <w:t>《新疆维吾尔自治区“乌-昌-石”区域大气环境整治2024-2025年行动方案》要求。</w:t>
            </w:r>
          </w:p>
          <w:p w14:paraId="6D974981">
            <w:pPr>
              <w:pStyle w:val="2"/>
              <w:rPr>
                <w:rFonts w:hint="default"/>
                <w:lang w:val="en-US" w:eastAsia="zh-CN"/>
              </w:rPr>
            </w:pPr>
          </w:p>
          <w:p w14:paraId="07235512">
            <w:pPr>
              <w:pStyle w:val="5"/>
              <w:tabs>
                <w:tab w:val="left" w:pos="2691"/>
              </w:tabs>
              <w:ind w:left="0" w:leftChars="0" w:firstLine="0" w:firstLineChars="0"/>
              <w:rPr>
                <w:rFonts w:hint="eastAsia" w:eastAsia="宋体"/>
                <w:color w:val="auto"/>
                <w:lang w:eastAsia="zh-CN"/>
              </w:rPr>
            </w:pPr>
          </w:p>
        </w:tc>
      </w:tr>
    </w:tbl>
    <w:p w14:paraId="46C968D8">
      <w:pPr>
        <w:spacing w:line="360" w:lineRule="auto"/>
        <w:outlineLvl w:val="0"/>
        <w:rPr>
          <w:rFonts w:eastAsia="黑体"/>
          <w:color w:val="auto"/>
          <w:sz w:val="30"/>
        </w:rPr>
        <w:sectPr>
          <w:footerReference r:id="rId5" w:type="default"/>
          <w:pgSz w:w="11907" w:h="16840"/>
          <w:pgMar w:top="1418" w:right="1418" w:bottom="1418" w:left="1418" w:header="851" w:footer="964" w:gutter="0"/>
          <w:pgBorders>
            <w:top w:val="none" w:sz="0" w:space="0"/>
            <w:left w:val="none" w:sz="0" w:space="0"/>
            <w:bottom w:val="none" w:sz="0" w:space="0"/>
            <w:right w:val="none" w:sz="0" w:space="0"/>
          </w:pgBorders>
          <w:pgNumType w:start="1"/>
          <w:cols w:space="720" w:num="1"/>
          <w:docGrid w:linePitch="312" w:charSpace="0"/>
        </w:sectPr>
      </w:pPr>
    </w:p>
    <w:p w14:paraId="221CC93E">
      <w:pPr>
        <w:pStyle w:val="23"/>
        <w:tabs>
          <w:tab w:val="left" w:pos="7560"/>
        </w:tabs>
        <w:jc w:val="center"/>
        <w:outlineLvl w:val="0"/>
        <w:rPr>
          <w:rFonts w:ascii="黑体" w:hAnsi="黑体" w:eastAsia="黑体"/>
          <w:snapToGrid w:val="0"/>
          <w:color w:val="auto"/>
          <w:sz w:val="30"/>
          <w:szCs w:val="30"/>
        </w:rPr>
      </w:pPr>
      <w:r>
        <w:rPr>
          <w:rFonts w:hint="eastAsia" w:ascii="黑体" w:hAnsi="黑体" w:eastAsia="黑体"/>
          <w:snapToGrid w:val="0"/>
          <w:color w:val="auto"/>
          <w:sz w:val="30"/>
          <w:szCs w:val="30"/>
        </w:rPr>
        <w:t>二、建设项目工程分析</w:t>
      </w:r>
    </w:p>
    <w:tbl>
      <w:tblPr>
        <w:tblStyle w:val="28"/>
        <w:tblW w:w="4983"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56"/>
        <w:gridCol w:w="9365"/>
      </w:tblGrid>
      <w:tr w14:paraId="59C6FD5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jc w:val="center"/>
        </w:trPr>
        <w:tc>
          <w:tcPr>
            <w:tcW w:w="232" w:type="pct"/>
            <w:noWrap w:val="0"/>
            <w:vAlign w:val="center"/>
          </w:tcPr>
          <w:p w14:paraId="3D15E580">
            <w:pPr>
              <w:pStyle w:val="23"/>
              <w:adjustRightInd w:val="0"/>
              <w:snapToGrid w:val="0"/>
              <w:spacing w:before="0" w:beforeAutospacing="0" w:after="0" w:afterAutospacing="0"/>
              <w:jc w:val="center"/>
              <w:rPr>
                <w:rFonts w:cs="宋体"/>
                <w:color w:val="auto"/>
                <w:sz w:val="21"/>
                <w:szCs w:val="21"/>
              </w:rPr>
            </w:pPr>
            <w:r>
              <w:rPr>
                <w:rFonts w:hint="eastAsia" w:cs="宋体"/>
                <w:color w:val="auto"/>
                <w:szCs w:val="24"/>
              </w:rPr>
              <w:t>建设内容</w:t>
            </w:r>
          </w:p>
        </w:tc>
        <w:tc>
          <w:tcPr>
            <w:tcW w:w="4767" w:type="pct"/>
            <w:noWrap w:val="0"/>
            <w:vAlign w:val="top"/>
          </w:tcPr>
          <w:p w14:paraId="35A52AC5">
            <w:pPr>
              <w:adjustRightInd w:val="0"/>
              <w:snapToGrid w:val="0"/>
              <w:spacing w:line="360" w:lineRule="auto"/>
              <w:rPr>
                <w:rFonts w:ascii="宋体" w:hAnsi="宋体"/>
                <w:b/>
                <w:bCs/>
                <w:color w:val="auto"/>
                <w:kern w:val="0"/>
                <w:sz w:val="24"/>
              </w:rPr>
            </w:pPr>
            <w:r>
              <w:rPr>
                <w:rFonts w:hint="eastAsia" w:ascii="宋体" w:hAnsi="宋体"/>
                <w:b/>
                <w:bCs/>
                <w:color w:val="auto"/>
                <w:kern w:val="0"/>
                <w:sz w:val="24"/>
              </w:rPr>
              <w:t>1</w:t>
            </w:r>
            <w:r>
              <w:rPr>
                <w:rFonts w:hint="eastAsia" w:ascii="宋体" w:hAnsi="宋体" w:cs="宋体"/>
                <w:b/>
                <w:bCs/>
                <w:color w:val="auto"/>
                <w:kern w:val="0"/>
                <w:sz w:val="24"/>
              </w:rPr>
              <w:t>项目概况</w:t>
            </w:r>
          </w:p>
          <w:p w14:paraId="5F123462">
            <w:pPr>
              <w:adjustRightInd w:val="0"/>
              <w:snapToGrid w:val="0"/>
              <w:spacing w:line="360" w:lineRule="auto"/>
              <w:ind w:firstLine="480" w:firstLineChars="200"/>
              <w:rPr>
                <w:color w:val="auto"/>
                <w:kern w:val="0"/>
                <w:sz w:val="24"/>
              </w:rPr>
            </w:pPr>
            <w:r>
              <w:rPr>
                <w:rFonts w:hint="eastAsia"/>
                <w:color w:val="auto"/>
                <w:kern w:val="0"/>
                <w:sz w:val="24"/>
              </w:rPr>
              <w:t>（1）</w:t>
            </w:r>
            <w:r>
              <w:rPr>
                <w:color w:val="auto"/>
                <w:kern w:val="0"/>
                <w:sz w:val="24"/>
              </w:rPr>
              <w:t>项目名称：</w:t>
            </w:r>
            <w:r>
              <w:rPr>
                <w:rFonts w:hint="eastAsia"/>
                <w:color w:val="auto"/>
                <w:sz w:val="24"/>
                <w:lang w:eastAsia="zh-CN"/>
              </w:rPr>
              <w:t>新疆鑫地检测技术服务有限公司</w:t>
            </w:r>
            <w:r>
              <w:rPr>
                <w:rFonts w:hint="eastAsia"/>
                <w:color w:val="auto"/>
                <w:sz w:val="24"/>
                <w:lang w:val="en-US" w:eastAsia="zh-CN"/>
              </w:rPr>
              <w:t>地质矿产分析实验室</w:t>
            </w:r>
          </w:p>
          <w:p w14:paraId="3307EA16">
            <w:pPr>
              <w:pBdr>
                <w:top w:val="none" w:color="auto" w:sz="0" w:space="1"/>
                <w:left w:val="none" w:color="auto" w:sz="0" w:space="4"/>
                <w:bottom w:val="none" w:color="auto" w:sz="0" w:space="1"/>
                <w:right w:val="none" w:color="auto" w:sz="0" w:space="4"/>
              </w:pBdr>
              <w:adjustRightInd w:val="0"/>
              <w:snapToGrid w:val="0"/>
              <w:spacing w:line="360" w:lineRule="auto"/>
              <w:ind w:firstLine="480" w:firstLineChars="200"/>
              <w:rPr>
                <w:rFonts w:hint="eastAsia" w:eastAsia="宋体"/>
                <w:color w:val="auto"/>
                <w:sz w:val="24"/>
                <w:lang w:eastAsia="zh-CN"/>
              </w:rPr>
            </w:pPr>
            <w:r>
              <w:rPr>
                <w:rFonts w:hint="eastAsia"/>
                <w:color w:val="auto"/>
                <w:sz w:val="24"/>
              </w:rPr>
              <w:t>（2）建设单位：</w:t>
            </w:r>
            <w:r>
              <w:rPr>
                <w:rFonts w:hint="eastAsia"/>
                <w:color w:val="auto"/>
                <w:sz w:val="24"/>
                <w:lang w:eastAsia="zh-CN"/>
              </w:rPr>
              <w:t>新疆鑫地检测技术服务有限公司</w:t>
            </w:r>
          </w:p>
          <w:p w14:paraId="760DE033">
            <w:pPr>
              <w:adjustRightInd w:val="0"/>
              <w:snapToGrid w:val="0"/>
              <w:spacing w:line="360" w:lineRule="auto"/>
              <w:ind w:firstLine="480" w:firstLineChars="200"/>
              <w:rPr>
                <w:rFonts w:hint="eastAsia"/>
                <w:color w:val="auto"/>
                <w:kern w:val="0"/>
                <w:sz w:val="24"/>
              </w:rPr>
            </w:pPr>
            <w:r>
              <w:rPr>
                <w:rFonts w:hint="eastAsia"/>
                <w:color w:val="auto"/>
                <w:kern w:val="0"/>
                <w:sz w:val="24"/>
              </w:rPr>
              <w:t>（3）</w:t>
            </w:r>
            <w:r>
              <w:rPr>
                <w:color w:val="auto"/>
                <w:kern w:val="0"/>
                <w:sz w:val="24"/>
              </w:rPr>
              <w:t>建设性质：</w:t>
            </w:r>
            <w:r>
              <w:rPr>
                <w:rFonts w:hint="eastAsia"/>
                <w:color w:val="auto"/>
                <w:kern w:val="0"/>
                <w:sz w:val="24"/>
              </w:rPr>
              <w:t>新建</w:t>
            </w:r>
          </w:p>
          <w:p w14:paraId="5732EB68">
            <w:pPr>
              <w:adjustRightInd w:val="0"/>
              <w:snapToGrid w:val="0"/>
              <w:spacing w:line="360" w:lineRule="auto"/>
              <w:ind w:firstLine="480" w:firstLineChars="200"/>
              <w:rPr>
                <w:color w:val="auto"/>
                <w:kern w:val="0"/>
                <w:sz w:val="24"/>
              </w:rPr>
            </w:pPr>
            <w:r>
              <w:rPr>
                <w:rFonts w:hint="eastAsia"/>
                <w:color w:val="auto"/>
                <w:kern w:val="0"/>
                <w:sz w:val="24"/>
              </w:rPr>
              <w:t>（4）建设地点</w:t>
            </w:r>
            <w:r>
              <w:rPr>
                <w:color w:val="auto"/>
                <w:kern w:val="0"/>
                <w:sz w:val="24"/>
              </w:rPr>
              <w:t>：</w:t>
            </w:r>
            <w:r>
              <w:rPr>
                <w:rFonts w:hint="eastAsia"/>
                <w:color w:val="auto"/>
                <w:kern w:val="0"/>
                <w:sz w:val="24"/>
              </w:rPr>
              <w:t>本项目位于昌吉高新技术产业开发区</w:t>
            </w:r>
            <w:r>
              <w:rPr>
                <w:rFonts w:hint="eastAsia"/>
                <w:color w:val="auto"/>
                <w:kern w:val="0"/>
                <w:sz w:val="24"/>
                <w:lang w:val="en-US" w:eastAsia="zh-CN"/>
              </w:rPr>
              <w:t>新疆华爱康塑业科技发展有限公司1号厂房、库房及办公室等</w:t>
            </w:r>
            <w:r>
              <w:rPr>
                <w:rFonts w:hint="eastAsia"/>
                <w:color w:val="auto"/>
                <w:sz w:val="24"/>
              </w:rPr>
              <w:t>，</w:t>
            </w:r>
            <w:r>
              <w:rPr>
                <w:color w:val="auto"/>
                <w:sz w:val="24"/>
              </w:rPr>
              <w:t>厂址中心点坐标：</w:t>
            </w:r>
            <w:r>
              <w:rPr>
                <w:rFonts w:hint="eastAsia"/>
                <w:color w:val="auto"/>
                <w:sz w:val="24"/>
              </w:rPr>
              <w:t>E</w:t>
            </w:r>
            <w:r>
              <w:rPr>
                <w:rFonts w:hint="default" w:ascii="Times New Roman" w:hAnsi="Times New Roman" w:cs="Times New Roman"/>
                <w:color w:val="auto"/>
                <w:sz w:val="24"/>
              </w:rPr>
              <w:t>87°0′8.247</w:t>
            </w:r>
            <w:r>
              <w:rPr>
                <w:rFonts w:hint="eastAsia"/>
                <w:color w:val="auto"/>
                <w:sz w:val="24"/>
              </w:rPr>
              <w:t>″，</w:t>
            </w:r>
            <w:r>
              <w:rPr>
                <w:rFonts w:hint="default" w:ascii="Times New Roman" w:hAnsi="Times New Roman" w:cs="Times New Roman"/>
                <w:color w:val="auto"/>
                <w:sz w:val="24"/>
              </w:rPr>
              <w:t>N44°6′26.596″</w:t>
            </w:r>
            <w:r>
              <w:rPr>
                <w:rFonts w:hint="eastAsia"/>
                <w:color w:val="auto"/>
                <w:sz w:val="24"/>
              </w:rPr>
              <w:t>。</w:t>
            </w:r>
            <w:r>
              <w:rPr>
                <w:rFonts w:hint="eastAsia"/>
                <w:color w:val="auto"/>
                <w:kern w:val="0"/>
                <w:sz w:val="24"/>
              </w:rPr>
              <w:t>厂房面积</w:t>
            </w:r>
            <w:r>
              <w:rPr>
                <w:rFonts w:hint="eastAsia"/>
                <w:color w:val="auto"/>
                <w:sz w:val="24"/>
                <w:lang w:val="en-US" w:eastAsia="zh-CN"/>
              </w:rPr>
              <w:t>353.68</w:t>
            </w:r>
            <w:r>
              <w:rPr>
                <w:rFonts w:hint="eastAsia"/>
                <w:color w:val="auto"/>
                <w:kern w:val="0"/>
                <w:sz w:val="24"/>
              </w:rPr>
              <w:t>m</w:t>
            </w:r>
            <w:r>
              <w:rPr>
                <w:rFonts w:hint="eastAsia"/>
                <w:color w:val="auto"/>
                <w:kern w:val="0"/>
                <w:sz w:val="24"/>
                <w:vertAlign w:val="superscript"/>
              </w:rPr>
              <w:t>2</w:t>
            </w:r>
            <w:r>
              <w:rPr>
                <w:rFonts w:hint="eastAsia"/>
                <w:color w:val="auto"/>
                <w:kern w:val="0"/>
                <w:sz w:val="24"/>
              </w:rPr>
              <w:t>，</w:t>
            </w:r>
            <w:r>
              <w:rPr>
                <w:rFonts w:hint="eastAsia"/>
                <w:color w:val="auto"/>
                <w:kern w:val="0"/>
                <w:sz w:val="24"/>
                <w:lang w:val="en-US" w:eastAsia="zh-CN"/>
              </w:rPr>
              <w:t>库房面积250</w:t>
            </w:r>
            <w:r>
              <w:rPr>
                <w:rFonts w:hint="eastAsia"/>
                <w:color w:val="auto"/>
                <w:kern w:val="0"/>
                <w:sz w:val="24"/>
              </w:rPr>
              <w:t>m</w:t>
            </w:r>
            <w:r>
              <w:rPr>
                <w:rFonts w:hint="eastAsia"/>
                <w:color w:val="auto"/>
                <w:kern w:val="0"/>
                <w:sz w:val="24"/>
                <w:vertAlign w:val="superscript"/>
              </w:rPr>
              <w:t>2</w:t>
            </w:r>
            <w:r>
              <w:rPr>
                <w:rFonts w:hint="eastAsia"/>
                <w:color w:val="auto"/>
                <w:sz w:val="24"/>
              </w:rPr>
              <w:t>。项目北侧、东侧、西侧、均为工业厂房</w:t>
            </w:r>
            <w:r>
              <w:rPr>
                <w:rFonts w:hint="eastAsia"/>
                <w:color w:val="auto"/>
                <w:sz w:val="24"/>
                <w:lang w:eastAsia="zh-CN"/>
              </w:rPr>
              <w:t>，</w:t>
            </w:r>
            <w:r>
              <w:rPr>
                <w:rFonts w:hint="eastAsia"/>
                <w:color w:val="auto"/>
                <w:sz w:val="24"/>
                <w:lang w:val="en-US" w:eastAsia="zh-CN"/>
              </w:rPr>
              <w:t>项目南侧为空地</w:t>
            </w:r>
            <w:r>
              <w:rPr>
                <w:rFonts w:hint="eastAsia"/>
                <w:color w:val="auto"/>
                <w:sz w:val="24"/>
              </w:rPr>
              <w:t>。本项目地理位置图见附图</w:t>
            </w:r>
            <w:r>
              <w:rPr>
                <w:rFonts w:hint="eastAsia"/>
                <w:color w:val="auto"/>
                <w:sz w:val="24"/>
                <w:lang w:val="en-US" w:eastAsia="zh-CN"/>
              </w:rPr>
              <w:t>1</w:t>
            </w:r>
            <w:r>
              <w:rPr>
                <w:rFonts w:hint="eastAsia"/>
                <w:color w:val="auto"/>
                <w:sz w:val="24"/>
              </w:rPr>
              <w:t>。</w:t>
            </w:r>
          </w:p>
          <w:p w14:paraId="1DAE249B">
            <w:pPr>
              <w:adjustRightInd w:val="0"/>
              <w:snapToGrid w:val="0"/>
              <w:spacing w:line="360" w:lineRule="auto"/>
              <w:ind w:firstLine="480" w:firstLineChars="200"/>
              <w:rPr>
                <w:rFonts w:hint="eastAsia" w:eastAsia="宋体"/>
                <w:color w:val="auto"/>
                <w:sz w:val="24"/>
                <w:lang w:val="en-US" w:eastAsia="zh-CN"/>
              </w:rPr>
            </w:pPr>
            <w:r>
              <w:rPr>
                <w:rFonts w:hint="eastAsia"/>
                <w:color w:val="auto"/>
                <w:sz w:val="24"/>
              </w:rPr>
              <w:t>（5）工作制度及定员：年工作时间300d，生产制度为</w:t>
            </w:r>
            <w:r>
              <w:rPr>
                <w:rFonts w:hint="eastAsia"/>
                <w:color w:val="auto"/>
                <w:sz w:val="24"/>
                <w:lang w:val="en-US" w:eastAsia="zh-CN"/>
              </w:rPr>
              <w:t>一班8小时</w:t>
            </w:r>
            <w:r>
              <w:rPr>
                <w:rFonts w:hint="eastAsia"/>
                <w:color w:val="auto"/>
                <w:sz w:val="24"/>
              </w:rPr>
              <w:t>，年运行时间</w:t>
            </w:r>
            <w:r>
              <w:rPr>
                <w:rFonts w:hint="eastAsia"/>
                <w:color w:val="auto"/>
                <w:sz w:val="24"/>
                <w:lang w:val="en-US" w:eastAsia="zh-CN"/>
              </w:rPr>
              <w:t>24</w:t>
            </w:r>
            <w:r>
              <w:rPr>
                <w:rFonts w:hint="eastAsia"/>
                <w:color w:val="auto"/>
                <w:sz w:val="24"/>
              </w:rPr>
              <w:t>0</w:t>
            </w:r>
            <w:r>
              <w:rPr>
                <w:color w:val="auto"/>
                <w:sz w:val="24"/>
              </w:rPr>
              <w:t>0</w:t>
            </w:r>
            <w:r>
              <w:rPr>
                <w:rFonts w:hint="eastAsia"/>
                <w:color w:val="auto"/>
                <w:sz w:val="24"/>
              </w:rPr>
              <w:t>h。劳动定员</w:t>
            </w:r>
            <w:r>
              <w:rPr>
                <w:color w:val="auto"/>
                <w:sz w:val="24"/>
              </w:rPr>
              <w:t>1</w:t>
            </w:r>
            <w:r>
              <w:rPr>
                <w:rFonts w:hint="eastAsia"/>
                <w:color w:val="auto"/>
                <w:sz w:val="24"/>
                <w:lang w:val="en-US" w:eastAsia="zh-CN"/>
              </w:rPr>
              <w:t>2</w:t>
            </w:r>
            <w:r>
              <w:rPr>
                <w:rFonts w:hint="eastAsia"/>
                <w:color w:val="auto"/>
                <w:sz w:val="24"/>
              </w:rPr>
              <w:t>人。</w:t>
            </w:r>
          </w:p>
          <w:p w14:paraId="2C21F352">
            <w:pPr>
              <w:adjustRightInd w:val="0"/>
              <w:snapToGrid w:val="0"/>
              <w:spacing w:line="360" w:lineRule="auto"/>
              <w:ind w:firstLine="480" w:firstLineChars="200"/>
              <w:jc w:val="left"/>
              <w:rPr>
                <w:color w:val="auto"/>
                <w:kern w:val="0"/>
                <w:sz w:val="24"/>
              </w:rPr>
            </w:pPr>
            <w:r>
              <w:rPr>
                <w:rFonts w:hint="eastAsia"/>
                <w:color w:val="auto"/>
                <w:kern w:val="0"/>
                <w:sz w:val="24"/>
              </w:rPr>
              <w:t>（6）项目总投资：</w:t>
            </w:r>
            <w:r>
              <w:rPr>
                <w:rFonts w:hint="eastAsia"/>
                <w:color w:val="auto"/>
                <w:kern w:val="0"/>
                <w:sz w:val="24"/>
                <w:lang w:val="en-US" w:eastAsia="zh-CN"/>
              </w:rPr>
              <w:t>3</w:t>
            </w:r>
            <w:r>
              <w:rPr>
                <w:color w:val="auto"/>
                <w:kern w:val="0"/>
                <w:sz w:val="24"/>
              </w:rPr>
              <w:t>00万元</w:t>
            </w:r>
            <w:r>
              <w:rPr>
                <w:rFonts w:hint="eastAsia"/>
                <w:color w:val="auto"/>
                <w:kern w:val="0"/>
                <w:sz w:val="24"/>
              </w:rPr>
              <w:t>。</w:t>
            </w:r>
          </w:p>
          <w:p w14:paraId="6CD971A3">
            <w:pPr>
              <w:adjustRightInd w:val="0"/>
              <w:snapToGrid w:val="0"/>
              <w:spacing w:line="360" w:lineRule="auto"/>
              <w:outlineLvl w:val="1"/>
              <w:rPr>
                <w:b/>
                <w:color w:val="auto"/>
                <w:sz w:val="24"/>
              </w:rPr>
            </w:pPr>
            <w:r>
              <w:rPr>
                <w:b/>
                <w:color w:val="auto"/>
                <w:sz w:val="24"/>
              </w:rPr>
              <w:t>2</w:t>
            </w:r>
            <w:r>
              <w:rPr>
                <w:rFonts w:hint="eastAsia"/>
                <w:b/>
                <w:color w:val="auto"/>
                <w:sz w:val="24"/>
              </w:rPr>
              <w:t>建设内容</w:t>
            </w:r>
          </w:p>
          <w:p w14:paraId="714B027E">
            <w:pPr>
              <w:adjustRightInd w:val="0"/>
              <w:snapToGrid w:val="0"/>
              <w:spacing w:line="360" w:lineRule="auto"/>
              <w:ind w:firstLine="480" w:firstLineChars="200"/>
              <w:rPr>
                <w:color w:val="auto"/>
                <w:sz w:val="24"/>
              </w:rPr>
            </w:pPr>
            <w:r>
              <w:rPr>
                <w:rFonts w:hint="eastAsia"/>
                <w:color w:val="auto"/>
                <w:kern w:val="0"/>
                <w:sz w:val="24"/>
              </w:rPr>
              <w:t>本项目为新建项目，租赁</w:t>
            </w:r>
            <w:r>
              <w:rPr>
                <w:rFonts w:hint="eastAsia"/>
                <w:color w:val="auto"/>
                <w:kern w:val="0"/>
                <w:sz w:val="24"/>
                <w:lang w:val="en-US" w:eastAsia="zh-CN"/>
              </w:rPr>
              <w:t>新疆华爱康塑业科技发展有限公司</w:t>
            </w:r>
            <w:r>
              <w:rPr>
                <w:rFonts w:hint="eastAsia"/>
                <w:color w:val="auto"/>
                <w:kern w:val="0"/>
                <w:sz w:val="24"/>
              </w:rPr>
              <w:t>已建</w:t>
            </w:r>
            <w:r>
              <w:rPr>
                <w:rFonts w:hint="eastAsia"/>
                <w:color w:val="auto"/>
                <w:kern w:val="0"/>
                <w:sz w:val="24"/>
                <w:lang w:val="en-US" w:eastAsia="zh-CN"/>
              </w:rPr>
              <w:t>1号</w:t>
            </w:r>
            <w:r>
              <w:rPr>
                <w:rFonts w:hint="eastAsia"/>
                <w:color w:val="auto"/>
                <w:kern w:val="0"/>
                <w:sz w:val="24"/>
              </w:rPr>
              <w:t>厂房</w:t>
            </w:r>
            <w:r>
              <w:rPr>
                <w:rFonts w:hint="eastAsia"/>
                <w:color w:val="auto"/>
                <w:kern w:val="0"/>
                <w:sz w:val="24"/>
                <w:lang w:val="en-US" w:eastAsia="zh-CN"/>
              </w:rPr>
              <w:t>及库房建设地质矿产分析实验室</w:t>
            </w:r>
            <w:r>
              <w:rPr>
                <w:rFonts w:hint="eastAsia"/>
                <w:color w:val="auto"/>
                <w:kern w:val="0"/>
                <w:sz w:val="24"/>
              </w:rPr>
              <w:t>，厂址位于昌吉高新技术产业开发区</w:t>
            </w:r>
            <w:r>
              <w:rPr>
                <w:rFonts w:hint="eastAsia"/>
                <w:color w:val="auto"/>
                <w:kern w:val="0"/>
                <w:sz w:val="24"/>
                <w:lang w:eastAsia="zh-CN"/>
              </w:rPr>
              <w:t>。</w:t>
            </w:r>
            <w:r>
              <w:rPr>
                <w:rFonts w:hint="eastAsia"/>
                <w:color w:val="auto"/>
                <w:kern w:val="0"/>
                <w:sz w:val="24"/>
              </w:rPr>
              <w:t>实验室设立样品加工区、试样前处理区，试样测试区、样品贮存区、办公区、环保处理区。购置主要设备</w:t>
            </w:r>
            <w:r>
              <w:rPr>
                <w:rFonts w:hint="eastAsia"/>
                <w:color w:val="auto"/>
                <w:kern w:val="0"/>
                <w:sz w:val="24"/>
                <w:lang w:eastAsia="zh-CN"/>
              </w:rPr>
              <w:t>：</w:t>
            </w:r>
            <w:r>
              <w:rPr>
                <w:rFonts w:hint="eastAsia"/>
                <w:color w:val="auto"/>
                <w:kern w:val="0"/>
                <w:sz w:val="24"/>
                <w:lang w:val="en-US" w:eastAsia="zh-CN"/>
              </w:rPr>
              <w:t>颚式破碎机</w:t>
            </w:r>
            <w:r>
              <w:rPr>
                <w:rFonts w:hint="eastAsia"/>
                <w:color w:val="auto"/>
                <w:kern w:val="0"/>
                <w:sz w:val="24"/>
              </w:rPr>
              <w:t>、圆盘破碎机、</w:t>
            </w:r>
            <w:r>
              <w:rPr>
                <w:rFonts w:hint="eastAsia"/>
                <w:color w:val="auto"/>
                <w:kern w:val="0"/>
                <w:sz w:val="24"/>
                <w:lang w:val="en-US" w:eastAsia="zh-CN"/>
              </w:rPr>
              <w:t>棒磨</w:t>
            </w:r>
            <w:r>
              <w:rPr>
                <w:rFonts w:hint="eastAsia"/>
                <w:color w:val="auto"/>
                <w:kern w:val="0"/>
                <w:sz w:val="24"/>
              </w:rPr>
              <w:t>机、万分之一电子天平、高温电阻炉、原子吸收分光光度计、除尘设备、实验室废气处理设备、实验室废水处理设备等设施。实验室建成初期可形成年分析地质样品1.5-2万份。具体建设内容见表2</w:t>
            </w:r>
            <w:r>
              <w:rPr>
                <w:color w:val="auto"/>
                <w:kern w:val="0"/>
                <w:sz w:val="24"/>
              </w:rPr>
              <w:t>-1</w:t>
            </w:r>
            <w:r>
              <w:rPr>
                <w:rFonts w:hint="eastAsia"/>
                <w:color w:val="auto"/>
                <w:kern w:val="0"/>
                <w:sz w:val="24"/>
              </w:rPr>
              <w:t>。</w:t>
            </w:r>
          </w:p>
          <w:p w14:paraId="257E0BB7">
            <w:pPr>
              <w:pStyle w:val="19"/>
              <w:adjustRightInd w:val="0"/>
              <w:spacing w:before="72" w:beforeLines="30"/>
              <w:jc w:val="center"/>
              <w:rPr>
                <w:b/>
                <w:color w:val="auto"/>
                <w:sz w:val="21"/>
                <w:szCs w:val="21"/>
                <w:lang w:bidi="en-US"/>
              </w:rPr>
            </w:pPr>
            <w:r>
              <w:rPr>
                <w:rFonts w:hint="eastAsia"/>
                <w:b/>
                <w:color w:val="auto"/>
                <w:sz w:val="21"/>
                <w:szCs w:val="21"/>
                <w:lang w:bidi="en-US"/>
              </w:rPr>
              <w:t xml:space="preserve">表2-1 </w:t>
            </w:r>
            <w:r>
              <w:rPr>
                <w:b/>
                <w:color w:val="auto"/>
                <w:sz w:val="21"/>
                <w:szCs w:val="21"/>
                <w:lang w:bidi="en-US"/>
              </w:rPr>
              <w:t xml:space="preserve">  </w:t>
            </w:r>
            <w:r>
              <w:rPr>
                <w:rFonts w:hint="eastAsia"/>
                <w:b/>
                <w:color w:val="auto"/>
                <w:sz w:val="21"/>
                <w:szCs w:val="21"/>
                <w:lang w:bidi="en-US"/>
              </w:rPr>
              <w:t>项目工程组成一览表</w:t>
            </w:r>
          </w:p>
          <w:tbl>
            <w:tblPr>
              <w:tblStyle w:val="2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8"/>
              <w:gridCol w:w="777"/>
              <w:gridCol w:w="503"/>
              <w:gridCol w:w="858"/>
              <w:gridCol w:w="5753"/>
              <w:gridCol w:w="730"/>
            </w:tblGrid>
            <w:tr w14:paraId="2EC148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83" w:type="pct"/>
                  <w:noWrap w:val="0"/>
                  <w:vAlign w:val="center"/>
                </w:tcPr>
                <w:p w14:paraId="06740D14">
                  <w:pPr>
                    <w:autoSpaceDE w:val="0"/>
                    <w:autoSpaceDN w:val="0"/>
                    <w:adjustRightInd w:val="0"/>
                    <w:snapToGrid w:val="0"/>
                    <w:jc w:val="center"/>
                    <w:rPr>
                      <w:color w:val="auto"/>
                      <w:kern w:val="0"/>
                      <w:szCs w:val="21"/>
                    </w:rPr>
                  </w:pPr>
                  <w:r>
                    <w:rPr>
                      <w:rFonts w:hint="eastAsia"/>
                      <w:color w:val="auto"/>
                      <w:kern w:val="0"/>
                      <w:szCs w:val="21"/>
                    </w:rPr>
                    <w:t>序号</w:t>
                  </w:r>
                </w:p>
              </w:tc>
              <w:tc>
                <w:tcPr>
                  <w:tcW w:w="425" w:type="pct"/>
                  <w:noWrap w:val="0"/>
                  <w:vAlign w:val="center"/>
                </w:tcPr>
                <w:p w14:paraId="6D98BDBC">
                  <w:pPr>
                    <w:autoSpaceDE w:val="0"/>
                    <w:autoSpaceDN w:val="0"/>
                    <w:adjustRightInd w:val="0"/>
                    <w:snapToGrid w:val="0"/>
                    <w:jc w:val="center"/>
                    <w:rPr>
                      <w:color w:val="auto"/>
                      <w:kern w:val="0"/>
                      <w:szCs w:val="21"/>
                    </w:rPr>
                  </w:pPr>
                  <w:r>
                    <w:rPr>
                      <w:rFonts w:hint="eastAsia"/>
                      <w:color w:val="auto"/>
                      <w:kern w:val="0"/>
                      <w:szCs w:val="21"/>
                    </w:rPr>
                    <w:t>工程类别</w:t>
                  </w:r>
                </w:p>
              </w:tc>
              <w:tc>
                <w:tcPr>
                  <w:tcW w:w="744" w:type="pct"/>
                  <w:gridSpan w:val="2"/>
                  <w:noWrap w:val="0"/>
                  <w:vAlign w:val="center"/>
                </w:tcPr>
                <w:p w14:paraId="610BF50F">
                  <w:pPr>
                    <w:autoSpaceDE w:val="0"/>
                    <w:autoSpaceDN w:val="0"/>
                    <w:adjustRightInd w:val="0"/>
                    <w:snapToGrid w:val="0"/>
                    <w:jc w:val="center"/>
                    <w:rPr>
                      <w:color w:val="auto"/>
                      <w:kern w:val="0"/>
                      <w:szCs w:val="21"/>
                    </w:rPr>
                  </w:pPr>
                  <w:r>
                    <w:rPr>
                      <w:rFonts w:hint="eastAsia"/>
                      <w:color w:val="auto"/>
                      <w:kern w:val="0"/>
                      <w:szCs w:val="21"/>
                    </w:rPr>
                    <w:t>项目</w:t>
                  </w:r>
                </w:p>
              </w:tc>
              <w:tc>
                <w:tcPr>
                  <w:tcW w:w="3147" w:type="pct"/>
                  <w:noWrap w:val="0"/>
                  <w:vAlign w:val="center"/>
                </w:tcPr>
                <w:p w14:paraId="6201774F">
                  <w:pPr>
                    <w:autoSpaceDE w:val="0"/>
                    <w:autoSpaceDN w:val="0"/>
                    <w:adjustRightInd w:val="0"/>
                    <w:snapToGrid w:val="0"/>
                    <w:jc w:val="center"/>
                    <w:rPr>
                      <w:color w:val="auto"/>
                      <w:kern w:val="0"/>
                      <w:szCs w:val="21"/>
                    </w:rPr>
                  </w:pPr>
                  <w:r>
                    <w:rPr>
                      <w:rFonts w:hint="eastAsia"/>
                      <w:color w:val="auto"/>
                      <w:kern w:val="0"/>
                      <w:szCs w:val="21"/>
                    </w:rPr>
                    <w:t>工程组成</w:t>
                  </w:r>
                </w:p>
              </w:tc>
              <w:tc>
                <w:tcPr>
                  <w:tcW w:w="399" w:type="pct"/>
                  <w:noWrap w:val="0"/>
                  <w:vAlign w:val="center"/>
                </w:tcPr>
                <w:p w14:paraId="6E3A7428">
                  <w:pPr>
                    <w:autoSpaceDE w:val="0"/>
                    <w:autoSpaceDN w:val="0"/>
                    <w:adjustRightInd w:val="0"/>
                    <w:snapToGrid w:val="0"/>
                    <w:jc w:val="center"/>
                    <w:rPr>
                      <w:color w:val="auto"/>
                      <w:kern w:val="0"/>
                      <w:szCs w:val="21"/>
                    </w:rPr>
                  </w:pPr>
                  <w:r>
                    <w:rPr>
                      <w:rFonts w:hint="eastAsia"/>
                      <w:color w:val="auto"/>
                      <w:kern w:val="0"/>
                      <w:szCs w:val="21"/>
                    </w:rPr>
                    <w:t>备注</w:t>
                  </w:r>
                </w:p>
              </w:tc>
            </w:tr>
            <w:tr w14:paraId="4CCA7C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83" w:type="pct"/>
                  <w:vMerge w:val="restart"/>
                  <w:noWrap w:val="0"/>
                  <w:vAlign w:val="center"/>
                </w:tcPr>
                <w:p w14:paraId="054245CC">
                  <w:pPr>
                    <w:autoSpaceDE w:val="0"/>
                    <w:autoSpaceDN w:val="0"/>
                    <w:adjustRightInd w:val="0"/>
                    <w:snapToGrid w:val="0"/>
                    <w:jc w:val="center"/>
                    <w:rPr>
                      <w:color w:val="auto"/>
                      <w:kern w:val="0"/>
                      <w:szCs w:val="21"/>
                    </w:rPr>
                  </w:pPr>
                  <w:r>
                    <w:rPr>
                      <w:rFonts w:hint="eastAsia"/>
                      <w:color w:val="auto"/>
                      <w:kern w:val="0"/>
                      <w:szCs w:val="21"/>
                    </w:rPr>
                    <w:t>1</w:t>
                  </w:r>
                </w:p>
              </w:tc>
              <w:tc>
                <w:tcPr>
                  <w:tcW w:w="425" w:type="pct"/>
                  <w:vMerge w:val="restart"/>
                  <w:noWrap w:val="0"/>
                  <w:vAlign w:val="center"/>
                </w:tcPr>
                <w:p w14:paraId="75E2144A">
                  <w:pPr>
                    <w:widowControl/>
                    <w:adjustRightInd w:val="0"/>
                    <w:snapToGrid w:val="0"/>
                    <w:jc w:val="center"/>
                    <w:rPr>
                      <w:color w:val="auto"/>
                      <w:kern w:val="0"/>
                      <w:szCs w:val="21"/>
                    </w:rPr>
                  </w:pPr>
                  <w:r>
                    <w:rPr>
                      <w:rFonts w:hint="eastAsia"/>
                      <w:color w:val="auto"/>
                      <w:kern w:val="0"/>
                      <w:szCs w:val="21"/>
                    </w:rPr>
                    <w:t>主体工程</w:t>
                  </w:r>
                </w:p>
              </w:tc>
              <w:tc>
                <w:tcPr>
                  <w:tcW w:w="744" w:type="pct"/>
                  <w:gridSpan w:val="2"/>
                  <w:noWrap w:val="0"/>
                  <w:vAlign w:val="center"/>
                </w:tcPr>
                <w:p w14:paraId="2D81A933">
                  <w:pPr>
                    <w:widowControl/>
                    <w:adjustRightInd w:val="0"/>
                    <w:snapToGrid w:val="0"/>
                    <w:jc w:val="center"/>
                    <w:rPr>
                      <w:rFonts w:hint="eastAsia" w:eastAsia="宋体"/>
                      <w:color w:val="auto"/>
                      <w:kern w:val="0"/>
                      <w:szCs w:val="21"/>
                      <w:lang w:val="en-US" w:eastAsia="zh-CN"/>
                    </w:rPr>
                  </w:pPr>
                  <w:r>
                    <w:rPr>
                      <w:rFonts w:hint="eastAsia"/>
                      <w:color w:val="auto"/>
                      <w:kern w:val="0"/>
                      <w:szCs w:val="21"/>
                      <w:lang w:val="en-US" w:eastAsia="zh-CN"/>
                    </w:rPr>
                    <w:t>样品加工室</w:t>
                  </w:r>
                </w:p>
              </w:tc>
              <w:tc>
                <w:tcPr>
                  <w:tcW w:w="3147" w:type="pct"/>
                  <w:noWrap w:val="0"/>
                  <w:vAlign w:val="center"/>
                </w:tcPr>
                <w:p w14:paraId="12F9F58A">
                  <w:pPr>
                    <w:widowControl/>
                    <w:adjustRightInd w:val="0"/>
                    <w:snapToGrid w:val="0"/>
                    <w:rPr>
                      <w:rFonts w:hint="default"/>
                      <w:color w:val="auto"/>
                      <w:kern w:val="0"/>
                      <w:szCs w:val="21"/>
                      <w:lang w:val="en-US"/>
                    </w:rPr>
                  </w:pPr>
                  <w:r>
                    <w:rPr>
                      <w:rFonts w:hint="eastAsia"/>
                      <w:color w:val="auto"/>
                      <w:kern w:val="0"/>
                      <w:szCs w:val="21"/>
                      <w:lang w:val="en-US" w:eastAsia="zh-CN"/>
                    </w:rPr>
                    <w:t>位于实验室内东侧，主要用于样品加工，设置破碎机、棒磨机等。</w:t>
                  </w:r>
                </w:p>
              </w:tc>
              <w:tc>
                <w:tcPr>
                  <w:tcW w:w="399" w:type="pct"/>
                  <w:noWrap w:val="0"/>
                  <w:vAlign w:val="center"/>
                </w:tcPr>
                <w:p w14:paraId="1EC8A626">
                  <w:pPr>
                    <w:adjustRightInd w:val="0"/>
                    <w:snapToGrid w:val="0"/>
                    <w:jc w:val="center"/>
                    <w:rPr>
                      <w:rFonts w:hint="eastAsia"/>
                      <w:color w:val="auto"/>
                      <w:kern w:val="0"/>
                      <w:szCs w:val="21"/>
                    </w:rPr>
                  </w:pPr>
                  <w:r>
                    <w:rPr>
                      <w:rFonts w:hint="eastAsia"/>
                      <w:color w:val="auto"/>
                      <w:kern w:val="0"/>
                      <w:szCs w:val="21"/>
                    </w:rPr>
                    <w:t>新建</w:t>
                  </w:r>
                </w:p>
              </w:tc>
            </w:tr>
            <w:tr w14:paraId="082139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83" w:type="pct"/>
                  <w:vMerge w:val="continue"/>
                  <w:noWrap w:val="0"/>
                  <w:vAlign w:val="center"/>
                </w:tcPr>
                <w:p w14:paraId="3E3789DD">
                  <w:pPr>
                    <w:autoSpaceDE w:val="0"/>
                    <w:autoSpaceDN w:val="0"/>
                    <w:adjustRightInd w:val="0"/>
                    <w:snapToGrid w:val="0"/>
                    <w:jc w:val="center"/>
                    <w:rPr>
                      <w:rFonts w:hint="eastAsia"/>
                      <w:color w:val="auto"/>
                      <w:kern w:val="0"/>
                      <w:szCs w:val="21"/>
                    </w:rPr>
                  </w:pPr>
                </w:p>
              </w:tc>
              <w:tc>
                <w:tcPr>
                  <w:tcW w:w="425" w:type="pct"/>
                  <w:vMerge w:val="continue"/>
                  <w:noWrap w:val="0"/>
                  <w:vAlign w:val="center"/>
                </w:tcPr>
                <w:p w14:paraId="1E63D3C5">
                  <w:pPr>
                    <w:widowControl/>
                    <w:adjustRightInd w:val="0"/>
                    <w:snapToGrid w:val="0"/>
                    <w:jc w:val="center"/>
                    <w:rPr>
                      <w:rFonts w:hint="eastAsia"/>
                      <w:color w:val="auto"/>
                      <w:kern w:val="0"/>
                      <w:szCs w:val="21"/>
                    </w:rPr>
                  </w:pPr>
                </w:p>
              </w:tc>
              <w:tc>
                <w:tcPr>
                  <w:tcW w:w="744" w:type="pct"/>
                  <w:gridSpan w:val="2"/>
                  <w:noWrap w:val="0"/>
                  <w:vAlign w:val="center"/>
                </w:tcPr>
                <w:p w14:paraId="08DEC2B7">
                  <w:pPr>
                    <w:widowControl/>
                    <w:adjustRightInd w:val="0"/>
                    <w:snapToGrid w:val="0"/>
                    <w:jc w:val="center"/>
                    <w:rPr>
                      <w:rFonts w:hint="default"/>
                      <w:color w:val="auto"/>
                      <w:kern w:val="0"/>
                      <w:szCs w:val="21"/>
                      <w:lang w:val="en-US" w:eastAsia="zh-CN"/>
                    </w:rPr>
                  </w:pPr>
                  <w:r>
                    <w:rPr>
                      <w:rFonts w:hint="eastAsia"/>
                      <w:color w:val="auto"/>
                      <w:kern w:val="0"/>
                      <w:szCs w:val="21"/>
                      <w:lang w:val="en-US" w:eastAsia="zh-CN"/>
                    </w:rPr>
                    <w:t>操作室</w:t>
                  </w:r>
                </w:p>
              </w:tc>
              <w:tc>
                <w:tcPr>
                  <w:tcW w:w="3147" w:type="pct"/>
                  <w:noWrap w:val="0"/>
                  <w:vAlign w:val="center"/>
                </w:tcPr>
                <w:p w14:paraId="0A40D54A">
                  <w:pPr>
                    <w:widowControl/>
                    <w:adjustRightInd w:val="0"/>
                    <w:snapToGrid w:val="0"/>
                    <w:rPr>
                      <w:rFonts w:hint="default" w:eastAsia="宋体"/>
                      <w:color w:val="auto"/>
                      <w:kern w:val="0"/>
                      <w:szCs w:val="21"/>
                      <w:lang w:val="en-US" w:eastAsia="zh-CN"/>
                    </w:rPr>
                  </w:pPr>
                  <w:r>
                    <w:rPr>
                      <w:rFonts w:hint="eastAsia"/>
                      <w:color w:val="auto"/>
                      <w:kern w:val="0"/>
                      <w:szCs w:val="21"/>
                      <w:lang w:val="en-US" w:eastAsia="zh-CN"/>
                    </w:rPr>
                    <w:t>位于项目区北侧，相邻设置操作室1、操作室2、操作室3，每间建筑面积约30m</w:t>
                  </w:r>
                  <w:r>
                    <w:rPr>
                      <w:rFonts w:hint="eastAsia"/>
                      <w:color w:val="auto"/>
                      <w:kern w:val="0"/>
                      <w:szCs w:val="21"/>
                      <w:vertAlign w:val="superscript"/>
                      <w:lang w:val="en-US" w:eastAsia="zh-CN"/>
                    </w:rPr>
                    <w:t>2</w:t>
                  </w:r>
                  <w:r>
                    <w:rPr>
                      <w:rFonts w:hint="eastAsia"/>
                      <w:color w:val="auto"/>
                      <w:kern w:val="0"/>
                      <w:szCs w:val="21"/>
                      <w:lang w:val="en-US" w:eastAsia="zh-CN"/>
                    </w:rPr>
                    <w:t>，主要放置设备</w:t>
                  </w:r>
                  <w:r>
                    <w:rPr>
                      <w:rFonts w:hint="eastAsia"/>
                      <w:color w:val="auto"/>
                      <w:lang w:eastAsia="zh-CN"/>
                    </w:rPr>
                    <w:t>石墨</w:t>
                  </w:r>
                  <w:r>
                    <w:rPr>
                      <w:rFonts w:hint="eastAsia"/>
                      <w:color w:val="auto"/>
                    </w:rPr>
                    <w:t>电热板</w:t>
                  </w:r>
                  <w:r>
                    <w:rPr>
                      <w:rFonts w:hint="eastAsia"/>
                      <w:color w:val="auto"/>
                      <w:lang w:eastAsia="zh-CN"/>
                    </w:rPr>
                    <w:t>、</w:t>
                  </w:r>
                  <w:r>
                    <w:rPr>
                      <w:rFonts w:hint="eastAsia"/>
                      <w:color w:val="auto"/>
                    </w:rPr>
                    <w:t>恒温水浴锅</w:t>
                  </w:r>
                  <w:r>
                    <w:rPr>
                      <w:rFonts w:hint="eastAsia"/>
                      <w:color w:val="auto"/>
                      <w:lang w:eastAsia="zh-CN"/>
                    </w:rPr>
                    <w:t>、</w:t>
                  </w:r>
                  <w:r>
                    <w:rPr>
                      <w:rFonts w:hint="eastAsia"/>
                      <w:color w:val="auto"/>
                    </w:rPr>
                    <w:t>调速多用振荡器</w:t>
                  </w:r>
                  <w:r>
                    <w:rPr>
                      <w:rFonts w:hint="eastAsia"/>
                      <w:color w:val="auto"/>
                      <w:lang w:eastAsia="zh-CN"/>
                    </w:rPr>
                    <w:t>、</w:t>
                  </w:r>
                  <w:r>
                    <w:rPr>
                      <w:rFonts w:hint="eastAsia"/>
                      <w:color w:val="auto"/>
                      <w:lang w:val="en-US" w:eastAsia="zh-CN"/>
                    </w:rPr>
                    <w:t>纯水机、电炉等。</w:t>
                  </w:r>
                </w:p>
              </w:tc>
              <w:tc>
                <w:tcPr>
                  <w:tcW w:w="399" w:type="pct"/>
                  <w:noWrap w:val="0"/>
                  <w:vAlign w:val="center"/>
                </w:tcPr>
                <w:p w14:paraId="79689256">
                  <w:pPr>
                    <w:adjustRightInd w:val="0"/>
                    <w:snapToGrid w:val="0"/>
                    <w:jc w:val="center"/>
                    <w:rPr>
                      <w:rFonts w:hint="eastAsia"/>
                      <w:color w:val="auto"/>
                      <w:kern w:val="0"/>
                      <w:szCs w:val="21"/>
                    </w:rPr>
                  </w:pPr>
                  <w:r>
                    <w:rPr>
                      <w:rFonts w:hint="eastAsia"/>
                      <w:color w:val="auto"/>
                      <w:kern w:val="0"/>
                      <w:szCs w:val="21"/>
                    </w:rPr>
                    <w:t>新建</w:t>
                  </w:r>
                </w:p>
              </w:tc>
            </w:tr>
            <w:tr w14:paraId="7DCCDA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83" w:type="pct"/>
                  <w:vMerge w:val="continue"/>
                  <w:noWrap w:val="0"/>
                  <w:vAlign w:val="center"/>
                </w:tcPr>
                <w:p w14:paraId="3875873A">
                  <w:pPr>
                    <w:autoSpaceDE w:val="0"/>
                    <w:autoSpaceDN w:val="0"/>
                    <w:adjustRightInd w:val="0"/>
                    <w:snapToGrid w:val="0"/>
                    <w:jc w:val="center"/>
                    <w:rPr>
                      <w:rFonts w:hint="eastAsia"/>
                      <w:color w:val="auto"/>
                      <w:kern w:val="0"/>
                      <w:szCs w:val="21"/>
                    </w:rPr>
                  </w:pPr>
                </w:p>
              </w:tc>
              <w:tc>
                <w:tcPr>
                  <w:tcW w:w="425" w:type="pct"/>
                  <w:vMerge w:val="continue"/>
                  <w:noWrap w:val="0"/>
                  <w:vAlign w:val="center"/>
                </w:tcPr>
                <w:p w14:paraId="2EC34F16">
                  <w:pPr>
                    <w:widowControl/>
                    <w:adjustRightInd w:val="0"/>
                    <w:snapToGrid w:val="0"/>
                    <w:jc w:val="center"/>
                    <w:rPr>
                      <w:rFonts w:hint="eastAsia"/>
                      <w:color w:val="auto"/>
                      <w:kern w:val="0"/>
                      <w:szCs w:val="21"/>
                    </w:rPr>
                  </w:pPr>
                </w:p>
              </w:tc>
              <w:tc>
                <w:tcPr>
                  <w:tcW w:w="744" w:type="pct"/>
                  <w:gridSpan w:val="2"/>
                  <w:noWrap w:val="0"/>
                  <w:vAlign w:val="center"/>
                </w:tcPr>
                <w:p w14:paraId="7387250F">
                  <w:pPr>
                    <w:widowControl/>
                    <w:adjustRightInd w:val="0"/>
                    <w:snapToGrid w:val="0"/>
                    <w:jc w:val="center"/>
                    <w:rPr>
                      <w:rFonts w:hint="default"/>
                      <w:color w:val="auto"/>
                      <w:kern w:val="0"/>
                      <w:szCs w:val="21"/>
                      <w:lang w:val="en-US" w:eastAsia="zh-CN"/>
                    </w:rPr>
                  </w:pPr>
                  <w:r>
                    <w:rPr>
                      <w:rFonts w:hint="eastAsia"/>
                      <w:color w:val="auto"/>
                      <w:kern w:val="0"/>
                      <w:szCs w:val="21"/>
                      <w:lang w:val="en-US" w:eastAsia="zh-CN"/>
                    </w:rPr>
                    <w:t>高温炉室</w:t>
                  </w:r>
                </w:p>
              </w:tc>
              <w:tc>
                <w:tcPr>
                  <w:tcW w:w="3147" w:type="pct"/>
                  <w:noWrap w:val="0"/>
                  <w:vAlign w:val="center"/>
                </w:tcPr>
                <w:p w14:paraId="3C867D21">
                  <w:pPr>
                    <w:widowControl/>
                    <w:adjustRightInd w:val="0"/>
                    <w:snapToGrid w:val="0"/>
                    <w:rPr>
                      <w:rFonts w:hint="eastAsia"/>
                      <w:color w:val="auto"/>
                      <w:kern w:val="0"/>
                      <w:szCs w:val="21"/>
                      <w:lang w:val="en-US" w:eastAsia="zh-CN"/>
                    </w:rPr>
                  </w:pPr>
                  <w:r>
                    <w:rPr>
                      <w:rFonts w:hint="eastAsia"/>
                      <w:color w:val="auto"/>
                      <w:kern w:val="0"/>
                      <w:szCs w:val="21"/>
                      <w:lang w:val="en-US" w:eastAsia="zh-CN"/>
                    </w:rPr>
                    <w:t>位于项目区北侧，建筑面积约32m</w:t>
                  </w:r>
                  <w:r>
                    <w:rPr>
                      <w:rFonts w:hint="eastAsia"/>
                      <w:color w:val="auto"/>
                      <w:kern w:val="0"/>
                      <w:szCs w:val="21"/>
                      <w:vertAlign w:val="superscript"/>
                      <w:lang w:val="en-US" w:eastAsia="zh-CN"/>
                    </w:rPr>
                    <w:t>2</w:t>
                  </w:r>
                  <w:r>
                    <w:rPr>
                      <w:rFonts w:hint="eastAsia"/>
                      <w:color w:val="auto"/>
                      <w:kern w:val="0"/>
                      <w:szCs w:val="21"/>
                      <w:lang w:val="en-US" w:eastAsia="zh-CN"/>
                    </w:rPr>
                    <w:t>，主要用于干燥及加热处理，放置设备</w:t>
                  </w:r>
                  <w:r>
                    <w:rPr>
                      <w:rFonts w:hint="eastAsia"/>
                      <w:color w:val="auto"/>
                    </w:rPr>
                    <w:t>箱式电阻炉</w:t>
                  </w:r>
                  <w:r>
                    <w:rPr>
                      <w:rFonts w:hint="eastAsia"/>
                      <w:color w:val="auto"/>
                      <w:lang w:eastAsia="zh-CN"/>
                    </w:rPr>
                    <w:t>、</w:t>
                  </w:r>
                  <w:r>
                    <w:rPr>
                      <w:rFonts w:hint="default" w:ascii="Times New Roman" w:hAnsi="Times New Roman" w:cs="Times New Roman"/>
                      <w:color w:val="auto"/>
                      <w:lang w:val="en-US" w:eastAsia="zh-CN"/>
                    </w:rPr>
                    <w:t>电热鼓风干燥箱</w:t>
                  </w:r>
                  <w:r>
                    <w:rPr>
                      <w:rFonts w:hint="eastAsia" w:ascii="Times New Roman" w:hAnsi="Times New Roman" w:cs="Times New Roman"/>
                      <w:color w:val="auto"/>
                      <w:lang w:val="en-US" w:eastAsia="zh-CN"/>
                    </w:rPr>
                    <w:t>。</w:t>
                  </w:r>
                </w:p>
              </w:tc>
              <w:tc>
                <w:tcPr>
                  <w:tcW w:w="399" w:type="pct"/>
                  <w:noWrap w:val="0"/>
                  <w:vAlign w:val="center"/>
                </w:tcPr>
                <w:p w14:paraId="675999B7">
                  <w:pPr>
                    <w:adjustRightInd w:val="0"/>
                    <w:snapToGrid w:val="0"/>
                    <w:jc w:val="center"/>
                    <w:rPr>
                      <w:rFonts w:hint="eastAsia"/>
                      <w:color w:val="auto"/>
                      <w:kern w:val="0"/>
                      <w:szCs w:val="21"/>
                    </w:rPr>
                  </w:pPr>
                  <w:r>
                    <w:rPr>
                      <w:rFonts w:hint="eastAsia"/>
                      <w:color w:val="auto"/>
                      <w:kern w:val="0"/>
                      <w:szCs w:val="21"/>
                    </w:rPr>
                    <w:t>新建</w:t>
                  </w:r>
                </w:p>
              </w:tc>
            </w:tr>
            <w:tr w14:paraId="697EE6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83" w:type="pct"/>
                  <w:vMerge w:val="continue"/>
                  <w:noWrap w:val="0"/>
                  <w:vAlign w:val="center"/>
                </w:tcPr>
                <w:p w14:paraId="17EC7637">
                  <w:pPr>
                    <w:autoSpaceDE w:val="0"/>
                    <w:autoSpaceDN w:val="0"/>
                    <w:adjustRightInd w:val="0"/>
                    <w:snapToGrid w:val="0"/>
                    <w:jc w:val="center"/>
                    <w:rPr>
                      <w:rFonts w:hint="eastAsia"/>
                      <w:color w:val="auto"/>
                      <w:kern w:val="0"/>
                      <w:szCs w:val="21"/>
                    </w:rPr>
                  </w:pPr>
                </w:p>
              </w:tc>
              <w:tc>
                <w:tcPr>
                  <w:tcW w:w="425" w:type="pct"/>
                  <w:vMerge w:val="continue"/>
                  <w:noWrap w:val="0"/>
                  <w:vAlign w:val="center"/>
                </w:tcPr>
                <w:p w14:paraId="7DE1D2CB">
                  <w:pPr>
                    <w:widowControl/>
                    <w:adjustRightInd w:val="0"/>
                    <w:snapToGrid w:val="0"/>
                    <w:jc w:val="center"/>
                    <w:rPr>
                      <w:rFonts w:hint="eastAsia"/>
                      <w:color w:val="auto"/>
                      <w:kern w:val="0"/>
                      <w:szCs w:val="21"/>
                    </w:rPr>
                  </w:pPr>
                </w:p>
              </w:tc>
              <w:tc>
                <w:tcPr>
                  <w:tcW w:w="744" w:type="pct"/>
                  <w:gridSpan w:val="2"/>
                  <w:noWrap w:val="0"/>
                  <w:vAlign w:val="center"/>
                </w:tcPr>
                <w:p w14:paraId="678D23C7">
                  <w:pPr>
                    <w:widowControl/>
                    <w:adjustRightInd w:val="0"/>
                    <w:snapToGrid w:val="0"/>
                    <w:jc w:val="center"/>
                    <w:rPr>
                      <w:rFonts w:hint="default"/>
                      <w:color w:val="auto"/>
                      <w:kern w:val="0"/>
                      <w:szCs w:val="21"/>
                      <w:lang w:val="en-US" w:eastAsia="zh-CN"/>
                    </w:rPr>
                  </w:pPr>
                  <w:r>
                    <w:rPr>
                      <w:rFonts w:hint="eastAsia"/>
                      <w:color w:val="auto"/>
                      <w:kern w:val="0"/>
                      <w:szCs w:val="21"/>
                      <w:lang w:val="en-US" w:eastAsia="zh-CN"/>
                    </w:rPr>
                    <w:t>试剂室</w:t>
                  </w:r>
                </w:p>
              </w:tc>
              <w:tc>
                <w:tcPr>
                  <w:tcW w:w="3147" w:type="pct"/>
                  <w:noWrap w:val="0"/>
                  <w:vAlign w:val="center"/>
                </w:tcPr>
                <w:p w14:paraId="35EAD5F2">
                  <w:pPr>
                    <w:widowControl/>
                    <w:adjustRightInd w:val="0"/>
                    <w:snapToGrid w:val="0"/>
                    <w:rPr>
                      <w:rFonts w:hint="default"/>
                      <w:color w:val="auto"/>
                      <w:kern w:val="0"/>
                      <w:szCs w:val="21"/>
                      <w:lang w:val="en-US" w:eastAsia="zh-CN"/>
                    </w:rPr>
                  </w:pPr>
                  <w:r>
                    <w:rPr>
                      <w:rFonts w:hint="eastAsia"/>
                      <w:color w:val="auto"/>
                      <w:kern w:val="0"/>
                      <w:szCs w:val="21"/>
                      <w:lang w:val="en-US" w:eastAsia="zh-CN"/>
                    </w:rPr>
                    <w:t>位于项目区北侧，建筑面积约30m</w:t>
                  </w:r>
                  <w:r>
                    <w:rPr>
                      <w:rFonts w:hint="eastAsia"/>
                      <w:color w:val="auto"/>
                      <w:kern w:val="0"/>
                      <w:szCs w:val="21"/>
                      <w:vertAlign w:val="superscript"/>
                      <w:lang w:val="en-US" w:eastAsia="zh-CN"/>
                    </w:rPr>
                    <w:t>2</w:t>
                  </w:r>
                  <w:r>
                    <w:rPr>
                      <w:rFonts w:hint="eastAsia"/>
                      <w:color w:val="auto"/>
                      <w:kern w:val="0"/>
                      <w:szCs w:val="21"/>
                      <w:lang w:val="en-US" w:eastAsia="zh-CN"/>
                    </w:rPr>
                    <w:t>，用于存放化学药剂</w:t>
                  </w:r>
                </w:p>
              </w:tc>
              <w:tc>
                <w:tcPr>
                  <w:tcW w:w="399" w:type="pct"/>
                  <w:noWrap w:val="0"/>
                  <w:vAlign w:val="center"/>
                </w:tcPr>
                <w:p w14:paraId="3EED2D35">
                  <w:pPr>
                    <w:adjustRightInd w:val="0"/>
                    <w:snapToGrid w:val="0"/>
                    <w:jc w:val="center"/>
                    <w:rPr>
                      <w:rFonts w:hint="eastAsia"/>
                      <w:color w:val="auto"/>
                      <w:kern w:val="0"/>
                      <w:szCs w:val="21"/>
                    </w:rPr>
                  </w:pPr>
                  <w:r>
                    <w:rPr>
                      <w:rFonts w:hint="eastAsia"/>
                      <w:color w:val="auto"/>
                      <w:kern w:val="0"/>
                      <w:szCs w:val="21"/>
                    </w:rPr>
                    <w:t>新建</w:t>
                  </w:r>
                </w:p>
              </w:tc>
            </w:tr>
            <w:tr w14:paraId="7AD575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83" w:type="pct"/>
                  <w:vMerge w:val="continue"/>
                  <w:noWrap w:val="0"/>
                  <w:vAlign w:val="center"/>
                </w:tcPr>
                <w:p w14:paraId="48A05C91">
                  <w:pPr>
                    <w:autoSpaceDE w:val="0"/>
                    <w:autoSpaceDN w:val="0"/>
                    <w:adjustRightInd w:val="0"/>
                    <w:snapToGrid w:val="0"/>
                    <w:jc w:val="center"/>
                    <w:rPr>
                      <w:rFonts w:hint="eastAsia"/>
                      <w:color w:val="auto"/>
                      <w:kern w:val="0"/>
                      <w:szCs w:val="21"/>
                    </w:rPr>
                  </w:pPr>
                </w:p>
              </w:tc>
              <w:tc>
                <w:tcPr>
                  <w:tcW w:w="425" w:type="pct"/>
                  <w:vMerge w:val="continue"/>
                  <w:noWrap w:val="0"/>
                  <w:vAlign w:val="center"/>
                </w:tcPr>
                <w:p w14:paraId="144EC065">
                  <w:pPr>
                    <w:widowControl/>
                    <w:adjustRightInd w:val="0"/>
                    <w:snapToGrid w:val="0"/>
                    <w:jc w:val="center"/>
                    <w:rPr>
                      <w:rFonts w:hint="eastAsia"/>
                      <w:color w:val="auto"/>
                      <w:kern w:val="0"/>
                      <w:szCs w:val="21"/>
                    </w:rPr>
                  </w:pPr>
                </w:p>
              </w:tc>
              <w:tc>
                <w:tcPr>
                  <w:tcW w:w="744" w:type="pct"/>
                  <w:gridSpan w:val="2"/>
                  <w:noWrap w:val="0"/>
                  <w:vAlign w:val="center"/>
                </w:tcPr>
                <w:p w14:paraId="1D862059">
                  <w:pPr>
                    <w:widowControl/>
                    <w:adjustRightInd w:val="0"/>
                    <w:snapToGrid w:val="0"/>
                    <w:jc w:val="center"/>
                    <w:rPr>
                      <w:rFonts w:hint="default"/>
                      <w:color w:val="auto"/>
                      <w:kern w:val="0"/>
                      <w:szCs w:val="21"/>
                      <w:lang w:val="en-US" w:eastAsia="zh-CN"/>
                    </w:rPr>
                  </w:pPr>
                  <w:r>
                    <w:rPr>
                      <w:rFonts w:hint="eastAsia"/>
                      <w:color w:val="auto"/>
                      <w:kern w:val="0"/>
                      <w:szCs w:val="21"/>
                      <w:lang w:val="en-US" w:eastAsia="zh-CN"/>
                    </w:rPr>
                    <w:t>危险品仓库</w:t>
                  </w:r>
                </w:p>
              </w:tc>
              <w:tc>
                <w:tcPr>
                  <w:tcW w:w="3147" w:type="pct"/>
                  <w:noWrap w:val="0"/>
                  <w:vAlign w:val="center"/>
                </w:tcPr>
                <w:p w14:paraId="222CDD99">
                  <w:pPr>
                    <w:widowControl/>
                    <w:adjustRightInd w:val="0"/>
                    <w:snapToGrid w:val="0"/>
                    <w:rPr>
                      <w:rFonts w:hint="default"/>
                      <w:color w:val="auto"/>
                      <w:kern w:val="0"/>
                      <w:szCs w:val="21"/>
                      <w:lang w:val="en-US" w:eastAsia="zh-CN"/>
                    </w:rPr>
                  </w:pPr>
                  <w:r>
                    <w:rPr>
                      <w:rFonts w:hint="eastAsia"/>
                      <w:color w:val="auto"/>
                      <w:kern w:val="0"/>
                      <w:szCs w:val="21"/>
                      <w:lang w:val="en-US" w:eastAsia="zh-CN"/>
                    </w:rPr>
                    <w:t>位于项目区东侧，建筑面积约30m</w:t>
                  </w:r>
                  <w:r>
                    <w:rPr>
                      <w:rFonts w:hint="eastAsia"/>
                      <w:color w:val="auto"/>
                      <w:kern w:val="0"/>
                      <w:szCs w:val="21"/>
                      <w:vertAlign w:val="superscript"/>
                      <w:lang w:val="en-US" w:eastAsia="zh-CN"/>
                    </w:rPr>
                    <w:t>2</w:t>
                  </w:r>
                  <w:r>
                    <w:rPr>
                      <w:rFonts w:hint="eastAsia"/>
                      <w:color w:val="auto"/>
                      <w:kern w:val="0"/>
                      <w:szCs w:val="21"/>
                      <w:lang w:val="en-US" w:eastAsia="zh-CN"/>
                    </w:rPr>
                    <w:t>，用于存放盐酸等高腐蚀危险化学药剂</w:t>
                  </w:r>
                </w:p>
              </w:tc>
              <w:tc>
                <w:tcPr>
                  <w:tcW w:w="399" w:type="pct"/>
                  <w:noWrap w:val="0"/>
                  <w:vAlign w:val="center"/>
                </w:tcPr>
                <w:p w14:paraId="447F26C4">
                  <w:pPr>
                    <w:adjustRightInd w:val="0"/>
                    <w:snapToGrid w:val="0"/>
                    <w:jc w:val="center"/>
                    <w:rPr>
                      <w:rFonts w:hint="eastAsia"/>
                      <w:color w:val="auto"/>
                      <w:kern w:val="0"/>
                      <w:szCs w:val="21"/>
                    </w:rPr>
                  </w:pPr>
                  <w:r>
                    <w:rPr>
                      <w:rFonts w:hint="eastAsia"/>
                      <w:color w:val="auto"/>
                      <w:kern w:val="0"/>
                      <w:szCs w:val="21"/>
                    </w:rPr>
                    <w:t>新建</w:t>
                  </w:r>
                </w:p>
              </w:tc>
            </w:tr>
            <w:tr w14:paraId="3AF061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83" w:type="pct"/>
                  <w:vMerge w:val="continue"/>
                  <w:noWrap w:val="0"/>
                  <w:vAlign w:val="center"/>
                </w:tcPr>
                <w:p w14:paraId="028AAC3F">
                  <w:pPr>
                    <w:autoSpaceDE w:val="0"/>
                    <w:autoSpaceDN w:val="0"/>
                    <w:adjustRightInd w:val="0"/>
                    <w:snapToGrid w:val="0"/>
                    <w:jc w:val="center"/>
                    <w:rPr>
                      <w:rFonts w:hint="eastAsia"/>
                      <w:color w:val="auto"/>
                      <w:kern w:val="0"/>
                      <w:szCs w:val="21"/>
                    </w:rPr>
                  </w:pPr>
                </w:p>
              </w:tc>
              <w:tc>
                <w:tcPr>
                  <w:tcW w:w="425" w:type="pct"/>
                  <w:vMerge w:val="continue"/>
                  <w:noWrap w:val="0"/>
                  <w:vAlign w:val="center"/>
                </w:tcPr>
                <w:p w14:paraId="3F00A04C">
                  <w:pPr>
                    <w:widowControl/>
                    <w:adjustRightInd w:val="0"/>
                    <w:snapToGrid w:val="0"/>
                    <w:jc w:val="center"/>
                    <w:rPr>
                      <w:rFonts w:hint="eastAsia"/>
                      <w:color w:val="auto"/>
                      <w:kern w:val="0"/>
                      <w:szCs w:val="21"/>
                    </w:rPr>
                  </w:pPr>
                </w:p>
              </w:tc>
              <w:tc>
                <w:tcPr>
                  <w:tcW w:w="744" w:type="pct"/>
                  <w:gridSpan w:val="2"/>
                  <w:noWrap w:val="0"/>
                  <w:vAlign w:val="center"/>
                </w:tcPr>
                <w:p w14:paraId="606AE74C">
                  <w:pPr>
                    <w:widowControl/>
                    <w:adjustRightInd w:val="0"/>
                    <w:snapToGrid w:val="0"/>
                    <w:jc w:val="center"/>
                    <w:rPr>
                      <w:rFonts w:hint="default"/>
                      <w:color w:val="auto"/>
                      <w:kern w:val="0"/>
                      <w:szCs w:val="21"/>
                      <w:lang w:val="en-US" w:eastAsia="zh-CN"/>
                    </w:rPr>
                  </w:pPr>
                  <w:r>
                    <w:rPr>
                      <w:rFonts w:hint="eastAsia"/>
                      <w:color w:val="auto"/>
                      <w:kern w:val="0"/>
                      <w:szCs w:val="21"/>
                      <w:lang w:val="en-US" w:eastAsia="zh-CN"/>
                    </w:rPr>
                    <w:t>标准室</w:t>
                  </w:r>
                </w:p>
              </w:tc>
              <w:tc>
                <w:tcPr>
                  <w:tcW w:w="3147" w:type="pct"/>
                  <w:noWrap w:val="0"/>
                  <w:vAlign w:val="center"/>
                </w:tcPr>
                <w:p w14:paraId="53F25A4A">
                  <w:pPr>
                    <w:widowControl/>
                    <w:adjustRightInd w:val="0"/>
                    <w:snapToGrid w:val="0"/>
                    <w:rPr>
                      <w:rFonts w:hint="default"/>
                      <w:color w:val="auto"/>
                      <w:kern w:val="0"/>
                      <w:szCs w:val="21"/>
                      <w:lang w:val="en-US" w:eastAsia="zh-CN"/>
                    </w:rPr>
                  </w:pPr>
                  <w:r>
                    <w:rPr>
                      <w:rFonts w:hint="eastAsia"/>
                      <w:color w:val="auto"/>
                      <w:kern w:val="0"/>
                      <w:szCs w:val="21"/>
                      <w:lang w:val="en-US" w:eastAsia="zh-CN"/>
                    </w:rPr>
                    <w:t>位于项目区北侧，建筑面积约30m</w:t>
                  </w:r>
                  <w:r>
                    <w:rPr>
                      <w:rFonts w:hint="eastAsia"/>
                      <w:color w:val="auto"/>
                      <w:kern w:val="0"/>
                      <w:szCs w:val="21"/>
                      <w:vertAlign w:val="superscript"/>
                      <w:lang w:val="en-US" w:eastAsia="zh-CN"/>
                    </w:rPr>
                    <w:t>2</w:t>
                  </w:r>
                  <w:r>
                    <w:rPr>
                      <w:rFonts w:hint="eastAsia"/>
                      <w:color w:val="auto"/>
                      <w:kern w:val="0"/>
                      <w:szCs w:val="21"/>
                      <w:lang w:val="en-US" w:eastAsia="zh-CN"/>
                    </w:rPr>
                    <w:t>，用于存放标准液</w:t>
                  </w:r>
                </w:p>
              </w:tc>
              <w:tc>
                <w:tcPr>
                  <w:tcW w:w="399" w:type="pct"/>
                  <w:noWrap w:val="0"/>
                  <w:vAlign w:val="center"/>
                </w:tcPr>
                <w:p w14:paraId="53A90FFC">
                  <w:pPr>
                    <w:adjustRightInd w:val="0"/>
                    <w:snapToGrid w:val="0"/>
                    <w:jc w:val="center"/>
                    <w:rPr>
                      <w:rFonts w:hint="eastAsia"/>
                      <w:color w:val="auto"/>
                      <w:kern w:val="0"/>
                      <w:szCs w:val="21"/>
                    </w:rPr>
                  </w:pPr>
                  <w:r>
                    <w:rPr>
                      <w:rFonts w:hint="eastAsia"/>
                      <w:color w:val="auto"/>
                      <w:kern w:val="0"/>
                      <w:szCs w:val="21"/>
                    </w:rPr>
                    <w:t>新建</w:t>
                  </w:r>
                </w:p>
              </w:tc>
            </w:tr>
            <w:tr w14:paraId="4236FA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83" w:type="pct"/>
                  <w:vMerge w:val="continue"/>
                  <w:noWrap w:val="0"/>
                  <w:vAlign w:val="center"/>
                </w:tcPr>
                <w:p w14:paraId="24440088">
                  <w:pPr>
                    <w:autoSpaceDE w:val="0"/>
                    <w:autoSpaceDN w:val="0"/>
                    <w:adjustRightInd w:val="0"/>
                    <w:snapToGrid w:val="0"/>
                    <w:jc w:val="center"/>
                    <w:rPr>
                      <w:rFonts w:hint="eastAsia"/>
                      <w:color w:val="auto"/>
                      <w:kern w:val="0"/>
                      <w:szCs w:val="21"/>
                    </w:rPr>
                  </w:pPr>
                </w:p>
              </w:tc>
              <w:tc>
                <w:tcPr>
                  <w:tcW w:w="425" w:type="pct"/>
                  <w:vMerge w:val="continue"/>
                  <w:noWrap w:val="0"/>
                  <w:vAlign w:val="center"/>
                </w:tcPr>
                <w:p w14:paraId="60BF92A7">
                  <w:pPr>
                    <w:widowControl/>
                    <w:adjustRightInd w:val="0"/>
                    <w:snapToGrid w:val="0"/>
                    <w:jc w:val="center"/>
                    <w:rPr>
                      <w:rFonts w:hint="eastAsia"/>
                      <w:color w:val="auto"/>
                      <w:kern w:val="0"/>
                      <w:szCs w:val="21"/>
                    </w:rPr>
                  </w:pPr>
                </w:p>
              </w:tc>
              <w:tc>
                <w:tcPr>
                  <w:tcW w:w="744" w:type="pct"/>
                  <w:gridSpan w:val="2"/>
                  <w:noWrap w:val="0"/>
                  <w:vAlign w:val="center"/>
                </w:tcPr>
                <w:p w14:paraId="6A0079DE">
                  <w:pPr>
                    <w:widowControl/>
                    <w:adjustRightInd w:val="0"/>
                    <w:snapToGrid w:val="0"/>
                    <w:jc w:val="center"/>
                    <w:rPr>
                      <w:rFonts w:hint="default"/>
                      <w:color w:val="auto"/>
                      <w:kern w:val="0"/>
                      <w:szCs w:val="21"/>
                      <w:lang w:val="en-US" w:eastAsia="zh-CN"/>
                    </w:rPr>
                  </w:pPr>
                  <w:r>
                    <w:rPr>
                      <w:rFonts w:hint="eastAsia"/>
                      <w:color w:val="auto"/>
                      <w:kern w:val="0"/>
                      <w:szCs w:val="21"/>
                      <w:lang w:val="en-US" w:eastAsia="zh-CN"/>
                    </w:rPr>
                    <w:t>测试室</w:t>
                  </w:r>
                </w:p>
              </w:tc>
              <w:tc>
                <w:tcPr>
                  <w:tcW w:w="3147" w:type="pct"/>
                  <w:noWrap w:val="0"/>
                  <w:vAlign w:val="center"/>
                </w:tcPr>
                <w:p w14:paraId="15133C41">
                  <w:pPr>
                    <w:widowControl/>
                    <w:adjustRightInd w:val="0"/>
                    <w:snapToGrid w:val="0"/>
                    <w:rPr>
                      <w:rFonts w:hint="default"/>
                      <w:color w:val="auto"/>
                      <w:kern w:val="0"/>
                      <w:szCs w:val="21"/>
                      <w:lang w:val="en-US" w:eastAsia="zh-CN"/>
                    </w:rPr>
                  </w:pPr>
                  <w:r>
                    <w:rPr>
                      <w:rFonts w:hint="eastAsia"/>
                      <w:color w:val="auto"/>
                      <w:kern w:val="0"/>
                      <w:szCs w:val="21"/>
                      <w:lang w:val="en-US" w:eastAsia="zh-CN"/>
                    </w:rPr>
                    <w:t>位于项目区北侧，相邻设置测试室1、测试室2，每间建筑面积约30m</w:t>
                  </w:r>
                  <w:r>
                    <w:rPr>
                      <w:rFonts w:hint="eastAsia"/>
                      <w:color w:val="auto"/>
                      <w:kern w:val="0"/>
                      <w:szCs w:val="21"/>
                      <w:vertAlign w:val="superscript"/>
                      <w:lang w:val="en-US" w:eastAsia="zh-CN"/>
                    </w:rPr>
                    <w:t>2</w:t>
                  </w:r>
                  <w:r>
                    <w:rPr>
                      <w:rFonts w:hint="eastAsia"/>
                      <w:color w:val="auto"/>
                      <w:kern w:val="0"/>
                      <w:szCs w:val="21"/>
                      <w:lang w:val="en-US" w:eastAsia="zh-CN"/>
                    </w:rPr>
                    <w:t>，放置设备</w:t>
                  </w:r>
                  <w:r>
                    <w:rPr>
                      <w:rFonts w:hint="eastAsia" w:cs="Times New Roman"/>
                      <w:color w:val="auto"/>
                      <w:sz w:val="21"/>
                      <w:szCs w:val="21"/>
                      <w:lang w:eastAsia="zh-CN"/>
                    </w:rPr>
                    <w:t>原子吸收分光光度计，</w:t>
                  </w:r>
                  <w:r>
                    <w:rPr>
                      <w:rFonts w:hint="eastAsia" w:cs="Times New Roman"/>
                      <w:color w:val="auto"/>
                      <w:sz w:val="21"/>
                      <w:szCs w:val="21"/>
                      <w:lang w:val="en-US" w:eastAsia="zh-CN"/>
                    </w:rPr>
                    <w:t>用于样品检测。</w:t>
                  </w:r>
                </w:p>
              </w:tc>
              <w:tc>
                <w:tcPr>
                  <w:tcW w:w="399" w:type="pct"/>
                  <w:noWrap w:val="0"/>
                  <w:vAlign w:val="center"/>
                </w:tcPr>
                <w:p w14:paraId="3320118D">
                  <w:pPr>
                    <w:adjustRightInd w:val="0"/>
                    <w:snapToGrid w:val="0"/>
                    <w:jc w:val="center"/>
                    <w:rPr>
                      <w:rFonts w:hint="eastAsia"/>
                      <w:color w:val="auto"/>
                      <w:kern w:val="0"/>
                      <w:szCs w:val="21"/>
                    </w:rPr>
                  </w:pPr>
                  <w:r>
                    <w:rPr>
                      <w:rFonts w:hint="eastAsia"/>
                      <w:color w:val="auto"/>
                      <w:kern w:val="0"/>
                      <w:szCs w:val="21"/>
                    </w:rPr>
                    <w:t>新建</w:t>
                  </w:r>
                </w:p>
              </w:tc>
            </w:tr>
            <w:tr w14:paraId="2F992F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83" w:type="pct"/>
                  <w:vMerge w:val="continue"/>
                  <w:noWrap w:val="0"/>
                  <w:vAlign w:val="center"/>
                </w:tcPr>
                <w:p w14:paraId="32239E5D">
                  <w:pPr>
                    <w:autoSpaceDE w:val="0"/>
                    <w:autoSpaceDN w:val="0"/>
                    <w:adjustRightInd w:val="0"/>
                    <w:snapToGrid w:val="0"/>
                    <w:jc w:val="center"/>
                    <w:rPr>
                      <w:rFonts w:hint="eastAsia"/>
                      <w:color w:val="auto"/>
                      <w:kern w:val="0"/>
                      <w:szCs w:val="21"/>
                    </w:rPr>
                  </w:pPr>
                </w:p>
              </w:tc>
              <w:tc>
                <w:tcPr>
                  <w:tcW w:w="425" w:type="pct"/>
                  <w:vMerge w:val="continue"/>
                  <w:noWrap w:val="0"/>
                  <w:vAlign w:val="center"/>
                </w:tcPr>
                <w:p w14:paraId="70B3D0CA">
                  <w:pPr>
                    <w:widowControl/>
                    <w:adjustRightInd w:val="0"/>
                    <w:snapToGrid w:val="0"/>
                    <w:jc w:val="center"/>
                    <w:rPr>
                      <w:rFonts w:hint="eastAsia"/>
                      <w:color w:val="auto"/>
                      <w:kern w:val="0"/>
                      <w:szCs w:val="21"/>
                    </w:rPr>
                  </w:pPr>
                </w:p>
              </w:tc>
              <w:tc>
                <w:tcPr>
                  <w:tcW w:w="744" w:type="pct"/>
                  <w:gridSpan w:val="2"/>
                  <w:noWrap w:val="0"/>
                  <w:vAlign w:val="center"/>
                </w:tcPr>
                <w:p w14:paraId="41F918DB">
                  <w:pPr>
                    <w:widowControl/>
                    <w:adjustRightInd w:val="0"/>
                    <w:snapToGrid w:val="0"/>
                    <w:jc w:val="center"/>
                    <w:rPr>
                      <w:rFonts w:hint="default"/>
                      <w:color w:val="auto"/>
                      <w:kern w:val="0"/>
                      <w:szCs w:val="21"/>
                      <w:lang w:val="en-US" w:eastAsia="zh-CN"/>
                    </w:rPr>
                  </w:pPr>
                  <w:r>
                    <w:rPr>
                      <w:rFonts w:hint="eastAsia"/>
                      <w:color w:val="auto"/>
                      <w:kern w:val="0"/>
                      <w:szCs w:val="21"/>
                      <w:lang w:val="en-US" w:eastAsia="zh-CN"/>
                    </w:rPr>
                    <w:t>天平室</w:t>
                  </w:r>
                </w:p>
              </w:tc>
              <w:tc>
                <w:tcPr>
                  <w:tcW w:w="3147" w:type="pct"/>
                  <w:noWrap w:val="0"/>
                  <w:vAlign w:val="center"/>
                </w:tcPr>
                <w:p w14:paraId="2264778A">
                  <w:pPr>
                    <w:widowControl/>
                    <w:adjustRightInd w:val="0"/>
                    <w:snapToGrid w:val="0"/>
                    <w:rPr>
                      <w:rFonts w:hint="default"/>
                      <w:color w:val="auto"/>
                      <w:kern w:val="0"/>
                      <w:szCs w:val="21"/>
                      <w:lang w:val="en-US" w:eastAsia="zh-CN"/>
                    </w:rPr>
                  </w:pPr>
                  <w:r>
                    <w:rPr>
                      <w:rFonts w:hint="eastAsia"/>
                      <w:color w:val="auto"/>
                      <w:kern w:val="0"/>
                      <w:szCs w:val="21"/>
                      <w:lang w:val="en-US" w:eastAsia="zh-CN"/>
                    </w:rPr>
                    <w:t>位于项目区北侧，与测试室相邻，建筑面积约30m</w:t>
                  </w:r>
                  <w:r>
                    <w:rPr>
                      <w:rFonts w:hint="eastAsia"/>
                      <w:color w:val="auto"/>
                      <w:kern w:val="0"/>
                      <w:szCs w:val="21"/>
                      <w:vertAlign w:val="superscript"/>
                      <w:lang w:val="en-US" w:eastAsia="zh-CN"/>
                    </w:rPr>
                    <w:t>2</w:t>
                  </w:r>
                  <w:r>
                    <w:rPr>
                      <w:rFonts w:hint="eastAsia"/>
                      <w:color w:val="auto"/>
                      <w:kern w:val="0"/>
                      <w:szCs w:val="21"/>
                      <w:lang w:val="en-US" w:eastAsia="zh-CN"/>
                    </w:rPr>
                    <w:t>，用于样品称重，放置设备电子天平。</w:t>
                  </w:r>
                </w:p>
              </w:tc>
              <w:tc>
                <w:tcPr>
                  <w:tcW w:w="399" w:type="pct"/>
                  <w:noWrap w:val="0"/>
                  <w:vAlign w:val="center"/>
                </w:tcPr>
                <w:p w14:paraId="521E8E6B">
                  <w:pPr>
                    <w:adjustRightInd w:val="0"/>
                    <w:snapToGrid w:val="0"/>
                    <w:jc w:val="center"/>
                    <w:rPr>
                      <w:rFonts w:hint="eastAsia"/>
                      <w:color w:val="auto"/>
                      <w:kern w:val="0"/>
                      <w:szCs w:val="21"/>
                    </w:rPr>
                  </w:pPr>
                  <w:r>
                    <w:rPr>
                      <w:rFonts w:hint="eastAsia"/>
                      <w:color w:val="auto"/>
                      <w:kern w:val="0"/>
                      <w:szCs w:val="21"/>
                    </w:rPr>
                    <w:t>新建</w:t>
                  </w:r>
                </w:p>
              </w:tc>
            </w:tr>
            <w:tr w14:paraId="5B6296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83" w:type="pct"/>
                  <w:noWrap w:val="0"/>
                  <w:vAlign w:val="center"/>
                </w:tcPr>
                <w:p w14:paraId="0D16AC8C">
                  <w:pPr>
                    <w:autoSpaceDE w:val="0"/>
                    <w:autoSpaceDN w:val="0"/>
                    <w:adjustRightInd w:val="0"/>
                    <w:snapToGrid w:val="0"/>
                    <w:jc w:val="center"/>
                    <w:rPr>
                      <w:color w:val="auto"/>
                      <w:kern w:val="0"/>
                      <w:szCs w:val="21"/>
                    </w:rPr>
                  </w:pPr>
                  <w:r>
                    <w:rPr>
                      <w:rFonts w:hint="eastAsia"/>
                      <w:color w:val="auto"/>
                      <w:kern w:val="0"/>
                      <w:szCs w:val="21"/>
                    </w:rPr>
                    <w:t>2</w:t>
                  </w:r>
                </w:p>
              </w:tc>
              <w:tc>
                <w:tcPr>
                  <w:tcW w:w="425" w:type="pct"/>
                  <w:noWrap w:val="0"/>
                  <w:vAlign w:val="center"/>
                </w:tcPr>
                <w:p w14:paraId="7F23120A">
                  <w:pPr>
                    <w:autoSpaceDE w:val="0"/>
                    <w:autoSpaceDN w:val="0"/>
                    <w:adjustRightInd w:val="0"/>
                    <w:snapToGrid w:val="0"/>
                    <w:jc w:val="center"/>
                    <w:rPr>
                      <w:color w:val="auto"/>
                      <w:kern w:val="0"/>
                      <w:szCs w:val="21"/>
                    </w:rPr>
                  </w:pPr>
                  <w:r>
                    <w:rPr>
                      <w:rFonts w:hint="eastAsia"/>
                      <w:color w:val="auto"/>
                      <w:kern w:val="0"/>
                      <w:szCs w:val="21"/>
                    </w:rPr>
                    <w:t>辅助工程</w:t>
                  </w:r>
                </w:p>
              </w:tc>
              <w:tc>
                <w:tcPr>
                  <w:tcW w:w="744" w:type="pct"/>
                  <w:gridSpan w:val="2"/>
                  <w:noWrap w:val="0"/>
                  <w:vAlign w:val="center"/>
                </w:tcPr>
                <w:p w14:paraId="1BA6D557">
                  <w:pPr>
                    <w:autoSpaceDE w:val="0"/>
                    <w:autoSpaceDN w:val="0"/>
                    <w:adjustRightInd w:val="0"/>
                    <w:snapToGrid w:val="0"/>
                    <w:jc w:val="center"/>
                    <w:rPr>
                      <w:rFonts w:hint="default" w:eastAsia="宋体"/>
                      <w:color w:val="auto"/>
                      <w:kern w:val="0"/>
                      <w:szCs w:val="21"/>
                      <w:lang w:val="en-US" w:eastAsia="zh-CN"/>
                    </w:rPr>
                  </w:pPr>
                  <w:r>
                    <w:rPr>
                      <w:rFonts w:hint="eastAsia"/>
                      <w:color w:val="auto"/>
                      <w:kern w:val="0"/>
                      <w:szCs w:val="21"/>
                      <w:lang w:val="en-US" w:eastAsia="zh-CN"/>
                    </w:rPr>
                    <w:t>办公室及学习室</w:t>
                  </w:r>
                </w:p>
              </w:tc>
              <w:tc>
                <w:tcPr>
                  <w:tcW w:w="3147" w:type="pct"/>
                  <w:noWrap w:val="0"/>
                  <w:vAlign w:val="center"/>
                </w:tcPr>
                <w:p w14:paraId="5D8E241B">
                  <w:pPr>
                    <w:autoSpaceDE w:val="0"/>
                    <w:autoSpaceDN w:val="0"/>
                    <w:adjustRightInd w:val="0"/>
                    <w:snapToGrid w:val="0"/>
                    <w:rPr>
                      <w:color w:val="auto"/>
                      <w:kern w:val="0"/>
                      <w:szCs w:val="21"/>
                    </w:rPr>
                  </w:pPr>
                  <w:r>
                    <w:rPr>
                      <w:rFonts w:hint="eastAsia"/>
                      <w:color w:val="auto"/>
                      <w:kern w:val="0"/>
                      <w:szCs w:val="21"/>
                      <w:lang w:val="en-US" w:eastAsia="zh-CN"/>
                    </w:rPr>
                    <w:t>项目租用办公室三间，建设办公室1、办公室2及学习室1间，办公室已装修完成可直接使用</w:t>
                  </w:r>
                  <w:r>
                    <w:rPr>
                      <w:rFonts w:hint="eastAsia"/>
                      <w:color w:val="auto"/>
                      <w:kern w:val="0"/>
                      <w:szCs w:val="21"/>
                    </w:rPr>
                    <w:t>。</w:t>
                  </w:r>
                </w:p>
              </w:tc>
              <w:tc>
                <w:tcPr>
                  <w:tcW w:w="399" w:type="pct"/>
                  <w:noWrap w:val="0"/>
                  <w:vAlign w:val="center"/>
                </w:tcPr>
                <w:p w14:paraId="0B1B6BC0">
                  <w:pPr>
                    <w:autoSpaceDE w:val="0"/>
                    <w:autoSpaceDN w:val="0"/>
                    <w:adjustRightInd w:val="0"/>
                    <w:snapToGrid w:val="0"/>
                    <w:jc w:val="center"/>
                    <w:rPr>
                      <w:color w:val="auto"/>
                      <w:kern w:val="0"/>
                      <w:szCs w:val="21"/>
                    </w:rPr>
                  </w:pPr>
                  <w:r>
                    <w:rPr>
                      <w:rFonts w:hint="eastAsia"/>
                      <w:color w:val="auto"/>
                      <w:kern w:val="0"/>
                      <w:szCs w:val="21"/>
                    </w:rPr>
                    <w:t>新建</w:t>
                  </w:r>
                </w:p>
              </w:tc>
            </w:tr>
            <w:tr w14:paraId="122DF5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83" w:type="pct"/>
                  <w:vMerge w:val="restart"/>
                  <w:noWrap w:val="0"/>
                  <w:vAlign w:val="center"/>
                </w:tcPr>
                <w:p w14:paraId="1556D96D">
                  <w:pPr>
                    <w:autoSpaceDE w:val="0"/>
                    <w:autoSpaceDN w:val="0"/>
                    <w:adjustRightInd w:val="0"/>
                    <w:snapToGrid w:val="0"/>
                    <w:jc w:val="center"/>
                    <w:rPr>
                      <w:color w:val="auto"/>
                      <w:kern w:val="0"/>
                      <w:szCs w:val="21"/>
                    </w:rPr>
                  </w:pPr>
                  <w:r>
                    <w:rPr>
                      <w:rFonts w:hint="eastAsia"/>
                      <w:color w:val="auto"/>
                      <w:kern w:val="0"/>
                      <w:szCs w:val="21"/>
                    </w:rPr>
                    <w:t>3</w:t>
                  </w:r>
                </w:p>
              </w:tc>
              <w:tc>
                <w:tcPr>
                  <w:tcW w:w="425" w:type="pct"/>
                  <w:vMerge w:val="restart"/>
                  <w:noWrap w:val="0"/>
                  <w:vAlign w:val="center"/>
                </w:tcPr>
                <w:p w14:paraId="05B82A54">
                  <w:pPr>
                    <w:autoSpaceDE w:val="0"/>
                    <w:autoSpaceDN w:val="0"/>
                    <w:adjustRightInd w:val="0"/>
                    <w:snapToGrid w:val="0"/>
                    <w:jc w:val="center"/>
                    <w:rPr>
                      <w:color w:val="auto"/>
                      <w:kern w:val="0"/>
                      <w:szCs w:val="21"/>
                    </w:rPr>
                  </w:pPr>
                  <w:r>
                    <w:rPr>
                      <w:rFonts w:hint="eastAsia"/>
                      <w:color w:val="auto"/>
                      <w:kern w:val="0"/>
                      <w:szCs w:val="21"/>
                    </w:rPr>
                    <w:t>储运工程</w:t>
                  </w:r>
                </w:p>
              </w:tc>
              <w:tc>
                <w:tcPr>
                  <w:tcW w:w="744" w:type="pct"/>
                  <w:gridSpan w:val="2"/>
                  <w:noWrap w:val="0"/>
                  <w:vAlign w:val="center"/>
                </w:tcPr>
                <w:p w14:paraId="6FA71A7C">
                  <w:pPr>
                    <w:autoSpaceDE w:val="0"/>
                    <w:autoSpaceDN w:val="0"/>
                    <w:adjustRightInd w:val="0"/>
                    <w:snapToGrid w:val="0"/>
                    <w:jc w:val="center"/>
                    <w:rPr>
                      <w:rFonts w:hint="default" w:eastAsia="宋体"/>
                      <w:color w:val="auto"/>
                      <w:kern w:val="0"/>
                      <w:szCs w:val="21"/>
                      <w:lang w:val="en-US" w:eastAsia="zh-CN"/>
                    </w:rPr>
                  </w:pPr>
                  <w:r>
                    <w:rPr>
                      <w:rFonts w:hint="eastAsia"/>
                      <w:color w:val="auto"/>
                      <w:kern w:val="0"/>
                      <w:szCs w:val="21"/>
                      <w:lang w:val="en-US" w:eastAsia="zh-CN"/>
                    </w:rPr>
                    <w:t>样品库</w:t>
                  </w:r>
                </w:p>
              </w:tc>
              <w:tc>
                <w:tcPr>
                  <w:tcW w:w="3147" w:type="pct"/>
                  <w:noWrap w:val="0"/>
                  <w:vAlign w:val="center"/>
                </w:tcPr>
                <w:p w14:paraId="66311911">
                  <w:pPr>
                    <w:autoSpaceDE w:val="0"/>
                    <w:autoSpaceDN w:val="0"/>
                    <w:adjustRightInd w:val="0"/>
                    <w:snapToGrid w:val="0"/>
                    <w:rPr>
                      <w:rFonts w:hint="default" w:eastAsia="宋体"/>
                      <w:color w:val="auto"/>
                      <w:kern w:val="0"/>
                      <w:szCs w:val="21"/>
                      <w:lang w:val="en-US" w:eastAsia="zh-CN"/>
                    </w:rPr>
                  </w:pPr>
                  <w:r>
                    <w:rPr>
                      <w:rFonts w:hint="eastAsia"/>
                      <w:color w:val="auto"/>
                      <w:kern w:val="0"/>
                      <w:szCs w:val="21"/>
                      <w:lang w:val="en-US" w:eastAsia="zh-CN"/>
                    </w:rPr>
                    <w:t>位于项目区南侧，相邻设置样品库1、样品库2、样品库3，每间建筑面积约30</w:t>
                  </w:r>
                  <w:r>
                    <w:rPr>
                      <w:rFonts w:hint="eastAsia"/>
                      <w:color w:val="auto"/>
                      <w:kern w:val="0"/>
                      <w:szCs w:val="21"/>
                    </w:rPr>
                    <w:t>m</w:t>
                  </w:r>
                  <w:r>
                    <w:rPr>
                      <w:color w:val="auto"/>
                      <w:kern w:val="0"/>
                      <w:szCs w:val="21"/>
                      <w:vertAlign w:val="superscript"/>
                    </w:rPr>
                    <w:t>2</w:t>
                  </w:r>
                  <w:r>
                    <w:rPr>
                      <w:rFonts w:hint="eastAsia"/>
                      <w:color w:val="auto"/>
                      <w:kern w:val="0"/>
                      <w:szCs w:val="21"/>
                      <w:lang w:eastAsia="zh-CN"/>
                    </w:rPr>
                    <w:t>，</w:t>
                  </w:r>
                  <w:r>
                    <w:rPr>
                      <w:rFonts w:hint="eastAsia"/>
                      <w:color w:val="auto"/>
                      <w:kern w:val="0"/>
                      <w:szCs w:val="21"/>
                      <w:lang w:val="en-US" w:eastAsia="zh-CN"/>
                    </w:rPr>
                    <w:t>主要用于样品交接与样品留存。</w:t>
                  </w:r>
                </w:p>
              </w:tc>
              <w:tc>
                <w:tcPr>
                  <w:tcW w:w="399" w:type="pct"/>
                  <w:noWrap w:val="0"/>
                  <w:vAlign w:val="center"/>
                </w:tcPr>
                <w:p w14:paraId="4514FD38">
                  <w:pPr>
                    <w:autoSpaceDE w:val="0"/>
                    <w:autoSpaceDN w:val="0"/>
                    <w:adjustRightInd w:val="0"/>
                    <w:snapToGrid w:val="0"/>
                    <w:jc w:val="center"/>
                    <w:rPr>
                      <w:rFonts w:hint="eastAsia"/>
                      <w:color w:val="auto"/>
                      <w:kern w:val="0"/>
                      <w:szCs w:val="21"/>
                    </w:rPr>
                  </w:pPr>
                  <w:r>
                    <w:rPr>
                      <w:rFonts w:hint="eastAsia"/>
                      <w:color w:val="auto"/>
                      <w:kern w:val="0"/>
                      <w:szCs w:val="21"/>
                    </w:rPr>
                    <w:t>新建</w:t>
                  </w:r>
                </w:p>
              </w:tc>
            </w:tr>
            <w:tr w14:paraId="0584F9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83" w:type="pct"/>
                  <w:vMerge w:val="continue"/>
                  <w:noWrap w:val="0"/>
                  <w:vAlign w:val="center"/>
                </w:tcPr>
                <w:p w14:paraId="6E76C2A4">
                  <w:pPr>
                    <w:autoSpaceDE w:val="0"/>
                    <w:autoSpaceDN w:val="0"/>
                    <w:adjustRightInd w:val="0"/>
                    <w:snapToGrid w:val="0"/>
                    <w:jc w:val="center"/>
                    <w:rPr>
                      <w:rFonts w:hint="eastAsia"/>
                      <w:color w:val="auto"/>
                      <w:kern w:val="0"/>
                      <w:szCs w:val="21"/>
                    </w:rPr>
                  </w:pPr>
                </w:p>
              </w:tc>
              <w:tc>
                <w:tcPr>
                  <w:tcW w:w="425" w:type="pct"/>
                  <w:vMerge w:val="continue"/>
                  <w:noWrap w:val="0"/>
                  <w:vAlign w:val="center"/>
                </w:tcPr>
                <w:p w14:paraId="16D6A9B2">
                  <w:pPr>
                    <w:autoSpaceDE w:val="0"/>
                    <w:autoSpaceDN w:val="0"/>
                    <w:adjustRightInd w:val="0"/>
                    <w:snapToGrid w:val="0"/>
                    <w:jc w:val="center"/>
                    <w:rPr>
                      <w:rFonts w:hint="eastAsia"/>
                      <w:color w:val="auto"/>
                      <w:kern w:val="0"/>
                      <w:szCs w:val="21"/>
                    </w:rPr>
                  </w:pPr>
                </w:p>
              </w:tc>
              <w:tc>
                <w:tcPr>
                  <w:tcW w:w="744" w:type="pct"/>
                  <w:gridSpan w:val="2"/>
                  <w:shd w:val="clear" w:color="auto" w:fill="auto"/>
                  <w:noWrap w:val="0"/>
                  <w:vAlign w:val="center"/>
                </w:tcPr>
                <w:p w14:paraId="21B3B18D">
                  <w:pPr>
                    <w:autoSpaceDE w:val="0"/>
                    <w:autoSpaceDN w:val="0"/>
                    <w:adjustRightInd w:val="0"/>
                    <w:snapToGrid w:val="0"/>
                    <w:jc w:val="center"/>
                    <w:rPr>
                      <w:rFonts w:hint="eastAsia" w:ascii="Times New Roman" w:hAnsi="Times New Roman" w:eastAsia="宋体" w:cs="Times New Roman"/>
                      <w:color w:val="auto"/>
                      <w:kern w:val="0"/>
                      <w:sz w:val="21"/>
                      <w:szCs w:val="21"/>
                      <w:lang w:val="en-US" w:eastAsia="zh-CN" w:bidi="ar-SA"/>
                    </w:rPr>
                  </w:pPr>
                  <w:r>
                    <w:rPr>
                      <w:rFonts w:hint="eastAsia"/>
                      <w:color w:val="auto"/>
                      <w:kern w:val="0"/>
                      <w:szCs w:val="21"/>
                      <w:lang w:val="en-US" w:eastAsia="zh-CN"/>
                    </w:rPr>
                    <w:t>仓库</w:t>
                  </w:r>
                </w:p>
              </w:tc>
              <w:tc>
                <w:tcPr>
                  <w:tcW w:w="3147" w:type="pct"/>
                  <w:shd w:val="clear" w:color="auto" w:fill="auto"/>
                  <w:noWrap w:val="0"/>
                  <w:vAlign w:val="center"/>
                </w:tcPr>
                <w:p w14:paraId="4504FE71">
                  <w:pPr>
                    <w:autoSpaceDE w:val="0"/>
                    <w:autoSpaceDN w:val="0"/>
                    <w:adjustRightInd w:val="0"/>
                    <w:snapToGrid w:val="0"/>
                    <w:rPr>
                      <w:rFonts w:hint="eastAsia" w:ascii="Times New Roman" w:hAnsi="Times New Roman" w:eastAsia="宋体" w:cs="Times New Roman"/>
                      <w:color w:val="auto"/>
                      <w:kern w:val="0"/>
                      <w:sz w:val="21"/>
                      <w:szCs w:val="21"/>
                      <w:lang w:val="en-US" w:eastAsia="zh-CN" w:bidi="ar-SA"/>
                    </w:rPr>
                  </w:pPr>
                  <w:r>
                    <w:rPr>
                      <w:rFonts w:hint="eastAsia"/>
                      <w:color w:val="auto"/>
                      <w:kern w:val="0"/>
                      <w:szCs w:val="21"/>
                    </w:rPr>
                    <w:t>库房1座，位于</w:t>
                  </w:r>
                  <w:r>
                    <w:rPr>
                      <w:rFonts w:hint="eastAsia"/>
                      <w:color w:val="auto"/>
                      <w:kern w:val="0"/>
                      <w:szCs w:val="21"/>
                      <w:lang w:val="en-US" w:eastAsia="zh-CN"/>
                    </w:rPr>
                    <w:t>项目南侧</w:t>
                  </w:r>
                  <w:r>
                    <w:rPr>
                      <w:rFonts w:hint="eastAsia"/>
                      <w:color w:val="auto"/>
                      <w:kern w:val="0"/>
                      <w:szCs w:val="21"/>
                    </w:rPr>
                    <w:t>，面积为1</w:t>
                  </w:r>
                  <w:r>
                    <w:rPr>
                      <w:rFonts w:hint="eastAsia"/>
                      <w:color w:val="auto"/>
                      <w:kern w:val="0"/>
                      <w:szCs w:val="21"/>
                      <w:lang w:val="en-US" w:eastAsia="zh-CN"/>
                    </w:rPr>
                    <w:t>34.32</w:t>
                  </w:r>
                  <w:r>
                    <w:rPr>
                      <w:rFonts w:hint="eastAsia"/>
                      <w:color w:val="auto"/>
                      <w:kern w:val="0"/>
                      <w:szCs w:val="21"/>
                    </w:rPr>
                    <w:t>m</w:t>
                  </w:r>
                  <w:r>
                    <w:rPr>
                      <w:color w:val="auto"/>
                      <w:kern w:val="0"/>
                      <w:szCs w:val="21"/>
                      <w:vertAlign w:val="superscript"/>
                    </w:rPr>
                    <w:t>2</w:t>
                  </w:r>
                  <w:r>
                    <w:rPr>
                      <w:rFonts w:hint="eastAsia"/>
                      <w:color w:val="auto"/>
                      <w:kern w:val="0"/>
                      <w:szCs w:val="21"/>
                      <w:lang w:eastAsia="zh-CN"/>
                    </w:rPr>
                    <w:t>，</w:t>
                  </w:r>
                  <w:r>
                    <w:rPr>
                      <w:rFonts w:hint="eastAsia"/>
                      <w:color w:val="auto"/>
                      <w:kern w:val="0"/>
                      <w:szCs w:val="21"/>
                      <w:lang w:val="en-US" w:eastAsia="zh-CN"/>
                    </w:rPr>
                    <w:t>主要用于样品存放</w:t>
                  </w:r>
                  <w:r>
                    <w:rPr>
                      <w:rFonts w:hint="eastAsia"/>
                      <w:color w:val="auto"/>
                      <w:kern w:val="0"/>
                      <w:szCs w:val="21"/>
                    </w:rPr>
                    <w:t>。</w:t>
                  </w:r>
                </w:p>
              </w:tc>
              <w:tc>
                <w:tcPr>
                  <w:tcW w:w="399" w:type="pct"/>
                  <w:noWrap w:val="0"/>
                  <w:vAlign w:val="center"/>
                </w:tcPr>
                <w:p w14:paraId="7821DEA4">
                  <w:pPr>
                    <w:autoSpaceDE w:val="0"/>
                    <w:autoSpaceDN w:val="0"/>
                    <w:adjustRightInd w:val="0"/>
                    <w:snapToGrid w:val="0"/>
                    <w:jc w:val="center"/>
                    <w:rPr>
                      <w:rFonts w:hint="eastAsia"/>
                      <w:color w:val="auto"/>
                      <w:kern w:val="0"/>
                      <w:szCs w:val="21"/>
                    </w:rPr>
                  </w:pPr>
                </w:p>
              </w:tc>
            </w:tr>
            <w:tr w14:paraId="307F74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83" w:type="pct"/>
                  <w:vMerge w:val="restart"/>
                  <w:noWrap w:val="0"/>
                  <w:vAlign w:val="center"/>
                </w:tcPr>
                <w:p w14:paraId="41C14179">
                  <w:pPr>
                    <w:autoSpaceDE w:val="0"/>
                    <w:autoSpaceDN w:val="0"/>
                    <w:adjustRightInd w:val="0"/>
                    <w:snapToGrid w:val="0"/>
                    <w:jc w:val="center"/>
                    <w:rPr>
                      <w:color w:val="auto"/>
                      <w:kern w:val="0"/>
                      <w:szCs w:val="21"/>
                    </w:rPr>
                  </w:pPr>
                  <w:r>
                    <w:rPr>
                      <w:color w:val="auto"/>
                      <w:kern w:val="0"/>
                      <w:szCs w:val="21"/>
                    </w:rPr>
                    <w:t>4</w:t>
                  </w:r>
                </w:p>
              </w:tc>
              <w:tc>
                <w:tcPr>
                  <w:tcW w:w="425" w:type="pct"/>
                  <w:vMerge w:val="restart"/>
                  <w:noWrap w:val="0"/>
                  <w:vAlign w:val="center"/>
                </w:tcPr>
                <w:p w14:paraId="308B980E">
                  <w:pPr>
                    <w:autoSpaceDE w:val="0"/>
                    <w:autoSpaceDN w:val="0"/>
                    <w:adjustRightInd w:val="0"/>
                    <w:snapToGrid w:val="0"/>
                    <w:jc w:val="center"/>
                    <w:rPr>
                      <w:color w:val="auto"/>
                      <w:kern w:val="0"/>
                      <w:szCs w:val="21"/>
                    </w:rPr>
                  </w:pPr>
                  <w:r>
                    <w:rPr>
                      <w:rFonts w:hint="eastAsia"/>
                      <w:color w:val="auto"/>
                      <w:kern w:val="0"/>
                      <w:szCs w:val="21"/>
                    </w:rPr>
                    <w:t>公用工程</w:t>
                  </w:r>
                </w:p>
              </w:tc>
              <w:tc>
                <w:tcPr>
                  <w:tcW w:w="744" w:type="pct"/>
                  <w:gridSpan w:val="2"/>
                  <w:noWrap w:val="0"/>
                  <w:vAlign w:val="center"/>
                </w:tcPr>
                <w:p w14:paraId="1865BE0A">
                  <w:pPr>
                    <w:autoSpaceDE w:val="0"/>
                    <w:autoSpaceDN w:val="0"/>
                    <w:adjustRightInd w:val="0"/>
                    <w:snapToGrid w:val="0"/>
                    <w:jc w:val="center"/>
                    <w:rPr>
                      <w:color w:val="auto"/>
                      <w:kern w:val="0"/>
                      <w:szCs w:val="21"/>
                    </w:rPr>
                  </w:pPr>
                  <w:r>
                    <w:rPr>
                      <w:rFonts w:hint="eastAsia"/>
                      <w:color w:val="auto"/>
                      <w:kern w:val="0"/>
                      <w:szCs w:val="21"/>
                    </w:rPr>
                    <w:t>供水</w:t>
                  </w:r>
                </w:p>
              </w:tc>
              <w:tc>
                <w:tcPr>
                  <w:tcW w:w="3147" w:type="pct"/>
                  <w:noWrap w:val="0"/>
                  <w:vAlign w:val="center"/>
                </w:tcPr>
                <w:p w14:paraId="04A0016C">
                  <w:pPr>
                    <w:autoSpaceDE w:val="0"/>
                    <w:autoSpaceDN w:val="0"/>
                    <w:adjustRightInd w:val="0"/>
                    <w:snapToGrid w:val="0"/>
                    <w:rPr>
                      <w:color w:val="auto"/>
                      <w:kern w:val="0"/>
                      <w:szCs w:val="21"/>
                    </w:rPr>
                  </w:pPr>
                  <w:r>
                    <w:rPr>
                      <w:rFonts w:hint="eastAsia"/>
                      <w:color w:val="auto"/>
                      <w:kern w:val="0"/>
                      <w:szCs w:val="21"/>
                    </w:rPr>
                    <w:t>由园区供水管网提供。</w:t>
                  </w:r>
                </w:p>
              </w:tc>
              <w:tc>
                <w:tcPr>
                  <w:tcW w:w="399" w:type="pct"/>
                  <w:noWrap w:val="0"/>
                  <w:vAlign w:val="center"/>
                </w:tcPr>
                <w:p w14:paraId="3A133874">
                  <w:pPr>
                    <w:autoSpaceDE w:val="0"/>
                    <w:autoSpaceDN w:val="0"/>
                    <w:adjustRightInd w:val="0"/>
                    <w:snapToGrid w:val="0"/>
                    <w:jc w:val="center"/>
                    <w:rPr>
                      <w:color w:val="auto"/>
                      <w:kern w:val="0"/>
                      <w:szCs w:val="21"/>
                    </w:rPr>
                  </w:pPr>
                  <w:r>
                    <w:rPr>
                      <w:rFonts w:hint="eastAsia"/>
                      <w:color w:val="auto"/>
                      <w:kern w:val="0"/>
                      <w:szCs w:val="21"/>
                    </w:rPr>
                    <w:t>新建</w:t>
                  </w:r>
                </w:p>
              </w:tc>
            </w:tr>
            <w:tr w14:paraId="4D9F19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83" w:type="pct"/>
                  <w:vMerge w:val="continue"/>
                  <w:noWrap w:val="0"/>
                  <w:vAlign w:val="center"/>
                </w:tcPr>
                <w:p w14:paraId="3EC354C9">
                  <w:pPr>
                    <w:autoSpaceDE w:val="0"/>
                    <w:autoSpaceDN w:val="0"/>
                    <w:adjustRightInd w:val="0"/>
                    <w:snapToGrid w:val="0"/>
                    <w:jc w:val="center"/>
                    <w:rPr>
                      <w:color w:val="auto"/>
                      <w:kern w:val="0"/>
                      <w:szCs w:val="21"/>
                    </w:rPr>
                  </w:pPr>
                </w:p>
              </w:tc>
              <w:tc>
                <w:tcPr>
                  <w:tcW w:w="425" w:type="pct"/>
                  <w:vMerge w:val="continue"/>
                  <w:noWrap w:val="0"/>
                  <w:vAlign w:val="center"/>
                </w:tcPr>
                <w:p w14:paraId="4309670C">
                  <w:pPr>
                    <w:autoSpaceDE w:val="0"/>
                    <w:autoSpaceDN w:val="0"/>
                    <w:adjustRightInd w:val="0"/>
                    <w:snapToGrid w:val="0"/>
                    <w:jc w:val="center"/>
                    <w:rPr>
                      <w:color w:val="auto"/>
                      <w:kern w:val="0"/>
                      <w:szCs w:val="21"/>
                    </w:rPr>
                  </w:pPr>
                </w:p>
              </w:tc>
              <w:tc>
                <w:tcPr>
                  <w:tcW w:w="744" w:type="pct"/>
                  <w:gridSpan w:val="2"/>
                  <w:noWrap w:val="0"/>
                  <w:vAlign w:val="center"/>
                </w:tcPr>
                <w:p w14:paraId="7F46EF6D">
                  <w:pPr>
                    <w:autoSpaceDE w:val="0"/>
                    <w:autoSpaceDN w:val="0"/>
                    <w:adjustRightInd w:val="0"/>
                    <w:snapToGrid w:val="0"/>
                    <w:jc w:val="center"/>
                    <w:rPr>
                      <w:color w:val="auto"/>
                      <w:kern w:val="0"/>
                      <w:szCs w:val="21"/>
                    </w:rPr>
                  </w:pPr>
                  <w:r>
                    <w:rPr>
                      <w:rFonts w:hint="eastAsia"/>
                      <w:color w:val="auto"/>
                      <w:kern w:val="0"/>
                      <w:szCs w:val="21"/>
                    </w:rPr>
                    <w:t>排水</w:t>
                  </w:r>
                </w:p>
              </w:tc>
              <w:tc>
                <w:tcPr>
                  <w:tcW w:w="3147" w:type="pct"/>
                  <w:noWrap w:val="0"/>
                  <w:vAlign w:val="center"/>
                </w:tcPr>
                <w:p w14:paraId="076F8C7C">
                  <w:pPr>
                    <w:autoSpaceDE w:val="0"/>
                    <w:autoSpaceDN w:val="0"/>
                    <w:adjustRightInd w:val="0"/>
                    <w:snapToGrid w:val="0"/>
                    <w:rPr>
                      <w:rFonts w:hint="eastAsia"/>
                      <w:color w:val="auto"/>
                      <w:kern w:val="0"/>
                      <w:szCs w:val="21"/>
                    </w:rPr>
                  </w:pPr>
                  <w:r>
                    <w:rPr>
                      <w:rFonts w:hint="eastAsia"/>
                      <w:color w:val="FF0000"/>
                      <w:kern w:val="0"/>
                      <w:szCs w:val="21"/>
                      <w:lang w:val="en-US" w:eastAsia="zh-CN"/>
                    </w:rPr>
                    <w:t>实验器具中段清洗废水、后段清洗废水、</w:t>
                  </w:r>
                  <w:r>
                    <w:rPr>
                      <w:rFonts w:hint="eastAsia"/>
                      <w:color w:val="auto"/>
                      <w:kern w:val="0"/>
                      <w:szCs w:val="21"/>
                      <w:lang w:val="en-US" w:eastAsia="zh-CN"/>
                    </w:rPr>
                    <w:t>喷淋塔废水</w:t>
                  </w:r>
                  <w:r>
                    <w:rPr>
                      <w:rFonts w:hint="eastAsia"/>
                      <w:color w:val="auto"/>
                      <w:kern w:val="0"/>
                      <w:szCs w:val="21"/>
                    </w:rPr>
                    <w:t>经</w:t>
                  </w:r>
                  <w:r>
                    <w:rPr>
                      <w:rFonts w:hint="eastAsia"/>
                      <w:color w:val="auto"/>
                      <w:kern w:val="0"/>
                      <w:szCs w:val="21"/>
                      <w:lang w:val="en-US" w:eastAsia="zh-CN"/>
                    </w:rPr>
                    <w:t>管道收集至废水贮存池中的收集箱，泵入一体化污水处理设备</w:t>
                  </w:r>
                  <w:r>
                    <w:rPr>
                      <w:rFonts w:hint="eastAsia"/>
                      <w:color w:val="auto"/>
                      <w:kern w:val="0"/>
                      <w:szCs w:val="21"/>
                    </w:rPr>
                    <w:t>处理后满足《污水综合排放标准》（GB8978-1996）表4三级标准</w:t>
                  </w:r>
                  <w:r>
                    <w:rPr>
                      <w:rFonts w:hint="eastAsia"/>
                      <w:color w:val="auto"/>
                      <w:kern w:val="0"/>
                      <w:szCs w:val="21"/>
                      <w:lang w:val="en-US" w:eastAsia="zh-CN"/>
                    </w:rPr>
                    <w:t>后</w:t>
                  </w:r>
                  <w:r>
                    <w:rPr>
                      <w:rFonts w:hint="eastAsia"/>
                      <w:color w:val="auto"/>
                      <w:kern w:val="0"/>
                      <w:szCs w:val="21"/>
                    </w:rPr>
                    <w:t>排</w:t>
                  </w:r>
                  <w:r>
                    <w:rPr>
                      <w:rFonts w:hint="eastAsia"/>
                      <w:color w:val="0000FF"/>
                      <w:kern w:val="0"/>
                      <w:szCs w:val="21"/>
                    </w:rPr>
                    <w:t>入</w:t>
                  </w:r>
                  <w:r>
                    <w:rPr>
                      <w:rFonts w:hint="eastAsia"/>
                      <w:color w:val="0000FF"/>
                      <w:kern w:val="0"/>
                      <w:szCs w:val="21"/>
                      <w:lang w:val="en-US" w:eastAsia="zh-CN"/>
                    </w:rPr>
                    <w:t>废水池</w:t>
                  </w:r>
                  <w:r>
                    <w:rPr>
                      <w:rFonts w:hint="eastAsia"/>
                      <w:color w:val="0000FF"/>
                      <w:kern w:val="0"/>
                      <w:szCs w:val="21"/>
                    </w:rPr>
                    <w:t>，</w:t>
                  </w:r>
                  <w:r>
                    <w:rPr>
                      <w:rFonts w:hint="eastAsia"/>
                      <w:color w:val="0000FF"/>
                      <w:kern w:val="0"/>
                      <w:szCs w:val="21"/>
                      <w:lang w:val="en-US" w:eastAsia="zh-CN"/>
                    </w:rPr>
                    <w:t>纯水制备浓水属清净下水，直接排入废水池，废水池内废水</w:t>
                  </w:r>
                  <w:r>
                    <w:rPr>
                      <w:rFonts w:hint="eastAsia"/>
                      <w:color w:val="0000FF"/>
                      <w:kern w:val="0"/>
                      <w:szCs w:val="21"/>
                    </w:rPr>
                    <w:t>最终</w:t>
                  </w:r>
                  <w:r>
                    <w:rPr>
                      <w:rFonts w:hint="eastAsia"/>
                      <w:color w:val="0000FF"/>
                      <w:kern w:val="0"/>
                      <w:szCs w:val="21"/>
                      <w:lang w:val="en-US" w:eastAsia="zh-CN"/>
                    </w:rPr>
                    <w:t>由吸污车拉运至昌吉高新技术产业开发区污水处理厂（由新疆高新海天水务有限公司运营）</w:t>
                  </w:r>
                  <w:r>
                    <w:rPr>
                      <w:rFonts w:hint="eastAsia"/>
                      <w:color w:val="0000FF"/>
                      <w:kern w:val="0"/>
                      <w:szCs w:val="21"/>
                    </w:rPr>
                    <w:t>处理；生活污水排入</w:t>
                  </w:r>
                  <w:r>
                    <w:rPr>
                      <w:rFonts w:hint="eastAsia"/>
                      <w:color w:val="0000FF"/>
                      <w:kern w:val="0"/>
                      <w:szCs w:val="21"/>
                      <w:lang w:val="en-US" w:eastAsia="zh-CN"/>
                    </w:rPr>
                    <w:t>租用厂房新疆华爱康塑业科技发展有限公司已建化粪池</w:t>
                  </w:r>
                  <w:r>
                    <w:rPr>
                      <w:rFonts w:hint="eastAsia"/>
                      <w:color w:val="0000FF"/>
                      <w:kern w:val="0"/>
                      <w:szCs w:val="21"/>
                    </w:rPr>
                    <w:t>。</w:t>
                  </w:r>
                </w:p>
              </w:tc>
              <w:tc>
                <w:tcPr>
                  <w:tcW w:w="399" w:type="pct"/>
                  <w:noWrap w:val="0"/>
                  <w:vAlign w:val="center"/>
                </w:tcPr>
                <w:p w14:paraId="369F02DB">
                  <w:pPr>
                    <w:autoSpaceDE w:val="0"/>
                    <w:autoSpaceDN w:val="0"/>
                    <w:adjustRightInd w:val="0"/>
                    <w:snapToGrid w:val="0"/>
                    <w:jc w:val="center"/>
                    <w:rPr>
                      <w:color w:val="auto"/>
                      <w:kern w:val="0"/>
                      <w:szCs w:val="21"/>
                    </w:rPr>
                  </w:pPr>
                  <w:r>
                    <w:rPr>
                      <w:rFonts w:hint="eastAsia"/>
                      <w:color w:val="auto"/>
                      <w:kern w:val="0"/>
                      <w:szCs w:val="21"/>
                    </w:rPr>
                    <w:t>新建</w:t>
                  </w:r>
                </w:p>
              </w:tc>
            </w:tr>
            <w:tr w14:paraId="297CCD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83" w:type="pct"/>
                  <w:vMerge w:val="continue"/>
                  <w:noWrap w:val="0"/>
                  <w:vAlign w:val="center"/>
                </w:tcPr>
                <w:p w14:paraId="63B1EEF2">
                  <w:pPr>
                    <w:autoSpaceDE w:val="0"/>
                    <w:autoSpaceDN w:val="0"/>
                    <w:adjustRightInd w:val="0"/>
                    <w:snapToGrid w:val="0"/>
                    <w:jc w:val="center"/>
                    <w:rPr>
                      <w:color w:val="auto"/>
                      <w:kern w:val="0"/>
                      <w:szCs w:val="21"/>
                    </w:rPr>
                  </w:pPr>
                </w:p>
              </w:tc>
              <w:tc>
                <w:tcPr>
                  <w:tcW w:w="425" w:type="pct"/>
                  <w:vMerge w:val="continue"/>
                  <w:noWrap w:val="0"/>
                  <w:vAlign w:val="center"/>
                </w:tcPr>
                <w:p w14:paraId="4A6F68B2">
                  <w:pPr>
                    <w:autoSpaceDE w:val="0"/>
                    <w:autoSpaceDN w:val="0"/>
                    <w:adjustRightInd w:val="0"/>
                    <w:snapToGrid w:val="0"/>
                    <w:jc w:val="center"/>
                    <w:rPr>
                      <w:color w:val="auto"/>
                      <w:kern w:val="0"/>
                      <w:szCs w:val="21"/>
                    </w:rPr>
                  </w:pPr>
                </w:p>
              </w:tc>
              <w:tc>
                <w:tcPr>
                  <w:tcW w:w="744" w:type="pct"/>
                  <w:gridSpan w:val="2"/>
                  <w:noWrap w:val="0"/>
                  <w:vAlign w:val="center"/>
                </w:tcPr>
                <w:p w14:paraId="7E9384D5">
                  <w:pPr>
                    <w:autoSpaceDE w:val="0"/>
                    <w:autoSpaceDN w:val="0"/>
                    <w:adjustRightInd w:val="0"/>
                    <w:snapToGrid w:val="0"/>
                    <w:jc w:val="center"/>
                    <w:rPr>
                      <w:color w:val="auto"/>
                      <w:kern w:val="0"/>
                      <w:szCs w:val="21"/>
                    </w:rPr>
                  </w:pPr>
                  <w:r>
                    <w:rPr>
                      <w:rFonts w:hint="eastAsia"/>
                      <w:color w:val="auto"/>
                      <w:kern w:val="0"/>
                      <w:szCs w:val="21"/>
                    </w:rPr>
                    <w:t>供电</w:t>
                  </w:r>
                </w:p>
              </w:tc>
              <w:tc>
                <w:tcPr>
                  <w:tcW w:w="3147" w:type="pct"/>
                  <w:noWrap w:val="0"/>
                  <w:vAlign w:val="center"/>
                </w:tcPr>
                <w:p w14:paraId="37A993CA">
                  <w:pPr>
                    <w:autoSpaceDE w:val="0"/>
                    <w:autoSpaceDN w:val="0"/>
                    <w:adjustRightInd w:val="0"/>
                    <w:snapToGrid w:val="0"/>
                    <w:rPr>
                      <w:rFonts w:hint="eastAsia"/>
                      <w:color w:val="auto"/>
                      <w:kern w:val="0"/>
                      <w:szCs w:val="21"/>
                    </w:rPr>
                  </w:pPr>
                  <w:r>
                    <w:rPr>
                      <w:rFonts w:hint="eastAsia"/>
                      <w:color w:val="auto"/>
                      <w:kern w:val="0"/>
                      <w:szCs w:val="21"/>
                    </w:rPr>
                    <w:t>本项目供电</w:t>
                  </w:r>
                  <w:r>
                    <w:rPr>
                      <w:color w:val="auto"/>
                      <w:kern w:val="0"/>
                      <w:szCs w:val="21"/>
                    </w:rPr>
                    <w:t>电源由园区</w:t>
                  </w:r>
                  <w:r>
                    <w:rPr>
                      <w:rFonts w:hint="eastAsia"/>
                      <w:color w:val="auto"/>
                      <w:kern w:val="0"/>
                      <w:szCs w:val="21"/>
                      <w:lang w:val="en-US" w:eastAsia="zh-CN"/>
                    </w:rPr>
                    <w:t>市政提供</w:t>
                  </w:r>
                  <w:r>
                    <w:rPr>
                      <w:rFonts w:hint="eastAsia"/>
                      <w:color w:val="auto"/>
                      <w:kern w:val="0"/>
                      <w:szCs w:val="21"/>
                    </w:rPr>
                    <w:t>。</w:t>
                  </w:r>
                </w:p>
              </w:tc>
              <w:tc>
                <w:tcPr>
                  <w:tcW w:w="399" w:type="pct"/>
                  <w:noWrap w:val="0"/>
                  <w:vAlign w:val="center"/>
                </w:tcPr>
                <w:p w14:paraId="5B1B739E">
                  <w:pPr>
                    <w:adjustRightInd w:val="0"/>
                    <w:snapToGrid w:val="0"/>
                    <w:jc w:val="center"/>
                    <w:rPr>
                      <w:color w:val="auto"/>
                      <w:szCs w:val="21"/>
                    </w:rPr>
                  </w:pPr>
                  <w:r>
                    <w:rPr>
                      <w:rFonts w:hint="eastAsia"/>
                      <w:color w:val="auto"/>
                      <w:kern w:val="0"/>
                      <w:szCs w:val="21"/>
                    </w:rPr>
                    <w:t>新建</w:t>
                  </w:r>
                </w:p>
              </w:tc>
            </w:tr>
            <w:tr w14:paraId="2569EB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83" w:type="pct"/>
                  <w:vMerge w:val="continue"/>
                  <w:noWrap w:val="0"/>
                  <w:vAlign w:val="center"/>
                </w:tcPr>
                <w:p w14:paraId="0DC8BE2E">
                  <w:pPr>
                    <w:autoSpaceDE w:val="0"/>
                    <w:autoSpaceDN w:val="0"/>
                    <w:adjustRightInd w:val="0"/>
                    <w:snapToGrid w:val="0"/>
                    <w:jc w:val="center"/>
                    <w:rPr>
                      <w:color w:val="auto"/>
                      <w:kern w:val="0"/>
                      <w:szCs w:val="21"/>
                    </w:rPr>
                  </w:pPr>
                </w:p>
              </w:tc>
              <w:tc>
                <w:tcPr>
                  <w:tcW w:w="425" w:type="pct"/>
                  <w:vMerge w:val="continue"/>
                  <w:noWrap w:val="0"/>
                  <w:vAlign w:val="center"/>
                </w:tcPr>
                <w:p w14:paraId="55A1955F">
                  <w:pPr>
                    <w:autoSpaceDE w:val="0"/>
                    <w:autoSpaceDN w:val="0"/>
                    <w:adjustRightInd w:val="0"/>
                    <w:snapToGrid w:val="0"/>
                    <w:jc w:val="center"/>
                    <w:rPr>
                      <w:color w:val="auto"/>
                      <w:kern w:val="0"/>
                      <w:szCs w:val="21"/>
                    </w:rPr>
                  </w:pPr>
                </w:p>
              </w:tc>
              <w:tc>
                <w:tcPr>
                  <w:tcW w:w="744" w:type="pct"/>
                  <w:gridSpan w:val="2"/>
                  <w:noWrap w:val="0"/>
                  <w:vAlign w:val="center"/>
                </w:tcPr>
                <w:p w14:paraId="0D3BAECE">
                  <w:pPr>
                    <w:autoSpaceDE w:val="0"/>
                    <w:autoSpaceDN w:val="0"/>
                    <w:adjustRightInd w:val="0"/>
                    <w:snapToGrid w:val="0"/>
                    <w:jc w:val="center"/>
                    <w:rPr>
                      <w:color w:val="auto"/>
                      <w:kern w:val="0"/>
                      <w:szCs w:val="21"/>
                    </w:rPr>
                  </w:pPr>
                  <w:r>
                    <w:rPr>
                      <w:rFonts w:hint="eastAsia"/>
                      <w:color w:val="auto"/>
                      <w:kern w:val="0"/>
                      <w:szCs w:val="21"/>
                    </w:rPr>
                    <w:t>供暖</w:t>
                  </w:r>
                </w:p>
              </w:tc>
              <w:tc>
                <w:tcPr>
                  <w:tcW w:w="3147" w:type="pct"/>
                  <w:noWrap w:val="0"/>
                  <w:vAlign w:val="center"/>
                </w:tcPr>
                <w:p w14:paraId="07DFB620">
                  <w:pPr>
                    <w:autoSpaceDE w:val="0"/>
                    <w:autoSpaceDN w:val="0"/>
                    <w:adjustRightInd w:val="0"/>
                    <w:snapToGrid w:val="0"/>
                    <w:rPr>
                      <w:color w:val="auto"/>
                      <w:kern w:val="0"/>
                      <w:szCs w:val="21"/>
                    </w:rPr>
                  </w:pPr>
                  <w:r>
                    <w:rPr>
                      <w:rFonts w:hint="eastAsia"/>
                      <w:color w:val="auto"/>
                      <w:kern w:val="0"/>
                      <w:szCs w:val="21"/>
                    </w:rPr>
                    <w:t>本项目冬季采暖</w:t>
                  </w:r>
                  <w:r>
                    <w:rPr>
                      <w:rFonts w:hint="eastAsia"/>
                      <w:color w:val="auto"/>
                      <w:kern w:val="0"/>
                      <w:szCs w:val="21"/>
                      <w:lang w:val="en-US" w:eastAsia="zh-CN"/>
                    </w:rPr>
                    <w:t>由</w:t>
                  </w:r>
                  <w:r>
                    <w:rPr>
                      <w:rFonts w:hint="eastAsia"/>
                      <w:color w:val="auto"/>
                      <w:kern w:val="0"/>
                      <w:szCs w:val="21"/>
                    </w:rPr>
                    <w:t>园区集中供暖</w:t>
                  </w:r>
                </w:p>
              </w:tc>
              <w:tc>
                <w:tcPr>
                  <w:tcW w:w="399" w:type="pct"/>
                  <w:noWrap w:val="0"/>
                  <w:vAlign w:val="center"/>
                </w:tcPr>
                <w:p w14:paraId="034F0EE0">
                  <w:pPr>
                    <w:adjustRightInd w:val="0"/>
                    <w:snapToGrid w:val="0"/>
                    <w:jc w:val="center"/>
                    <w:rPr>
                      <w:rFonts w:hint="eastAsia"/>
                      <w:color w:val="auto"/>
                      <w:szCs w:val="21"/>
                    </w:rPr>
                  </w:pPr>
                  <w:r>
                    <w:rPr>
                      <w:rFonts w:hint="eastAsia"/>
                      <w:color w:val="auto"/>
                      <w:kern w:val="0"/>
                      <w:szCs w:val="21"/>
                    </w:rPr>
                    <w:t>新建</w:t>
                  </w:r>
                </w:p>
              </w:tc>
            </w:tr>
            <w:tr w14:paraId="0D7AE4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83" w:type="pct"/>
                  <w:vMerge w:val="restart"/>
                  <w:noWrap w:val="0"/>
                  <w:vAlign w:val="center"/>
                </w:tcPr>
                <w:p w14:paraId="469F4EC0">
                  <w:pPr>
                    <w:autoSpaceDE w:val="0"/>
                    <w:autoSpaceDN w:val="0"/>
                    <w:adjustRightInd w:val="0"/>
                    <w:snapToGrid w:val="0"/>
                    <w:jc w:val="center"/>
                    <w:rPr>
                      <w:color w:val="auto"/>
                      <w:kern w:val="0"/>
                      <w:szCs w:val="21"/>
                    </w:rPr>
                  </w:pPr>
                  <w:r>
                    <w:rPr>
                      <w:color w:val="auto"/>
                      <w:kern w:val="0"/>
                      <w:szCs w:val="21"/>
                    </w:rPr>
                    <w:t>5</w:t>
                  </w:r>
                </w:p>
              </w:tc>
              <w:tc>
                <w:tcPr>
                  <w:tcW w:w="425" w:type="pct"/>
                  <w:vMerge w:val="restart"/>
                  <w:noWrap w:val="0"/>
                  <w:vAlign w:val="center"/>
                </w:tcPr>
                <w:p w14:paraId="0276ED7A">
                  <w:pPr>
                    <w:autoSpaceDE w:val="0"/>
                    <w:autoSpaceDN w:val="0"/>
                    <w:adjustRightInd w:val="0"/>
                    <w:snapToGrid w:val="0"/>
                    <w:jc w:val="center"/>
                    <w:rPr>
                      <w:color w:val="auto"/>
                      <w:kern w:val="0"/>
                      <w:szCs w:val="21"/>
                    </w:rPr>
                  </w:pPr>
                  <w:r>
                    <w:rPr>
                      <w:rFonts w:hint="eastAsia"/>
                      <w:color w:val="auto"/>
                      <w:kern w:val="0"/>
                      <w:szCs w:val="21"/>
                    </w:rPr>
                    <w:t>环保工程</w:t>
                  </w:r>
                </w:p>
              </w:tc>
              <w:tc>
                <w:tcPr>
                  <w:tcW w:w="744" w:type="pct"/>
                  <w:gridSpan w:val="2"/>
                  <w:noWrap w:val="0"/>
                  <w:vAlign w:val="center"/>
                </w:tcPr>
                <w:p w14:paraId="019BC1EF">
                  <w:pPr>
                    <w:autoSpaceDE w:val="0"/>
                    <w:autoSpaceDN w:val="0"/>
                    <w:adjustRightInd w:val="0"/>
                    <w:snapToGrid w:val="0"/>
                    <w:jc w:val="center"/>
                    <w:rPr>
                      <w:color w:val="auto"/>
                      <w:kern w:val="0"/>
                      <w:szCs w:val="21"/>
                    </w:rPr>
                  </w:pPr>
                  <w:r>
                    <w:rPr>
                      <w:color w:val="auto"/>
                      <w:kern w:val="0"/>
                      <w:szCs w:val="21"/>
                    </w:rPr>
                    <w:t>废气</w:t>
                  </w:r>
                </w:p>
              </w:tc>
              <w:tc>
                <w:tcPr>
                  <w:tcW w:w="3147" w:type="pct"/>
                  <w:noWrap w:val="0"/>
                  <w:vAlign w:val="center"/>
                </w:tcPr>
                <w:p w14:paraId="3CF4B132">
                  <w:pPr>
                    <w:autoSpaceDE w:val="0"/>
                    <w:autoSpaceDN w:val="0"/>
                    <w:adjustRightInd w:val="0"/>
                    <w:snapToGrid w:val="0"/>
                    <w:rPr>
                      <w:color w:val="FF0000"/>
                      <w:kern w:val="0"/>
                      <w:szCs w:val="21"/>
                    </w:rPr>
                  </w:pPr>
                  <w:r>
                    <w:rPr>
                      <w:rFonts w:hint="eastAsia"/>
                      <w:color w:val="FF0000"/>
                      <w:kern w:val="0"/>
                      <w:szCs w:val="21"/>
                      <w:lang w:val="en-US" w:eastAsia="zh-CN"/>
                    </w:rPr>
                    <w:t>样品破碎、粉碎、研磨均在密闭设备进行，无废气排放；棒磨机的棒磨筒吹气清理</w:t>
                  </w:r>
                  <w:r>
                    <w:rPr>
                      <w:color w:val="FF0000"/>
                      <w:kern w:val="0"/>
                      <w:szCs w:val="21"/>
                    </w:rPr>
                    <w:t>废气经</w:t>
                  </w:r>
                  <w:r>
                    <w:rPr>
                      <w:rFonts w:hint="eastAsia"/>
                      <w:color w:val="FF0000"/>
                      <w:kern w:val="0"/>
                      <w:szCs w:val="21"/>
                      <w:lang w:val="en-US" w:eastAsia="zh-CN"/>
                    </w:rPr>
                    <w:t>通风橱负压</w:t>
                  </w:r>
                  <w:r>
                    <w:rPr>
                      <w:color w:val="FF0000"/>
                      <w:kern w:val="0"/>
                      <w:szCs w:val="21"/>
                    </w:rPr>
                    <w:t>收集采用布袋除尘器处理后</w:t>
                  </w:r>
                  <w:r>
                    <w:rPr>
                      <w:rFonts w:hint="eastAsia"/>
                      <w:color w:val="FF0000"/>
                      <w:kern w:val="0"/>
                      <w:szCs w:val="21"/>
                      <w:lang w:eastAsia="zh-CN"/>
                    </w:rPr>
                    <w:t>，</w:t>
                  </w:r>
                  <w:r>
                    <w:rPr>
                      <w:rFonts w:hint="eastAsia"/>
                      <w:color w:val="FF0000"/>
                      <w:kern w:val="0"/>
                      <w:szCs w:val="21"/>
                      <w:lang w:val="en-US" w:eastAsia="zh-CN"/>
                    </w:rPr>
                    <w:t>除尘后的洁净空气，通过回风管路回流至吹气系统，再次作为棒磨筒清理的吹气气源，通风橱密闭内部循环，无废气排放</w:t>
                  </w:r>
                  <w:r>
                    <w:rPr>
                      <w:color w:val="FF0000"/>
                      <w:kern w:val="0"/>
                      <w:szCs w:val="21"/>
                    </w:rPr>
                    <w:t>。</w:t>
                  </w:r>
                </w:p>
                <w:p w14:paraId="22A76DC7">
                  <w:pPr>
                    <w:autoSpaceDE w:val="0"/>
                    <w:autoSpaceDN w:val="0"/>
                    <w:adjustRightInd w:val="0"/>
                    <w:snapToGrid w:val="0"/>
                    <w:rPr>
                      <w:color w:val="auto"/>
                      <w:kern w:val="0"/>
                      <w:szCs w:val="21"/>
                    </w:rPr>
                  </w:pPr>
                  <w:r>
                    <w:rPr>
                      <w:rFonts w:hint="eastAsia"/>
                      <w:color w:val="auto"/>
                      <w:kern w:val="0"/>
                      <w:szCs w:val="21"/>
                      <w:lang w:val="en-US" w:eastAsia="zh-CN"/>
                    </w:rPr>
                    <w:t>实验</w:t>
                  </w:r>
                  <w:r>
                    <w:rPr>
                      <w:color w:val="auto"/>
                      <w:kern w:val="0"/>
                      <w:szCs w:val="21"/>
                    </w:rPr>
                    <w:t>过程产生的酸性废气由抽风系统收集，经设置的1套</w:t>
                  </w:r>
                  <w:r>
                    <w:rPr>
                      <w:rFonts w:hint="eastAsia"/>
                      <w:color w:val="auto"/>
                      <w:kern w:val="0"/>
                      <w:szCs w:val="21"/>
                      <w:lang w:val="en-US" w:eastAsia="zh-CN"/>
                    </w:rPr>
                    <w:t>碱液喷淋塔</w:t>
                  </w:r>
                  <w:r>
                    <w:rPr>
                      <w:color w:val="auto"/>
                      <w:kern w:val="0"/>
                      <w:szCs w:val="21"/>
                    </w:rPr>
                    <w:t>处理后通过15m排气筒排放（DA00</w:t>
                  </w:r>
                  <w:r>
                    <w:rPr>
                      <w:rFonts w:hint="eastAsia"/>
                      <w:color w:val="auto"/>
                      <w:kern w:val="0"/>
                      <w:szCs w:val="21"/>
                      <w:lang w:val="en-US" w:eastAsia="zh-CN"/>
                    </w:rPr>
                    <w:t>1</w:t>
                  </w:r>
                  <w:r>
                    <w:rPr>
                      <w:color w:val="auto"/>
                      <w:kern w:val="0"/>
                      <w:szCs w:val="21"/>
                    </w:rPr>
                    <w:t>）；</w:t>
                  </w:r>
                </w:p>
              </w:tc>
              <w:tc>
                <w:tcPr>
                  <w:tcW w:w="399" w:type="pct"/>
                  <w:noWrap w:val="0"/>
                  <w:vAlign w:val="center"/>
                </w:tcPr>
                <w:p w14:paraId="6F78F8C3">
                  <w:pPr>
                    <w:autoSpaceDE w:val="0"/>
                    <w:autoSpaceDN w:val="0"/>
                    <w:adjustRightInd w:val="0"/>
                    <w:snapToGrid w:val="0"/>
                    <w:jc w:val="center"/>
                    <w:rPr>
                      <w:color w:val="auto"/>
                      <w:kern w:val="0"/>
                      <w:szCs w:val="21"/>
                    </w:rPr>
                  </w:pPr>
                  <w:r>
                    <w:rPr>
                      <w:rFonts w:hint="eastAsia"/>
                      <w:color w:val="auto"/>
                      <w:kern w:val="0"/>
                      <w:szCs w:val="21"/>
                    </w:rPr>
                    <w:t>新建</w:t>
                  </w:r>
                </w:p>
              </w:tc>
            </w:tr>
            <w:tr w14:paraId="7AD3E1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83" w:type="pct"/>
                  <w:vMerge w:val="continue"/>
                  <w:noWrap w:val="0"/>
                  <w:vAlign w:val="center"/>
                </w:tcPr>
                <w:p w14:paraId="3691D9A8">
                  <w:pPr>
                    <w:autoSpaceDE w:val="0"/>
                    <w:autoSpaceDN w:val="0"/>
                    <w:adjustRightInd w:val="0"/>
                    <w:snapToGrid w:val="0"/>
                    <w:jc w:val="center"/>
                    <w:rPr>
                      <w:color w:val="auto"/>
                      <w:kern w:val="0"/>
                      <w:szCs w:val="21"/>
                    </w:rPr>
                  </w:pPr>
                </w:p>
              </w:tc>
              <w:tc>
                <w:tcPr>
                  <w:tcW w:w="425" w:type="pct"/>
                  <w:vMerge w:val="continue"/>
                  <w:noWrap w:val="0"/>
                  <w:vAlign w:val="center"/>
                </w:tcPr>
                <w:p w14:paraId="00BD1C17">
                  <w:pPr>
                    <w:autoSpaceDE w:val="0"/>
                    <w:autoSpaceDN w:val="0"/>
                    <w:adjustRightInd w:val="0"/>
                    <w:snapToGrid w:val="0"/>
                    <w:jc w:val="center"/>
                    <w:rPr>
                      <w:color w:val="auto"/>
                      <w:kern w:val="0"/>
                      <w:szCs w:val="21"/>
                    </w:rPr>
                  </w:pPr>
                </w:p>
              </w:tc>
              <w:tc>
                <w:tcPr>
                  <w:tcW w:w="744" w:type="pct"/>
                  <w:gridSpan w:val="2"/>
                  <w:noWrap w:val="0"/>
                  <w:vAlign w:val="center"/>
                </w:tcPr>
                <w:p w14:paraId="01A24981">
                  <w:pPr>
                    <w:autoSpaceDE w:val="0"/>
                    <w:autoSpaceDN w:val="0"/>
                    <w:adjustRightInd w:val="0"/>
                    <w:snapToGrid w:val="0"/>
                    <w:jc w:val="center"/>
                    <w:rPr>
                      <w:color w:val="auto"/>
                      <w:kern w:val="0"/>
                      <w:szCs w:val="21"/>
                    </w:rPr>
                  </w:pPr>
                  <w:r>
                    <w:rPr>
                      <w:rFonts w:hint="eastAsia"/>
                      <w:color w:val="auto"/>
                      <w:kern w:val="0"/>
                      <w:szCs w:val="21"/>
                    </w:rPr>
                    <w:t>废水</w:t>
                  </w:r>
                </w:p>
              </w:tc>
              <w:tc>
                <w:tcPr>
                  <w:tcW w:w="3147" w:type="pct"/>
                  <w:noWrap w:val="0"/>
                  <w:vAlign w:val="center"/>
                </w:tcPr>
                <w:p w14:paraId="06454C4A">
                  <w:pPr>
                    <w:autoSpaceDE w:val="0"/>
                    <w:autoSpaceDN w:val="0"/>
                    <w:adjustRightInd w:val="0"/>
                    <w:snapToGrid w:val="0"/>
                    <w:rPr>
                      <w:rFonts w:hint="default" w:eastAsia="宋体"/>
                      <w:color w:val="auto"/>
                      <w:kern w:val="0"/>
                      <w:szCs w:val="21"/>
                      <w:lang w:val="en-US" w:eastAsia="zh-CN"/>
                    </w:rPr>
                  </w:pPr>
                  <w:r>
                    <w:rPr>
                      <w:rFonts w:hint="eastAsia"/>
                      <w:color w:val="FF0000"/>
                      <w:kern w:val="0"/>
                      <w:szCs w:val="21"/>
                      <w:lang w:val="en-US" w:eastAsia="zh-CN"/>
                    </w:rPr>
                    <w:t>实验器具中段清洗废水、后段清洗废水、</w:t>
                  </w:r>
                  <w:r>
                    <w:rPr>
                      <w:rFonts w:hint="eastAsia"/>
                      <w:color w:val="auto"/>
                      <w:kern w:val="0"/>
                      <w:szCs w:val="21"/>
                      <w:lang w:val="en-US" w:eastAsia="zh-CN"/>
                    </w:rPr>
                    <w:t>喷淋塔废水</w:t>
                  </w:r>
                  <w:r>
                    <w:rPr>
                      <w:rFonts w:hint="eastAsia"/>
                      <w:color w:val="auto"/>
                      <w:kern w:val="0"/>
                      <w:szCs w:val="21"/>
                    </w:rPr>
                    <w:t>经</w:t>
                  </w:r>
                  <w:r>
                    <w:rPr>
                      <w:rFonts w:hint="eastAsia"/>
                      <w:color w:val="auto"/>
                      <w:kern w:val="0"/>
                      <w:szCs w:val="21"/>
                      <w:lang w:val="en-US" w:eastAsia="zh-CN"/>
                    </w:rPr>
                    <w:t>管道收集至废水贮存池中的收集箱，泵入一体化污水处理设备</w:t>
                  </w:r>
                  <w:r>
                    <w:rPr>
                      <w:rFonts w:hint="eastAsia"/>
                      <w:color w:val="auto"/>
                      <w:kern w:val="0"/>
                      <w:szCs w:val="21"/>
                    </w:rPr>
                    <w:t>处理后满足《污水综合排放标准》（GB8978-1996）表4三级标准</w:t>
                  </w:r>
                  <w:r>
                    <w:rPr>
                      <w:rFonts w:hint="eastAsia"/>
                      <w:color w:val="auto"/>
                      <w:kern w:val="0"/>
                      <w:szCs w:val="21"/>
                      <w:lang w:val="en-US" w:eastAsia="zh-CN"/>
                    </w:rPr>
                    <w:t>后</w:t>
                  </w:r>
                  <w:r>
                    <w:rPr>
                      <w:rFonts w:hint="eastAsia"/>
                      <w:color w:val="auto"/>
                      <w:kern w:val="0"/>
                      <w:szCs w:val="21"/>
                    </w:rPr>
                    <w:t>排</w:t>
                  </w:r>
                  <w:r>
                    <w:rPr>
                      <w:rFonts w:hint="eastAsia"/>
                      <w:color w:val="0000FF"/>
                      <w:kern w:val="0"/>
                      <w:szCs w:val="21"/>
                    </w:rPr>
                    <w:t>入</w:t>
                  </w:r>
                  <w:r>
                    <w:rPr>
                      <w:rFonts w:hint="eastAsia"/>
                      <w:color w:val="0000FF"/>
                      <w:kern w:val="0"/>
                      <w:szCs w:val="21"/>
                      <w:lang w:val="en-US" w:eastAsia="zh-CN"/>
                    </w:rPr>
                    <w:t>废水池</w:t>
                  </w:r>
                  <w:r>
                    <w:rPr>
                      <w:rFonts w:hint="eastAsia"/>
                      <w:color w:val="0000FF"/>
                      <w:kern w:val="0"/>
                      <w:szCs w:val="21"/>
                    </w:rPr>
                    <w:t>，</w:t>
                  </w:r>
                  <w:r>
                    <w:rPr>
                      <w:rFonts w:hint="eastAsia"/>
                      <w:color w:val="0000FF"/>
                      <w:kern w:val="0"/>
                      <w:szCs w:val="21"/>
                      <w:lang w:val="en-US" w:eastAsia="zh-CN"/>
                    </w:rPr>
                    <w:t>纯水制备浓水属清净下水，直接排入废水池，废水池内废水</w:t>
                  </w:r>
                  <w:r>
                    <w:rPr>
                      <w:rFonts w:hint="eastAsia"/>
                      <w:color w:val="0000FF"/>
                      <w:kern w:val="0"/>
                      <w:szCs w:val="21"/>
                    </w:rPr>
                    <w:t>最终</w:t>
                  </w:r>
                  <w:r>
                    <w:rPr>
                      <w:rFonts w:hint="eastAsia"/>
                      <w:color w:val="0000FF"/>
                      <w:kern w:val="0"/>
                      <w:szCs w:val="21"/>
                      <w:lang w:val="en-US" w:eastAsia="zh-CN"/>
                    </w:rPr>
                    <w:t>由吸污车拉运至昌吉高新技术产业开发区污水处理厂（由新疆高新海天水务有限公司运营）</w:t>
                  </w:r>
                  <w:r>
                    <w:rPr>
                      <w:rFonts w:hint="eastAsia"/>
                      <w:color w:val="0000FF"/>
                      <w:kern w:val="0"/>
                      <w:szCs w:val="21"/>
                    </w:rPr>
                    <w:t>处理；生活污水排入</w:t>
                  </w:r>
                  <w:r>
                    <w:rPr>
                      <w:rFonts w:hint="eastAsia"/>
                      <w:color w:val="0000FF"/>
                      <w:kern w:val="0"/>
                      <w:szCs w:val="21"/>
                      <w:lang w:val="en-US" w:eastAsia="zh-CN"/>
                    </w:rPr>
                    <w:t>租用厂房新疆华爱康塑业科技发展有限公司已建化粪池</w:t>
                  </w:r>
                  <w:r>
                    <w:rPr>
                      <w:rFonts w:hint="eastAsia"/>
                      <w:color w:val="0000FF"/>
                      <w:kern w:val="0"/>
                      <w:szCs w:val="21"/>
                    </w:rPr>
                    <w:t>。</w:t>
                  </w:r>
                  <w:r>
                    <w:rPr>
                      <w:rFonts w:hint="eastAsia"/>
                      <w:color w:val="auto"/>
                      <w:kern w:val="0"/>
                      <w:szCs w:val="21"/>
                      <w:lang w:val="en-US" w:eastAsia="zh-CN"/>
                    </w:rPr>
                    <w:t>实验室一体化污水处理设备处理规模2t/d，一体化污水处理设备采用“酸碱中和调节+重金属捕捉+高效分离沉淀+微生物反应装置+多相催化氧化反应+氧化消毒+多介质过滤”处理工艺。</w:t>
                  </w:r>
                </w:p>
              </w:tc>
              <w:tc>
                <w:tcPr>
                  <w:tcW w:w="399" w:type="pct"/>
                  <w:noWrap w:val="0"/>
                  <w:vAlign w:val="center"/>
                </w:tcPr>
                <w:p w14:paraId="1B6BF930">
                  <w:pPr>
                    <w:adjustRightInd w:val="0"/>
                    <w:snapToGrid w:val="0"/>
                    <w:jc w:val="center"/>
                    <w:rPr>
                      <w:color w:val="auto"/>
                      <w:szCs w:val="21"/>
                    </w:rPr>
                  </w:pPr>
                  <w:r>
                    <w:rPr>
                      <w:rFonts w:hint="eastAsia"/>
                      <w:color w:val="auto"/>
                      <w:szCs w:val="21"/>
                    </w:rPr>
                    <w:t>新建</w:t>
                  </w:r>
                </w:p>
              </w:tc>
            </w:tr>
            <w:tr w14:paraId="01CBD7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83" w:type="pct"/>
                  <w:vMerge w:val="continue"/>
                  <w:noWrap w:val="0"/>
                  <w:vAlign w:val="center"/>
                </w:tcPr>
                <w:p w14:paraId="40A12334">
                  <w:pPr>
                    <w:autoSpaceDE w:val="0"/>
                    <w:autoSpaceDN w:val="0"/>
                    <w:adjustRightInd w:val="0"/>
                    <w:snapToGrid w:val="0"/>
                    <w:jc w:val="center"/>
                    <w:rPr>
                      <w:color w:val="auto"/>
                      <w:kern w:val="0"/>
                      <w:szCs w:val="21"/>
                    </w:rPr>
                  </w:pPr>
                </w:p>
              </w:tc>
              <w:tc>
                <w:tcPr>
                  <w:tcW w:w="425" w:type="pct"/>
                  <w:vMerge w:val="continue"/>
                  <w:noWrap w:val="0"/>
                  <w:vAlign w:val="center"/>
                </w:tcPr>
                <w:p w14:paraId="504EB376">
                  <w:pPr>
                    <w:autoSpaceDE w:val="0"/>
                    <w:autoSpaceDN w:val="0"/>
                    <w:adjustRightInd w:val="0"/>
                    <w:snapToGrid w:val="0"/>
                    <w:jc w:val="center"/>
                    <w:rPr>
                      <w:color w:val="auto"/>
                      <w:kern w:val="0"/>
                      <w:szCs w:val="21"/>
                    </w:rPr>
                  </w:pPr>
                </w:p>
              </w:tc>
              <w:tc>
                <w:tcPr>
                  <w:tcW w:w="275" w:type="pct"/>
                  <w:vMerge w:val="restart"/>
                  <w:noWrap w:val="0"/>
                  <w:vAlign w:val="center"/>
                </w:tcPr>
                <w:p w14:paraId="5CD4D3E8">
                  <w:pPr>
                    <w:autoSpaceDE w:val="0"/>
                    <w:autoSpaceDN w:val="0"/>
                    <w:adjustRightInd w:val="0"/>
                    <w:snapToGrid w:val="0"/>
                    <w:jc w:val="center"/>
                    <w:rPr>
                      <w:color w:val="auto"/>
                      <w:kern w:val="0"/>
                      <w:szCs w:val="21"/>
                    </w:rPr>
                  </w:pPr>
                  <w:r>
                    <w:rPr>
                      <w:rFonts w:hint="eastAsia"/>
                      <w:color w:val="auto"/>
                      <w:kern w:val="0"/>
                      <w:szCs w:val="21"/>
                    </w:rPr>
                    <w:t>固废</w:t>
                  </w:r>
                </w:p>
              </w:tc>
              <w:tc>
                <w:tcPr>
                  <w:tcW w:w="469" w:type="pct"/>
                  <w:noWrap w:val="0"/>
                  <w:vAlign w:val="center"/>
                </w:tcPr>
                <w:p w14:paraId="3296DCEF">
                  <w:pPr>
                    <w:autoSpaceDE w:val="0"/>
                    <w:autoSpaceDN w:val="0"/>
                    <w:adjustRightInd w:val="0"/>
                    <w:snapToGrid w:val="0"/>
                    <w:jc w:val="center"/>
                    <w:rPr>
                      <w:color w:val="auto"/>
                      <w:kern w:val="0"/>
                      <w:szCs w:val="21"/>
                    </w:rPr>
                  </w:pPr>
                  <w:r>
                    <w:rPr>
                      <w:rFonts w:hint="eastAsia"/>
                      <w:color w:val="auto"/>
                      <w:kern w:val="0"/>
                      <w:szCs w:val="21"/>
                    </w:rPr>
                    <w:t>危险废物</w:t>
                  </w:r>
                </w:p>
              </w:tc>
              <w:tc>
                <w:tcPr>
                  <w:tcW w:w="3147" w:type="pct"/>
                  <w:noWrap w:val="0"/>
                  <w:vAlign w:val="center"/>
                </w:tcPr>
                <w:p w14:paraId="10E4635F">
                  <w:pPr>
                    <w:autoSpaceDE w:val="0"/>
                    <w:autoSpaceDN w:val="0"/>
                    <w:adjustRightInd w:val="0"/>
                    <w:snapToGrid w:val="0"/>
                    <w:rPr>
                      <w:rFonts w:hint="eastAsia"/>
                      <w:color w:val="auto"/>
                      <w:szCs w:val="21"/>
                    </w:rPr>
                  </w:pPr>
                  <w:r>
                    <w:rPr>
                      <w:rFonts w:hint="eastAsia"/>
                      <w:color w:val="auto"/>
                      <w:szCs w:val="21"/>
                      <w:lang w:val="zh-CN" w:eastAsia="zh-CN"/>
                    </w:rPr>
                    <w:t>实验废液、废</w:t>
                  </w:r>
                  <w:r>
                    <w:rPr>
                      <w:rFonts w:hint="eastAsia"/>
                      <w:color w:val="auto"/>
                      <w:szCs w:val="21"/>
                      <w:lang w:val="en-US" w:eastAsia="zh-CN"/>
                    </w:rPr>
                    <w:t>实验用品</w:t>
                  </w:r>
                  <w:r>
                    <w:rPr>
                      <w:rFonts w:hint="eastAsia"/>
                      <w:color w:val="auto"/>
                      <w:szCs w:val="21"/>
                      <w:lang w:val="zh-CN" w:eastAsia="zh-CN"/>
                    </w:rPr>
                    <w:t>、废试剂瓶、污水处理污泥</w:t>
                  </w:r>
                  <w:r>
                    <w:rPr>
                      <w:rFonts w:hint="eastAsia"/>
                      <w:color w:val="auto"/>
                      <w:szCs w:val="21"/>
                      <w:lang w:val="en-US" w:eastAsia="zh-CN"/>
                    </w:rPr>
                    <w:t>在危险废物暂存间暂存（20m</w:t>
                  </w:r>
                  <w:r>
                    <w:rPr>
                      <w:rFonts w:hint="eastAsia"/>
                      <w:color w:val="auto"/>
                      <w:szCs w:val="21"/>
                      <w:vertAlign w:val="superscript"/>
                      <w:lang w:val="en-US" w:eastAsia="zh-CN"/>
                    </w:rPr>
                    <w:t>2</w:t>
                  </w:r>
                  <w:r>
                    <w:rPr>
                      <w:rFonts w:hint="eastAsia"/>
                      <w:color w:val="auto"/>
                      <w:szCs w:val="21"/>
                      <w:lang w:val="en-US" w:eastAsia="zh-CN"/>
                    </w:rPr>
                    <w:t>），定期交由有资质的单位处置。</w:t>
                  </w:r>
                  <w:r>
                    <w:rPr>
                      <w:rFonts w:hint="eastAsia"/>
                      <w:color w:val="auto"/>
                      <w:szCs w:val="21"/>
                    </w:rPr>
                    <w:t>本项目</w:t>
                  </w:r>
                  <w:r>
                    <w:rPr>
                      <w:rFonts w:hint="eastAsia"/>
                      <w:color w:val="auto"/>
                      <w:szCs w:val="21"/>
                      <w:lang w:val="en-US" w:eastAsia="zh-CN"/>
                    </w:rPr>
                    <w:t>厂房内设置20</w:t>
                  </w:r>
                  <w:r>
                    <w:rPr>
                      <w:rFonts w:hint="eastAsia"/>
                      <w:color w:val="auto"/>
                      <w:szCs w:val="21"/>
                    </w:rPr>
                    <w:t>m</w:t>
                  </w:r>
                  <w:r>
                    <w:rPr>
                      <w:color w:val="auto"/>
                      <w:szCs w:val="21"/>
                      <w:vertAlign w:val="superscript"/>
                    </w:rPr>
                    <w:t>2</w:t>
                  </w:r>
                  <w:r>
                    <w:rPr>
                      <w:rFonts w:hint="eastAsia"/>
                      <w:color w:val="auto"/>
                      <w:szCs w:val="21"/>
                      <w:lang w:val="en-US" w:eastAsia="zh-CN"/>
                    </w:rPr>
                    <w:t>危险废物暂存间</w:t>
                  </w:r>
                  <w:r>
                    <w:rPr>
                      <w:rFonts w:hint="eastAsia"/>
                      <w:color w:val="auto"/>
                      <w:szCs w:val="21"/>
                      <w:lang w:eastAsia="zh-CN"/>
                    </w:rPr>
                    <w:t>，</w:t>
                  </w:r>
                  <w:r>
                    <w:rPr>
                      <w:rFonts w:hint="eastAsia"/>
                      <w:color w:val="auto"/>
                      <w:szCs w:val="21"/>
                      <w:lang w:val="en-US" w:eastAsia="zh-CN"/>
                    </w:rPr>
                    <w:t>位于项目区东侧，</w:t>
                  </w:r>
                  <w:r>
                    <w:rPr>
                      <w:rFonts w:hint="eastAsia"/>
                      <w:color w:val="auto"/>
                      <w:szCs w:val="21"/>
                    </w:rPr>
                    <w:t>对危险废物进行分类暂存，委托有资质单位处理。</w:t>
                  </w:r>
                </w:p>
              </w:tc>
              <w:tc>
                <w:tcPr>
                  <w:tcW w:w="399" w:type="pct"/>
                  <w:noWrap w:val="0"/>
                  <w:vAlign w:val="center"/>
                </w:tcPr>
                <w:p w14:paraId="4314B151">
                  <w:pPr>
                    <w:adjustRightInd w:val="0"/>
                    <w:snapToGrid w:val="0"/>
                    <w:jc w:val="center"/>
                    <w:rPr>
                      <w:rFonts w:hint="eastAsia"/>
                      <w:color w:val="auto"/>
                      <w:szCs w:val="21"/>
                    </w:rPr>
                  </w:pPr>
                  <w:r>
                    <w:rPr>
                      <w:rFonts w:hint="eastAsia"/>
                      <w:color w:val="auto"/>
                      <w:szCs w:val="21"/>
                    </w:rPr>
                    <w:t>新建</w:t>
                  </w:r>
                </w:p>
              </w:tc>
            </w:tr>
            <w:tr w14:paraId="2E12F8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83" w:type="pct"/>
                  <w:vMerge w:val="continue"/>
                  <w:noWrap w:val="0"/>
                  <w:vAlign w:val="center"/>
                </w:tcPr>
                <w:p w14:paraId="05F68CD3">
                  <w:pPr>
                    <w:autoSpaceDE w:val="0"/>
                    <w:autoSpaceDN w:val="0"/>
                    <w:adjustRightInd w:val="0"/>
                    <w:snapToGrid w:val="0"/>
                    <w:jc w:val="center"/>
                    <w:rPr>
                      <w:color w:val="auto"/>
                      <w:kern w:val="0"/>
                      <w:szCs w:val="21"/>
                    </w:rPr>
                  </w:pPr>
                </w:p>
              </w:tc>
              <w:tc>
                <w:tcPr>
                  <w:tcW w:w="425" w:type="pct"/>
                  <w:vMerge w:val="continue"/>
                  <w:noWrap w:val="0"/>
                  <w:vAlign w:val="center"/>
                </w:tcPr>
                <w:p w14:paraId="0F824B64">
                  <w:pPr>
                    <w:autoSpaceDE w:val="0"/>
                    <w:autoSpaceDN w:val="0"/>
                    <w:adjustRightInd w:val="0"/>
                    <w:snapToGrid w:val="0"/>
                    <w:jc w:val="center"/>
                    <w:rPr>
                      <w:color w:val="auto"/>
                      <w:kern w:val="0"/>
                      <w:szCs w:val="21"/>
                    </w:rPr>
                  </w:pPr>
                </w:p>
              </w:tc>
              <w:tc>
                <w:tcPr>
                  <w:tcW w:w="275" w:type="pct"/>
                  <w:vMerge w:val="continue"/>
                  <w:noWrap w:val="0"/>
                  <w:vAlign w:val="center"/>
                </w:tcPr>
                <w:p w14:paraId="6553D27C">
                  <w:pPr>
                    <w:autoSpaceDE w:val="0"/>
                    <w:autoSpaceDN w:val="0"/>
                    <w:adjustRightInd w:val="0"/>
                    <w:snapToGrid w:val="0"/>
                    <w:jc w:val="center"/>
                    <w:rPr>
                      <w:rFonts w:hint="eastAsia"/>
                      <w:color w:val="auto"/>
                      <w:kern w:val="0"/>
                      <w:szCs w:val="21"/>
                    </w:rPr>
                  </w:pPr>
                </w:p>
              </w:tc>
              <w:tc>
                <w:tcPr>
                  <w:tcW w:w="469" w:type="pct"/>
                  <w:noWrap w:val="0"/>
                  <w:vAlign w:val="center"/>
                </w:tcPr>
                <w:p w14:paraId="6F7DDDCA">
                  <w:pPr>
                    <w:autoSpaceDE w:val="0"/>
                    <w:autoSpaceDN w:val="0"/>
                    <w:adjustRightInd w:val="0"/>
                    <w:snapToGrid w:val="0"/>
                    <w:jc w:val="center"/>
                    <w:rPr>
                      <w:rFonts w:hint="eastAsia"/>
                      <w:color w:val="auto"/>
                      <w:kern w:val="0"/>
                      <w:szCs w:val="21"/>
                    </w:rPr>
                  </w:pPr>
                  <w:r>
                    <w:rPr>
                      <w:rFonts w:hint="eastAsia"/>
                      <w:color w:val="auto"/>
                      <w:kern w:val="0"/>
                      <w:szCs w:val="21"/>
                    </w:rPr>
                    <w:t>一般固废</w:t>
                  </w:r>
                </w:p>
              </w:tc>
              <w:tc>
                <w:tcPr>
                  <w:tcW w:w="3147" w:type="pct"/>
                  <w:noWrap w:val="0"/>
                  <w:vAlign w:val="center"/>
                </w:tcPr>
                <w:p w14:paraId="21CE79AC">
                  <w:pPr>
                    <w:autoSpaceDE w:val="0"/>
                    <w:autoSpaceDN w:val="0"/>
                    <w:adjustRightInd w:val="0"/>
                    <w:snapToGrid w:val="0"/>
                    <w:rPr>
                      <w:rFonts w:hint="default" w:eastAsia="宋体"/>
                      <w:color w:val="auto"/>
                      <w:szCs w:val="21"/>
                      <w:lang w:val="en-US" w:eastAsia="zh-CN"/>
                    </w:rPr>
                  </w:pPr>
                  <w:r>
                    <w:rPr>
                      <w:rFonts w:hint="eastAsia"/>
                      <w:color w:val="auto"/>
                      <w:szCs w:val="21"/>
                      <w:lang w:val="en-US" w:eastAsia="zh-CN"/>
                    </w:rPr>
                    <w:t>样品边角料</w:t>
                  </w:r>
                  <w:r>
                    <w:rPr>
                      <w:rFonts w:hint="eastAsia"/>
                      <w:color w:val="auto"/>
                      <w:szCs w:val="21"/>
                    </w:rPr>
                    <w:t>、布袋除尘器</w:t>
                  </w:r>
                  <w:r>
                    <w:rPr>
                      <w:rFonts w:hint="eastAsia"/>
                      <w:color w:val="auto"/>
                      <w:szCs w:val="21"/>
                      <w:lang w:val="en-US" w:eastAsia="zh-CN"/>
                    </w:rPr>
                    <w:t>收灰</w:t>
                  </w:r>
                  <w:r>
                    <w:rPr>
                      <w:rFonts w:hint="eastAsia"/>
                      <w:color w:val="auto"/>
                      <w:szCs w:val="21"/>
                      <w:lang w:eastAsia="zh-CN"/>
                    </w:rPr>
                    <w:t>、</w:t>
                  </w:r>
                  <w:r>
                    <w:rPr>
                      <w:rFonts w:hint="eastAsia"/>
                      <w:color w:val="auto"/>
                      <w:szCs w:val="21"/>
                      <w:lang w:val="en-US" w:eastAsia="zh-CN"/>
                    </w:rPr>
                    <w:t>废实验室用品外</w:t>
                  </w:r>
                  <w:r>
                    <w:rPr>
                      <w:rFonts w:hint="eastAsia"/>
                      <w:color w:val="auto"/>
                      <w:szCs w:val="21"/>
                    </w:rPr>
                    <w:t>售综合利用，</w:t>
                  </w:r>
                  <w:r>
                    <w:rPr>
                      <w:rFonts w:hint="eastAsia"/>
                      <w:color w:val="auto"/>
                      <w:szCs w:val="21"/>
                      <w:lang w:val="en-US" w:eastAsia="zh-CN"/>
                    </w:rPr>
                    <w:t>废离子交换树脂厂家更换时由生产厂家回收</w:t>
                  </w:r>
                  <w:r>
                    <w:rPr>
                      <w:rFonts w:hint="eastAsia"/>
                      <w:color w:val="auto"/>
                      <w:szCs w:val="21"/>
                    </w:rPr>
                    <w:t>。</w:t>
                  </w:r>
                </w:p>
              </w:tc>
              <w:tc>
                <w:tcPr>
                  <w:tcW w:w="399" w:type="pct"/>
                  <w:noWrap w:val="0"/>
                  <w:vAlign w:val="center"/>
                </w:tcPr>
                <w:p w14:paraId="2858C71E">
                  <w:pPr>
                    <w:adjustRightInd w:val="0"/>
                    <w:snapToGrid w:val="0"/>
                    <w:jc w:val="center"/>
                    <w:rPr>
                      <w:rFonts w:hint="eastAsia"/>
                      <w:color w:val="auto"/>
                      <w:szCs w:val="21"/>
                    </w:rPr>
                  </w:pPr>
                  <w:r>
                    <w:rPr>
                      <w:rFonts w:hint="eastAsia"/>
                      <w:color w:val="auto"/>
                      <w:szCs w:val="21"/>
                    </w:rPr>
                    <w:t>新建</w:t>
                  </w:r>
                </w:p>
              </w:tc>
            </w:tr>
            <w:tr w14:paraId="0CAA1A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83" w:type="pct"/>
                  <w:vMerge w:val="continue"/>
                  <w:noWrap w:val="0"/>
                  <w:vAlign w:val="center"/>
                </w:tcPr>
                <w:p w14:paraId="033A1A8F">
                  <w:pPr>
                    <w:autoSpaceDE w:val="0"/>
                    <w:autoSpaceDN w:val="0"/>
                    <w:adjustRightInd w:val="0"/>
                    <w:snapToGrid w:val="0"/>
                    <w:jc w:val="center"/>
                    <w:rPr>
                      <w:color w:val="auto"/>
                      <w:kern w:val="0"/>
                      <w:szCs w:val="21"/>
                    </w:rPr>
                  </w:pPr>
                </w:p>
              </w:tc>
              <w:tc>
                <w:tcPr>
                  <w:tcW w:w="425" w:type="pct"/>
                  <w:vMerge w:val="continue"/>
                  <w:noWrap w:val="0"/>
                  <w:vAlign w:val="center"/>
                </w:tcPr>
                <w:p w14:paraId="36225BB1">
                  <w:pPr>
                    <w:autoSpaceDE w:val="0"/>
                    <w:autoSpaceDN w:val="0"/>
                    <w:adjustRightInd w:val="0"/>
                    <w:snapToGrid w:val="0"/>
                    <w:jc w:val="center"/>
                    <w:rPr>
                      <w:color w:val="auto"/>
                      <w:kern w:val="0"/>
                      <w:szCs w:val="21"/>
                    </w:rPr>
                  </w:pPr>
                </w:p>
              </w:tc>
              <w:tc>
                <w:tcPr>
                  <w:tcW w:w="275" w:type="pct"/>
                  <w:vMerge w:val="continue"/>
                  <w:noWrap w:val="0"/>
                  <w:vAlign w:val="center"/>
                </w:tcPr>
                <w:p w14:paraId="0801178C">
                  <w:pPr>
                    <w:autoSpaceDE w:val="0"/>
                    <w:autoSpaceDN w:val="0"/>
                    <w:adjustRightInd w:val="0"/>
                    <w:snapToGrid w:val="0"/>
                    <w:jc w:val="center"/>
                    <w:rPr>
                      <w:rFonts w:hint="eastAsia"/>
                      <w:color w:val="auto"/>
                      <w:kern w:val="0"/>
                      <w:szCs w:val="21"/>
                    </w:rPr>
                  </w:pPr>
                </w:p>
              </w:tc>
              <w:tc>
                <w:tcPr>
                  <w:tcW w:w="469" w:type="pct"/>
                  <w:noWrap w:val="0"/>
                  <w:vAlign w:val="center"/>
                </w:tcPr>
                <w:p w14:paraId="119EC9B4">
                  <w:pPr>
                    <w:autoSpaceDE w:val="0"/>
                    <w:autoSpaceDN w:val="0"/>
                    <w:adjustRightInd w:val="0"/>
                    <w:snapToGrid w:val="0"/>
                    <w:jc w:val="center"/>
                    <w:rPr>
                      <w:rFonts w:hint="eastAsia"/>
                      <w:color w:val="auto"/>
                      <w:kern w:val="0"/>
                      <w:szCs w:val="21"/>
                    </w:rPr>
                  </w:pPr>
                  <w:r>
                    <w:rPr>
                      <w:rFonts w:hint="eastAsia"/>
                      <w:color w:val="auto"/>
                      <w:kern w:val="0"/>
                      <w:szCs w:val="21"/>
                    </w:rPr>
                    <w:t>生活垃圾</w:t>
                  </w:r>
                </w:p>
              </w:tc>
              <w:tc>
                <w:tcPr>
                  <w:tcW w:w="3147" w:type="pct"/>
                  <w:noWrap w:val="0"/>
                  <w:vAlign w:val="center"/>
                </w:tcPr>
                <w:p w14:paraId="3471C551">
                  <w:pPr>
                    <w:autoSpaceDE w:val="0"/>
                    <w:autoSpaceDN w:val="0"/>
                    <w:adjustRightInd w:val="0"/>
                    <w:snapToGrid w:val="0"/>
                    <w:rPr>
                      <w:rFonts w:hint="eastAsia"/>
                      <w:color w:val="auto"/>
                      <w:szCs w:val="21"/>
                    </w:rPr>
                  </w:pPr>
                  <w:r>
                    <w:rPr>
                      <w:rFonts w:hint="eastAsia"/>
                      <w:color w:val="auto"/>
                      <w:szCs w:val="21"/>
                    </w:rPr>
                    <w:t>厂区设置垃圾桶收集，交环卫部门清运。</w:t>
                  </w:r>
                </w:p>
              </w:tc>
              <w:tc>
                <w:tcPr>
                  <w:tcW w:w="399" w:type="pct"/>
                  <w:noWrap w:val="0"/>
                  <w:vAlign w:val="center"/>
                </w:tcPr>
                <w:p w14:paraId="45DE8B1F">
                  <w:pPr>
                    <w:adjustRightInd w:val="0"/>
                    <w:snapToGrid w:val="0"/>
                    <w:jc w:val="center"/>
                    <w:rPr>
                      <w:rFonts w:hint="eastAsia"/>
                      <w:color w:val="auto"/>
                      <w:szCs w:val="21"/>
                    </w:rPr>
                  </w:pPr>
                  <w:r>
                    <w:rPr>
                      <w:rFonts w:hint="eastAsia"/>
                      <w:color w:val="auto"/>
                      <w:szCs w:val="21"/>
                    </w:rPr>
                    <w:t>新建</w:t>
                  </w:r>
                </w:p>
              </w:tc>
            </w:tr>
            <w:tr w14:paraId="5A65DD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83" w:type="pct"/>
                  <w:vMerge w:val="continue"/>
                  <w:noWrap w:val="0"/>
                  <w:vAlign w:val="center"/>
                </w:tcPr>
                <w:p w14:paraId="3B962F00">
                  <w:pPr>
                    <w:autoSpaceDE w:val="0"/>
                    <w:autoSpaceDN w:val="0"/>
                    <w:adjustRightInd w:val="0"/>
                    <w:snapToGrid w:val="0"/>
                    <w:jc w:val="center"/>
                    <w:rPr>
                      <w:color w:val="auto"/>
                      <w:kern w:val="0"/>
                      <w:szCs w:val="21"/>
                    </w:rPr>
                  </w:pPr>
                </w:p>
              </w:tc>
              <w:tc>
                <w:tcPr>
                  <w:tcW w:w="425" w:type="pct"/>
                  <w:vMerge w:val="continue"/>
                  <w:noWrap w:val="0"/>
                  <w:vAlign w:val="center"/>
                </w:tcPr>
                <w:p w14:paraId="279F97C1">
                  <w:pPr>
                    <w:autoSpaceDE w:val="0"/>
                    <w:autoSpaceDN w:val="0"/>
                    <w:adjustRightInd w:val="0"/>
                    <w:snapToGrid w:val="0"/>
                    <w:jc w:val="center"/>
                    <w:rPr>
                      <w:color w:val="auto"/>
                      <w:kern w:val="0"/>
                      <w:szCs w:val="21"/>
                    </w:rPr>
                  </w:pPr>
                </w:p>
              </w:tc>
              <w:tc>
                <w:tcPr>
                  <w:tcW w:w="744" w:type="pct"/>
                  <w:gridSpan w:val="2"/>
                  <w:noWrap w:val="0"/>
                  <w:vAlign w:val="center"/>
                </w:tcPr>
                <w:p w14:paraId="0D5A6829">
                  <w:pPr>
                    <w:autoSpaceDE w:val="0"/>
                    <w:autoSpaceDN w:val="0"/>
                    <w:adjustRightInd w:val="0"/>
                    <w:snapToGrid w:val="0"/>
                    <w:jc w:val="center"/>
                    <w:rPr>
                      <w:color w:val="auto"/>
                      <w:kern w:val="0"/>
                      <w:szCs w:val="21"/>
                    </w:rPr>
                  </w:pPr>
                  <w:r>
                    <w:rPr>
                      <w:rFonts w:hint="eastAsia"/>
                      <w:color w:val="auto"/>
                      <w:kern w:val="0"/>
                      <w:szCs w:val="21"/>
                    </w:rPr>
                    <w:t>噪声</w:t>
                  </w:r>
                </w:p>
              </w:tc>
              <w:tc>
                <w:tcPr>
                  <w:tcW w:w="3147" w:type="pct"/>
                  <w:noWrap w:val="0"/>
                  <w:vAlign w:val="center"/>
                </w:tcPr>
                <w:p w14:paraId="41016766">
                  <w:pPr>
                    <w:autoSpaceDE w:val="0"/>
                    <w:autoSpaceDN w:val="0"/>
                    <w:adjustRightInd w:val="0"/>
                    <w:snapToGrid w:val="0"/>
                    <w:rPr>
                      <w:color w:val="auto"/>
                      <w:kern w:val="0"/>
                      <w:szCs w:val="21"/>
                    </w:rPr>
                  </w:pPr>
                  <w:r>
                    <w:rPr>
                      <w:rFonts w:hint="eastAsia"/>
                      <w:color w:val="auto"/>
                      <w:kern w:val="0"/>
                      <w:szCs w:val="21"/>
                    </w:rPr>
                    <w:t>根据不同噪声源类型，采取减振降噪，消声处理降噪、隔声处理等措施；合理布置厂区功能，确保厂界噪声达标。</w:t>
                  </w:r>
                </w:p>
              </w:tc>
              <w:tc>
                <w:tcPr>
                  <w:tcW w:w="399" w:type="pct"/>
                  <w:noWrap w:val="0"/>
                  <w:vAlign w:val="center"/>
                </w:tcPr>
                <w:p w14:paraId="2182D54B">
                  <w:pPr>
                    <w:adjustRightInd w:val="0"/>
                    <w:snapToGrid w:val="0"/>
                    <w:jc w:val="center"/>
                    <w:rPr>
                      <w:color w:val="auto"/>
                      <w:szCs w:val="21"/>
                    </w:rPr>
                  </w:pPr>
                  <w:r>
                    <w:rPr>
                      <w:rFonts w:hint="eastAsia"/>
                      <w:color w:val="auto"/>
                      <w:kern w:val="0"/>
                      <w:szCs w:val="21"/>
                    </w:rPr>
                    <w:t>新建</w:t>
                  </w:r>
                </w:p>
              </w:tc>
            </w:tr>
          </w:tbl>
          <w:p w14:paraId="73CED310">
            <w:pPr>
              <w:spacing w:line="360" w:lineRule="auto"/>
              <w:rPr>
                <w:rFonts w:hint="eastAsia" w:ascii="Times New Roman" w:hAnsi="Times New Roman" w:cs="Times New Roman"/>
                <w:b/>
                <w:bCs/>
                <w:color w:val="auto"/>
                <w:sz w:val="24"/>
                <w:lang w:eastAsia="zh-CN"/>
              </w:rPr>
            </w:pPr>
            <w:r>
              <w:rPr>
                <w:rFonts w:hint="eastAsia" w:ascii="Times New Roman" w:hAnsi="Times New Roman" w:cs="Times New Roman"/>
                <w:b/>
                <w:bCs/>
                <w:color w:val="auto"/>
                <w:sz w:val="24"/>
                <w:lang w:val="en-US" w:eastAsia="zh-CN"/>
              </w:rPr>
              <w:t>3</w:t>
            </w:r>
            <w:r>
              <w:rPr>
                <w:rFonts w:hint="eastAsia" w:ascii="Times New Roman" w:hAnsi="Times New Roman" w:cs="Times New Roman"/>
                <w:b/>
                <w:bCs/>
                <w:color w:val="auto"/>
                <w:sz w:val="24"/>
                <w:lang w:eastAsia="zh-CN"/>
              </w:rPr>
              <w:t>产品方案</w:t>
            </w:r>
          </w:p>
          <w:p w14:paraId="5C83275A">
            <w:pPr>
              <w:pStyle w:val="77"/>
              <w:adjustRightInd w:val="0"/>
              <w:snapToGrid w:val="0"/>
              <w:spacing w:before="0" w:line="360" w:lineRule="auto"/>
              <w:ind w:firstLine="480" w:firstLineChars="200"/>
              <w:jc w:val="both"/>
              <w:rPr>
                <w:color w:val="auto"/>
                <w:sz w:val="24"/>
                <w:szCs w:val="24"/>
                <w:lang w:eastAsia="zh-CN"/>
              </w:rPr>
            </w:pPr>
            <w:r>
              <w:rPr>
                <w:rFonts w:hint="eastAsia"/>
                <w:color w:val="auto"/>
                <w:sz w:val="24"/>
                <w:szCs w:val="24"/>
                <w:lang w:val="en-US" w:eastAsia="zh-CN"/>
              </w:rPr>
              <w:t>本项目建成投产后主要开展贵金属矿及产品、有色金属矿及产品、黑色金属矿及产品中的金、银、铜、铅、锌、铁及磁性铁七个参数分析检测工作，年分析地质样品1.5－2万份。</w:t>
            </w:r>
            <w:r>
              <w:rPr>
                <w:rFonts w:hint="eastAsia"/>
                <w:color w:val="auto"/>
                <w:sz w:val="24"/>
                <w:szCs w:val="24"/>
                <w:lang w:eastAsia="zh-CN"/>
              </w:rPr>
              <w:t>本项目产品方案见表2</w:t>
            </w:r>
            <w:r>
              <w:rPr>
                <w:color w:val="auto"/>
                <w:sz w:val="24"/>
                <w:szCs w:val="24"/>
                <w:lang w:eastAsia="zh-CN"/>
              </w:rPr>
              <w:t>-</w:t>
            </w:r>
            <w:r>
              <w:rPr>
                <w:rFonts w:hint="eastAsia"/>
                <w:color w:val="auto"/>
                <w:sz w:val="24"/>
                <w:szCs w:val="24"/>
                <w:lang w:val="en-US" w:eastAsia="zh-CN"/>
              </w:rPr>
              <w:t>2</w:t>
            </w:r>
            <w:r>
              <w:rPr>
                <w:rFonts w:hint="eastAsia"/>
                <w:color w:val="auto"/>
                <w:sz w:val="24"/>
                <w:szCs w:val="24"/>
                <w:lang w:eastAsia="zh-CN"/>
              </w:rPr>
              <w:t>所示。</w:t>
            </w:r>
          </w:p>
          <w:p w14:paraId="4208FDAC">
            <w:pPr>
              <w:pStyle w:val="19"/>
              <w:adjustRightInd w:val="0"/>
              <w:jc w:val="center"/>
              <w:rPr>
                <w:rFonts w:hint="eastAsia"/>
                <w:b/>
                <w:color w:val="auto"/>
                <w:sz w:val="21"/>
                <w:szCs w:val="21"/>
                <w:lang w:bidi="en-US"/>
              </w:rPr>
            </w:pPr>
          </w:p>
          <w:p w14:paraId="0429B2F0">
            <w:pPr>
              <w:pStyle w:val="19"/>
              <w:adjustRightInd w:val="0"/>
              <w:jc w:val="center"/>
              <w:rPr>
                <w:b/>
                <w:color w:val="auto"/>
                <w:sz w:val="21"/>
                <w:szCs w:val="21"/>
                <w:lang w:bidi="en-US"/>
              </w:rPr>
            </w:pPr>
            <w:r>
              <w:rPr>
                <w:rFonts w:hint="eastAsia"/>
                <w:b/>
                <w:color w:val="auto"/>
                <w:sz w:val="21"/>
                <w:szCs w:val="21"/>
                <w:lang w:bidi="en-US"/>
              </w:rPr>
              <w:t>表2</w:t>
            </w:r>
            <w:r>
              <w:rPr>
                <w:b/>
                <w:color w:val="auto"/>
                <w:sz w:val="21"/>
                <w:szCs w:val="21"/>
                <w:lang w:bidi="en-US"/>
              </w:rPr>
              <w:t>-</w:t>
            </w:r>
            <w:r>
              <w:rPr>
                <w:rFonts w:hint="eastAsia"/>
                <w:b/>
                <w:color w:val="auto"/>
                <w:sz w:val="21"/>
                <w:szCs w:val="21"/>
                <w:lang w:val="en-US" w:eastAsia="zh-CN" w:bidi="en-US"/>
              </w:rPr>
              <w:t>2</w:t>
            </w:r>
            <w:r>
              <w:rPr>
                <w:b/>
                <w:color w:val="auto"/>
                <w:sz w:val="21"/>
                <w:szCs w:val="21"/>
                <w:lang w:bidi="en-US"/>
              </w:rPr>
              <w:t xml:space="preserve">   </w:t>
            </w:r>
            <w:r>
              <w:rPr>
                <w:rFonts w:hint="eastAsia"/>
                <w:b/>
                <w:color w:val="auto"/>
                <w:sz w:val="21"/>
                <w:szCs w:val="21"/>
                <w:lang w:bidi="en-US"/>
              </w:rPr>
              <w:t>本项目产品方案</w:t>
            </w:r>
          </w:p>
          <w:tbl>
            <w:tblPr>
              <w:tblStyle w:val="2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2"/>
              <w:gridCol w:w="2896"/>
              <w:gridCol w:w="1969"/>
              <w:gridCol w:w="1088"/>
              <w:gridCol w:w="2374"/>
            </w:tblGrid>
            <w:tr w14:paraId="70C109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44" w:type="pct"/>
                  <w:noWrap w:val="0"/>
                  <w:vAlign w:val="center"/>
                </w:tcPr>
                <w:p w14:paraId="7109BABB">
                  <w:pPr>
                    <w:pStyle w:val="77"/>
                    <w:adjustRightInd w:val="0"/>
                    <w:snapToGrid w:val="0"/>
                    <w:spacing w:before="0"/>
                    <w:rPr>
                      <w:rFonts w:hint="eastAsia" w:cs="Times New Roman"/>
                      <w:color w:val="auto"/>
                      <w:sz w:val="21"/>
                      <w:szCs w:val="21"/>
                      <w:lang w:eastAsia="zh-CN"/>
                    </w:rPr>
                  </w:pPr>
                  <w:r>
                    <w:rPr>
                      <w:rFonts w:hint="eastAsia" w:cs="Times New Roman"/>
                      <w:color w:val="auto"/>
                      <w:sz w:val="21"/>
                      <w:szCs w:val="21"/>
                      <w:lang w:eastAsia="zh-CN"/>
                    </w:rPr>
                    <w:t>序号</w:t>
                  </w:r>
                </w:p>
              </w:tc>
              <w:tc>
                <w:tcPr>
                  <w:tcW w:w="1584" w:type="pct"/>
                  <w:noWrap w:val="0"/>
                  <w:vAlign w:val="center"/>
                </w:tcPr>
                <w:p w14:paraId="396B87A4">
                  <w:pPr>
                    <w:pStyle w:val="77"/>
                    <w:adjustRightInd w:val="0"/>
                    <w:snapToGrid w:val="0"/>
                    <w:spacing w:before="0"/>
                    <w:rPr>
                      <w:rFonts w:hint="default" w:cs="Times New Roman"/>
                      <w:color w:val="auto"/>
                      <w:sz w:val="21"/>
                      <w:szCs w:val="21"/>
                      <w:lang w:val="en-US" w:eastAsia="zh-CN"/>
                    </w:rPr>
                  </w:pPr>
                  <w:r>
                    <w:rPr>
                      <w:rFonts w:hint="eastAsia" w:cs="Times New Roman"/>
                      <w:color w:val="auto"/>
                      <w:sz w:val="21"/>
                      <w:szCs w:val="21"/>
                      <w:lang w:val="en-US" w:eastAsia="zh-CN"/>
                    </w:rPr>
                    <w:t>检测样品</w:t>
                  </w:r>
                </w:p>
              </w:tc>
              <w:tc>
                <w:tcPr>
                  <w:tcW w:w="1077" w:type="pct"/>
                  <w:noWrap w:val="0"/>
                  <w:vAlign w:val="center"/>
                </w:tcPr>
                <w:p w14:paraId="2CE66D51">
                  <w:pPr>
                    <w:pStyle w:val="77"/>
                    <w:adjustRightInd w:val="0"/>
                    <w:snapToGrid w:val="0"/>
                    <w:spacing w:before="0"/>
                    <w:rPr>
                      <w:rFonts w:hint="default" w:cs="Times New Roman"/>
                      <w:color w:val="auto"/>
                      <w:sz w:val="21"/>
                      <w:szCs w:val="21"/>
                      <w:lang w:val="en-US" w:eastAsia="zh-CN"/>
                    </w:rPr>
                  </w:pPr>
                  <w:r>
                    <w:rPr>
                      <w:rFonts w:hint="eastAsia" w:cs="Times New Roman"/>
                      <w:color w:val="auto"/>
                      <w:sz w:val="21"/>
                      <w:szCs w:val="21"/>
                      <w:lang w:val="en-US" w:eastAsia="zh-CN"/>
                    </w:rPr>
                    <w:t>检测项目</w:t>
                  </w:r>
                </w:p>
              </w:tc>
              <w:tc>
                <w:tcPr>
                  <w:tcW w:w="595" w:type="pct"/>
                  <w:noWrap w:val="0"/>
                  <w:vAlign w:val="center"/>
                </w:tcPr>
                <w:p w14:paraId="359EA200">
                  <w:pPr>
                    <w:pStyle w:val="77"/>
                    <w:adjustRightInd w:val="0"/>
                    <w:snapToGrid w:val="0"/>
                    <w:spacing w:before="0"/>
                    <w:rPr>
                      <w:rFonts w:hint="default" w:cs="Times New Roman"/>
                      <w:color w:val="auto"/>
                      <w:sz w:val="21"/>
                      <w:szCs w:val="21"/>
                      <w:lang w:val="en-US" w:eastAsia="zh-CN"/>
                    </w:rPr>
                  </w:pPr>
                  <w:r>
                    <w:rPr>
                      <w:rFonts w:hint="eastAsia" w:cs="Times New Roman"/>
                      <w:color w:val="auto"/>
                      <w:sz w:val="21"/>
                      <w:szCs w:val="21"/>
                      <w:lang w:val="en-US" w:eastAsia="zh-CN"/>
                    </w:rPr>
                    <w:t>检测量</w:t>
                  </w:r>
                </w:p>
              </w:tc>
              <w:tc>
                <w:tcPr>
                  <w:tcW w:w="1298" w:type="pct"/>
                  <w:noWrap w:val="0"/>
                  <w:vAlign w:val="center"/>
                </w:tcPr>
                <w:p w14:paraId="66976A00">
                  <w:pPr>
                    <w:pStyle w:val="77"/>
                    <w:adjustRightInd w:val="0"/>
                    <w:snapToGrid w:val="0"/>
                    <w:spacing w:before="0"/>
                    <w:rPr>
                      <w:rFonts w:hint="default" w:cs="Times New Roman"/>
                      <w:color w:val="auto"/>
                      <w:sz w:val="21"/>
                      <w:szCs w:val="21"/>
                      <w:lang w:val="en-US" w:eastAsia="zh-CN"/>
                    </w:rPr>
                  </w:pPr>
                  <w:r>
                    <w:rPr>
                      <w:rFonts w:hint="eastAsia" w:cs="Times New Roman"/>
                      <w:color w:val="auto"/>
                      <w:sz w:val="21"/>
                      <w:szCs w:val="21"/>
                      <w:lang w:val="en-US" w:eastAsia="zh-CN"/>
                    </w:rPr>
                    <w:t>检测标准</w:t>
                  </w:r>
                </w:p>
              </w:tc>
            </w:tr>
            <w:tr w14:paraId="53ED0A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4" w:type="pct"/>
                  <w:noWrap w:val="0"/>
                  <w:vAlign w:val="center"/>
                </w:tcPr>
                <w:p w14:paraId="2593DED1">
                  <w:pPr>
                    <w:pStyle w:val="77"/>
                    <w:adjustRightInd w:val="0"/>
                    <w:snapToGrid w:val="0"/>
                    <w:spacing w:before="0"/>
                    <w:rPr>
                      <w:rFonts w:hint="eastAsia" w:cs="Times New Roman"/>
                      <w:color w:val="auto"/>
                      <w:sz w:val="21"/>
                      <w:szCs w:val="21"/>
                      <w:lang w:eastAsia="zh-CN"/>
                    </w:rPr>
                  </w:pPr>
                  <w:r>
                    <w:rPr>
                      <w:rFonts w:hint="eastAsia" w:cs="Times New Roman"/>
                      <w:color w:val="auto"/>
                      <w:sz w:val="21"/>
                      <w:szCs w:val="21"/>
                      <w:lang w:eastAsia="zh-CN"/>
                    </w:rPr>
                    <w:t>1</w:t>
                  </w:r>
                </w:p>
              </w:tc>
              <w:tc>
                <w:tcPr>
                  <w:tcW w:w="1584" w:type="pct"/>
                  <w:noWrap w:val="0"/>
                  <w:vAlign w:val="center"/>
                </w:tcPr>
                <w:p w14:paraId="3D530C02">
                  <w:pPr>
                    <w:pStyle w:val="77"/>
                    <w:adjustRightInd w:val="0"/>
                    <w:snapToGrid w:val="0"/>
                    <w:spacing w:before="0"/>
                    <w:rPr>
                      <w:rFonts w:cs="Times New Roman"/>
                      <w:color w:val="auto"/>
                      <w:sz w:val="21"/>
                      <w:szCs w:val="21"/>
                      <w:lang w:eastAsia="zh-CN"/>
                    </w:rPr>
                  </w:pPr>
                  <w:r>
                    <w:rPr>
                      <w:rFonts w:hint="eastAsia" w:cs="Times New Roman"/>
                      <w:color w:val="auto"/>
                      <w:sz w:val="21"/>
                      <w:szCs w:val="21"/>
                      <w:lang w:val="en-US" w:eastAsia="zh-CN"/>
                    </w:rPr>
                    <w:t>贵金属矿及产品、有色金属矿及产品、黑色金属矿及产品</w:t>
                  </w:r>
                </w:p>
              </w:tc>
              <w:tc>
                <w:tcPr>
                  <w:tcW w:w="1077" w:type="pct"/>
                  <w:noWrap w:val="0"/>
                  <w:vAlign w:val="center"/>
                </w:tcPr>
                <w:p w14:paraId="047DDD8E">
                  <w:pPr>
                    <w:pStyle w:val="77"/>
                    <w:adjustRightInd w:val="0"/>
                    <w:snapToGrid w:val="0"/>
                    <w:spacing w:before="0"/>
                    <w:rPr>
                      <w:rFonts w:hint="eastAsia" w:cs="Times New Roman"/>
                      <w:color w:val="auto"/>
                      <w:sz w:val="21"/>
                      <w:szCs w:val="21"/>
                      <w:lang w:eastAsia="zh-CN"/>
                    </w:rPr>
                  </w:pPr>
                  <w:r>
                    <w:rPr>
                      <w:rFonts w:hint="eastAsia" w:cs="Times New Roman"/>
                      <w:color w:val="auto"/>
                      <w:sz w:val="21"/>
                      <w:szCs w:val="21"/>
                      <w:lang w:val="en-US" w:eastAsia="zh-CN"/>
                    </w:rPr>
                    <w:t>金、银、铜、铅、锌、铁、磁性铁</w:t>
                  </w:r>
                </w:p>
              </w:tc>
              <w:tc>
                <w:tcPr>
                  <w:tcW w:w="595" w:type="pct"/>
                  <w:noWrap w:val="0"/>
                  <w:vAlign w:val="center"/>
                </w:tcPr>
                <w:p w14:paraId="577E277F">
                  <w:pPr>
                    <w:pStyle w:val="77"/>
                    <w:adjustRightInd w:val="0"/>
                    <w:snapToGrid w:val="0"/>
                    <w:spacing w:before="0"/>
                    <w:rPr>
                      <w:rFonts w:hint="default" w:cs="Times New Roman"/>
                      <w:color w:val="auto"/>
                      <w:sz w:val="21"/>
                      <w:szCs w:val="21"/>
                      <w:lang w:val="en-US" w:eastAsia="zh-CN"/>
                    </w:rPr>
                  </w:pPr>
                  <w:r>
                    <w:rPr>
                      <w:rFonts w:hint="eastAsia" w:cs="Times New Roman"/>
                      <w:color w:val="auto"/>
                      <w:sz w:val="21"/>
                      <w:szCs w:val="21"/>
                      <w:lang w:val="en-US" w:eastAsia="zh-CN"/>
                    </w:rPr>
                    <w:t>2万份/年</w:t>
                  </w:r>
                </w:p>
              </w:tc>
              <w:tc>
                <w:tcPr>
                  <w:tcW w:w="1298" w:type="pct"/>
                  <w:noWrap w:val="0"/>
                  <w:vAlign w:val="center"/>
                </w:tcPr>
                <w:p w14:paraId="3A6A563F">
                  <w:pPr>
                    <w:pStyle w:val="77"/>
                    <w:adjustRightInd w:val="0"/>
                    <w:snapToGrid w:val="0"/>
                    <w:rPr>
                      <w:rFonts w:hint="eastAsia" w:cs="Times New Roman"/>
                      <w:color w:val="auto"/>
                      <w:sz w:val="21"/>
                      <w:szCs w:val="21"/>
                      <w:lang w:eastAsia="zh-CN"/>
                    </w:rPr>
                  </w:pPr>
                  <w:r>
                    <w:rPr>
                      <w:rFonts w:hint="eastAsia" w:cs="Times New Roman"/>
                      <w:color w:val="auto"/>
                      <w:sz w:val="21"/>
                      <w:szCs w:val="21"/>
                      <w:lang w:val="en-US" w:eastAsia="zh-CN"/>
                    </w:rPr>
                    <w:t>元素检测执行国家标准</w:t>
                  </w:r>
                </w:p>
              </w:tc>
            </w:tr>
          </w:tbl>
          <w:p w14:paraId="258E5C0A">
            <w:pPr>
              <w:adjustRightInd w:val="0"/>
              <w:snapToGrid w:val="0"/>
              <w:spacing w:before="120" w:beforeLines="50" w:line="360" w:lineRule="auto"/>
              <w:rPr>
                <w:rFonts w:hint="eastAsia"/>
                <w:b/>
                <w:bCs/>
                <w:color w:val="auto"/>
                <w:sz w:val="24"/>
              </w:rPr>
            </w:pPr>
            <w:r>
              <w:rPr>
                <w:rFonts w:hint="eastAsia"/>
                <w:b/>
                <w:bCs/>
                <w:color w:val="auto"/>
                <w:kern w:val="0"/>
                <w:sz w:val="24"/>
                <w:lang w:val="en-US" w:eastAsia="zh-CN"/>
              </w:rPr>
              <w:t>4</w:t>
            </w:r>
            <w:r>
              <w:rPr>
                <w:rFonts w:hint="eastAsia"/>
                <w:b/>
                <w:bCs/>
                <w:color w:val="auto"/>
                <w:kern w:val="0"/>
                <w:sz w:val="24"/>
              </w:rPr>
              <w:t>主要生产设备</w:t>
            </w:r>
          </w:p>
          <w:p w14:paraId="30FA2F28">
            <w:pPr>
              <w:pStyle w:val="19"/>
              <w:adjustRightInd w:val="0"/>
              <w:spacing w:line="360" w:lineRule="auto"/>
              <w:ind w:firstLine="480"/>
              <w:jc w:val="both"/>
              <w:rPr>
                <w:color w:val="auto"/>
                <w:sz w:val="24"/>
                <w:szCs w:val="24"/>
              </w:rPr>
            </w:pPr>
            <w:r>
              <w:rPr>
                <w:color w:val="auto"/>
                <w:sz w:val="24"/>
                <w:szCs w:val="24"/>
              </w:rPr>
              <w:t>本项目使用设备见下表</w:t>
            </w:r>
            <w:r>
              <w:rPr>
                <w:rFonts w:hint="eastAsia"/>
                <w:color w:val="auto"/>
                <w:sz w:val="24"/>
                <w:szCs w:val="24"/>
              </w:rPr>
              <w:t>2-</w:t>
            </w:r>
            <w:r>
              <w:rPr>
                <w:rFonts w:hint="eastAsia"/>
                <w:color w:val="auto"/>
                <w:sz w:val="24"/>
                <w:szCs w:val="24"/>
                <w:lang w:val="en-US" w:eastAsia="zh-CN"/>
              </w:rPr>
              <w:t>3</w:t>
            </w:r>
            <w:r>
              <w:rPr>
                <w:rFonts w:hint="eastAsia"/>
                <w:color w:val="auto"/>
                <w:sz w:val="24"/>
                <w:szCs w:val="24"/>
              </w:rPr>
              <w:t>。</w:t>
            </w:r>
          </w:p>
          <w:p w14:paraId="4B7A9B97">
            <w:pPr>
              <w:pStyle w:val="19"/>
              <w:adjustRightInd w:val="0"/>
              <w:jc w:val="center"/>
              <w:rPr>
                <w:b/>
                <w:color w:val="auto"/>
                <w:sz w:val="21"/>
                <w:szCs w:val="21"/>
                <w:lang w:bidi="en-US"/>
              </w:rPr>
            </w:pPr>
            <w:r>
              <w:rPr>
                <w:b/>
                <w:color w:val="auto"/>
                <w:sz w:val="21"/>
                <w:szCs w:val="21"/>
                <w:lang w:bidi="en-US"/>
              </w:rPr>
              <w:t>表</w:t>
            </w:r>
            <w:r>
              <w:rPr>
                <w:rFonts w:hint="eastAsia"/>
                <w:b/>
                <w:color w:val="auto"/>
                <w:sz w:val="21"/>
                <w:szCs w:val="21"/>
                <w:lang w:bidi="en-US"/>
              </w:rPr>
              <w:t>2-</w:t>
            </w:r>
            <w:r>
              <w:rPr>
                <w:rFonts w:hint="eastAsia"/>
                <w:b/>
                <w:color w:val="auto"/>
                <w:sz w:val="21"/>
                <w:szCs w:val="21"/>
                <w:lang w:val="en-US" w:eastAsia="zh-CN" w:bidi="en-US"/>
              </w:rPr>
              <w:t>3</w:t>
            </w:r>
            <w:r>
              <w:rPr>
                <w:b/>
                <w:color w:val="auto"/>
                <w:sz w:val="21"/>
                <w:szCs w:val="21"/>
                <w:lang w:bidi="en-US"/>
              </w:rPr>
              <w:t xml:space="preserve">   主要生产设备清单</w:t>
            </w:r>
          </w:p>
          <w:tbl>
            <w:tblPr>
              <w:tblStyle w:val="28"/>
              <w:tblW w:w="502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668"/>
              <w:gridCol w:w="2503"/>
              <w:gridCol w:w="2590"/>
              <w:gridCol w:w="1094"/>
              <w:gridCol w:w="804"/>
              <w:gridCol w:w="1528"/>
            </w:tblGrid>
            <w:tr w14:paraId="52AD77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63" w:type="pct"/>
                  <w:noWrap w:val="0"/>
                  <w:tcMar>
                    <w:top w:w="0" w:type="dxa"/>
                    <w:left w:w="108" w:type="dxa"/>
                    <w:bottom w:w="0" w:type="dxa"/>
                    <w:right w:w="108" w:type="dxa"/>
                  </w:tcMar>
                  <w:vAlign w:val="center"/>
                </w:tcPr>
                <w:p w14:paraId="6D23F7FC">
                  <w:pPr>
                    <w:pStyle w:val="77"/>
                    <w:adjustRightInd w:val="0"/>
                    <w:snapToGrid w:val="0"/>
                    <w:spacing w:before="0"/>
                    <w:rPr>
                      <w:rFonts w:cs="Times New Roman"/>
                      <w:color w:val="auto"/>
                      <w:sz w:val="21"/>
                      <w:szCs w:val="21"/>
                    </w:rPr>
                  </w:pPr>
                  <w:r>
                    <w:rPr>
                      <w:rFonts w:cs="Times New Roman"/>
                      <w:color w:val="auto"/>
                      <w:sz w:val="21"/>
                      <w:szCs w:val="21"/>
                    </w:rPr>
                    <w:t>序号</w:t>
                  </w:r>
                </w:p>
              </w:tc>
              <w:tc>
                <w:tcPr>
                  <w:tcW w:w="1362" w:type="pct"/>
                  <w:noWrap w:val="0"/>
                  <w:tcMar>
                    <w:top w:w="0" w:type="dxa"/>
                    <w:left w:w="108" w:type="dxa"/>
                    <w:bottom w:w="0" w:type="dxa"/>
                    <w:right w:w="108" w:type="dxa"/>
                  </w:tcMar>
                  <w:vAlign w:val="center"/>
                </w:tcPr>
                <w:p w14:paraId="3953F004">
                  <w:pPr>
                    <w:pStyle w:val="77"/>
                    <w:adjustRightInd w:val="0"/>
                    <w:snapToGrid w:val="0"/>
                    <w:spacing w:before="0"/>
                    <w:jc w:val="center"/>
                    <w:rPr>
                      <w:rFonts w:cs="Times New Roman"/>
                      <w:color w:val="auto"/>
                      <w:sz w:val="21"/>
                      <w:szCs w:val="21"/>
                    </w:rPr>
                  </w:pPr>
                  <w:r>
                    <w:rPr>
                      <w:rFonts w:cs="Times New Roman"/>
                      <w:color w:val="auto"/>
                      <w:sz w:val="21"/>
                      <w:szCs w:val="21"/>
                    </w:rPr>
                    <w:t>设备名称</w:t>
                  </w:r>
                </w:p>
              </w:tc>
              <w:tc>
                <w:tcPr>
                  <w:tcW w:w="1409" w:type="pct"/>
                  <w:noWrap w:val="0"/>
                  <w:tcMar>
                    <w:top w:w="0" w:type="dxa"/>
                    <w:left w:w="108" w:type="dxa"/>
                    <w:bottom w:w="0" w:type="dxa"/>
                    <w:right w:w="108" w:type="dxa"/>
                  </w:tcMar>
                  <w:vAlign w:val="center"/>
                </w:tcPr>
                <w:p w14:paraId="6830D5F7">
                  <w:pPr>
                    <w:pStyle w:val="77"/>
                    <w:adjustRightInd w:val="0"/>
                    <w:snapToGrid w:val="0"/>
                    <w:spacing w:before="0"/>
                    <w:rPr>
                      <w:rFonts w:hint="eastAsia" w:cs="Times New Roman"/>
                      <w:color w:val="auto"/>
                      <w:sz w:val="21"/>
                      <w:szCs w:val="21"/>
                      <w:lang w:eastAsia="zh-CN"/>
                    </w:rPr>
                  </w:pPr>
                  <w:r>
                    <w:rPr>
                      <w:rFonts w:hint="eastAsia" w:cs="Times New Roman"/>
                      <w:color w:val="auto"/>
                      <w:sz w:val="21"/>
                      <w:szCs w:val="21"/>
                      <w:lang w:eastAsia="zh-CN"/>
                    </w:rPr>
                    <w:t>规格</w:t>
                  </w:r>
                </w:p>
              </w:tc>
              <w:tc>
                <w:tcPr>
                  <w:tcW w:w="595" w:type="pct"/>
                  <w:noWrap w:val="0"/>
                  <w:tcMar>
                    <w:top w:w="0" w:type="dxa"/>
                    <w:left w:w="108" w:type="dxa"/>
                    <w:bottom w:w="0" w:type="dxa"/>
                    <w:right w:w="108" w:type="dxa"/>
                  </w:tcMar>
                  <w:vAlign w:val="center"/>
                </w:tcPr>
                <w:p w14:paraId="23B48320">
                  <w:pPr>
                    <w:pStyle w:val="77"/>
                    <w:adjustRightInd w:val="0"/>
                    <w:snapToGrid w:val="0"/>
                    <w:spacing w:before="0"/>
                    <w:rPr>
                      <w:rFonts w:hint="eastAsia" w:cs="Times New Roman"/>
                      <w:color w:val="auto"/>
                      <w:sz w:val="21"/>
                      <w:szCs w:val="21"/>
                      <w:lang w:eastAsia="zh-CN"/>
                    </w:rPr>
                  </w:pPr>
                  <w:r>
                    <w:rPr>
                      <w:rFonts w:hint="eastAsia" w:cs="Times New Roman"/>
                      <w:color w:val="auto"/>
                      <w:sz w:val="21"/>
                      <w:szCs w:val="21"/>
                      <w:lang w:eastAsia="zh-CN"/>
                    </w:rPr>
                    <w:t>数量</w:t>
                  </w:r>
                </w:p>
              </w:tc>
              <w:tc>
                <w:tcPr>
                  <w:tcW w:w="437" w:type="pct"/>
                  <w:noWrap w:val="0"/>
                  <w:tcMar>
                    <w:top w:w="0" w:type="dxa"/>
                    <w:left w:w="108" w:type="dxa"/>
                    <w:bottom w:w="0" w:type="dxa"/>
                    <w:right w:w="108" w:type="dxa"/>
                  </w:tcMar>
                  <w:vAlign w:val="center"/>
                </w:tcPr>
                <w:p w14:paraId="3ED5667B">
                  <w:pPr>
                    <w:pStyle w:val="77"/>
                    <w:adjustRightInd w:val="0"/>
                    <w:snapToGrid w:val="0"/>
                    <w:spacing w:before="0"/>
                    <w:rPr>
                      <w:rFonts w:cs="Times New Roman"/>
                      <w:color w:val="auto"/>
                      <w:sz w:val="21"/>
                      <w:szCs w:val="21"/>
                      <w:lang w:eastAsia="zh-CN"/>
                    </w:rPr>
                  </w:pPr>
                  <w:r>
                    <w:rPr>
                      <w:rFonts w:hint="eastAsia" w:cs="Times New Roman"/>
                      <w:color w:val="auto"/>
                      <w:sz w:val="21"/>
                      <w:szCs w:val="21"/>
                      <w:lang w:eastAsia="zh-CN"/>
                    </w:rPr>
                    <w:t>单位</w:t>
                  </w:r>
                </w:p>
              </w:tc>
              <w:tc>
                <w:tcPr>
                  <w:tcW w:w="831" w:type="pct"/>
                  <w:noWrap w:val="0"/>
                  <w:tcMar>
                    <w:top w:w="0" w:type="dxa"/>
                    <w:left w:w="108" w:type="dxa"/>
                    <w:bottom w:w="0" w:type="dxa"/>
                    <w:right w:w="108" w:type="dxa"/>
                  </w:tcMar>
                  <w:vAlign w:val="center"/>
                </w:tcPr>
                <w:p w14:paraId="01111093">
                  <w:pPr>
                    <w:pStyle w:val="77"/>
                    <w:adjustRightInd w:val="0"/>
                    <w:snapToGrid w:val="0"/>
                    <w:spacing w:before="0"/>
                    <w:rPr>
                      <w:rFonts w:hint="default" w:cs="Times New Roman"/>
                      <w:color w:val="auto"/>
                      <w:sz w:val="21"/>
                      <w:szCs w:val="21"/>
                      <w:lang w:val="en-US" w:eastAsia="zh-CN"/>
                    </w:rPr>
                  </w:pPr>
                  <w:r>
                    <w:rPr>
                      <w:rFonts w:hint="eastAsia" w:cs="Times New Roman"/>
                      <w:color w:val="auto"/>
                      <w:sz w:val="21"/>
                      <w:szCs w:val="21"/>
                      <w:lang w:val="en-US" w:eastAsia="zh-CN"/>
                    </w:rPr>
                    <w:t>位置</w:t>
                  </w:r>
                </w:p>
              </w:tc>
            </w:tr>
            <w:tr w14:paraId="48014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63" w:type="pct"/>
                  <w:noWrap w:val="0"/>
                  <w:tcMar>
                    <w:top w:w="0" w:type="dxa"/>
                    <w:left w:w="108" w:type="dxa"/>
                    <w:bottom w:w="0" w:type="dxa"/>
                    <w:right w:w="108" w:type="dxa"/>
                  </w:tcMar>
                  <w:vAlign w:val="center"/>
                </w:tcPr>
                <w:p w14:paraId="42C059F9">
                  <w:pPr>
                    <w:pStyle w:val="77"/>
                    <w:numPr>
                      <w:ilvl w:val="0"/>
                      <w:numId w:val="3"/>
                    </w:numPr>
                    <w:adjustRightInd w:val="0"/>
                    <w:snapToGrid w:val="0"/>
                    <w:spacing w:before="0"/>
                    <w:rPr>
                      <w:rFonts w:cs="Times New Roman"/>
                      <w:color w:val="auto"/>
                      <w:sz w:val="21"/>
                      <w:szCs w:val="21"/>
                    </w:rPr>
                  </w:pPr>
                </w:p>
              </w:tc>
              <w:tc>
                <w:tcPr>
                  <w:tcW w:w="1362" w:type="pct"/>
                  <w:noWrap w:val="0"/>
                  <w:tcMar>
                    <w:top w:w="0" w:type="dxa"/>
                    <w:left w:w="108" w:type="dxa"/>
                    <w:bottom w:w="0" w:type="dxa"/>
                    <w:right w:w="108" w:type="dxa"/>
                  </w:tcMar>
                  <w:vAlign w:val="center"/>
                </w:tcPr>
                <w:p w14:paraId="30B5A1C2">
                  <w:pPr>
                    <w:pStyle w:val="77"/>
                    <w:adjustRightInd w:val="0"/>
                    <w:snapToGrid w:val="0"/>
                    <w:spacing w:before="0"/>
                    <w:jc w:val="center"/>
                    <w:rPr>
                      <w:rFonts w:cs="Times New Roman"/>
                      <w:color w:val="auto"/>
                      <w:sz w:val="21"/>
                      <w:szCs w:val="21"/>
                    </w:rPr>
                  </w:pPr>
                  <w:r>
                    <w:rPr>
                      <w:rFonts w:hint="eastAsia" w:cs="Times New Roman"/>
                      <w:color w:val="auto"/>
                      <w:sz w:val="21"/>
                      <w:szCs w:val="21"/>
                      <w:lang w:val="en-US" w:eastAsia="zh-CN"/>
                    </w:rPr>
                    <w:t>颚</w:t>
                  </w:r>
                  <w:r>
                    <w:rPr>
                      <w:rFonts w:hint="eastAsia" w:cs="Times New Roman"/>
                      <w:color w:val="auto"/>
                      <w:sz w:val="21"/>
                      <w:szCs w:val="21"/>
                    </w:rPr>
                    <w:t>式破碎机</w:t>
                  </w:r>
                </w:p>
              </w:tc>
              <w:tc>
                <w:tcPr>
                  <w:tcW w:w="1409" w:type="pct"/>
                  <w:noWrap w:val="0"/>
                  <w:tcMar>
                    <w:top w:w="0" w:type="dxa"/>
                    <w:left w:w="108" w:type="dxa"/>
                    <w:bottom w:w="0" w:type="dxa"/>
                    <w:right w:w="108" w:type="dxa"/>
                  </w:tcMar>
                  <w:vAlign w:val="center"/>
                </w:tcPr>
                <w:p w14:paraId="1FBA0E0B">
                  <w:pPr>
                    <w:pStyle w:val="77"/>
                    <w:adjustRightInd w:val="0"/>
                    <w:snapToGrid w:val="0"/>
                    <w:spacing w:before="0"/>
                    <w:rPr>
                      <w:rFonts w:hint="default" w:ascii="Times New Roman" w:hAnsi="Times New Roman" w:cs="Times New Roman"/>
                      <w:color w:val="auto"/>
                      <w:sz w:val="21"/>
                      <w:szCs w:val="21"/>
                      <w:lang w:eastAsia="zh-CN"/>
                    </w:rPr>
                  </w:pPr>
                  <w:r>
                    <w:rPr>
                      <w:rFonts w:hint="default" w:ascii="Times New Roman" w:hAnsi="Times New Roman" w:cs="Times New Roman"/>
                      <w:color w:val="auto"/>
                    </w:rPr>
                    <w:t>GM/EP-150×125X</w:t>
                  </w:r>
                </w:p>
              </w:tc>
              <w:tc>
                <w:tcPr>
                  <w:tcW w:w="595" w:type="pct"/>
                  <w:noWrap w:val="0"/>
                  <w:tcMar>
                    <w:top w:w="0" w:type="dxa"/>
                    <w:left w:w="108" w:type="dxa"/>
                    <w:bottom w:w="0" w:type="dxa"/>
                    <w:right w:w="108" w:type="dxa"/>
                  </w:tcMar>
                  <w:vAlign w:val="center"/>
                </w:tcPr>
                <w:p w14:paraId="6DD3BC19">
                  <w:pPr>
                    <w:pStyle w:val="77"/>
                    <w:adjustRightInd w:val="0"/>
                    <w:snapToGrid w:val="0"/>
                    <w:spacing w:before="0"/>
                    <w:rPr>
                      <w:rFonts w:hint="default" w:cs="Times New Roman"/>
                      <w:color w:val="auto"/>
                      <w:sz w:val="21"/>
                      <w:szCs w:val="21"/>
                      <w:lang w:val="en-US" w:eastAsia="zh-CN"/>
                    </w:rPr>
                  </w:pPr>
                  <w:r>
                    <w:rPr>
                      <w:rFonts w:hint="eastAsia" w:cs="Times New Roman"/>
                      <w:color w:val="auto"/>
                      <w:sz w:val="21"/>
                      <w:szCs w:val="21"/>
                      <w:lang w:val="en-US" w:eastAsia="zh-CN"/>
                    </w:rPr>
                    <w:t>1</w:t>
                  </w:r>
                </w:p>
              </w:tc>
              <w:tc>
                <w:tcPr>
                  <w:tcW w:w="437" w:type="pct"/>
                  <w:noWrap w:val="0"/>
                  <w:tcMar>
                    <w:top w:w="0" w:type="dxa"/>
                    <w:left w:w="108" w:type="dxa"/>
                    <w:bottom w:w="0" w:type="dxa"/>
                    <w:right w:w="108" w:type="dxa"/>
                  </w:tcMar>
                  <w:vAlign w:val="center"/>
                </w:tcPr>
                <w:p w14:paraId="278C5E9B">
                  <w:pPr>
                    <w:pStyle w:val="77"/>
                    <w:adjustRightInd w:val="0"/>
                    <w:snapToGrid w:val="0"/>
                    <w:spacing w:before="0"/>
                    <w:rPr>
                      <w:rFonts w:hint="eastAsia" w:eastAsia="宋体" w:cs="Times New Roman"/>
                      <w:color w:val="auto"/>
                      <w:sz w:val="21"/>
                      <w:szCs w:val="21"/>
                      <w:lang w:val="en-US" w:eastAsia="zh-CN"/>
                    </w:rPr>
                  </w:pPr>
                  <w:r>
                    <w:rPr>
                      <w:rFonts w:hint="eastAsia" w:cs="Times New Roman"/>
                      <w:color w:val="auto"/>
                      <w:sz w:val="21"/>
                      <w:szCs w:val="21"/>
                      <w:lang w:val="en-US" w:eastAsia="zh-CN"/>
                    </w:rPr>
                    <w:t>台</w:t>
                  </w:r>
                </w:p>
              </w:tc>
              <w:tc>
                <w:tcPr>
                  <w:tcW w:w="831" w:type="pct"/>
                  <w:noWrap w:val="0"/>
                  <w:tcMar>
                    <w:top w:w="0" w:type="dxa"/>
                    <w:left w:w="108" w:type="dxa"/>
                    <w:bottom w:w="0" w:type="dxa"/>
                    <w:right w:w="108" w:type="dxa"/>
                  </w:tcMar>
                  <w:vAlign w:val="center"/>
                </w:tcPr>
                <w:p w14:paraId="34451839">
                  <w:pPr>
                    <w:pStyle w:val="77"/>
                    <w:adjustRightInd w:val="0"/>
                    <w:snapToGrid w:val="0"/>
                    <w:spacing w:before="0"/>
                    <w:rPr>
                      <w:rFonts w:cs="Times New Roman"/>
                      <w:color w:val="auto"/>
                      <w:sz w:val="21"/>
                      <w:szCs w:val="21"/>
                      <w:lang w:eastAsia="zh-CN"/>
                    </w:rPr>
                  </w:pPr>
                  <w:r>
                    <w:rPr>
                      <w:rFonts w:hint="eastAsia" w:cs="Times New Roman"/>
                      <w:color w:val="auto"/>
                      <w:sz w:val="21"/>
                      <w:szCs w:val="21"/>
                      <w:lang w:eastAsia="zh-CN"/>
                    </w:rPr>
                    <w:t>加工室</w:t>
                  </w:r>
                </w:p>
              </w:tc>
            </w:tr>
            <w:tr w14:paraId="51DE62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63" w:type="pct"/>
                  <w:noWrap w:val="0"/>
                  <w:tcMar>
                    <w:top w:w="0" w:type="dxa"/>
                    <w:left w:w="108" w:type="dxa"/>
                    <w:bottom w:w="0" w:type="dxa"/>
                    <w:right w:w="108" w:type="dxa"/>
                  </w:tcMar>
                  <w:vAlign w:val="center"/>
                </w:tcPr>
                <w:p w14:paraId="73904A6B">
                  <w:pPr>
                    <w:pStyle w:val="77"/>
                    <w:numPr>
                      <w:ilvl w:val="0"/>
                      <w:numId w:val="3"/>
                    </w:numPr>
                    <w:adjustRightInd w:val="0"/>
                    <w:snapToGrid w:val="0"/>
                    <w:spacing w:before="0"/>
                    <w:rPr>
                      <w:rFonts w:cs="Times New Roman"/>
                      <w:color w:val="auto"/>
                      <w:sz w:val="21"/>
                      <w:szCs w:val="21"/>
                    </w:rPr>
                  </w:pPr>
                </w:p>
              </w:tc>
              <w:tc>
                <w:tcPr>
                  <w:tcW w:w="1362" w:type="pct"/>
                  <w:noWrap w:val="0"/>
                  <w:tcMar>
                    <w:top w:w="0" w:type="dxa"/>
                    <w:left w:w="108" w:type="dxa"/>
                    <w:bottom w:w="0" w:type="dxa"/>
                    <w:right w:w="108" w:type="dxa"/>
                  </w:tcMar>
                  <w:vAlign w:val="center"/>
                </w:tcPr>
                <w:p w14:paraId="043966EF">
                  <w:pPr>
                    <w:pStyle w:val="77"/>
                    <w:adjustRightInd w:val="0"/>
                    <w:snapToGrid w:val="0"/>
                    <w:spacing w:before="0"/>
                    <w:jc w:val="center"/>
                    <w:rPr>
                      <w:rFonts w:cs="Times New Roman"/>
                      <w:color w:val="auto"/>
                      <w:sz w:val="21"/>
                      <w:szCs w:val="21"/>
                    </w:rPr>
                  </w:pPr>
                  <w:r>
                    <w:rPr>
                      <w:rFonts w:hint="eastAsia" w:cs="Times New Roman"/>
                      <w:color w:val="auto"/>
                      <w:sz w:val="21"/>
                      <w:szCs w:val="21"/>
                      <w:lang w:val="en-US" w:eastAsia="zh-CN"/>
                    </w:rPr>
                    <w:t>颚</w:t>
                  </w:r>
                  <w:r>
                    <w:rPr>
                      <w:rFonts w:hint="eastAsia" w:cs="Times New Roman"/>
                      <w:color w:val="auto"/>
                      <w:sz w:val="21"/>
                      <w:szCs w:val="21"/>
                    </w:rPr>
                    <w:t>式破碎机</w:t>
                  </w:r>
                </w:p>
              </w:tc>
              <w:tc>
                <w:tcPr>
                  <w:tcW w:w="1409" w:type="pct"/>
                  <w:noWrap w:val="0"/>
                  <w:tcMar>
                    <w:top w:w="0" w:type="dxa"/>
                    <w:left w:w="108" w:type="dxa"/>
                    <w:bottom w:w="0" w:type="dxa"/>
                    <w:right w:w="108" w:type="dxa"/>
                  </w:tcMar>
                  <w:vAlign w:val="center"/>
                </w:tcPr>
                <w:p w14:paraId="702A642A">
                  <w:pPr>
                    <w:pStyle w:val="77"/>
                    <w:adjustRightInd w:val="0"/>
                    <w:snapToGrid w:val="0"/>
                    <w:spacing w:before="0"/>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lang w:eastAsia="zh-CN"/>
                    </w:rPr>
                    <w:t>GM/EP-100×60X</w:t>
                  </w:r>
                </w:p>
              </w:tc>
              <w:tc>
                <w:tcPr>
                  <w:tcW w:w="595" w:type="pct"/>
                  <w:noWrap w:val="0"/>
                  <w:tcMar>
                    <w:top w:w="0" w:type="dxa"/>
                    <w:left w:w="108" w:type="dxa"/>
                    <w:bottom w:w="0" w:type="dxa"/>
                    <w:right w:w="108" w:type="dxa"/>
                  </w:tcMar>
                  <w:vAlign w:val="center"/>
                </w:tcPr>
                <w:p w14:paraId="42A32ED2">
                  <w:pPr>
                    <w:pStyle w:val="77"/>
                    <w:adjustRightInd w:val="0"/>
                    <w:snapToGrid w:val="0"/>
                    <w:spacing w:before="0"/>
                    <w:rPr>
                      <w:rFonts w:hint="default" w:cs="Times New Roman"/>
                      <w:color w:val="auto"/>
                      <w:sz w:val="21"/>
                      <w:szCs w:val="21"/>
                      <w:lang w:val="en-US" w:eastAsia="zh-CN"/>
                    </w:rPr>
                  </w:pPr>
                  <w:r>
                    <w:rPr>
                      <w:rFonts w:hint="eastAsia" w:cs="Times New Roman"/>
                      <w:color w:val="auto"/>
                      <w:sz w:val="21"/>
                      <w:szCs w:val="21"/>
                      <w:lang w:val="en-US" w:eastAsia="zh-CN"/>
                    </w:rPr>
                    <w:t>2</w:t>
                  </w:r>
                </w:p>
              </w:tc>
              <w:tc>
                <w:tcPr>
                  <w:tcW w:w="437" w:type="pct"/>
                  <w:noWrap w:val="0"/>
                  <w:tcMar>
                    <w:top w:w="0" w:type="dxa"/>
                    <w:left w:w="108" w:type="dxa"/>
                    <w:bottom w:w="0" w:type="dxa"/>
                    <w:right w:w="108" w:type="dxa"/>
                  </w:tcMar>
                  <w:vAlign w:val="center"/>
                </w:tcPr>
                <w:p w14:paraId="44F61862">
                  <w:pPr>
                    <w:pStyle w:val="77"/>
                    <w:adjustRightInd w:val="0"/>
                    <w:snapToGrid w:val="0"/>
                    <w:spacing w:before="0"/>
                    <w:rPr>
                      <w:rFonts w:hint="eastAsia" w:cs="Times New Roman"/>
                      <w:color w:val="auto"/>
                      <w:sz w:val="21"/>
                      <w:szCs w:val="21"/>
                      <w:lang w:eastAsia="zh-CN"/>
                    </w:rPr>
                  </w:pPr>
                  <w:r>
                    <w:rPr>
                      <w:rFonts w:hint="eastAsia" w:cs="Times New Roman"/>
                      <w:color w:val="auto"/>
                      <w:sz w:val="21"/>
                      <w:szCs w:val="21"/>
                      <w:lang w:val="en-US" w:eastAsia="zh-CN"/>
                    </w:rPr>
                    <w:t>台</w:t>
                  </w:r>
                </w:p>
              </w:tc>
              <w:tc>
                <w:tcPr>
                  <w:tcW w:w="831" w:type="pct"/>
                  <w:noWrap w:val="0"/>
                  <w:tcMar>
                    <w:top w:w="0" w:type="dxa"/>
                    <w:left w:w="108" w:type="dxa"/>
                    <w:bottom w:w="0" w:type="dxa"/>
                    <w:right w:w="108" w:type="dxa"/>
                  </w:tcMar>
                  <w:vAlign w:val="center"/>
                </w:tcPr>
                <w:p w14:paraId="0C6D06C2">
                  <w:pPr>
                    <w:pStyle w:val="77"/>
                    <w:adjustRightInd w:val="0"/>
                    <w:snapToGrid w:val="0"/>
                    <w:spacing w:before="0"/>
                    <w:rPr>
                      <w:rFonts w:hint="eastAsia" w:cs="Times New Roman"/>
                      <w:color w:val="auto"/>
                      <w:sz w:val="21"/>
                      <w:szCs w:val="21"/>
                      <w:lang w:eastAsia="zh-CN"/>
                    </w:rPr>
                  </w:pPr>
                  <w:r>
                    <w:rPr>
                      <w:rFonts w:hint="eastAsia" w:cs="Times New Roman"/>
                      <w:color w:val="auto"/>
                      <w:sz w:val="21"/>
                      <w:szCs w:val="21"/>
                      <w:lang w:eastAsia="zh-CN"/>
                    </w:rPr>
                    <w:t>加工室</w:t>
                  </w:r>
                </w:p>
              </w:tc>
            </w:tr>
            <w:tr w14:paraId="60B13E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63" w:type="pct"/>
                  <w:noWrap w:val="0"/>
                  <w:tcMar>
                    <w:top w:w="0" w:type="dxa"/>
                    <w:left w:w="108" w:type="dxa"/>
                    <w:bottom w:w="0" w:type="dxa"/>
                    <w:right w:w="108" w:type="dxa"/>
                  </w:tcMar>
                  <w:vAlign w:val="center"/>
                </w:tcPr>
                <w:p w14:paraId="1B223E37">
                  <w:pPr>
                    <w:pStyle w:val="77"/>
                    <w:numPr>
                      <w:ilvl w:val="0"/>
                      <w:numId w:val="3"/>
                    </w:numPr>
                    <w:adjustRightInd w:val="0"/>
                    <w:snapToGrid w:val="0"/>
                    <w:spacing w:before="0"/>
                    <w:rPr>
                      <w:rFonts w:cs="Times New Roman"/>
                      <w:color w:val="auto"/>
                      <w:sz w:val="21"/>
                      <w:szCs w:val="21"/>
                    </w:rPr>
                  </w:pPr>
                </w:p>
              </w:tc>
              <w:tc>
                <w:tcPr>
                  <w:tcW w:w="1362" w:type="pct"/>
                  <w:noWrap w:val="0"/>
                  <w:tcMar>
                    <w:top w:w="0" w:type="dxa"/>
                    <w:left w:w="108" w:type="dxa"/>
                    <w:bottom w:w="0" w:type="dxa"/>
                    <w:right w:w="108" w:type="dxa"/>
                  </w:tcMar>
                  <w:vAlign w:val="center"/>
                </w:tcPr>
                <w:p w14:paraId="294371AF">
                  <w:pPr>
                    <w:pStyle w:val="77"/>
                    <w:adjustRightInd w:val="0"/>
                    <w:snapToGrid w:val="0"/>
                    <w:spacing w:before="0"/>
                    <w:jc w:val="center"/>
                    <w:rPr>
                      <w:rFonts w:cs="Times New Roman"/>
                      <w:color w:val="auto"/>
                      <w:sz w:val="21"/>
                      <w:szCs w:val="21"/>
                    </w:rPr>
                  </w:pPr>
                  <w:r>
                    <w:rPr>
                      <w:rFonts w:hint="eastAsia" w:cs="Times New Roman"/>
                      <w:color w:val="auto"/>
                      <w:sz w:val="21"/>
                      <w:szCs w:val="21"/>
                    </w:rPr>
                    <w:t>圆盘粉碎机</w:t>
                  </w:r>
                </w:p>
              </w:tc>
              <w:tc>
                <w:tcPr>
                  <w:tcW w:w="1409" w:type="pct"/>
                  <w:noWrap w:val="0"/>
                  <w:tcMar>
                    <w:top w:w="0" w:type="dxa"/>
                    <w:left w:w="108" w:type="dxa"/>
                    <w:bottom w:w="0" w:type="dxa"/>
                    <w:right w:w="108" w:type="dxa"/>
                  </w:tcMar>
                  <w:vAlign w:val="center"/>
                </w:tcPr>
                <w:p w14:paraId="4F2D11C9">
                  <w:pPr>
                    <w:pStyle w:val="77"/>
                    <w:adjustRightInd w:val="0"/>
                    <w:snapToGrid w:val="0"/>
                    <w:spacing w:before="0"/>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lang w:eastAsia="zh-CN"/>
                    </w:rPr>
                    <w:t>GM/F-φ175</w:t>
                  </w:r>
                </w:p>
              </w:tc>
              <w:tc>
                <w:tcPr>
                  <w:tcW w:w="595" w:type="pct"/>
                  <w:noWrap w:val="0"/>
                  <w:tcMar>
                    <w:top w:w="0" w:type="dxa"/>
                    <w:left w:w="108" w:type="dxa"/>
                    <w:bottom w:w="0" w:type="dxa"/>
                    <w:right w:w="108" w:type="dxa"/>
                  </w:tcMar>
                  <w:vAlign w:val="center"/>
                </w:tcPr>
                <w:p w14:paraId="5D1B7FE7">
                  <w:pPr>
                    <w:pStyle w:val="77"/>
                    <w:adjustRightInd w:val="0"/>
                    <w:snapToGrid w:val="0"/>
                    <w:spacing w:before="0"/>
                    <w:rPr>
                      <w:rFonts w:hint="eastAsia" w:cs="Times New Roman"/>
                      <w:color w:val="auto"/>
                      <w:sz w:val="21"/>
                      <w:szCs w:val="21"/>
                      <w:lang w:eastAsia="zh-CN"/>
                    </w:rPr>
                  </w:pPr>
                  <w:r>
                    <w:rPr>
                      <w:rFonts w:hint="eastAsia" w:cs="Times New Roman"/>
                      <w:color w:val="auto"/>
                      <w:sz w:val="21"/>
                      <w:szCs w:val="21"/>
                      <w:lang w:val="en-US" w:eastAsia="zh-CN"/>
                    </w:rPr>
                    <w:t>2</w:t>
                  </w:r>
                </w:p>
              </w:tc>
              <w:tc>
                <w:tcPr>
                  <w:tcW w:w="437" w:type="pct"/>
                  <w:noWrap w:val="0"/>
                  <w:tcMar>
                    <w:top w:w="0" w:type="dxa"/>
                    <w:left w:w="108" w:type="dxa"/>
                    <w:bottom w:w="0" w:type="dxa"/>
                    <w:right w:w="108" w:type="dxa"/>
                  </w:tcMar>
                  <w:vAlign w:val="center"/>
                </w:tcPr>
                <w:p w14:paraId="5E0B61FB">
                  <w:pPr>
                    <w:pStyle w:val="77"/>
                    <w:adjustRightInd w:val="0"/>
                    <w:snapToGrid w:val="0"/>
                    <w:spacing w:before="0"/>
                    <w:rPr>
                      <w:rFonts w:cs="Times New Roman"/>
                      <w:color w:val="auto"/>
                      <w:sz w:val="21"/>
                      <w:szCs w:val="21"/>
                      <w:lang w:eastAsia="zh-CN"/>
                    </w:rPr>
                  </w:pPr>
                  <w:r>
                    <w:rPr>
                      <w:rFonts w:hint="eastAsia" w:cs="Times New Roman"/>
                      <w:color w:val="auto"/>
                      <w:sz w:val="21"/>
                      <w:szCs w:val="21"/>
                      <w:lang w:val="en-US" w:eastAsia="zh-CN"/>
                    </w:rPr>
                    <w:t>台</w:t>
                  </w:r>
                </w:p>
              </w:tc>
              <w:tc>
                <w:tcPr>
                  <w:tcW w:w="831" w:type="pct"/>
                  <w:noWrap w:val="0"/>
                  <w:tcMar>
                    <w:top w:w="0" w:type="dxa"/>
                    <w:left w:w="108" w:type="dxa"/>
                    <w:bottom w:w="0" w:type="dxa"/>
                    <w:right w:w="108" w:type="dxa"/>
                  </w:tcMar>
                  <w:vAlign w:val="center"/>
                </w:tcPr>
                <w:p w14:paraId="347CD0F8">
                  <w:pPr>
                    <w:pStyle w:val="77"/>
                    <w:adjustRightInd w:val="0"/>
                    <w:snapToGrid w:val="0"/>
                    <w:spacing w:before="0"/>
                    <w:rPr>
                      <w:rFonts w:cs="Times New Roman"/>
                      <w:color w:val="auto"/>
                      <w:sz w:val="21"/>
                      <w:szCs w:val="21"/>
                      <w:lang w:eastAsia="zh-CN"/>
                    </w:rPr>
                  </w:pPr>
                  <w:r>
                    <w:rPr>
                      <w:rFonts w:hint="eastAsia" w:cs="Times New Roman"/>
                      <w:color w:val="auto"/>
                      <w:sz w:val="21"/>
                      <w:szCs w:val="21"/>
                      <w:lang w:eastAsia="zh-CN"/>
                    </w:rPr>
                    <w:t>加工室</w:t>
                  </w:r>
                </w:p>
              </w:tc>
            </w:tr>
            <w:tr w14:paraId="43B73D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63" w:type="pct"/>
                  <w:noWrap w:val="0"/>
                  <w:tcMar>
                    <w:top w:w="0" w:type="dxa"/>
                    <w:left w:w="108" w:type="dxa"/>
                    <w:bottom w:w="0" w:type="dxa"/>
                    <w:right w:w="108" w:type="dxa"/>
                  </w:tcMar>
                  <w:vAlign w:val="center"/>
                </w:tcPr>
                <w:p w14:paraId="21F5613A">
                  <w:pPr>
                    <w:pStyle w:val="77"/>
                    <w:numPr>
                      <w:ilvl w:val="0"/>
                      <w:numId w:val="3"/>
                    </w:numPr>
                    <w:adjustRightInd w:val="0"/>
                    <w:snapToGrid w:val="0"/>
                    <w:spacing w:before="0"/>
                    <w:rPr>
                      <w:rFonts w:cs="Times New Roman"/>
                      <w:color w:val="auto"/>
                      <w:sz w:val="21"/>
                      <w:szCs w:val="21"/>
                    </w:rPr>
                  </w:pPr>
                </w:p>
              </w:tc>
              <w:tc>
                <w:tcPr>
                  <w:tcW w:w="1362" w:type="pct"/>
                  <w:noWrap w:val="0"/>
                  <w:tcMar>
                    <w:top w:w="0" w:type="dxa"/>
                    <w:left w:w="108" w:type="dxa"/>
                    <w:bottom w:w="0" w:type="dxa"/>
                    <w:right w:w="108" w:type="dxa"/>
                  </w:tcMar>
                  <w:vAlign w:val="top"/>
                </w:tcPr>
                <w:p w14:paraId="65F18614">
                  <w:pPr>
                    <w:pStyle w:val="77"/>
                    <w:adjustRightInd w:val="0"/>
                    <w:snapToGrid w:val="0"/>
                    <w:spacing w:before="0"/>
                    <w:jc w:val="center"/>
                    <w:rPr>
                      <w:rFonts w:hint="eastAsia" w:cs="Times New Roman"/>
                      <w:color w:val="auto"/>
                      <w:sz w:val="21"/>
                      <w:szCs w:val="21"/>
                      <w:lang w:eastAsia="zh-CN"/>
                    </w:rPr>
                  </w:pPr>
                  <w:r>
                    <w:rPr>
                      <w:rFonts w:hint="eastAsia" w:cs="Times New Roman"/>
                      <w:color w:val="auto"/>
                      <w:sz w:val="21"/>
                      <w:szCs w:val="21"/>
                      <w:lang w:eastAsia="zh-CN"/>
                    </w:rPr>
                    <w:t>旋转缩分机</w:t>
                  </w:r>
                </w:p>
              </w:tc>
              <w:tc>
                <w:tcPr>
                  <w:tcW w:w="1409" w:type="pct"/>
                  <w:noWrap w:val="0"/>
                  <w:tcMar>
                    <w:top w:w="0" w:type="dxa"/>
                    <w:left w:w="108" w:type="dxa"/>
                    <w:bottom w:w="0" w:type="dxa"/>
                    <w:right w:w="108" w:type="dxa"/>
                  </w:tcMar>
                  <w:vAlign w:val="top"/>
                </w:tcPr>
                <w:p w14:paraId="71C8C8BD">
                  <w:pPr>
                    <w:pStyle w:val="77"/>
                    <w:adjustRightInd w:val="0"/>
                    <w:snapToGrid w:val="0"/>
                    <w:spacing w:before="0"/>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lang w:eastAsia="zh-CN"/>
                    </w:rPr>
                    <w:t>GM/ZHXS200-8B</w:t>
                  </w:r>
                </w:p>
              </w:tc>
              <w:tc>
                <w:tcPr>
                  <w:tcW w:w="595" w:type="pct"/>
                  <w:noWrap w:val="0"/>
                  <w:tcMar>
                    <w:top w:w="0" w:type="dxa"/>
                    <w:left w:w="108" w:type="dxa"/>
                    <w:bottom w:w="0" w:type="dxa"/>
                    <w:right w:w="108" w:type="dxa"/>
                  </w:tcMar>
                  <w:vAlign w:val="center"/>
                </w:tcPr>
                <w:p w14:paraId="75C61744">
                  <w:pPr>
                    <w:pStyle w:val="77"/>
                    <w:adjustRightInd w:val="0"/>
                    <w:snapToGrid w:val="0"/>
                    <w:spacing w:before="0"/>
                    <w:rPr>
                      <w:rFonts w:cs="Times New Roman"/>
                      <w:color w:val="auto"/>
                      <w:sz w:val="21"/>
                      <w:szCs w:val="21"/>
                      <w:lang w:eastAsia="zh-CN"/>
                    </w:rPr>
                  </w:pPr>
                  <w:r>
                    <w:rPr>
                      <w:rFonts w:hint="eastAsia" w:cs="Times New Roman"/>
                      <w:color w:val="auto"/>
                      <w:sz w:val="21"/>
                      <w:szCs w:val="21"/>
                      <w:lang w:val="en-US" w:eastAsia="zh-CN"/>
                    </w:rPr>
                    <w:t>2</w:t>
                  </w:r>
                </w:p>
              </w:tc>
              <w:tc>
                <w:tcPr>
                  <w:tcW w:w="437" w:type="pct"/>
                  <w:noWrap w:val="0"/>
                  <w:tcMar>
                    <w:top w:w="0" w:type="dxa"/>
                    <w:left w:w="108" w:type="dxa"/>
                    <w:bottom w:w="0" w:type="dxa"/>
                    <w:right w:w="108" w:type="dxa"/>
                  </w:tcMar>
                  <w:vAlign w:val="center"/>
                </w:tcPr>
                <w:p w14:paraId="7A00C569">
                  <w:pPr>
                    <w:pStyle w:val="77"/>
                    <w:adjustRightInd w:val="0"/>
                    <w:snapToGrid w:val="0"/>
                    <w:spacing w:before="0"/>
                    <w:rPr>
                      <w:rFonts w:hint="eastAsia" w:cs="Times New Roman"/>
                      <w:color w:val="auto"/>
                      <w:sz w:val="21"/>
                      <w:szCs w:val="21"/>
                      <w:lang w:eastAsia="zh-CN"/>
                    </w:rPr>
                  </w:pPr>
                  <w:r>
                    <w:rPr>
                      <w:rFonts w:hint="eastAsia" w:cs="Times New Roman"/>
                      <w:color w:val="auto"/>
                      <w:sz w:val="21"/>
                      <w:szCs w:val="21"/>
                      <w:lang w:val="en-US" w:eastAsia="zh-CN"/>
                    </w:rPr>
                    <w:t>台</w:t>
                  </w:r>
                </w:p>
              </w:tc>
              <w:tc>
                <w:tcPr>
                  <w:tcW w:w="831" w:type="pct"/>
                  <w:noWrap w:val="0"/>
                  <w:tcMar>
                    <w:top w:w="0" w:type="dxa"/>
                    <w:left w:w="108" w:type="dxa"/>
                    <w:bottom w:w="0" w:type="dxa"/>
                    <w:right w:w="108" w:type="dxa"/>
                  </w:tcMar>
                  <w:vAlign w:val="center"/>
                </w:tcPr>
                <w:p w14:paraId="4DC70E2E">
                  <w:pPr>
                    <w:pStyle w:val="77"/>
                    <w:adjustRightInd w:val="0"/>
                    <w:snapToGrid w:val="0"/>
                    <w:spacing w:before="0"/>
                    <w:rPr>
                      <w:rFonts w:hint="eastAsia" w:cs="Times New Roman"/>
                      <w:color w:val="auto"/>
                      <w:sz w:val="21"/>
                      <w:szCs w:val="21"/>
                      <w:lang w:eastAsia="zh-CN"/>
                    </w:rPr>
                  </w:pPr>
                  <w:r>
                    <w:rPr>
                      <w:rFonts w:hint="eastAsia" w:cs="Times New Roman"/>
                      <w:color w:val="auto"/>
                      <w:sz w:val="21"/>
                      <w:szCs w:val="21"/>
                      <w:lang w:eastAsia="zh-CN"/>
                    </w:rPr>
                    <w:t>加工室</w:t>
                  </w:r>
                </w:p>
              </w:tc>
            </w:tr>
            <w:tr w14:paraId="40F773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63" w:type="pct"/>
                  <w:noWrap w:val="0"/>
                  <w:tcMar>
                    <w:top w:w="0" w:type="dxa"/>
                    <w:left w:w="108" w:type="dxa"/>
                    <w:bottom w:w="0" w:type="dxa"/>
                    <w:right w:w="108" w:type="dxa"/>
                  </w:tcMar>
                  <w:vAlign w:val="center"/>
                </w:tcPr>
                <w:p w14:paraId="3546AA26">
                  <w:pPr>
                    <w:pStyle w:val="77"/>
                    <w:numPr>
                      <w:ilvl w:val="0"/>
                      <w:numId w:val="3"/>
                    </w:numPr>
                    <w:adjustRightInd w:val="0"/>
                    <w:snapToGrid w:val="0"/>
                    <w:spacing w:before="0"/>
                    <w:rPr>
                      <w:rFonts w:cs="Times New Roman"/>
                      <w:color w:val="auto"/>
                      <w:sz w:val="21"/>
                      <w:szCs w:val="21"/>
                    </w:rPr>
                  </w:pPr>
                </w:p>
              </w:tc>
              <w:tc>
                <w:tcPr>
                  <w:tcW w:w="1362" w:type="pct"/>
                  <w:noWrap w:val="0"/>
                  <w:tcMar>
                    <w:top w:w="0" w:type="dxa"/>
                    <w:left w:w="108" w:type="dxa"/>
                    <w:bottom w:w="0" w:type="dxa"/>
                    <w:right w:w="108" w:type="dxa"/>
                  </w:tcMar>
                  <w:vAlign w:val="top"/>
                </w:tcPr>
                <w:p w14:paraId="06ECC5E6">
                  <w:pPr>
                    <w:pStyle w:val="77"/>
                    <w:adjustRightInd w:val="0"/>
                    <w:snapToGrid w:val="0"/>
                    <w:spacing w:before="0"/>
                    <w:jc w:val="center"/>
                    <w:rPr>
                      <w:rFonts w:hint="eastAsia" w:cs="Times New Roman"/>
                      <w:color w:val="auto"/>
                      <w:sz w:val="21"/>
                      <w:szCs w:val="21"/>
                      <w:lang w:eastAsia="zh-CN"/>
                    </w:rPr>
                  </w:pPr>
                  <w:r>
                    <w:rPr>
                      <w:rFonts w:hint="eastAsia" w:cs="Times New Roman"/>
                      <w:color w:val="auto"/>
                      <w:sz w:val="21"/>
                      <w:szCs w:val="21"/>
                      <w:lang w:eastAsia="zh-CN"/>
                    </w:rPr>
                    <w:t>环保棒磨机</w:t>
                  </w:r>
                </w:p>
              </w:tc>
              <w:tc>
                <w:tcPr>
                  <w:tcW w:w="1409" w:type="pct"/>
                  <w:noWrap w:val="0"/>
                  <w:tcMar>
                    <w:top w:w="0" w:type="dxa"/>
                    <w:left w:w="108" w:type="dxa"/>
                    <w:bottom w:w="0" w:type="dxa"/>
                    <w:right w:w="108" w:type="dxa"/>
                  </w:tcMar>
                  <w:vAlign w:val="top"/>
                </w:tcPr>
                <w:p w14:paraId="0680A933">
                  <w:pPr>
                    <w:pStyle w:val="77"/>
                    <w:adjustRightInd w:val="0"/>
                    <w:snapToGrid w:val="0"/>
                    <w:spacing w:before="0"/>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lang w:eastAsia="zh-CN"/>
                    </w:rPr>
                    <w:t>XBM-1/30</w:t>
                  </w:r>
                </w:p>
              </w:tc>
              <w:tc>
                <w:tcPr>
                  <w:tcW w:w="595" w:type="pct"/>
                  <w:noWrap w:val="0"/>
                  <w:tcMar>
                    <w:top w:w="0" w:type="dxa"/>
                    <w:left w:w="108" w:type="dxa"/>
                    <w:bottom w:w="0" w:type="dxa"/>
                    <w:right w:w="108" w:type="dxa"/>
                  </w:tcMar>
                  <w:vAlign w:val="center"/>
                </w:tcPr>
                <w:p w14:paraId="162F7D48">
                  <w:pPr>
                    <w:pStyle w:val="77"/>
                    <w:adjustRightInd w:val="0"/>
                    <w:snapToGrid w:val="0"/>
                    <w:spacing w:before="0"/>
                    <w:rPr>
                      <w:rFonts w:cs="Times New Roman"/>
                      <w:color w:val="auto"/>
                      <w:sz w:val="21"/>
                      <w:szCs w:val="21"/>
                      <w:lang w:eastAsia="zh-CN"/>
                    </w:rPr>
                  </w:pPr>
                  <w:r>
                    <w:rPr>
                      <w:rFonts w:hint="eastAsia" w:cs="Times New Roman"/>
                      <w:color w:val="auto"/>
                      <w:sz w:val="21"/>
                      <w:szCs w:val="21"/>
                      <w:lang w:val="en-US" w:eastAsia="zh-CN"/>
                    </w:rPr>
                    <w:t>2</w:t>
                  </w:r>
                </w:p>
              </w:tc>
              <w:tc>
                <w:tcPr>
                  <w:tcW w:w="437" w:type="pct"/>
                  <w:noWrap w:val="0"/>
                  <w:tcMar>
                    <w:top w:w="0" w:type="dxa"/>
                    <w:left w:w="108" w:type="dxa"/>
                    <w:bottom w:w="0" w:type="dxa"/>
                    <w:right w:w="108" w:type="dxa"/>
                  </w:tcMar>
                  <w:vAlign w:val="center"/>
                </w:tcPr>
                <w:p w14:paraId="598759E0">
                  <w:pPr>
                    <w:pStyle w:val="77"/>
                    <w:adjustRightInd w:val="0"/>
                    <w:snapToGrid w:val="0"/>
                    <w:spacing w:before="0"/>
                    <w:rPr>
                      <w:rFonts w:hint="eastAsia" w:cs="Times New Roman"/>
                      <w:color w:val="auto"/>
                      <w:sz w:val="21"/>
                      <w:szCs w:val="21"/>
                      <w:lang w:eastAsia="zh-CN"/>
                    </w:rPr>
                  </w:pPr>
                  <w:r>
                    <w:rPr>
                      <w:rFonts w:hint="eastAsia" w:cs="Times New Roman"/>
                      <w:color w:val="auto"/>
                      <w:sz w:val="21"/>
                      <w:szCs w:val="21"/>
                      <w:lang w:val="en-US" w:eastAsia="zh-CN"/>
                    </w:rPr>
                    <w:t>台</w:t>
                  </w:r>
                </w:p>
              </w:tc>
              <w:tc>
                <w:tcPr>
                  <w:tcW w:w="831" w:type="pct"/>
                  <w:noWrap w:val="0"/>
                  <w:tcMar>
                    <w:top w:w="0" w:type="dxa"/>
                    <w:left w:w="108" w:type="dxa"/>
                    <w:bottom w:w="0" w:type="dxa"/>
                    <w:right w:w="108" w:type="dxa"/>
                  </w:tcMar>
                  <w:vAlign w:val="center"/>
                </w:tcPr>
                <w:p w14:paraId="22F42F48">
                  <w:pPr>
                    <w:pStyle w:val="77"/>
                    <w:adjustRightInd w:val="0"/>
                    <w:snapToGrid w:val="0"/>
                    <w:spacing w:before="0"/>
                    <w:rPr>
                      <w:rFonts w:hint="eastAsia" w:cs="Times New Roman"/>
                      <w:color w:val="auto"/>
                      <w:sz w:val="21"/>
                      <w:szCs w:val="21"/>
                      <w:lang w:eastAsia="zh-CN"/>
                    </w:rPr>
                  </w:pPr>
                  <w:r>
                    <w:rPr>
                      <w:rFonts w:hint="eastAsia" w:cs="Times New Roman"/>
                      <w:color w:val="auto"/>
                      <w:sz w:val="21"/>
                      <w:szCs w:val="21"/>
                      <w:lang w:eastAsia="zh-CN"/>
                    </w:rPr>
                    <w:t>加工室</w:t>
                  </w:r>
                </w:p>
              </w:tc>
            </w:tr>
            <w:tr w14:paraId="7CCF4B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18" w:hRule="atLeast"/>
                <w:jc w:val="center"/>
              </w:trPr>
              <w:tc>
                <w:tcPr>
                  <w:tcW w:w="363" w:type="pct"/>
                  <w:noWrap w:val="0"/>
                  <w:tcMar>
                    <w:top w:w="0" w:type="dxa"/>
                    <w:left w:w="108" w:type="dxa"/>
                    <w:bottom w:w="0" w:type="dxa"/>
                    <w:right w:w="108" w:type="dxa"/>
                  </w:tcMar>
                  <w:vAlign w:val="center"/>
                </w:tcPr>
                <w:p w14:paraId="2A7EB5C3">
                  <w:pPr>
                    <w:pStyle w:val="77"/>
                    <w:numPr>
                      <w:ilvl w:val="0"/>
                      <w:numId w:val="3"/>
                    </w:numPr>
                    <w:adjustRightInd w:val="0"/>
                    <w:snapToGrid w:val="0"/>
                    <w:spacing w:before="0"/>
                    <w:rPr>
                      <w:rFonts w:cs="Times New Roman"/>
                      <w:color w:val="auto"/>
                      <w:sz w:val="21"/>
                      <w:szCs w:val="21"/>
                      <w:lang w:eastAsia="zh-CN"/>
                    </w:rPr>
                  </w:pPr>
                </w:p>
              </w:tc>
              <w:tc>
                <w:tcPr>
                  <w:tcW w:w="1362" w:type="pct"/>
                  <w:noWrap w:val="0"/>
                  <w:tcMar>
                    <w:top w:w="0" w:type="dxa"/>
                    <w:left w:w="108" w:type="dxa"/>
                    <w:bottom w:w="0" w:type="dxa"/>
                    <w:right w:w="108" w:type="dxa"/>
                  </w:tcMar>
                  <w:vAlign w:val="center"/>
                </w:tcPr>
                <w:p w14:paraId="3EE1411E">
                  <w:pPr>
                    <w:pStyle w:val="77"/>
                    <w:adjustRightInd w:val="0"/>
                    <w:snapToGrid w:val="0"/>
                    <w:spacing w:before="0"/>
                    <w:jc w:val="center"/>
                    <w:rPr>
                      <w:rFonts w:cs="Times New Roman"/>
                      <w:color w:val="auto"/>
                      <w:sz w:val="21"/>
                      <w:szCs w:val="21"/>
                      <w:lang w:eastAsia="zh-CN"/>
                    </w:rPr>
                  </w:pPr>
                  <w:r>
                    <w:rPr>
                      <w:rFonts w:hint="eastAsia" w:cs="Times New Roman"/>
                      <w:color w:val="auto"/>
                      <w:sz w:val="21"/>
                      <w:szCs w:val="21"/>
                      <w:lang w:val="en-US" w:eastAsia="zh-CN"/>
                    </w:rPr>
                    <w:t>布袋除尘器</w:t>
                  </w:r>
                </w:p>
              </w:tc>
              <w:tc>
                <w:tcPr>
                  <w:tcW w:w="1409" w:type="pct"/>
                  <w:noWrap w:val="0"/>
                  <w:tcMar>
                    <w:top w:w="0" w:type="dxa"/>
                    <w:left w:w="108" w:type="dxa"/>
                    <w:bottom w:w="0" w:type="dxa"/>
                    <w:right w:w="108" w:type="dxa"/>
                  </w:tcMar>
                  <w:vAlign w:val="center"/>
                </w:tcPr>
                <w:p w14:paraId="72EF2094">
                  <w:pPr>
                    <w:pStyle w:val="77"/>
                    <w:adjustRightInd w:val="0"/>
                    <w:snapToGrid w:val="0"/>
                    <w:spacing w:before="0"/>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lang w:eastAsia="zh-CN"/>
                    </w:rPr>
                    <w:t>1900*1700*3800 8000m</w:t>
                  </w:r>
                  <w:r>
                    <w:rPr>
                      <w:rFonts w:hint="default" w:ascii="Times New Roman" w:hAnsi="Times New Roman" w:cs="Times New Roman"/>
                      <w:color w:val="auto"/>
                      <w:sz w:val="21"/>
                      <w:szCs w:val="21"/>
                      <w:vertAlign w:val="superscript"/>
                      <w:lang w:eastAsia="zh-CN"/>
                    </w:rPr>
                    <w:t>3</w:t>
                  </w:r>
                  <w:r>
                    <w:rPr>
                      <w:rFonts w:hint="default" w:ascii="Times New Roman" w:hAnsi="Times New Roman" w:cs="Times New Roman"/>
                      <w:color w:val="auto"/>
                      <w:sz w:val="21"/>
                      <w:szCs w:val="21"/>
                      <w:lang w:eastAsia="zh-CN"/>
                    </w:rPr>
                    <w:t>/h</w:t>
                  </w:r>
                </w:p>
              </w:tc>
              <w:tc>
                <w:tcPr>
                  <w:tcW w:w="595" w:type="pct"/>
                  <w:noWrap w:val="0"/>
                  <w:tcMar>
                    <w:top w:w="0" w:type="dxa"/>
                    <w:left w:w="108" w:type="dxa"/>
                    <w:bottom w:w="0" w:type="dxa"/>
                    <w:right w:w="108" w:type="dxa"/>
                  </w:tcMar>
                  <w:vAlign w:val="center"/>
                </w:tcPr>
                <w:p w14:paraId="3F47767F">
                  <w:pPr>
                    <w:pStyle w:val="77"/>
                    <w:adjustRightInd w:val="0"/>
                    <w:snapToGrid w:val="0"/>
                    <w:spacing w:before="0"/>
                    <w:rPr>
                      <w:rFonts w:cs="Times New Roman"/>
                      <w:color w:val="auto"/>
                      <w:sz w:val="21"/>
                      <w:szCs w:val="21"/>
                      <w:lang w:eastAsia="zh-CN"/>
                    </w:rPr>
                  </w:pPr>
                  <w:r>
                    <w:rPr>
                      <w:rFonts w:hint="eastAsia" w:cs="Times New Roman"/>
                      <w:color w:val="auto"/>
                      <w:sz w:val="21"/>
                      <w:szCs w:val="21"/>
                      <w:lang w:val="en-US" w:eastAsia="zh-CN"/>
                    </w:rPr>
                    <w:t>1</w:t>
                  </w:r>
                </w:p>
              </w:tc>
              <w:tc>
                <w:tcPr>
                  <w:tcW w:w="437" w:type="pct"/>
                  <w:noWrap w:val="0"/>
                  <w:tcMar>
                    <w:top w:w="0" w:type="dxa"/>
                    <w:left w:w="108" w:type="dxa"/>
                    <w:bottom w:w="0" w:type="dxa"/>
                    <w:right w:w="108" w:type="dxa"/>
                  </w:tcMar>
                  <w:vAlign w:val="center"/>
                </w:tcPr>
                <w:p w14:paraId="10785E91">
                  <w:pPr>
                    <w:pStyle w:val="77"/>
                    <w:adjustRightInd w:val="0"/>
                    <w:snapToGrid w:val="0"/>
                    <w:spacing w:before="0"/>
                    <w:rPr>
                      <w:rFonts w:cs="Times New Roman"/>
                      <w:color w:val="auto"/>
                      <w:sz w:val="21"/>
                      <w:szCs w:val="21"/>
                      <w:lang w:eastAsia="zh-CN"/>
                    </w:rPr>
                  </w:pPr>
                  <w:r>
                    <w:rPr>
                      <w:rFonts w:hint="eastAsia" w:cs="Times New Roman"/>
                      <w:color w:val="auto"/>
                      <w:sz w:val="21"/>
                      <w:szCs w:val="21"/>
                      <w:lang w:val="en-US" w:eastAsia="zh-CN"/>
                    </w:rPr>
                    <w:t>台</w:t>
                  </w:r>
                </w:p>
              </w:tc>
              <w:tc>
                <w:tcPr>
                  <w:tcW w:w="831" w:type="pct"/>
                  <w:noWrap w:val="0"/>
                  <w:tcMar>
                    <w:top w:w="0" w:type="dxa"/>
                    <w:left w:w="108" w:type="dxa"/>
                    <w:bottom w:w="0" w:type="dxa"/>
                    <w:right w:w="108" w:type="dxa"/>
                  </w:tcMar>
                  <w:vAlign w:val="center"/>
                </w:tcPr>
                <w:p w14:paraId="0EECF25A">
                  <w:pPr>
                    <w:pStyle w:val="77"/>
                    <w:adjustRightInd w:val="0"/>
                    <w:snapToGrid w:val="0"/>
                    <w:spacing w:before="0"/>
                    <w:rPr>
                      <w:rFonts w:cs="Times New Roman"/>
                      <w:color w:val="auto"/>
                      <w:sz w:val="21"/>
                      <w:szCs w:val="21"/>
                      <w:lang w:eastAsia="zh-CN"/>
                    </w:rPr>
                  </w:pPr>
                  <w:r>
                    <w:rPr>
                      <w:rFonts w:hint="eastAsia" w:cs="Times New Roman"/>
                      <w:color w:val="auto"/>
                      <w:sz w:val="21"/>
                      <w:szCs w:val="21"/>
                      <w:lang w:eastAsia="zh-CN"/>
                    </w:rPr>
                    <w:t>加工室</w:t>
                  </w:r>
                </w:p>
              </w:tc>
            </w:tr>
            <w:tr w14:paraId="68E73F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15" w:hRule="atLeast"/>
                <w:jc w:val="center"/>
              </w:trPr>
              <w:tc>
                <w:tcPr>
                  <w:tcW w:w="363" w:type="pct"/>
                  <w:noWrap w:val="0"/>
                  <w:tcMar>
                    <w:top w:w="0" w:type="dxa"/>
                    <w:left w:w="108" w:type="dxa"/>
                    <w:bottom w:w="0" w:type="dxa"/>
                    <w:right w:w="108" w:type="dxa"/>
                  </w:tcMar>
                  <w:vAlign w:val="center"/>
                </w:tcPr>
                <w:p w14:paraId="3E9E0690">
                  <w:pPr>
                    <w:pStyle w:val="77"/>
                    <w:numPr>
                      <w:ilvl w:val="0"/>
                      <w:numId w:val="3"/>
                    </w:numPr>
                    <w:adjustRightInd w:val="0"/>
                    <w:snapToGrid w:val="0"/>
                    <w:spacing w:before="0"/>
                    <w:rPr>
                      <w:rFonts w:cs="Times New Roman"/>
                      <w:color w:val="auto"/>
                      <w:sz w:val="21"/>
                      <w:szCs w:val="21"/>
                      <w:lang w:eastAsia="zh-CN"/>
                    </w:rPr>
                  </w:pPr>
                </w:p>
              </w:tc>
              <w:tc>
                <w:tcPr>
                  <w:tcW w:w="1362" w:type="pct"/>
                  <w:noWrap w:val="0"/>
                  <w:tcMar>
                    <w:top w:w="0" w:type="dxa"/>
                    <w:left w:w="108" w:type="dxa"/>
                    <w:bottom w:w="0" w:type="dxa"/>
                    <w:right w:w="108" w:type="dxa"/>
                  </w:tcMar>
                  <w:vAlign w:val="center"/>
                </w:tcPr>
                <w:p w14:paraId="3CBFCEB5">
                  <w:pPr>
                    <w:pStyle w:val="77"/>
                    <w:adjustRightInd w:val="0"/>
                    <w:snapToGrid w:val="0"/>
                    <w:spacing w:before="0"/>
                    <w:jc w:val="center"/>
                    <w:rPr>
                      <w:rFonts w:cs="Times New Roman"/>
                      <w:color w:val="auto"/>
                      <w:sz w:val="21"/>
                      <w:szCs w:val="21"/>
                      <w:lang w:eastAsia="zh-CN"/>
                    </w:rPr>
                  </w:pPr>
                  <w:r>
                    <w:rPr>
                      <w:rFonts w:hint="eastAsia"/>
                      <w:color w:val="auto"/>
                    </w:rPr>
                    <w:t>单级压缩空压机</w:t>
                  </w:r>
                </w:p>
              </w:tc>
              <w:tc>
                <w:tcPr>
                  <w:tcW w:w="1409" w:type="pct"/>
                  <w:noWrap w:val="0"/>
                  <w:tcMar>
                    <w:top w:w="0" w:type="dxa"/>
                    <w:left w:w="108" w:type="dxa"/>
                    <w:bottom w:w="0" w:type="dxa"/>
                    <w:right w:w="108" w:type="dxa"/>
                  </w:tcMar>
                  <w:vAlign w:val="center"/>
                </w:tcPr>
                <w:p w14:paraId="1EA16D63">
                  <w:pPr>
                    <w:pStyle w:val="77"/>
                    <w:adjustRightInd w:val="0"/>
                    <w:snapToGrid w:val="0"/>
                    <w:spacing w:before="0"/>
                    <w:rPr>
                      <w:rFonts w:hint="default" w:ascii="Times New Roman" w:hAnsi="Times New Roman" w:cs="Times New Roman"/>
                      <w:color w:val="auto"/>
                      <w:sz w:val="21"/>
                      <w:szCs w:val="21"/>
                      <w:lang w:eastAsia="zh-CN"/>
                    </w:rPr>
                  </w:pPr>
                  <w:r>
                    <w:rPr>
                      <w:rFonts w:hint="default" w:ascii="Times New Roman" w:hAnsi="Times New Roman" w:cs="Times New Roman"/>
                      <w:color w:val="auto"/>
                    </w:rPr>
                    <w:t>W-0.67/7</w:t>
                  </w:r>
                </w:p>
              </w:tc>
              <w:tc>
                <w:tcPr>
                  <w:tcW w:w="595" w:type="pct"/>
                  <w:noWrap w:val="0"/>
                  <w:tcMar>
                    <w:top w:w="0" w:type="dxa"/>
                    <w:left w:w="108" w:type="dxa"/>
                    <w:bottom w:w="0" w:type="dxa"/>
                    <w:right w:w="108" w:type="dxa"/>
                  </w:tcMar>
                  <w:vAlign w:val="center"/>
                </w:tcPr>
                <w:p w14:paraId="47CE07CF">
                  <w:pPr>
                    <w:pStyle w:val="77"/>
                    <w:adjustRightInd w:val="0"/>
                    <w:snapToGrid w:val="0"/>
                    <w:spacing w:before="0"/>
                    <w:rPr>
                      <w:rFonts w:cs="Times New Roman"/>
                      <w:color w:val="auto"/>
                      <w:sz w:val="21"/>
                      <w:szCs w:val="21"/>
                      <w:lang w:eastAsia="zh-CN"/>
                    </w:rPr>
                  </w:pPr>
                  <w:r>
                    <w:rPr>
                      <w:rFonts w:hint="eastAsia" w:cs="Times New Roman"/>
                      <w:color w:val="auto"/>
                      <w:sz w:val="21"/>
                      <w:szCs w:val="21"/>
                      <w:lang w:val="en-US" w:eastAsia="zh-CN"/>
                    </w:rPr>
                    <w:t>1</w:t>
                  </w:r>
                </w:p>
              </w:tc>
              <w:tc>
                <w:tcPr>
                  <w:tcW w:w="437" w:type="pct"/>
                  <w:noWrap w:val="0"/>
                  <w:tcMar>
                    <w:top w:w="0" w:type="dxa"/>
                    <w:left w:w="108" w:type="dxa"/>
                    <w:bottom w:w="0" w:type="dxa"/>
                    <w:right w:w="108" w:type="dxa"/>
                  </w:tcMar>
                  <w:vAlign w:val="center"/>
                </w:tcPr>
                <w:p w14:paraId="3CC77503">
                  <w:pPr>
                    <w:pStyle w:val="77"/>
                    <w:adjustRightInd w:val="0"/>
                    <w:snapToGrid w:val="0"/>
                    <w:spacing w:before="0"/>
                    <w:rPr>
                      <w:rFonts w:cs="Times New Roman"/>
                      <w:color w:val="auto"/>
                      <w:sz w:val="21"/>
                      <w:szCs w:val="21"/>
                      <w:lang w:eastAsia="zh-CN"/>
                    </w:rPr>
                  </w:pPr>
                  <w:r>
                    <w:rPr>
                      <w:rFonts w:hint="eastAsia" w:cs="Times New Roman"/>
                      <w:color w:val="auto"/>
                      <w:sz w:val="21"/>
                      <w:szCs w:val="21"/>
                      <w:lang w:val="en-US" w:eastAsia="zh-CN"/>
                    </w:rPr>
                    <w:t>台</w:t>
                  </w:r>
                </w:p>
              </w:tc>
              <w:tc>
                <w:tcPr>
                  <w:tcW w:w="831" w:type="pct"/>
                  <w:noWrap w:val="0"/>
                  <w:tcMar>
                    <w:top w:w="0" w:type="dxa"/>
                    <w:left w:w="108" w:type="dxa"/>
                    <w:bottom w:w="0" w:type="dxa"/>
                    <w:right w:w="108" w:type="dxa"/>
                  </w:tcMar>
                  <w:vAlign w:val="center"/>
                </w:tcPr>
                <w:p w14:paraId="2F17F0E9">
                  <w:pPr>
                    <w:pStyle w:val="77"/>
                    <w:adjustRightInd w:val="0"/>
                    <w:snapToGrid w:val="0"/>
                    <w:spacing w:before="0"/>
                    <w:rPr>
                      <w:rFonts w:cs="Times New Roman"/>
                      <w:color w:val="auto"/>
                      <w:sz w:val="21"/>
                      <w:szCs w:val="21"/>
                      <w:lang w:eastAsia="zh-CN"/>
                    </w:rPr>
                  </w:pPr>
                  <w:r>
                    <w:rPr>
                      <w:rFonts w:hint="eastAsia" w:cs="Times New Roman"/>
                      <w:color w:val="auto"/>
                      <w:sz w:val="21"/>
                      <w:szCs w:val="21"/>
                      <w:lang w:eastAsia="zh-CN"/>
                    </w:rPr>
                    <w:t>加工室</w:t>
                  </w:r>
                </w:p>
              </w:tc>
            </w:tr>
            <w:tr w14:paraId="2B82BE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63" w:type="pct"/>
                  <w:noWrap w:val="0"/>
                  <w:tcMar>
                    <w:top w:w="0" w:type="dxa"/>
                    <w:left w:w="108" w:type="dxa"/>
                    <w:bottom w:w="0" w:type="dxa"/>
                    <w:right w:w="108" w:type="dxa"/>
                  </w:tcMar>
                  <w:vAlign w:val="center"/>
                </w:tcPr>
                <w:p w14:paraId="162BBB3B">
                  <w:pPr>
                    <w:pStyle w:val="77"/>
                    <w:numPr>
                      <w:ilvl w:val="0"/>
                      <w:numId w:val="3"/>
                    </w:numPr>
                    <w:adjustRightInd w:val="0"/>
                    <w:snapToGrid w:val="0"/>
                    <w:spacing w:before="0"/>
                    <w:rPr>
                      <w:rFonts w:cs="Times New Roman"/>
                      <w:color w:val="auto"/>
                      <w:sz w:val="21"/>
                      <w:szCs w:val="21"/>
                      <w:lang w:eastAsia="zh-CN"/>
                    </w:rPr>
                  </w:pPr>
                </w:p>
              </w:tc>
              <w:tc>
                <w:tcPr>
                  <w:tcW w:w="1362" w:type="pct"/>
                  <w:noWrap w:val="0"/>
                  <w:tcMar>
                    <w:top w:w="0" w:type="dxa"/>
                    <w:left w:w="108" w:type="dxa"/>
                    <w:bottom w:w="0" w:type="dxa"/>
                    <w:right w:w="108" w:type="dxa"/>
                  </w:tcMar>
                  <w:vAlign w:val="center"/>
                </w:tcPr>
                <w:p w14:paraId="2AE34CE0">
                  <w:pPr>
                    <w:pStyle w:val="77"/>
                    <w:adjustRightInd w:val="0"/>
                    <w:snapToGrid w:val="0"/>
                    <w:spacing w:before="0"/>
                    <w:jc w:val="center"/>
                    <w:rPr>
                      <w:rFonts w:cs="Times New Roman"/>
                      <w:color w:val="auto"/>
                      <w:sz w:val="21"/>
                      <w:szCs w:val="21"/>
                      <w:lang w:eastAsia="zh-CN"/>
                    </w:rPr>
                  </w:pPr>
                  <w:r>
                    <w:rPr>
                      <w:rFonts w:hint="eastAsia"/>
                      <w:color w:val="auto"/>
                    </w:rPr>
                    <w:t>鼓风电热干燥箱</w:t>
                  </w:r>
                </w:p>
              </w:tc>
              <w:tc>
                <w:tcPr>
                  <w:tcW w:w="1409" w:type="pct"/>
                  <w:noWrap w:val="0"/>
                  <w:tcMar>
                    <w:top w:w="0" w:type="dxa"/>
                    <w:left w:w="108" w:type="dxa"/>
                    <w:bottom w:w="0" w:type="dxa"/>
                    <w:right w:w="108" w:type="dxa"/>
                  </w:tcMar>
                  <w:vAlign w:val="center"/>
                </w:tcPr>
                <w:p w14:paraId="2471DFDE">
                  <w:pPr>
                    <w:pStyle w:val="77"/>
                    <w:adjustRightInd w:val="0"/>
                    <w:snapToGrid w:val="0"/>
                    <w:spacing w:before="0"/>
                    <w:rPr>
                      <w:rFonts w:hint="default" w:ascii="Times New Roman" w:hAnsi="Times New Roman" w:cs="Times New Roman"/>
                      <w:color w:val="auto"/>
                      <w:sz w:val="21"/>
                      <w:szCs w:val="21"/>
                      <w:lang w:eastAsia="zh-CN"/>
                    </w:rPr>
                  </w:pPr>
                  <w:r>
                    <w:rPr>
                      <w:rFonts w:hint="default" w:ascii="Times New Roman" w:hAnsi="Times New Roman" w:cs="Times New Roman"/>
                      <w:color w:val="auto"/>
                      <w:lang w:val="en-US" w:eastAsia="zh-CN"/>
                    </w:rPr>
                    <w:t>101-4S</w:t>
                  </w:r>
                </w:p>
              </w:tc>
              <w:tc>
                <w:tcPr>
                  <w:tcW w:w="595" w:type="pct"/>
                  <w:noWrap w:val="0"/>
                  <w:tcMar>
                    <w:top w:w="0" w:type="dxa"/>
                    <w:left w:w="108" w:type="dxa"/>
                    <w:bottom w:w="0" w:type="dxa"/>
                    <w:right w:w="108" w:type="dxa"/>
                  </w:tcMar>
                  <w:vAlign w:val="center"/>
                </w:tcPr>
                <w:p w14:paraId="6EEFB7B9">
                  <w:pPr>
                    <w:pStyle w:val="77"/>
                    <w:adjustRightInd w:val="0"/>
                    <w:snapToGrid w:val="0"/>
                    <w:spacing w:before="0"/>
                    <w:rPr>
                      <w:rFonts w:hint="default" w:cs="Times New Roman"/>
                      <w:color w:val="auto"/>
                      <w:sz w:val="21"/>
                      <w:szCs w:val="21"/>
                      <w:lang w:val="en-US" w:eastAsia="zh-CN"/>
                    </w:rPr>
                  </w:pPr>
                  <w:r>
                    <w:rPr>
                      <w:rFonts w:hint="eastAsia" w:cs="Times New Roman"/>
                      <w:color w:val="auto"/>
                      <w:sz w:val="21"/>
                      <w:szCs w:val="21"/>
                      <w:lang w:val="en-US" w:eastAsia="zh-CN"/>
                    </w:rPr>
                    <w:t>4</w:t>
                  </w:r>
                </w:p>
              </w:tc>
              <w:tc>
                <w:tcPr>
                  <w:tcW w:w="437" w:type="pct"/>
                  <w:noWrap w:val="0"/>
                  <w:tcMar>
                    <w:top w:w="0" w:type="dxa"/>
                    <w:left w:w="108" w:type="dxa"/>
                    <w:bottom w:w="0" w:type="dxa"/>
                    <w:right w:w="108" w:type="dxa"/>
                  </w:tcMar>
                  <w:vAlign w:val="center"/>
                </w:tcPr>
                <w:p w14:paraId="059B5964">
                  <w:pPr>
                    <w:pStyle w:val="77"/>
                    <w:adjustRightInd w:val="0"/>
                    <w:snapToGrid w:val="0"/>
                    <w:spacing w:before="0"/>
                    <w:rPr>
                      <w:rFonts w:cs="Times New Roman"/>
                      <w:color w:val="auto"/>
                      <w:sz w:val="21"/>
                      <w:szCs w:val="21"/>
                      <w:lang w:eastAsia="zh-CN"/>
                    </w:rPr>
                  </w:pPr>
                  <w:r>
                    <w:rPr>
                      <w:rFonts w:hint="eastAsia" w:cs="Times New Roman"/>
                      <w:color w:val="auto"/>
                      <w:sz w:val="21"/>
                      <w:szCs w:val="21"/>
                      <w:lang w:val="en-US" w:eastAsia="zh-CN"/>
                    </w:rPr>
                    <w:t>台</w:t>
                  </w:r>
                </w:p>
              </w:tc>
              <w:tc>
                <w:tcPr>
                  <w:tcW w:w="831" w:type="pct"/>
                  <w:noWrap w:val="0"/>
                  <w:tcMar>
                    <w:top w:w="0" w:type="dxa"/>
                    <w:left w:w="108" w:type="dxa"/>
                    <w:bottom w:w="0" w:type="dxa"/>
                    <w:right w:w="108" w:type="dxa"/>
                  </w:tcMar>
                  <w:vAlign w:val="center"/>
                </w:tcPr>
                <w:p w14:paraId="06659B86">
                  <w:pPr>
                    <w:pStyle w:val="77"/>
                    <w:adjustRightInd w:val="0"/>
                    <w:snapToGrid w:val="0"/>
                    <w:spacing w:before="0"/>
                    <w:rPr>
                      <w:rFonts w:cs="Times New Roman"/>
                      <w:color w:val="auto"/>
                      <w:sz w:val="21"/>
                      <w:szCs w:val="21"/>
                      <w:lang w:eastAsia="zh-CN"/>
                    </w:rPr>
                  </w:pPr>
                  <w:r>
                    <w:rPr>
                      <w:rFonts w:hint="eastAsia" w:cs="Times New Roman"/>
                      <w:color w:val="auto"/>
                      <w:sz w:val="21"/>
                      <w:szCs w:val="21"/>
                      <w:lang w:eastAsia="zh-CN"/>
                    </w:rPr>
                    <w:t>加工室</w:t>
                  </w:r>
                </w:p>
              </w:tc>
            </w:tr>
            <w:tr w14:paraId="6E2472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63" w:type="pct"/>
                  <w:noWrap w:val="0"/>
                  <w:tcMar>
                    <w:top w:w="0" w:type="dxa"/>
                    <w:left w:w="108" w:type="dxa"/>
                    <w:bottom w:w="0" w:type="dxa"/>
                    <w:right w:w="108" w:type="dxa"/>
                  </w:tcMar>
                  <w:vAlign w:val="center"/>
                </w:tcPr>
                <w:p w14:paraId="3DE5CDDD">
                  <w:pPr>
                    <w:pStyle w:val="77"/>
                    <w:numPr>
                      <w:ilvl w:val="0"/>
                      <w:numId w:val="3"/>
                    </w:numPr>
                    <w:adjustRightInd w:val="0"/>
                    <w:snapToGrid w:val="0"/>
                    <w:spacing w:before="0"/>
                    <w:rPr>
                      <w:rFonts w:cs="Times New Roman"/>
                      <w:color w:val="auto"/>
                      <w:sz w:val="21"/>
                      <w:szCs w:val="21"/>
                      <w:lang w:eastAsia="zh-CN"/>
                    </w:rPr>
                  </w:pPr>
                </w:p>
              </w:tc>
              <w:tc>
                <w:tcPr>
                  <w:tcW w:w="1362" w:type="pct"/>
                  <w:noWrap w:val="0"/>
                  <w:tcMar>
                    <w:top w:w="0" w:type="dxa"/>
                    <w:left w:w="108" w:type="dxa"/>
                    <w:bottom w:w="0" w:type="dxa"/>
                    <w:right w:w="108" w:type="dxa"/>
                  </w:tcMar>
                  <w:vAlign w:val="center"/>
                </w:tcPr>
                <w:p w14:paraId="74402F5C">
                  <w:pPr>
                    <w:pStyle w:val="77"/>
                    <w:adjustRightInd w:val="0"/>
                    <w:snapToGrid w:val="0"/>
                    <w:spacing w:before="0"/>
                    <w:jc w:val="center"/>
                    <w:rPr>
                      <w:rFonts w:cs="Times New Roman"/>
                      <w:color w:val="auto"/>
                      <w:sz w:val="21"/>
                      <w:szCs w:val="21"/>
                      <w:lang w:eastAsia="zh-CN"/>
                    </w:rPr>
                  </w:pPr>
                  <w:r>
                    <w:rPr>
                      <w:rFonts w:hint="default" w:ascii="Times New Roman" w:hAnsi="Times New Roman" w:cs="Times New Roman"/>
                      <w:color w:val="auto"/>
                      <w:lang w:val="en-US" w:eastAsia="zh-CN"/>
                    </w:rPr>
                    <w:t>大称量电子天平</w:t>
                  </w:r>
                </w:p>
              </w:tc>
              <w:tc>
                <w:tcPr>
                  <w:tcW w:w="1409" w:type="pct"/>
                  <w:noWrap w:val="0"/>
                  <w:tcMar>
                    <w:top w:w="0" w:type="dxa"/>
                    <w:left w:w="108" w:type="dxa"/>
                    <w:bottom w:w="0" w:type="dxa"/>
                    <w:right w:w="108" w:type="dxa"/>
                  </w:tcMar>
                  <w:vAlign w:val="center"/>
                </w:tcPr>
                <w:p w14:paraId="7CA067C4">
                  <w:pPr>
                    <w:pStyle w:val="77"/>
                    <w:adjustRightInd w:val="0"/>
                    <w:snapToGrid w:val="0"/>
                    <w:spacing w:before="0"/>
                    <w:rPr>
                      <w:rFonts w:hint="default" w:ascii="Times New Roman" w:hAnsi="Times New Roman" w:cs="Times New Roman"/>
                      <w:color w:val="auto"/>
                      <w:sz w:val="21"/>
                      <w:szCs w:val="21"/>
                      <w:lang w:eastAsia="zh-CN"/>
                    </w:rPr>
                  </w:pPr>
                  <w:r>
                    <w:rPr>
                      <w:rFonts w:hint="default" w:ascii="Times New Roman" w:hAnsi="Times New Roman" w:cs="Times New Roman"/>
                      <w:color w:val="auto"/>
                      <w:lang w:val="en-US" w:eastAsia="zh-CN"/>
                    </w:rPr>
                    <w:t>JS30-05</w:t>
                  </w:r>
                </w:p>
              </w:tc>
              <w:tc>
                <w:tcPr>
                  <w:tcW w:w="595" w:type="pct"/>
                  <w:noWrap w:val="0"/>
                  <w:tcMar>
                    <w:top w:w="0" w:type="dxa"/>
                    <w:left w:w="108" w:type="dxa"/>
                    <w:bottom w:w="0" w:type="dxa"/>
                    <w:right w:w="108" w:type="dxa"/>
                  </w:tcMar>
                  <w:vAlign w:val="center"/>
                </w:tcPr>
                <w:p w14:paraId="74A4A72C">
                  <w:pPr>
                    <w:pStyle w:val="77"/>
                    <w:adjustRightInd w:val="0"/>
                    <w:snapToGrid w:val="0"/>
                    <w:spacing w:before="0"/>
                    <w:rPr>
                      <w:rFonts w:cs="Times New Roman"/>
                      <w:color w:val="auto"/>
                      <w:sz w:val="21"/>
                      <w:szCs w:val="21"/>
                      <w:lang w:eastAsia="zh-CN"/>
                    </w:rPr>
                  </w:pPr>
                  <w:r>
                    <w:rPr>
                      <w:rFonts w:hint="eastAsia" w:cs="Times New Roman"/>
                      <w:color w:val="auto"/>
                      <w:sz w:val="21"/>
                      <w:szCs w:val="21"/>
                      <w:lang w:val="en-US" w:eastAsia="zh-CN"/>
                    </w:rPr>
                    <w:t>1</w:t>
                  </w:r>
                </w:p>
              </w:tc>
              <w:tc>
                <w:tcPr>
                  <w:tcW w:w="437" w:type="pct"/>
                  <w:noWrap w:val="0"/>
                  <w:tcMar>
                    <w:top w:w="0" w:type="dxa"/>
                    <w:left w:w="108" w:type="dxa"/>
                    <w:bottom w:w="0" w:type="dxa"/>
                    <w:right w:w="108" w:type="dxa"/>
                  </w:tcMar>
                  <w:vAlign w:val="center"/>
                </w:tcPr>
                <w:p w14:paraId="079A2A8F">
                  <w:pPr>
                    <w:pStyle w:val="77"/>
                    <w:adjustRightInd w:val="0"/>
                    <w:snapToGrid w:val="0"/>
                    <w:spacing w:before="0"/>
                    <w:rPr>
                      <w:rFonts w:cs="Times New Roman"/>
                      <w:color w:val="auto"/>
                      <w:sz w:val="21"/>
                      <w:szCs w:val="21"/>
                      <w:lang w:eastAsia="zh-CN"/>
                    </w:rPr>
                  </w:pPr>
                  <w:r>
                    <w:rPr>
                      <w:rFonts w:hint="eastAsia" w:cs="Times New Roman"/>
                      <w:color w:val="auto"/>
                      <w:sz w:val="21"/>
                      <w:szCs w:val="21"/>
                      <w:lang w:val="en-US" w:eastAsia="zh-CN"/>
                    </w:rPr>
                    <w:t>台</w:t>
                  </w:r>
                </w:p>
              </w:tc>
              <w:tc>
                <w:tcPr>
                  <w:tcW w:w="831" w:type="pct"/>
                  <w:noWrap w:val="0"/>
                  <w:tcMar>
                    <w:top w:w="0" w:type="dxa"/>
                    <w:left w:w="108" w:type="dxa"/>
                    <w:bottom w:w="0" w:type="dxa"/>
                    <w:right w:w="108" w:type="dxa"/>
                  </w:tcMar>
                  <w:vAlign w:val="center"/>
                </w:tcPr>
                <w:p w14:paraId="0465401C">
                  <w:pPr>
                    <w:pStyle w:val="77"/>
                    <w:adjustRightInd w:val="0"/>
                    <w:snapToGrid w:val="0"/>
                    <w:spacing w:before="0"/>
                    <w:rPr>
                      <w:rFonts w:cs="Times New Roman"/>
                      <w:color w:val="auto"/>
                      <w:sz w:val="21"/>
                      <w:szCs w:val="21"/>
                      <w:lang w:eastAsia="zh-CN"/>
                    </w:rPr>
                  </w:pPr>
                  <w:r>
                    <w:rPr>
                      <w:rFonts w:hint="eastAsia" w:cs="Times New Roman"/>
                      <w:color w:val="auto"/>
                      <w:sz w:val="21"/>
                      <w:szCs w:val="21"/>
                      <w:lang w:eastAsia="zh-CN"/>
                    </w:rPr>
                    <w:t>加工室</w:t>
                  </w:r>
                </w:p>
              </w:tc>
            </w:tr>
            <w:tr w14:paraId="10E84F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63" w:type="pct"/>
                  <w:noWrap w:val="0"/>
                  <w:tcMar>
                    <w:top w:w="0" w:type="dxa"/>
                    <w:left w:w="108" w:type="dxa"/>
                    <w:bottom w:w="0" w:type="dxa"/>
                    <w:right w:w="108" w:type="dxa"/>
                  </w:tcMar>
                  <w:vAlign w:val="center"/>
                </w:tcPr>
                <w:p w14:paraId="6C791AEA">
                  <w:pPr>
                    <w:pStyle w:val="77"/>
                    <w:numPr>
                      <w:ilvl w:val="0"/>
                      <w:numId w:val="3"/>
                    </w:numPr>
                    <w:adjustRightInd w:val="0"/>
                    <w:snapToGrid w:val="0"/>
                    <w:spacing w:before="0"/>
                    <w:rPr>
                      <w:rFonts w:cs="Times New Roman"/>
                      <w:color w:val="auto"/>
                      <w:sz w:val="21"/>
                      <w:szCs w:val="21"/>
                      <w:lang w:eastAsia="zh-CN"/>
                    </w:rPr>
                  </w:pPr>
                </w:p>
              </w:tc>
              <w:tc>
                <w:tcPr>
                  <w:tcW w:w="1362" w:type="pct"/>
                  <w:noWrap w:val="0"/>
                  <w:tcMar>
                    <w:top w:w="0" w:type="dxa"/>
                    <w:left w:w="108" w:type="dxa"/>
                    <w:bottom w:w="0" w:type="dxa"/>
                    <w:right w:w="108" w:type="dxa"/>
                  </w:tcMar>
                  <w:vAlign w:val="center"/>
                </w:tcPr>
                <w:p w14:paraId="6869DE59">
                  <w:pPr>
                    <w:pStyle w:val="77"/>
                    <w:adjustRightInd w:val="0"/>
                    <w:snapToGrid w:val="0"/>
                    <w:spacing w:before="0"/>
                    <w:jc w:val="center"/>
                    <w:rPr>
                      <w:rFonts w:cs="Times New Roman"/>
                      <w:color w:val="auto"/>
                      <w:sz w:val="21"/>
                      <w:szCs w:val="21"/>
                      <w:lang w:eastAsia="zh-CN"/>
                    </w:rPr>
                  </w:pPr>
                  <w:r>
                    <w:rPr>
                      <w:rFonts w:hint="eastAsia"/>
                      <w:color w:val="auto"/>
                      <w:lang w:eastAsia="zh-CN"/>
                    </w:rPr>
                    <w:t>石墨</w:t>
                  </w:r>
                  <w:r>
                    <w:rPr>
                      <w:rFonts w:hint="eastAsia"/>
                      <w:color w:val="auto"/>
                    </w:rPr>
                    <w:t>电热板</w:t>
                  </w:r>
                </w:p>
              </w:tc>
              <w:tc>
                <w:tcPr>
                  <w:tcW w:w="1409" w:type="pct"/>
                  <w:noWrap w:val="0"/>
                  <w:tcMar>
                    <w:top w:w="0" w:type="dxa"/>
                    <w:left w:w="108" w:type="dxa"/>
                    <w:bottom w:w="0" w:type="dxa"/>
                    <w:right w:w="108" w:type="dxa"/>
                  </w:tcMar>
                  <w:vAlign w:val="center"/>
                </w:tcPr>
                <w:p w14:paraId="2035E370">
                  <w:pPr>
                    <w:pStyle w:val="77"/>
                    <w:adjustRightInd w:val="0"/>
                    <w:snapToGrid w:val="0"/>
                    <w:spacing w:before="0"/>
                    <w:rPr>
                      <w:rFonts w:hint="default" w:ascii="Times New Roman" w:hAnsi="Times New Roman" w:cs="Times New Roman"/>
                      <w:color w:val="auto"/>
                      <w:sz w:val="21"/>
                      <w:szCs w:val="21"/>
                      <w:lang w:eastAsia="zh-CN"/>
                    </w:rPr>
                  </w:pPr>
                  <w:r>
                    <w:rPr>
                      <w:rFonts w:hint="default" w:ascii="Times New Roman" w:hAnsi="Times New Roman" w:cs="Times New Roman"/>
                      <w:color w:val="auto"/>
                      <w:lang w:val="en-US" w:eastAsia="zh-CN"/>
                    </w:rPr>
                    <w:t>LC-DB-EFS</w:t>
                  </w:r>
                </w:p>
              </w:tc>
              <w:tc>
                <w:tcPr>
                  <w:tcW w:w="595" w:type="pct"/>
                  <w:noWrap w:val="0"/>
                  <w:tcMar>
                    <w:top w:w="0" w:type="dxa"/>
                    <w:left w:w="108" w:type="dxa"/>
                    <w:bottom w:w="0" w:type="dxa"/>
                    <w:right w:w="108" w:type="dxa"/>
                  </w:tcMar>
                  <w:vAlign w:val="center"/>
                </w:tcPr>
                <w:p w14:paraId="31FE9E3B">
                  <w:pPr>
                    <w:pStyle w:val="77"/>
                    <w:adjustRightInd w:val="0"/>
                    <w:snapToGrid w:val="0"/>
                    <w:spacing w:before="0"/>
                    <w:rPr>
                      <w:rFonts w:hint="default" w:cs="Times New Roman"/>
                      <w:color w:val="auto"/>
                      <w:sz w:val="21"/>
                      <w:szCs w:val="21"/>
                      <w:lang w:val="en-US" w:eastAsia="zh-CN"/>
                    </w:rPr>
                  </w:pPr>
                  <w:r>
                    <w:rPr>
                      <w:rFonts w:hint="eastAsia" w:cs="Times New Roman"/>
                      <w:color w:val="auto"/>
                      <w:sz w:val="21"/>
                      <w:szCs w:val="21"/>
                      <w:lang w:val="en-US" w:eastAsia="zh-CN"/>
                    </w:rPr>
                    <w:t>3</w:t>
                  </w:r>
                </w:p>
              </w:tc>
              <w:tc>
                <w:tcPr>
                  <w:tcW w:w="437" w:type="pct"/>
                  <w:noWrap w:val="0"/>
                  <w:tcMar>
                    <w:top w:w="0" w:type="dxa"/>
                    <w:left w:w="108" w:type="dxa"/>
                    <w:bottom w:w="0" w:type="dxa"/>
                    <w:right w:w="108" w:type="dxa"/>
                  </w:tcMar>
                  <w:vAlign w:val="center"/>
                </w:tcPr>
                <w:p w14:paraId="3D42C556">
                  <w:pPr>
                    <w:pStyle w:val="77"/>
                    <w:adjustRightInd w:val="0"/>
                    <w:snapToGrid w:val="0"/>
                    <w:spacing w:before="0"/>
                    <w:rPr>
                      <w:rFonts w:cs="Times New Roman"/>
                      <w:color w:val="auto"/>
                      <w:sz w:val="21"/>
                      <w:szCs w:val="21"/>
                      <w:lang w:eastAsia="zh-CN"/>
                    </w:rPr>
                  </w:pPr>
                  <w:r>
                    <w:rPr>
                      <w:rFonts w:hint="eastAsia" w:cs="Times New Roman"/>
                      <w:color w:val="auto"/>
                      <w:sz w:val="21"/>
                      <w:szCs w:val="21"/>
                      <w:lang w:eastAsia="zh-CN"/>
                    </w:rPr>
                    <w:t>台</w:t>
                  </w:r>
                </w:p>
              </w:tc>
              <w:tc>
                <w:tcPr>
                  <w:tcW w:w="831" w:type="pct"/>
                  <w:noWrap w:val="0"/>
                  <w:tcMar>
                    <w:top w:w="0" w:type="dxa"/>
                    <w:left w:w="108" w:type="dxa"/>
                    <w:bottom w:w="0" w:type="dxa"/>
                    <w:right w:w="108" w:type="dxa"/>
                  </w:tcMar>
                  <w:vAlign w:val="center"/>
                </w:tcPr>
                <w:p w14:paraId="66EA709E">
                  <w:pPr>
                    <w:pStyle w:val="77"/>
                    <w:adjustRightInd w:val="0"/>
                    <w:snapToGrid w:val="0"/>
                    <w:spacing w:before="0"/>
                    <w:rPr>
                      <w:rFonts w:hint="default" w:cs="Times New Roman"/>
                      <w:color w:val="auto"/>
                      <w:sz w:val="21"/>
                      <w:szCs w:val="21"/>
                      <w:lang w:val="en-US" w:eastAsia="zh-CN"/>
                    </w:rPr>
                  </w:pPr>
                  <w:r>
                    <w:rPr>
                      <w:rFonts w:hint="eastAsia" w:cs="Times New Roman"/>
                      <w:color w:val="auto"/>
                      <w:sz w:val="21"/>
                      <w:szCs w:val="21"/>
                      <w:lang w:eastAsia="zh-CN"/>
                    </w:rPr>
                    <w:t>操作室</w:t>
                  </w:r>
                  <w:r>
                    <w:rPr>
                      <w:rFonts w:hint="eastAsia" w:cs="Times New Roman"/>
                      <w:color w:val="auto"/>
                      <w:sz w:val="21"/>
                      <w:szCs w:val="21"/>
                      <w:lang w:val="en-US" w:eastAsia="zh-CN"/>
                    </w:rPr>
                    <w:t>1</w:t>
                  </w:r>
                </w:p>
              </w:tc>
            </w:tr>
            <w:tr w14:paraId="389884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63" w:type="pct"/>
                  <w:noWrap w:val="0"/>
                  <w:tcMar>
                    <w:top w:w="0" w:type="dxa"/>
                    <w:left w:w="108" w:type="dxa"/>
                    <w:bottom w:w="0" w:type="dxa"/>
                    <w:right w:w="108" w:type="dxa"/>
                  </w:tcMar>
                  <w:vAlign w:val="center"/>
                </w:tcPr>
                <w:p w14:paraId="068C1E19">
                  <w:pPr>
                    <w:pStyle w:val="77"/>
                    <w:numPr>
                      <w:ilvl w:val="0"/>
                      <w:numId w:val="3"/>
                    </w:numPr>
                    <w:adjustRightInd w:val="0"/>
                    <w:snapToGrid w:val="0"/>
                    <w:spacing w:before="0"/>
                    <w:rPr>
                      <w:rFonts w:cs="Times New Roman"/>
                      <w:color w:val="auto"/>
                      <w:sz w:val="21"/>
                      <w:szCs w:val="21"/>
                      <w:lang w:eastAsia="zh-CN"/>
                    </w:rPr>
                  </w:pPr>
                </w:p>
              </w:tc>
              <w:tc>
                <w:tcPr>
                  <w:tcW w:w="1362" w:type="pct"/>
                  <w:noWrap w:val="0"/>
                  <w:tcMar>
                    <w:top w:w="0" w:type="dxa"/>
                    <w:left w:w="108" w:type="dxa"/>
                    <w:bottom w:w="0" w:type="dxa"/>
                    <w:right w:w="108" w:type="dxa"/>
                  </w:tcMar>
                  <w:vAlign w:val="center"/>
                </w:tcPr>
                <w:p w14:paraId="2B3D129A">
                  <w:pPr>
                    <w:pStyle w:val="77"/>
                    <w:adjustRightInd w:val="0"/>
                    <w:snapToGrid w:val="0"/>
                    <w:spacing w:before="0"/>
                    <w:jc w:val="center"/>
                    <w:rPr>
                      <w:rFonts w:cs="Times New Roman"/>
                      <w:color w:val="auto"/>
                      <w:sz w:val="21"/>
                      <w:szCs w:val="21"/>
                      <w:lang w:eastAsia="zh-CN"/>
                    </w:rPr>
                  </w:pPr>
                  <w:r>
                    <w:rPr>
                      <w:rFonts w:hint="eastAsia"/>
                      <w:color w:val="auto"/>
                    </w:rPr>
                    <w:t>恒温水浴锅</w:t>
                  </w:r>
                </w:p>
              </w:tc>
              <w:tc>
                <w:tcPr>
                  <w:tcW w:w="1409" w:type="pct"/>
                  <w:noWrap w:val="0"/>
                  <w:tcMar>
                    <w:top w:w="0" w:type="dxa"/>
                    <w:left w:w="108" w:type="dxa"/>
                    <w:bottom w:w="0" w:type="dxa"/>
                    <w:right w:w="108" w:type="dxa"/>
                  </w:tcMar>
                  <w:vAlign w:val="center"/>
                </w:tcPr>
                <w:p w14:paraId="61BE2687">
                  <w:pPr>
                    <w:pStyle w:val="77"/>
                    <w:adjustRightInd w:val="0"/>
                    <w:snapToGrid w:val="0"/>
                    <w:spacing w:before="0"/>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HH-8</w:t>
                  </w:r>
                </w:p>
              </w:tc>
              <w:tc>
                <w:tcPr>
                  <w:tcW w:w="595" w:type="pct"/>
                  <w:noWrap w:val="0"/>
                  <w:tcMar>
                    <w:top w:w="0" w:type="dxa"/>
                    <w:left w:w="108" w:type="dxa"/>
                    <w:bottom w:w="0" w:type="dxa"/>
                    <w:right w:w="108" w:type="dxa"/>
                  </w:tcMar>
                  <w:vAlign w:val="center"/>
                </w:tcPr>
                <w:p w14:paraId="154955A9">
                  <w:pPr>
                    <w:pStyle w:val="77"/>
                    <w:adjustRightInd w:val="0"/>
                    <w:snapToGrid w:val="0"/>
                    <w:spacing w:before="0"/>
                    <w:rPr>
                      <w:rFonts w:hint="default" w:cs="Times New Roman"/>
                      <w:color w:val="auto"/>
                      <w:sz w:val="21"/>
                      <w:szCs w:val="21"/>
                      <w:lang w:val="en-US" w:eastAsia="zh-CN"/>
                    </w:rPr>
                  </w:pPr>
                  <w:r>
                    <w:rPr>
                      <w:rFonts w:hint="eastAsia" w:cs="Times New Roman"/>
                      <w:color w:val="auto"/>
                      <w:sz w:val="21"/>
                      <w:szCs w:val="21"/>
                      <w:lang w:val="en-US" w:eastAsia="zh-CN"/>
                    </w:rPr>
                    <w:t>1</w:t>
                  </w:r>
                </w:p>
              </w:tc>
              <w:tc>
                <w:tcPr>
                  <w:tcW w:w="437" w:type="pct"/>
                  <w:noWrap w:val="0"/>
                  <w:tcMar>
                    <w:top w:w="0" w:type="dxa"/>
                    <w:left w:w="108" w:type="dxa"/>
                    <w:bottom w:w="0" w:type="dxa"/>
                    <w:right w:w="108" w:type="dxa"/>
                  </w:tcMar>
                  <w:vAlign w:val="center"/>
                </w:tcPr>
                <w:p w14:paraId="7D9ADBEE">
                  <w:pPr>
                    <w:pStyle w:val="77"/>
                    <w:adjustRightInd w:val="0"/>
                    <w:snapToGrid w:val="0"/>
                    <w:spacing w:before="0"/>
                    <w:rPr>
                      <w:rFonts w:hint="eastAsia" w:cs="Times New Roman"/>
                      <w:color w:val="auto"/>
                      <w:sz w:val="21"/>
                      <w:szCs w:val="21"/>
                      <w:lang w:eastAsia="zh-CN"/>
                    </w:rPr>
                  </w:pPr>
                  <w:r>
                    <w:rPr>
                      <w:rFonts w:hint="eastAsia" w:cs="Times New Roman"/>
                      <w:color w:val="auto"/>
                      <w:sz w:val="21"/>
                      <w:szCs w:val="21"/>
                      <w:lang w:eastAsia="zh-CN"/>
                    </w:rPr>
                    <w:t>台</w:t>
                  </w:r>
                </w:p>
              </w:tc>
              <w:tc>
                <w:tcPr>
                  <w:tcW w:w="831" w:type="pct"/>
                  <w:noWrap w:val="0"/>
                  <w:tcMar>
                    <w:top w:w="0" w:type="dxa"/>
                    <w:left w:w="108" w:type="dxa"/>
                    <w:bottom w:w="0" w:type="dxa"/>
                    <w:right w:w="108" w:type="dxa"/>
                  </w:tcMar>
                  <w:vAlign w:val="center"/>
                </w:tcPr>
                <w:p w14:paraId="46AC11A1">
                  <w:pPr>
                    <w:pStyle w:val="77"/>
                    <w:adjustRightInd w:val="0"/>
                    <w:snapToGrid w:val="0"/>
                    <w:spacing w:before="0"/>
                    <w:rPr>
                      <w:rFonts w:hint="eastAsia" w:cs="Times New Roman"/>
                      <w:color w:val="auto"/>
                      <w:sz w:val="21"/>
                      <w:szCs w:val="21"/>
                      <w:lang w:eastAsia="zh-CN"/>
                    </w:rPr>
                  </w:pPr>
                  <w:r>
                    <w:rPr>
                      <w:rFonts w:hint="eastAsia" w:cs="Times New Roman"/>
                      <w:color w:val="auto"/>
                      <w:sz w:val="21"/>
                      <w:szCs w:val="21"/>
                      <w:lang w:eastAsia="zh-CN"/>
                    </w:rPr>
                    <w:t>操作室</w:t>
                  </w:r>
                  <w:r>
                    <w:rPr>
                      <w:rFonts w:hint="eastAsia" w:cs="Times New Roman"/>
                      <w:color w:val="auto"/>
                      <w:sz w:val="21"/>
                      <w:szCs w:val="21"/>
                      <w:lang w:val="en-US" w:eastAsia="zh-CN"/>
                    </w:rPr>
                    <w:t>1</w:t>
                  </w:r>
                </w:p>
              </w:tc>
            </w:tr>
            <w:tr w14:paraId="2A1F5B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63" w:type="pct"/>
                  <w:noWrap w:val="0"/>
                  <w:tcMar>
                    <w:top w:w="0" w:type="dxa"/>
                    <w:left w:w="108" w:type="dxa"/>
                    <w:bottom w:w="0" w:type="dxa"/>
                    <w:right w:w="108" w:type="dxa"/>
                  </w:tcMar>
                  <w:vAlign w:val="center"/>
                </w:tcPr>
                <w:p w14:paraId="1FAB7B94">
                  <w:pPr>
                    <w:pStyle w:val="77"/>
                    <w:numPr>
                      <w:ilvl w:val="0"/>
                      <w:numId w:val="3"/>
                    </w:numPr>
                    <w:adjustRightInd w:val="0"/>
                    <w:snapToGrid w:val="0"/>
                    <w:spacing w:before="0"/>
                    <w:rPr>
                      <w:rFonts w:cs="Times New Roman"/>
                      <w:color w:val="auto"/>
                      <w:sz w:val="21"/>
                      <w:szCs w:val="21"/>
                      <w:lang w:eastAsia="zh-CN"/>
                    </w:rPr>
                  </w:pPr>
                </w:p>
              </w:tc>
              <w:tc>
                <w:tcPr>
                  <w:tcW w:w="1362" w:type="pct"/>
                  <w:noWrap w:val="0"/>
                  <w:tcMar>
                    <w:top w:w="0" w:type="dxa"/>
                    <w:left w:w="108" w:type="dxa"/>
                    <w:bottom w:w="0" w:type="dxa"/>
                    <w:right w:w="108" w:type="dxa"/>
                  </w:tcMar>
                  <w:vAlign w:val="center"/>
                </w:tcPr>
                <w:p w14:paraId="1FBBCAD5">
                  <w:pPr>
                    <w:pStyle w:val="77"/>
                    <w:adjustRightInd w:val="0"/>
                    <w:snapToGrid w:val="0"/>
                    <w:spacing w:before="0"/>
                    <w:jc w:val="center"/>
                    <w:rPr>
                      <w:rFonts w:hint="eastAsia"/>
                      <w:color w:val="auto"/>
                      <w:lang w:eastAsia="zh-CN"/>
                    </w:rPr>
                  </w:pPr>
                  <w:r>
                    <w:rPr>
                      <w:rFonts w:hint="eastAsia"/>
                      <w:color w:val="auto"/>
                    </w:rPr>
                    <w:t>调速多用振荡器</w:t>
                  </w:r>
                </w:p>
              </w:tc>
              <w:tc>
                <w:tcPr>
                  <w:tcW w:w="1409" w:type="pct"/>
                  <w:noWrap w:val="0"/>
                  <w:tcMar>
                    <w:top w:w="0" w:type="dxa"/>
                    <w:left w:w="108" w:type="dxa"/>
                    <w:bottom w:w="0" w:type="dxa"/>
                    <w:right w:w="108" w:type="dxa"/>
                  </w:tcMar>
                  <w:vAlign w:val="center"/>
                </w:tcPr>
                <w:p w14:paraId="2F91E45D">
                  <w:pPr>
                    <w:pStyle w:val="77"/>
                    <w:adjustRightInd w:val="0"/>
                    <w:snapToGrid w:val="0"/>
                    <w:spacing w:before="0"/>
                    <w:rPr>
                      <w:rFonts w:hint="default" w:ascii="Times New Roman" w:hAnsi="Times New Roman" w:cs="Times New Roman"/>
                      <w:color w:val="auto"/>
                      <w:lang w:val="en-US" w:eastAsia="zh-CN"/>
                    </w:rPr>
                  </w:pPr>
                  <w:r>
                    <w:rPr>
                      <w:rFonts w:hint="default" w:ascii="Times New Roman" w:hAnsi="Times New Roman" w:cs="Times New Roman"/>
                      <w:color w:val="auto"/>
                      <w:kern w:val="0"/>
                      <w:sz w:val="18"/>
                      <w:szCs w:val="18"/>
                      <w:lang w:val="en-US" w:eastAsia="zh-CN"/>
                    </w:rPr>
                    <w:t>HY-8A</w:t>
                  </w:r>
                </w:p>
              </w:tc>
              <w:tc>
                <w:tcPr>
                  <w:tcW w:w="595" w:type="pct"/>
                  <w:noWrap w:val="0"/>
                  <w:tcMar>
                    <w:top w:w="0" w:type="dxa"/>
                    <w:left w:w="108" w:type="dxa"/>
                    <w:bottom w:w="0" w:type="dxa"/>
                    <w:right w:w="108" w:type="dxa"/>
                  </w:tcMar>
                  <w:vAlign w:val="center"/>
                </w:tcPr>
                <w:p w14:paraId="36A2CA2D">
                  <w:pPr>
                    <w:pStyle w:val="77"/>
                    <w:adjustRightInd w:val="0"/>
                    <w:snapToGrid w:val="0"/>
                    <w:spacing w:before="0"/>
                    <w:rPr>
                      <w:rFonts w:hint="default" w:cs="Times New Roman"/>
                      <w:color w:val="auto"/>
                      <w:sz w:val="21"/>
                      <w:szCs w:val="21"/>
                      <w:lang w:val="en-US" w:eastAsia="zh-CN"/>
                    </w:rPr>
                  </w:pPr>
                  <w:r>
                    <w:rPr>
                      <w:rFonts w:hint="eastAsia" w:cs="Times New Roman"/>
                      <w:color w:val="auto"/>
                      <w:sz w:val="21"/>
                      <w:szCs w:val="21"/>
                      <w:lang w:val="en-US" w:eastAsia="zh-CN"/>
                    </w:rPr>
                    <w:t>2</w:t>
                  </w:r>
                </w:p>
              </w:tc>
              <w:tc>
                <w:tcPr>
                  <w:tcW w:w="437" w:type="pct"/>
                  <w:noWrap w:val="0"/>
                  <w:tcMar>
                    <w:top w:w="0" w:type="dxa"/>
                    <w:left w:w="108" w:type="dxa"/>
                    <w:bottom w:w="0" w:type="dxa"/>
                    <w:right w:w="108" w:type="dxa"/>
                  </w:tcMar>
                  <w:vAlign w:val="center"/>
                </w:tcPr>
                <w:p w14:paraId="7DAB6B07">
                  <w:pPr>
                    <w:pStyle w:val="77"/>
                    <w:adjustRightInd w:val="0"/>
                    <w:snapToGrid w:val="0"/>
                    <w:spacing w:before="0"/>
                    <w:rPr>
                      <w:rFonts w:hint="eastAsia" w:cs="Times New Roman"/>
                      <w:color w:val="auto"/>
                      <w:sz w:val="21"/>
                      <w:szCs w:val="21"/>
                      <w:lang w:eastAsia="zh-CN"/>
                    </w:rPr>
                  </w:pPr>
                  <w:r>
                    <w:rPr>
                      <w:rFonts w:hint="eastAsia" w:cs="Times New Roman"/>
                      <w:color w:val="auto"/>
                      <w:sz w:val="21"/>
                      <w:szCs w:val="21"/>
                      <w:lang w:eastAsia="zh-CN"/>
                    </w:rPr>
                    <w:t>台</w:t>
                  </w:r>
                </w:p>
              </w:tc>
              <w:tc>
                <w:tcPr>
                  <w:tcW w:w="831" w:type="pct"/>
                  <w:noWrap w:val="0"/>
                  <w:tcMar>
                    <w:top w:w="0" w:type="dxa"/>
                    <w:left w:w="108" w:type="dxa"/>
                    <w:bottom w:w="0" w:type="dxa"/>
                    <w:right w:w="108" w:type="dxa"/>
                  </w:tcMar>
                  <w:vAlign w:val="center"/>
                </w:tcPr>
                <w:p w14:paraId="1D4C655E">
                  <w:pPr>
                    <w:pStyle w:val="77"/>
                    <w:adjustRightInd w:val="0"/>
                    <w:snapToGrid w:val="0"/>
                    <w:spacing w:before="0"/>
                    <w:rPr>
                      <w:rFonts w:hint="eastAsia" w:cs="Times New Roman"/>
                      <w:color w:val="auto"/>
                      <w:sz w:val="21"/>
                      <w:szCs w:val="21"/>
                      <w:lang w:eastAsia="zh-CN"/>
                    </w:rPr>
                  </w:pPr>
                  <w:r>
                    <w:rPr>
                      <w:rFonts w:hint="eastAsia" w:cs="Times New Roman"/>
                      <w:color w:val="auto"/>
                      <w:sz w:val="21"/>
                      <w:szCs w:val="21"/>
                      <w:lang w:eastAsia="zh-CN"/>
                    </w:rPr>
                    <w:t>操作室</w:t>
                  </w:r>
                  <w:r>
                    <w:rPr>
                      <w:rFonts w:hint="eastAsia" w:cs="Times New Roman"/>
                      <w:color w:val="auto"/>
                      <w:sz w:val="21"/>
                      <w:szCs w:val="21"/>
                      <w:lang w:val="en-US" w:eastAsia="zh-CN"/>
                    </w:rPr>
                    <w:t>1</w:t>
                  </w:r>
                </w:p>
              </w:tc>
            </w:tr>
            <w:tr w14:paraId="41131A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63" w:type="pct"/>
                  <w:noWrap w:val="0"/>
                  <w:tcMar>
                    <w:top w:w="0" w:type="dxa"/>
                    <w:left w:w="108" w:type="dxa"/>
                    <w:bottom w:w="0" w:type="dxa"/>
                    <w:right w:w="108" w:type="dxa"/>
                  </w:tcMar>
                  <w:vAlign w:val="center"/>
                </w:tcPr>
                <w:p w14:paraId="19EA2A35">
                  <w:pPr>
                    <w:pStyle w:val="77"/>
                    <w:numPr>
                      <w:ilvl w:val="0"/>
                      <w:numId w:val="3"/>
                    </w:numPr>
                    <w:adjustRightInd w:val="0"/>
                    <w:snapToGrid w:val="0"/>
                    <w:spacing w:before="0"/>
                    <w:rPr>
                      <w:rFonts w:cs="Times New Roman"/>
                      <w:color w:val="auto"/>
                      <w:sz w:val="21"/>
                      <w:szCs w:val="21"/>
                      <w:lang w:eastAsia="zh-CN"/>
                    </w:rPr>
                  </w:pPr>
                </w:p>
              </w:tc>
              <w:tc>
                <w:tcPr>
                  <w:tcW w:w="1362" w:type="pct"/>
                  <w:noWrap w:val="0"/>
                  <w:tcMar>
                    <w:top w:w="0" w:type="dxa"/>
                    <w:left w:w="108" w:type="dxa"/>
                    <w:bottom w:w="0" w:type="dxa"/>
                    <w:right w:w="108" w:type="dxa"/>
                  </w:tcMar>
                  <w:vAlign w:val="center"/>
                </w:tcPr>
                <w:p w14:paraId="4FD3A7CA">
                  <w:pPr>
                    <w:pStyle w:val="77"/>
                    <w:adjustRightInd w:val="0"/>
                    <w:snapToGrid w:val="0"/>
                    <w:spacing w:before="0"/>
                    <w:jc w:val="center"/>
                    <w:rPr>
                      <w:rFonts w:hint="eastAsia"/>
                      <w:color w:val="auto"/>
                      <w:lang w:eastAsia="zh-CN"/>
                    </w:rPr>
                  </w:pPr>
                  <w:r>
                    <w:rPr>
                      <w:rFonts w:hint="eastAsia"/>
                      <w:color w:val="auto"/>
                      <w:highlight w:val="none"/>
                    </w:rPr>
                    <w:t>纯水机</w:t>
                  </w:r>
                </w:p>
              </w:tc>
              <w:tc>
                <w:tcPr>
                  <w:tcW w:w="1409" w:type="pct"/>
                  <w:noWrap w:val="0"/>
                  <w:tcMar>
                    <w:top w:w="0" w:type="dxa"/>
                    <w:left w:w="108" w:type="dxa"/>
                    <w:bottom w:w="0" w:type="dxa"/>
                    <w:right w:w="108" w:type="dxa"/>
                  </w:tcMar>
                  <w:vAlign w:val="center"/>
                </w:tcPr>
                <w:p w14:paraId="6DCC580F">
                  <w:pPr>
                    <w:pStyle w:val="77"/>
                    <w:adjustRightInd w:val="0"/>
                    <w:snapToGrid w:val="0"/>
                    <w:spacing w:before="0"/>
                    <w:rPr>
                      <w:rFonts w:hint="default" w:ascii="Times New Roman" w:hAnsi="Times New Roman" w:cs="Times New Roman"/>
                      <w:color w:val="auto"/>
                      <w:lang w:val="en-US" w:eastAsia="zh-CN"/>
                    </w:rPr>
                  </w:pPr>
                  <w:r>
                    <w:rPr>
                      <w:rFonts w:hint="default" w:ascii="Times New Roman" w:hAnsi="Times New Roman" w:cs="Times New Roman"/>
                      <w:color w:val="auto"/>
                      <w:highlight w:val="none"/>
                    </w:rPr>
                    <w:t>FE-S20</w:t>
                  </w:r>
                </w:p>
              </w:tc>
              <w:tc>
                <w:tcPr>
                  <w:tcW w:w="595" w:type="pct"/>
                  <w:noWrap w:val="0"/>
                  <w:tcMar>
                    <w:top w:w="0" w:type="dxa"/>
                    <w:left w:w="108" w:type="dxa"/>
                    <w:bottom w:w="0" w:type="dxa"/>
                    <w:right w:w="108" w:type="dxa"/>
                  </w:tcMar>
                  <w:vAlign w:val="center"/>
                </w:tcPr>
                <w:p w14:paraId="7775C95D">
                  <w:pPr>
                    <w:pStyle w:val="77"/>
                    <w:adjustRightInd w:val="0"/>
                    <w:snapToGrid w:val="0"/>
                    <w:spacing w:before="0"/>
                    <w:rPr>
                      <w:rFonts w:hint="default" w:cs="Times New Roman"/>
                      <w:color w:val="auto"/>
                      <w:sz w:val="21"/>
                      <w:szCs w:val="21"/>
                      <w:lang w:val="en-US" w:eastAsia="zh-CN"/>
                    </w:rPr>
                  </w:pPr>
                  <w:r>
                    <w:rPr>
                      <w:rFonts w:hint="eastAsia" w:cs="Times New Roman"/>
                      <w:color w:val="auto"/>
                      <w:sz w:val="21"/>
                      <w:szCs w:val="21"/>
                      <w:lang w:val="en-US" w:eastAsia="zh-CN"/>
                    </w:rPr>
                    <w:t>1</w:t>
                  </w:r>
                </w:p>
              </w:tc>
              <w:tc>
                <w:tcPr>
                  <w:tcW w:w="437" w:type="pct"/>
                  <w:noWrap w:val="0"/>
                  <w:tcMar>
                    <w:top w:w="0" w:type="dxa"/>
                    <w:left w:w="108" w:type="dxa"/>
                    <w:bottom w:w="0" w:type="dxa"/>
                    <w:right w:w="108" w:type="dxa"/>
                  </w:tcMar>
                  <w:vAlign w:val="center"/>
                </w:tcPr>
                <w:p w14:paraId="2E2C5603">
                  <w:pPr>
                    <w:pStyle w:val="77"/>
                    <w:adjustRightInd w:val="0"/>
                    <w:snapToGrid w:val="0"/>
                    <w:spacing w:before="0"/>
                    <w:rPr>
                      <w:rFonts w:hint="eastAsia" w:cs="Times New Roman"/>
                      <w:color w:val="auto"/>
                      <w:sz w:val="21"/>
                      <w:szCs w:val="21"/>
                      <w:lang w:eastAsia="zh-CN"/>
                    </w:rPr>
                  </w:pPr>
                  <w:r>
                    <w:rPr>
                      <w:rFonts w:hint="eastAsia" w:cs="Times New Roman"/>
                      <w:color w:val="auto"/>
                      <w:sz w:val="21"/>
                      <w:szCs w:val="21"/>
                      <w:lang w:eastAsia="zh-CN"/>
                    </w:rPr>
                    <w:t>台</w:t>
                  </w:r>
                </w:p>
              </w:tc>
              <w:tc>
                <w:tcPr>
                  <w:tcW w:w="831" w:type="pct"/>
                  <w:noWrap w:val="0"/>
                  <w:tcMar>
                    <w:top w:w="0" w:type="dxa"/>
                    <w:left w:w="108" w:type="dxa"/>
                    <w:bottom w:w="0" w:type="dxa"/>
                    <w:right w:w="108" w:type="dxa"/>
                  </w:tcMar>
                  <w:vAlign w:val="center"/>
                </w:tcPr>
                <w:p w14:paraId="3F404ED2">
                  <w:pPr>
                    <w:pStyle w:val="77"/>
                    <w:adjustRightInd w:val="0"/>
                    <w:snapToGrid w:val="0"/>
                    <w:spacing w:before="0"/>
                    <w:rPr>
                      <w:rFonts w:hint="eastAsia" w:cs="Times New Roman"/>
                      <w:color w:val="auto"/>
                      <w:sz w:val="21"/>
                      <w:szCs w:val="21"/>
                      <w:lang w:eastAsia="zh-CN"/>
                    </w:rPr>
                  </w:pPr>
                  <w:r>
                    <w:rPr>
                      <w:rFonts w:hint="eastAsia" w:cs="Times New Roman"/>
                      <w:color w:val="auto"/>
                      <w:sz w:val="21"/>
                      <w:szCs w:val="21"/>
                      <w:lang w:eastAsia="zh-CN"/>
                    </w:rPr>
                    <w:t>操作室</w:t>
                  </w:r>
                  <w:r>
                    <w:rPr>
                      <w:rFonts w:hint="eastAsia" w:cs="Times New Roman"/>
                      <w:color w:val="auto"/>
                      <w:sz w:val="21"/>
                      <w:szCs w:val="21"/>
                      <w:lang w:val="en-US" w:eastAsia="zh-CN"/>
                    </w:rPr>
                    <w:t>1</w:t>
                  </w:r>
                </w:p>
              </w:tc>
            </w:tr>
            <w:tr w14:paraId="4E76C8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63" w:type="pct"/>
                  <w:noWrap w:val="0"/>
                  <w:tcMar>
                    <w:top w:w="0" w:type="dxa"/>
                    <w:left w:w="108" w:type="dxa"/>
                    <w:bottom w:w="0" w:type="dxa"/>
                    <w:right w:w="108" w:type="dxa"/>
                  </w:tcMar>
                  <w:vAlign w:val="center"/>
                </w:tcPr>
                <w:p w14:paraId="52907FF0">
                  <w:pPr>
                    <w:pStyle w:val="77"/>
                    <w:numPr>
                      <w:ilvl w:val="0"/>
                      <w:numId w:val="3"/>
                    </w:numPr>
                    <w:adjustRightInd w:val="0"/>
                    <w:snapToGrid w:val="0"/>
                    <w:spacing w:before="0"/>
                    <w:rPr>
                      <w:rFonts w:cs="Times New Roman"/>
                      <w:color w:val="auto"/>
                      <w:sz w:val="21"/>
                      <w:szCs w:val="21"/>
                      <w:lang w:eastAsia="zh-CN"/>
                    </w:rPr>
                  </w:pPr>
                </w:p>
              </w:tc>
              <w:tc>
                <w:tcPr>
                  <w:tcW w:w="1362" w:type="pct"/>
                  <w:noWrap w:val="0"/>
                  <w:tcMar>
                    <w:top w:w="0" w:type="dxa"/>
                    <w:left w:w="108" w:type="dxa"/>
                    <w:bottom w:w="0" w:type="dxa"/>
                    <w:right w:w="108" w:type="dxa"/>
                  </w:tcMar>
                  <w:vAlign w:val="center"/>
                </w:tcPr>
                <w:p w14:paraId="028469F5">
                  <w:pPr>
                    <w:pStyle w:val="77"/>
                    <w:adjustRightInd w:val="0"/>
                    <w:snapToGrid w:val="0"/>
                    <w:spacing w:before="0"/>
                    <w:jc w:val="center"/>
                    <w:rPr>
                      <w:rFonts w:ascii="Times New Roman" w:hAnsi="Times New Roman" w:eastAsia="宋体" w:cs="Times New Roman"/>
                      <w:color w:val="auto"/>
                      <w:kern w:val="0"/>
                      <w:sz w:val="21"/>
                      <w:szCs w:val="21"/>
                      <w:lang w:val="en-US" w:eastAsia="zh-CN" w:bidi="ar-SA"/>
                    </w:rPr>
                  </w:pPr>
                  <w:r>
                    <w:rPr>
                      <w:rFonts w:hint="eastAsia"/>
                      <w:color w:val="auto"/>
                      <w:lang w:eastAsia="zh-CN"/>
                    </w:rPr>
                    <w:t>石墨</w:t>
                  </w:r>
                  <w:r>
                    <w:rPr>
                      <w:rFonts w:hint="eastAsia"/>
                      <w:color w:val="auto"/>
                    </w:rPr>
                    <w:t>电热板</w:t>
                  </w:r>
                </w:p>
              </w:tc>
              <w:tc>
                <w:tcPr>
                  <w:tcW w:w="1409" w:type="pct"/>
                  <w:noWrap w:val="0"/>
                  <w:tcMar>
                    <w:top w:w="0" w:type="dxa"/>
                    <w:left w:w="108" w:type="dxa"/>
                    <w:bottom w:w="0" w:type="dxa"/>
                    <w:right w:w="108" w:type="dxa"/>
                  </w:tcMar>
                  <w:vAlign w:val="center"/>
                </w:tcPr>
                <w:p w14:paraId="38E109D4">
                  <w:pPr>
                    <w:pStyle w:val="77"/>
                    <w:adjustRightInd w:val="0"/>
                    <w:snapToGrid w:val="0"/>
                    <w:spacing w:before="0"/>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lang w:val="en-US" w:eastAsia="zh-CN"/>
                    </w:rPr>
                    <w:t>LC-DB-EFS</w:t>
                  </w:r>
                </w:p>
              </w:tc>
              <w:tc>
                <w:tcPr>
                  <w:tcW w:w="595" w:type="pct"/>
                  <w:noWrap w:val="0"/>
                  <w:tcMar>
                    <w:top w:w="0" w:type="dxa"/>
                    <w:left w:w="108" w:type="dxa"/>
                    <w:bottom w:w="0" w:type="dxa"/>
                    <w:right w:w="108" w:type="dxa"/>
                  </w:tcMar>
                  <w:vAlign w:val="center"/>
                </w:tcPr>
                <w:p w14:paraId="6AFFE24F">
                  <w:pPr>
                    <w:pStyle w:val="77"/>
                    <w:adjustRightInd w:val="0"/>
                    <w:snapToGrid w:val="0"/>
                    <w:spacing w:before="0"/>
                    <w:rPr>
                      <w:rFonts w:hint="eastAsia" w:ascii="Times New Roman" w:hAnsi="Times New Roman" w:eastAsia="宋体" w:cs="Times New Roman"/>
                      <w:color w:val="auto"/>
                      <w:kern w:val="0"/>
                      <w:sz w:val="21"/>
                      <w:szCs w:val="21"/>
                      <w:lang w:val="en-US" w:eastAsia="zh-CN" w:bidi="ar-SA"/>
                    </w:rPr>
                  </w:pPr>
                  <w:r>
                    <w:rPr>
                      <w:rFonts w:hint="eastAsia" w:cs="Times New Roman"/>
                      <w:color w:val="auto"/>
                      <w:sz w:val="21"/>
                      <w:szCs w:val="21"/>
                      <w:lang w:val="en-US" w:eastAsia="zh-CN"/>
                    </w:rPr>
                    <w:t>3</w:t>
                  </w:r>
                </w:p>
              </w:tc>
              <w:tc>
                <w:tcPr>
                  <w:tcW w:w="437" w:type="pct"/>
                  <w:noWrap w:val="0"/>
                  <w:tcMar>
                    <w:top w:w="0" w:type="dxa"/>
                    <w:left w:w="108" w:type="dxa"/>
                    <w:bottom w:w="0" w:type="dxa"/>
                    <w:right w:w="108" w:type="dxa"/>
                  </w:tcMar>
                  <w:vAlign w:val="center"/>
                </w:tcPr>
                <w:p w14:paraId="46BECC4C">
                  <w:pPr>
                    <w:pStyle w:val="77"/>
                    <w:adjustRightInd w:val="0"/>
                    <w:snapToGrid w:val="0"/>
                    <w:spacing w:before="0"/>
                    <w:rPr>
                      <w:rFonts w:hint="eastAsia" w:ascii="Times New Roman" w:hAnsi="Times New Roman" w:eastAsia="宋体" w:cs="Times New Roman"/>
                      <w:color w:val="auto"/>
                      <w:kern w:val="0"/>
                      <w:sz w:val="21"/>
                      <w:szCs w:val="21"/>
                      <w:lang w:val="en-US" w:eastAsia="zh-CN" w:bidi="ar-SA"/>
                    </w:rPr>
                  </w:pPr>
                  <w:r>
                    <w:rPr>
                      <w:rFonts w:hint="eastAsia" w:cs="Times New Roman"/>
                      <w:color w:val="auto"/>
                      <w:sz w:val="21"/>
                      <w:szCs w:val="21"/>
                      <w:lang w:eastAsia="zh-CN"/>
                    </w:rPr>
                    <w:t>台</w:t>
                  </w:r>
                </w:p>
              </w:tc>
              <w:tc>
                <w:tcPr>
                  <w:tcW w:w="831" w:type="pct"/>
                  <w:noWrap w:val="0"/>
                  <w:tcMar>
                    <w:top w:w="0" w:type="dxa"/>
                    <w:left w:w="108" w:type="dxa"/>
                    <w:bottom w:w="0" w:type="dxa"/>
                    <w:right w:w="108" w:type="dxa"/>
                  </w:tcMar>
                  <w:vAlign w:val="center"/>
                </w:tcPr>
                <w:p w14:paraId="7CE37AE5">
                  <w:pPr>
                    <w:pStyle w:val="77"/>
                    <w:adjustRightInd w:val="0"/>
                    <w:snapToGrid w:val="0"/>
                    <w:spacing w:before="0"/>
                    <w:rPr>
                      <w:rFonts w:hint="default" w:ascii="Times New Roman" w:hAnsi="Times New Roman" w:eastAsia="宋体" w:cs="Times New Roman"/>
                      <w:color w:val="auto"/>
                      <w:kern w:val="0"/>
                      <w:sz w:val="21"/>
                      <w:szCs w:val="21"/>
                      <w:lang w:val="en-US" w:eastAsia="zh-CN" w:bidi="ar-SA"/>
                    </w:rPr>
                  </w:pPr>
                  <w:r>
                    <w:rPr>
                      <w:rFonts w:hint="eastAsia" w:cs="Times New Roman"/>
                      <w:color w:val="auto"/>
                      <w:sz w:val="21"/>
                      <w:szCs w:val="21"/>
                      <w:lang w:eastAsia="zh-CN"/>
                    </w:rPr>
                    <w:t>操作室</w:t>
                  </w:r>
                  <w:r>
                    <w:rPr>
                      <w:rFonts w:hint="eastAsia" w:cs="Times New Roman"/>
                      <w:color w:val="auto"/>
                      <w:sz w:val="21"/>
                      <w:szCs w:val="21"/>
                      <w:lang w:val="en-US" w:eastAsia="zh-CN"/>
                    </w:rPr>
                    <w:t>2</w:t>
                  </w:r>
                </w:p>
              </w:tc>
            </w:tr>
            <w:tr w14:paraId="78E946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15" w:hRule="atLeast"/>
                <w:jc w:val="center"/>
              </w:trPr>
              <w:tc>
                <w:tcPr>
                  <w:tcW w:w="363" w:type="pct"/>
                  <w:noWrap w:val="0"/>
                  <w:tcMar>
                    <w:top w:w="0" w:type="dxa"/>
                    <w:left w:w="108" w:type="dxa"/>
                    <w:bottom w:w="0" w:type="dxa"/>
                    <w:right w:w="108" w:type="dxa"/>
                  </w:tcMar>
                  <w:vAlign w:val="center"/>
                </w:tcPr>
                <w:p w14:paraId="2C7F4718">
                  <w:pPr>
                    <w:pStyle w:val="77"/>
                    <w:numPr>
                      <w:ilvl w:val="0"/>
                      <w:numId w:val="3"/>
                    </w:numPr>
                    <w:adjustRightInd w:val="0"/>
                    <w:snapToGrid w:val="0"/>
                    <w:spacing w:before="0"/>
                    <w:rPr>
                      <w:rFonts w:cs="Times New Roman"/>
                      <w:color w:val="auto"/>
                      <w:sz w:val="21"/>
                      <w:szCs w:val="21"/>
                      <w:lang w:eastAsia="zh-CN"/>
                    </w:rPr>
                  </w:pPr>
                </w:p>
              </w:tc>
              <w:tc>
                <w:tcPr>
                  <w:tcW w:w="1362" w:type="pct"/>
                  <w:noWrap w:val="0"/>
                  <w:tcMar>
                    <w:top w:w="0" w:type="dxa"/>
                    <w:left w:w="108" w:type="dxa"/>
                    <w:bottom w:w="0" w:type="dxa"/>
                    <w:right w:w="108" w:type="dxa"/>
                  </w:tcMar>
                  <w:vAlign w:val="center"/>
                </w:tcPr>
                <w:p w14:paraId="688A65F7">
                  <w:pPr>
                    <w:pStyle w:val="77"/>
                    <w:adjustRightInd w:val="0"/>
                    <w:snapToGrid w:val="0"/>
                    <w:spacing w:before="0"/>
                    <w:jc w:val="center"/>
                    <w:rPr>
                      <w:rFonts w:hint="default"/>
                      <w:color w:val="auto"/>
                      <w:lang w:val="en-US" w:eastAsia="zh-CN"/>
                    </w:rPr>
                  </w:pPr>
                  <w:r>
                    <w:rPr>
                      <w:rFonts w:hint="eastAsia"/>
                      <w:color w:val="auto"/>
                      <w:lang w:val="en-US" w:eastAsia="zh-CN"/>
                    </w:rPr>
                    <w:t>电炉</w:t>
                  </w:r>
                </w:p>
              </w:tc>
              <w:tc>
                <w:tcPr>
                  <w:tcW w:w="1409" w:type="pct"/>
                  <w:noWrap w:val="0"/>
                  <w:tcMar>
                    <w:top w:w="0" w:type="dxa"/>
                    <w:left w:w="108" w:type="dxa"/>
                    <w:bottom w:w="0" w:type="dxa"/>
                    <w:right w:w="108" w:type="dxa"/>
                  </w:tcMar>
                  <w:vAlign w:val="center"/>
                </w:tcPr>
                <w:p w14:paraId="235EB368">
                  <w:pPr>
                    <w:pStyle w:val="77"/>
                    <w:adjustRightInd w:val="0"/>
                    <w:snapToGrid w:val="0"/>
                    <w:spacing w:before="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4.5KW</w:t>
                  </w:r>
                </w:p>
              </w:tc>
              <w:tc>
                <w:tcPr>
                  <w:tcW w:w="595" w:type="pct"/>
                  <w:noWrap w:val="0"/>
                  <w:tcMar>
                    <w:top w:w="0" w:type="dxa"/>
                    <w:left w:w="108" w:type="dxa"/>
                    <w:bottom w:w="0" w:type="dxa"/>
                    <w:right w:w="108" w:type="dxa"/>
                  </w:tcMar>
                  <w:vAlign w:val="center"/>
                </w:tcPr>
                <w:p w14:paraId="64523894">
                  <w:pPr>
                    <w:pStyle w:val="77"/>
                    <w:adjustRightInd w:val="0"/>
                    <w:snapToGrid w:val="0"/>
                    <w:spacing w:before="0"/>
                    <w:rPr>
                      <w:rFonts w:hint="default" w:cs="Times New Roman"/>
                      <w:color w:val="auto"/>
                      <w:sz w:val="21"/>
                      <w:szCs w:val="21"/>
                      <w:lang w:val="en-US" w:eastAsia="zh-CN"/>
                    </w:rPr>
                  </w:pPr>
                  <w:r>
                    <w:rPr>
                      <w:rFonts w:hint="eastAsia" w:cs="Times New Roman"/>
                      <w:color w:val="auto"/>
                      <w:sz w:val="21"/>
                      <w:szCs w:val="21"/>
                      <w:lang w:val="en-US" w:eastAsia="zh-CN"/>
                    </w:rPr>
                    <w:t>1</w:t>
                  </w:r>
                </w:p>
              </w:tc>
              <w:tc>
                <w:tcPr>
                  <w:tcW w:w="437" w:type="pct"/>
                  <w:noWrap w:val="0"/>
                  <w:tcMar>
                    <w:top w:w="0" w:type="dxa"/>
                    <w:left w:w="108" w:type="dxa"/>
                    <w:bottom w:w="0" w:type="dxa"/>
                    <w:right w:w="108" w:type="dxa"/>
                  </w:tcMar>
                  <w:vAlign w:val="center"/>
                </w:tcPr>
                <w:p w14:paraId="74AC8D4D">
                  <w:pPr>
                    <w:pStyle w:val="77"/>
                    <w:adjustRightInd w:val="0"/>
                    <w:snapToGrid w:val="0"/>
                    <w:spacing w:before="0"/>
                    <w:rPr>
                      <w:rFonts w:hint="eastAsia" w:cs="Times New Roman"/>
                      <w:color w:val="auto"/>
                      <w:sz w:val="21"/>
                      <w:szCs w:val="21"/>
                      <w:lang w:eastAsia="zh-CN"/>
                    </w:rPr>
                  </w:pPr>
                  <w:r>
                    <w:rPr>
                      <w:rFonts w:hint="eastAsia" w:cs="Times New Roman"/>
                      <w:color w:val="auto"/>
                      <w:sz w:val="21"/>
                      <w:szCs w:val="21"/>
                      <w:lang w:eastAsia="zh-CN"/>
                    </w:rPr>
                    <w:t>台</w:t>
                  </w:r>
                </w:p>
              </w:tc>
              <w:tc>
                <w:tcPr>
                  <w:tcW w:w="831" w:type="pct"/>
                  <w:noWrap w:val="0"/>
                  <w:tcMar>
                    <w:top w:w="0" w:type="dxa"/>
                    <w:left w:w="108" w:type="dxa"/>
                    <w:bottom w:w="0" w:type="dxa"/>
                    <w:right w:w="108" w:type="dxa"/>
                  </w:tcMar>
                  <w:vAlign w:val="center"/>
                </w:tcPr>
                <w:p w14:paraId="37DCEE7E">
                  <w:pPr>
                    <w:pStyle w:val="77"/>
                    <w:adjustRightInd w:val="0"/>
                    <w:snapToGrid w:val="0"/>
                    <w:spacing w:before="0"/>
                    <w:rPr>
                      <w:rFonts w:hint="eastAsia" w:cs="Times New Roman"/>
                      <w:color w:val="auto"/>
                      <w:sz w:val="21"/>
                      <w:szCs w:val="21"/>
                      <w:lang w:eastAsia="zh-CN"/>
                    </w:rPr>
                  </w:pPr>
                  <w:r>
                    <w:rPr>
                      <w:rFonts w:hint="eastAsia" w:cs="Times New Roman"/>
                      <w:color w:val="auto"/>
                      <w:sz w:val="21"/>
                      <w:szCs w:val="21"/>
                      <w:lang w:eastAsia="zh-CN"/>
                    </w:rPr>
                    <w:t>操作室</w:t>
                  </w:r>
                  <w:r>
                    <w:rPr>
                      <w:rFonts w:hint="eastAsia" w:cs="Times New Roman"/>
                      <w:color w:val="auto"/>
                      <w:sz w:val="21"/>
                      <w:szCs w:val="21"/>
                      <w:lang w:val="en-US" w:eastAsia="zh-CN"/>
                    </w:rPr>
                    <w:t>2</w:t>
                  </w:r>
                </w:p>
              </w:tc>
            </w:tr>
            <w:tr w14:paraId="762A17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15" w:hRule="atLeast"/>
                <w:jc w:val="center"/>
              </w:trPr>
              <w:tc>
                <w:tcPr>
                  <w:tcW w:w="363" w:type="pct"/>
                  <w:noWrap w:val="0"/>
                  <w:tcMar>
                    <w:top w:w="0" w:type="dxa"/>
                    <w:left w:w="108" w:type="dxa"/>
                    <w:bottom w:w="0" w:type="dxa"/>
                    <w:right w:w="108" w:type="dxa"/>
                  </w:tcMar>
                  <w:vAlign w:val="center"/>
                </w:tcPr>
                <w:p w14:paraId="0A34E9DD">
                  <w:pPr>
                    <w:pStyle w:val="77"/>
                    <w:numPr>
                      <w:ilvl w:val="0"/>
                      <w:numId w:val="3"/>
                    </w:numPr>
                    <w:adjustRightInd w:val="0"/>
                    <w:snapToGrid w:val="0"/>
                    <w:spacing w:before="0"/>
                    <w:rPr>
                      <w:rFonts w:cs="Times New Roman"/>
                      <w:color w:val="auto"/>
                      <w:sz w:val="21"/>
                      <w:szCs w:val="21"/>
                      <w:lang w:eastAsia="zh-CN"/>
                    </w:rPr>
                  </w:pPr>
                </w:p>
              </w:tc>
              <w:tc>
                <w:tcPr>
                  <w:tcW w:w="1362" w:type="pct"/>
                  <w:noWrap w:val="0"/>
                  <w:tcMar>
                    <w:top w:w="0" w:type="dxa"/>
                    <w:left w:w="108" w:type="dxa"/>
                    <w:bottom w:w="0" w:type="dxa"/>
                    <w:right w:w="108" w:type="dxa"/>
                  </w:tcMar>
                  <w:vAlign w:val="center"/>
                </w:tcPr>
                <w:p w14:paraId="5628BECF">
                  <w:pPr>
                    <w:pStyle w:val="77"/>
                    <w:adjustRightInd w:val="0"/>
                    <w:snapToGrid w:val="0"/>
                    <w:spacing w:before="0"/>
                    <w:jc w:val="center"/>
                    <w:rPr>
                      <w:rFonts w:hint="eastAsia"/>
                      <w:color w:val="auto"/>
                      <w:lang w:eastAsia="zh-CN"/>
                    </w:rPr>
                  </w:pPr>
                  <w:r>
                    <w:rPr>
                      <w:rFonts w:hint="eastAsia" w:cs="Times New Roman"/>
                      <w:color w:val="auto"/>
                      <w:sz w:val="21"/>
                      <w:szCs w:val="21"/>
                      <w:lang w:val="en-US" w:eastAsia="zh-CN"/>
                    </w:rPr>
                    <w:t>碱液喷淋塔</w:t>
                  </w:r>
                </w:p>
              </w:tc>
              <w:tc>
                <w:tcPr>
                  <w:tcW w:w="1409" w:type="pct"/>
                  <w:noWrap w:val="0"/>
                  <w:tcMar>
                    <w:top w:w="0" w:type="dxa"/>
                    <w:left w:w="108" w:type="dxa"/>
                    <w:bottom w:w="0" w:type="dxa"/>
                    <w:right w:w="108" w:type="dxa"/>
                  </w:tcMar>
                  <w:vAlign w:val="center"/>
                </w:tcPr>
                <w:p w14:paraId="5B5B6D3E">
                  <w:pPr>
                    <w:pStyle w:val="77"/>
                    <w:adjustRightInd w:val="0"/>
                    <w:snapToGrid w:val="0"/>
                    <w:spacing w:before="0"/>
                    <w:rPr>
                      <w:rFonts w:hint="default" w:ascii="Times New Roman" w:hAnsi="Times New Roman" w:cs="Times New Roman"/>
                      <w:color w:val="auto"/>
                      <w:lang w:val="en-US" w:eastAsia="zh-CN"/>
                    </w:rPr>
                  </w:pPr>
                  <w:r>
                    <w:rPr>
                      <w:rFonts w:hint="default" w:ascii="Times New Roman" w:hAnsi="Times New Roman" w:cs="Times New Roman"/>
                      <w:color w:val="auto"/>
                      <w:sz w:val="21"/>
                      <w:szCs w:val="21"/>
                      <w:lang w:eastAsia="zh-CN"/>
                    </w:rPr>
                    <w:t>喷淋塔1800*5000 PP8mm 水泵2.2kw 风机7.5kw 15000m</w:t>
                  </w:r>
                  <w:r>
                    <w:rPr>
                      <w:rFonts w:hint="default" w:ascii="Times New Roman" w:hAnsi="Times New Roman" w:cs="Times New Roman"/>
                      <w:color w:val="auto"/>
                      <w:sz w:val="21"/>
                      <w:szCs w:val="21"/>
                      <w:vertAlign w:val="superscript"/>
                      <w:lang w:eastAsia="zh-CN"/>
                    </w:rPr>
                    <w:t>3</w:t>
                  </w:r>
                  <w:r>
                    <w:rPr>
                      <w:rFonts w:hint="default" w:ascii="Times New Roman" w:hAnsi="Times New Roman" w:cs="Times New Roman"/>
                      <w:color w:val="auto"/>
                      <w:sz w:val="21"/>
                      <w:szCs w:val="21"/>
                      <w:lang w:eastAsia="zh-CN"/>
                    </w:rPr>
                    <w:t>/h</w:t>
                  </w:r>
                </w:p>
              </w:tc>
              <w:tc>
                <w:tcPr>
                  <w:tcW w:w="595" w:type="pct"/>
                  <w:noWrap w:val="0"/>
                  <w:tcMar>
                    <w:top w:w="0" w:type="dxa"/>
                    <w:left w:w="108" w:type="dxa"/>
                    <w:bottom w:w="0" w:type="dxa"/>
                    <w:right w:w="108" w:type="dxa"/>
                  </w:tcMar>
                  <w:vAlign w:val="center"/>
                </w:tcPr>
                <w:p w14:paraId="65594AD7">
                  <w:pPr>
                    <w:pStyle w:val="77"/>
                    <w:adjustRightInd w:val="0"/>
                    <w:snapToGrid w:val="0"/>
                    <w:spacing w:before="0"/>
                    <w:rPr>
                      <w:rFonts w:hint="eastAsia" w:cs="Times New Roman"/>
                      <w:color w:val="auto"/>
                      <w:sz w:val="21"/>
                      <w:szCs w:val="21"/>
                      <w:lang w:val="en-US" w:eastAsia="zh-CN"/>
                    </w:rPr>
                  </w:pPr>
                  <w:r>
                    <w:rPr>
                      <w:rFonts w:hint="eastAsia" w:cs="Times New Roman"/>
                      <w:color w:val="auto"/>
                      <w:sz w:val="21"/>
                      <w:szCs w:val="21"/>
                      <w:lang w:val="en-US" w:eastAsia="zh-CN"/>
                    </w:rPr>
                    <w:t>1</w:t>
                  </w:r>
                </w:p>
              </w:tc>
              <w:tc>
                <w:tcPr>
                  <w:tcW w:w="437" w:type="pct"/>
                  <w:noWrap w:val="0"/>
                  <w:tcMar>
                    <w:top w:w="0" w:type="dxa"/>
                    <w:left w:w="108" w:type="dxa"/>
                    <w:bottom w:w="0" w:type="dxa"/>
                    <w:right w:w="108" w:type="dxa"/>
                  </w:tcMar>
                  <w:vAlign w:val="center"/>
                </w:tcPr>
                <w:p w14:paraId="377486BC">
                  <w:pPr>
                    <w:pStyle w:val="77"/>
                    <w:adjustRightInd w:val="0"/>
                    <w:snapToGrid w:val="0"/>
                    <w:spacing w:before="0"/>
                    <w:rPr>
                      <w:rFonts w:hint="eastAsia" w:cs="Times New Roman"/>
                      <w:color w:val="auto"/>
                      <w:sz w:val="21"/>
                      <w:szCs w:val="21"/>
                      <w:lang w:eastAsia="zh-CN"/>
                    </w:rPr>
                  </w:pPr>
                  <w:r>
                    <w:rPr>
                      <w:rFonts w:hint="eastAsia" w:cs="Times New Roman"/>
                      <w:color w:val="auto"/>
                      <w:sz w:val="21"/>
                      <w:szCs w:val="21"/>
                      <w:lang w:eastAsia="zh-CN"/>
                    </w:rPr>
                    <w:t>台</w:t>
                  </w:r>
                </w:p>
              </w:tc>
              <w:tc>
                <w:tcPr>
                  <w:tcW w:w="831" w:type="pct"/>
                  <w:noWrap w:val="0"/>
                  <w:tcMar>
                    <w:top w:w="0" w:type="dxa"/>
                    <w:left w:w="108" w:type="dxa"/>
                    <w:bottom w:w="0" w:type="dxa"/>
                    <w:right w:w="108" w:type="dxa"/>
                  </w:tcMar>
                  <w:vAlign w:val="center"/>
                </w:tcPr>
                <w:p w14:paraId="33790E3B">
                  <w:pPr>
                    <w:pStyle w:val="77"/>
                    <w:adjustRightInd w:val="0"/>
                    <w:snapToGrid w:val="0"/>
                    <w:spacing w:before="0"/>
                    <w:rPr>
                      <w:rFonts w:hint="default" w:cs="Times New Roman"/>
                      <w:color w:val="auto"/>
                      <w:sz w:val="21"/>
                      <w:szCs w:val="21"/>
                      <w:lang w:val="en-US" w:eastAsia="zh-CN"/>
                    </w:rPr>
                  </w:pPr>
                  <w:r>
                    <w:rPr>
                      <w:rFonts w:hint="eastAsia" w:cs="Times New Roman"/>
                      <w:color w:val="auto"/>
                      <w:sz w:val="21"/>
                      <w:szCs w:val="21"/>
                      <w:lang w:eastAsia="zh-CN"/>
                    </w:rPr>
                    <w:t>操作室</w:t>
                  </w:r>
                  <w:r>
                    <w:rPr>
                      <w:rFonts w:hint="eastAsia" w:cs="Times New Roman"/>
                      <w:color w:val="auto"/>
                      <w:sz w:val="21"/>
                      <w:szCs w:val="21"/>
                      <w:lang w:val="en-US" w:eastAsia="zh-CN"/>
                    </w:rPr>
                    <w:t>2</w:t>
                  </w:r>
                </w:p>
              </w:tc>
            </w:tr>
            <w:tr w14:paraId="71680F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15" w:hRule="atLeast"/>
                <w:jc w:val="center"/>
              </w:trPr>
              <w:tc>
                <w:tcPr>
                  <w:tcW w:w="363" w:type="pct"/>
                  <w:noWrap w:val="0"/>
                  <w:tcMar>
                    <w:top w:w="0" w:type="dxa"/>
                    <w:left w:w="108" w:type="dxa"/>
                    <w:bottom w:w="0" w:type="dxa"/>
                    <w:right w:w="108" w:type="dxa"/>
                  </w:tcMar>
                  <w:vAlign w:val="center"/>
                </w:tcPr>
                <w:p w14:paraId="40595BE8">
                  <w:pPr>
                    <w:pStyle w:val="77"/>
                    <w:numPr>
                      <w:ilvl w:val="0"/>
                      <w:numId w:val="3"/>
                    </w:numPr>
                    <w:adjustRightInd w:val="0"/>
                    <w:snapToGrid w:val="0"/>
                    <w:spacing w:before="0"/>
                    <w:rPr>
                      <w:rFonts w:cs="Times New Roman"/>
                      <w:color w:val="auto"/>
                      <w:sz w:val="21"/>
                      <w:szCs w:val="21"/>
                      <w:lang w:eastAsia="zh-CN"/>
                    </w:rPr>
                  </w:pPr>
                </w:p>
              </w:tc>
              <w:tc>
                <w:tcPr>
                  <w:tcW w:w="1362" w:type="pct"/>
                  <w:noWrap w:val="0"/>
                  <w:tcMar>
                    <w:top w:w="0" w:type="dxa"/>
                    <w:left w:w="108" w:type="dxa"/>
                    <w:bottom w:w="0" w:type="dxa"/>
                    <w:right w:w="108" w:type="dxa"/>
                  </w:tcMar>
                  <w:vAlign w:val="center"/>
                </w:tcPr>
                <w:p w14:paraId="0FA2AAE9">
                  <w:pPr>
                    <w:pStyle w:val="77"/>
                    <w:adjustRightInd w:val="0"/>
                    <w:snapToGrid w:val="0"/>
                    <w:spacing w:before="0"/>
                    <w:jc w:val="center"/>
                    <w:rPr>
                      <w:rFonts w:cs="Times New Roman"/>
                      <w:color w:val="auto"/>
                      <w:sz w:val="21"/>
                      <w:szCs w:val="21"/>
                      <w:lang w:eastAsia="zh-CN"/>
                    </w:rPr>
                  </w:pPr>
                  <w:r>
                    <w:rPr>
                      <w:rFonts w:hint="eastAsia"/>
                      <w:color w:val="auto"/>
                      <w:lang w:eastAsia="zh-CN"/>
                    </w:rPr>
                    <w:t>石墨</w:t>
                  </w:r>
                  <w:r>
                    <w:rPr>
                      <w:rFonts w:hint="eastAsia"/>
                      <w:color w:val="auto"/>
                    </w:rPr>
                    <w:t>电热板</w:t>
                  </w:r>
                </w:p>
              </w:tc>
              <w:tc>
                <w:tcPr>
                  <w:tcW w:w="1409" w:type="pct"/>
                  <w:noWrap w:val="0"/>
                  <w:tcMar>
                    <w:top w:w="0" w:type="dxa"/>
                    <w:left w:w="108" w:type="dxa"/>
                    <w:bottom w:w="0" w:type="dxa"/>
                    <w:right w:w="108" w:type="dxa"/>
                  </w:tcMar>
                  <w:vAlign w:val="center"/>
                </w:tcPr>
                <w:p w14:paraId="47D4141D">
                  <w:pPr>
                    <w:pStyle w:val="77"/>
                    <w:adjustRightInd w:val="0"/>
                    <w:snapToGrid w:val="0"/>
                    <w:spacing w:before="0"/>
                    <w:rPr>
                      <w:rFonts w:hint="default" w:ascii="Times New Roman" w:hAnsi="Times New Roman" w:cs="Times New Roman"/>
                      <w:color w:val="auto"/>
                      <w:sz w:val="21"/>
                      <w:szCs w:val="21"/>
                      <w:lang w:eastAsia="zh-CN"/>
                    </w:rPr>
                  </w:pPr>
                  <w:r>
                    <w:rPr>
                      <w:rFonts w:hint="default" w:ascii="Times New Roman" w:hAnsi="Times New Roman" w:cs="Times New Roman"/>
                      <w:color w:val="auto"/>
                      <w:lang w:val="en-US" w:eastAsia="zh-CN"/>
                    </w:rPr>
                    <w:t>IEH45-3</w:t>
                  </w:r>
                </w:p>
              </w:tc>
              <w:tc>
                <w:tcPr>
                  <w:tcW w:w="595" w:type="pct"/>
                  <w:noWrap w:val="0"/>
                  <w:tcMar>
                    <w:top w:w="0" w:type="dxa"/>
                    <w:left w:w="108" w:type="dxa"/>
                    <w:bottom w:w="0" w:type="dxa"/>
                    <w:right w:w="108" w:type="dxa"/>
                  </w:tcMar>
                  <w:vAlign w:val="center"/>
                </w:tcPr>
                <w:p w14:paraId="765E0C12">
                  <w:pPr>
                    <w:pStyle w:val="77"/>
                    <w:adjustRightInd w:val="0"/>
                    <w:snapToGrid w:val="0"/>
                    <w:spacing w:before="0"/>
                    <w:rPr>
                      <w:rFonts w:hint="default" w:cs="Times New Roman"/>
                      <w:color w:val="auto"/>
                      <w:sz w:val="21"/>
                      <w:szCs w:val="21"/>
                      <w:lang w:val="en-US" w:eastAsia="zh-CN"/>
                    </w:rPr>
                  </w:pPr>
                  <w:r>
                    <w:rPr>
                      <w:rFonts w:hint="eastAsia" w:cs="Times New Roman"/>
                      <w:color w:val="auto"/>
                      <w:sz w:val="21"/>
                      <w:szCs w:val="21"/>
                      <w:lang w:val="en-US" w:eastAsia="zh-CN"/>
                    </w:rPr>
                    <w:t>3</w:t>
                  </w:r>
                </w:p>
              </w:tc>
              <w:tc>
                <w:tcPr>
                  <w:tcW w:w="437" w:type="pct"/>
                  <w:noWrap w:val="0"/>
                  <w:tcMar>
                    <w:top w:w="0" w:type="dxa"/>
                    <w:left w:w="108" w:type="dxa"/>
                    <w:bottom w:w="0" w:type="dxa"/>
                    <w:right w:w="108" w:type="dxa"/>
                  </w:tcMar>
                  <w:vAlign w:val="center"/>
                </w:tcPr>
                <w:p w14:paraId="5256C22D">
                  <w:pPr>
                    <w:pStyle w:val="77"/>
                    <w:adjustRightInd w:val="0"/>
                    <w:snapToGrid w:val="0"/>
                    <w:spacing w:before="0"/>
                    <w:rPr>
                      <w:rFonts w:hint="eastAsia" w:cs="Times New Roman"/>
                      <w:color w:val="auto"/>
                      <w:sz w:val="21"/>
                      <w:szCs w:val="21"/>
                      <w:lang w:eastAsia="zh-CN"/>
                    </w:rPr>
                  </w:pPr>
                  <w:r>
                    <w:rPr>
                      <w:rFonts w:hint="eastAsia" w:cs="Times New Roman"/>
                      <w:color w:val="auto"/>
                      <w:sz w:val="21"/>
                      <w:szCs w:val="21"/>
                      <w:lang w:eastAsia="zh-CN"/>
                    </w:rPr>
                    <w:t>台</w:t>
                  </w:r>
                </w:p>
              </w:tc>
              <w:tc>
                <w:tcPr>
                  <w:tcW w:w="831" w:type="pct"/>
                  <w:noWrap w:val="0"/>
                  <w:tcMar>
                    <w:top w:w="0" w:type="dxa"/>
                    <w:left w:w="108" w:type="dxa"/>
                    <w:bottom w:w="0" w:type="dxa"/>
                    <w:right w:w="108" w:type="dxa"/>
                  </w:tcMar>
                  <w:vAlign w:val="center"/>
                </w:tcPr>
                <w:p w14:paraId="483117D4">
                  <w:pPr>
                    <w:pStyle w:val="77"/>
                    <w:adjustRightInd w:val="0"/>
                    <w:snapToGrid w:val="0"/>
                    <w:spacing w:before="0"/>
                    <w:rPr>
                      <w:rFonts w:hint="default" w:cs="Times New Roman"/>
                      <w:color w:val="auto"/>
                      <w:sz w:val="21"/>
                      <w:szCs w:val="21"/>
                      <w:lang w:val="en-US" w:eastAsia="zh-CN"/>
                    </w:rPr>
                  </w:pPr>
                  <w:r>
                    <w:rPr>
                      <w:rFonts w:hint="eastAsia" w:cs="Times New Roman"/>
                      <w:color w:val="auto"/>
                      <w:sz w:val="21"/>
                      <w:szCs w:val="21"/>
                      <w:lang w:eastAsia="zh-CN"/>
                    </w:rPr>
                    <w:t>操作室</w:t>
                  </w:r>
                  <w:r>
                    <w:rPr>
                      <w:rFonts w:hint="eastAsia" w:cs="Times New Roman"/>
                      <w:color w:val="auto"/>
                      <w:sz w:val="21"/>
                      <w:szCs w:val="21"/>
                      <w:lang w:val="en-US" w:eastAsia="zh-CN"/>
                    </w:rPr>
                    <w:t>3</w:t>
                  </w:r>
                </w:p>
              </w:tc>
            </w:tr>
            <w:tr w14:paraId="6DEE09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63" w:type="pct"/>
                  <w:noWrap w:val="0"/>
                  <w:tcMar>
                    <w:top w:w="0" w:type="dxa"/>
                    <w:left w:w="108" w:type="dxa"/>
                    <w:bottom w:w="0" w:type="dxa"/>
                    <w:right w:w="108" w:type="dxa"/>
                  </w:tcMar>
                  <w:vAlign w:val="center"/>
                </w:tcPr>
                <w:p w14:paraId="40302FBD">
                  <w:pPr>
                    <w:pStyle w:val="77"/>
                    <w:numPr>
                      <w:ilvl w:val="0"/>
                      <w:numId w:val="3"/>
                    </w:numPr>
                    <w:adjustRightInd w:val="0"/>
                    <w:snapToGrid w:val="0"/>
                    <w:spacing w:before="0"/>
                    <w:rPr>
                      <w:rFonts w:cs="Times New Roman"/>
                      <w:color w:val="auto"/>
                      <w:sz w:val="21"/>
                      <w:szCs w:val="21"/>
                      <w:lang w:eastAsia="zh-CN"/>
                    </w:rPr>
                  </w:pPr>
                </w:p>
              </w:tc>
              <w:tc>
                <w:tcPr>
                  <w:tcW w:w="1362" w:type="pct"/>
                  <w:noWrap w:val="0"/>
                  <w:tcMar>
                    <w:top w:w="0" w:type="dxa"/>
                    <w:left w:w="108" w:type="dxa"/>
                    <w:bottom w:w="0" w:type="dxa"/>
                    <w:right w:w="108" w:type="dxa"/>
                  </w:tcMar>
                  <w:vAlign w:val="center"/>
                </w:tcPr>
                <w:p w14:paraId="60EDCB89">
                  <w:pPr>
                    <w:pStyle w:val="77"/>
                    <w:adjustRightInd w:val="0"/>
                    <w:snapToGrid w:val="0"/>
                    <w:spacing w:before="0"/>
                    <w:jc w:val="center"/>
                    <w:rPr>
                      <w:rFonts w:cs="Times New Roman"/>
                      <w:color w:val="auto"/>
                      <w:sz w:val="21"/>
                      <w:szCs w:val="21"/>
                      <w:lang w:eastAsia="zh-CN"/>
                    </w:rPr>
                  </w:pPr>
                  <w:r>
                    <w:rPr>
                      <w:rFonts w:hint="eastAsia"/>
                      <w:color w:val="auto"/>
                      <w:highlight w:val="none"/>
                    </w:rPr>
                    <w:t>纯水机</w:t>
                  </w:r>
                </w:p>
              </w:tc>
              <w:tc>
                <w:tcPr>
                  <w:tcW w:w="1409" w:type="pct"/>
                  <w:noWrap w:val="0"/>
                  <w:tcMar>
                    <w:top w:w="0" w:type="dxa"/>
                    <w:left w:w="108" w:type="dxa"/>
                    <w:bottom w:w="0" w:type="dxa"/>
                    <w:right w:w="108" w:type="dxa"/>
                  </w:tcMar>
                  <w:vAlign w:val="center"/>
                </w:tcPr>
                <w:p w14:paraId="77C066AA">
                  <w:pPr>
                    <w:pStyle w:val="77"/>
                    <w:adjustRightInd w:val="0"/>
                    <w:snapToGrid w:val="0"/>
                    <w:spacing w:before="0"/>
                    <w:rPr>
                      <w:rFonts w:hint="default" w:ascii="Times New Roman" w:hAnsi="Times New Roman" w:cs="Times New Roman"/>
                      <w:color w:val="auto"/>
                      <w:sz w:val="21"/>
                      <w:szCs w:val="21"/>
                      <w:lang w:eastAsia="zh-CN"/>
                    </w:rPr>
                  </w:pPr>
                  <w:r>
                    <w:rPr>
                      <w:rFonts w:hint="default" w:ascii="Times New Roman" w:hAnsi="Times New Roman" w:cs="Times New Roman"/>
                      <w:color w:val="auto"/>
                      <w:highlight w:val="none"/>
                    </w:rPr>
                    <w:t>FE-S20</w:t>
                  </w:r>
                </w:p>
              </w:tc>
              <w:tc>
                <w:tcPr>
                  <w:tcW w:w="595" w:type="pct"/>
                  <w:noWrap w:val="0"/>
                  <w:tcMar>
                    <w:top w:w="0" w:type="dxa"/>
                    <w:left w:w="108" w:type="dxa"/>
                    <w:bottom w:w="0" w:type="dxa"/>
                    <w:right w:w="108" w:type="dxa"/>
                  </w:tcMar>
                  <w:vAlign w:val="center"/>
                </w:tcPr>
                <w:p w14:paraId="206D8757">
                  <w:pPr>
                    <w:pStyle w:val="77"/>
                    <w:adjustRightInd w:val="0"/>
                    <w:snapToGrid w:val="0"/>
                    <w:spacing w:before="0"/>
                    <w:rPr>
                      <w:rFonts w:hint="default" w:cs="Times New Roman"/>
                      <w:color w:val="auto"/>
                      <w:sz w:val="21"/>
                      <w:szCs w:val="21"/>
                      <w:lang w:val="en-US" w:eastAsia="zh-CN"/>
                    </w:rPr>
                  </w:pPr>
                  <w:r>
                    <w:rPr>
                      <w:rFonts w:hint="eastAsia" w:cs="Times New Roman"/>
                      <w:color w:val="auto"/>
                      <w:sz w:val="21"/>
                      <w:szCs w:val="21"/>
                      <w:lang w:val="en-US" w:eastAsia="zh-CN"/>
                    </w:rPr>
                    <w:t>1</w:t>
                  </w:r>
                </w:p>
              </w:tc>
              <w:tc>
                <w:tcPr>
                  <w:tcW w:w="437" w:type="pct"/>
                  <w:noWrap w:val="0"/>
                  <w:tcMar>
                    <w:top w:w="0" w:type="dxa"/>
                    <w:left w:w="108" w:type="dxa"/>
                    <w:bottom w:w="0" w:type="dxa"/>
                    <w:right w:w="108" w:type="dxa"/>
                  </w:tcMar>
                  <w:vAlign w:val="center"/>
                </w:tcPr>
                <w:p w14:paraId="325D9A26">
                  <w:pPr>
                    <w:pStyle w:val="77"/>
                    <w:adjustRightInd w:val="0"/>
                    <w:snapToGrid w:val="0"/>
                    <w:spacing w:before="0"/>
                    <w:rPr>
                      <w:rFonts w:hint="eastAsia" w:cs="Times New Roman"/>
                      <w:color w:val="auto"/>
                      <w:sz w:val="21"/>
                      <w:szCs w:val="21"/>
                      <w:lang w:eastAsia="zh-CN"/>
                    </w:rPr>
                  </w:pPr>
                  <w:r>
                    <w:rPr>
                      <w:rFonts w:hint="eastAsia" w:cs="Times New Roman"/>
                      <w:color w:val="auto"/>
                      <w:sz w:val="21"/>
                      <w:szCs w:val="21"/>
                      <w:lang w:eastAsia="zh-CN"/>
                    </w:rPr>
                    <w:t>台</w:t>
                  </w:r>
                </w:p>
              </w:tc>
              <w:tc>
                <w:tcPr>
                  <w:tcW w:w="831" w:type="pct"/>
                  <w:noWrap w:val="0"/>
                  <w:tcMar>
                    <w:top w:w="0" w:type="dxa"/>
                    <w:left w:w="108" w:type="dxa"/>
                    <w:bottom w:w="0" w:type="dxa"/>
                    <w:right w:w="108" w:type="dxa"/>
                  </w:tcMar>
                  <w:vAlign w:val="center"/>
                </w:tcPr>
                <w:p w14:paraId="61020DD2">
                  <w:pPr>
                    <w:pStyle w:val="77"/>
                    <w:adjustRightInd w:val="0"/>
                    <w:snapToGrid w:val="0"/>
                    <w:spacing w:before="0"/>
                    <w:rPr>
                      <w:rFonts w:hint="default" w:cs="Times New Roman"/>
                      <w:color w:val="auto"/>
                      <w:sz w:val="21"/>
                      <w:szCs w:val="21"/>
                      <w:lang w:val="en-US" w:eastAsia="zh-CN"/>
                    </w:rPr>
                  </w:pPr>
                  <w:r>
                    <w:rPr>
                      <w:rFonts w:hint="eastAsia" w:cs="Times New Roman"/>
                      <w:color w:val="auto"/>
                      <w:sz w:val="21"/>
                      <w:szCs w:val="21"/>
                      <w:lang w:eastAsia="zh-CN"/>
                    </w:rPr>
                    <w:t>操作室</w:t>
                  </w:r>
                  <w:r>
                    <w:rPr>
                      <w:rFonts w:hint="eastAsia" w:cs="Times New Roman"/>
                      <w:color w:val="auto"/>
                      <w:sz w:val="21"/>
                      <w:szCs w:val="21"/>
                      <w:lang w:val="en-US" w:eastAsia="zh-CN"/>
                    </w:rPr>
                    <w:t>3</w:t>
                  </w:r>
                </w:p>
              </w:tc>
            </w:tr>
            <w:tr w14:paraId="6B08C2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63" w:type="pct"/>
                  <w:noWrap w:val="0"/>
                  <w:tcMar>
                    <w:top w:w="0" w:type="dxa"/>
                    <w:left w:w="108" w:type="dxa"/>
                    <w:bottom w:w="0" w:type="dxa"/>
                    <w:right w:w="108" w:type="dxa"/>
                  </w:tcMar>
                  <w:vAlign w:val="center"/>
                </w:tcPr>
                <w:p w14:paraId="72B9CBF3">
                  <w:pPr>
                    <w:pStyle w:val="77"/>
                    <w:numPr>
                      <w:ilvl w:val="0"/>
                      <w:numId w:val="3"/>
                    </w:numPr>
                    <w:adjustRightInd w:val="0"/>
                    <w:snapToGrid w:val="0"/>
                    <w:spacing w:before="0"/>
                    <w:rPr>
                      <w:rFonts w:cs="Times New Roman"/>
                      <w:color w:val="auto"/>
                      <w:sz w:val="21"/>
                      <w:szCs w:val="21"/>
                      <w:lang w:eastAsia="zh-CN"/>
                    </w:rPr>
                  </w:pPr>
                </w:p>
              </w:tc>
              <w:tc>
                <w:tcPr>
                  <w:tcW w:w="1362" w:type="pct"/>
                  <w:noWrap w:val="0"/>
                  <w:tcMar>
                    <w:top w:w="0" w:type="dxa"/>
                    <w:left w:w="108" w:type="dxa"/>
                    <w:bottom w:w="0" w:type="dxa"/>
                    <w:right w:w="108" w:type="dxa"/>
                  </w:tcMar>
                  <w:vAlign w:val="center"/>
                </w:tcPr>
                <w:p w14:paraId="250F1BDC">
                  <w:pPr>
                    <w:pStyle w:val="77"/>
                    <w:adjustRightInd w:val="0"/>
                    <w:snapToGrid w:val="0"/>
                    <w:spacing w:before="0"/>
                    <w:jc w:val="center"/>
                    <w:rPr>
                      <w:rFonts w:cs="Times New Roman"/>
                      <w:color w:val="auto"/>
                      <w:sz w:val="21"/>
                      <w:szCs w:val="21"/>
                      <w:lang w:eastAsia="zh-CN"/>
                    </w:rPr>
                  </w:pPr>
                  <w:r>
                    <w:rPr>
                      <w:rFonts w:hint="eastAsia"/>
                      <w:color w:val="auto"/>
                      <w:lang w:eastAsia="zh-CN"/>
                    </w:rPr>
                    <w:t>实验室污水处理设备</w:t>
                  </w:r>
                </w:p>
              </w:tc>
              <w:tc>
                <w:tcPr>
                  <w:tcW w:w="1409" w:type="pct"/>
                  <w:noWrap w:val="0"/>
                  <w:tcMar>
                    <w:top w:w="0" w:type="dxa"/>
                    <w:left w:w="108" w:type="dxa"/>
                    <w:bottom w:w="0" w:type="dxa"/>
                    <w:right w:w="108" w:type="dxa"/>
                  </w:tcMar>
                  <w:vAlign w:val="center"/>
                </w:tcPr>
                <w:p w14:paraId="68CD3BDE">
                  <w:pPr>
                    <w:pStyle w:val="77"/>
                    <w:adjustRightInd w:val="0"/>
                    <w:snapToGrid w:val="0"/>
                    <w:spacing w:before="0"/>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QWSYS-2T/D</w:t>
                  </w:r>
                  <w:r>
                    <w:rPr>
                      <w:rFonts w:hint="eastAsia" w:ascii="Times New Roman" w:hAnsi="Times New Roman" w:cs="Times New Roman"/>
                      <w:color w:val="auto"/>
                      <w:sz w:val="21"/>
                      <w:szCs w:val="21"/>
                      <w:lang w:val="en-US" w:eastAsia="zh-CN"/>
                    </w:rPr>
                    <w:t xml:space="preserve">   </w:t>
                  </w:r>
                  <w:r>
                    <w:rPr>
                      <w:rFonts w:hint="default" w:ascii="Times New Roman" w:hAnsi="Times New Roman" w:cs="Times New Roman"/>
                      <w:color w:val="auto"/>
                      <w:sz w:val="21"/>
                      <w:szCs w:val="21"/>
                      <w:lang w:eastAsia="zh-CN"/>
                    </w:rPr>
                    <w:t>2</w:t>
                  </w:r>
                  <w:r>
                    <w:rPr>
                      <w:rFonts w:hint="eastAsia" w:ascii="Times New Roman" w:hAnsi="Times New Roman" w:cs="Times New Roman"/>
                      <w:color w:val="auto"/>
                      <w:sz w:val="21"/>
                      <w:szCs w:val="21"/>
                      <w:lang w:val="en-US" w:eastAsia="zh-CN"/>
                    </w:rPr>
                    <w:t>t</w:t>
                  </w:r>
                  <w:r>
                    <w:rPr>
                      <w:rFonts w:hint="default" w:ascii="Times New Roman" w:hAnsi="Times New Roman" w:cs="Times New Roman"/>
                      <w:color w:val="auto"/>
                      <w:sz w:val="21"/>
                      <w:szCs w:val="21"/>
                      <w:lang w:eastAsia="zh-CN"/>
                    </w:rPr>
                    <w:t xml:space="preserve">/日 </w:t>
                  </w:r>
                </w:p>
              </w:tc>
              <w:tc>
                <w:tcPr>
                  <w:tcW w:w="595" w:type="pct"/>
                  <w:noWrap w:val="0"/>
                  <w:tcMar>
                    <w:top w:w="0" w:type="dxa"/>
                    <w:left w:w="108" w:type="dxa"/>
                    <w:bottom w:w="0" w:type="dxa"/>
                    <w:right w:w="108" w:type="dxa"/>
                  </w:tcMar>
                  <w:vAlign w:val="center"/>
                </w:tcPr>
                <w:p w14:paraId="3DD58576">
                  <w:pPr>
                    <w:pStyle w:val="77"/>
                    <w:adjustRightInd w:val="0"/>
                    <w:snapToGrid w:val="0"/>
                    <w:spacing w:before="0"/>
                    <w:rPr>
                      <w:rFonts w:cs="Times New Roman"/>
                      <w:color w:val="auto"/>
                      <w:sz w:val="21"/>
                      <w:szCs w:val="21"/>
                      <w:lang w:eastAsia="zh-CN"/>
                    </w:rPr>
                  </w:pPr>
                  <w:r>
                    <w:rPr>
                      <w:rFonts w:hint="eastAsia" w:cs="Times New Roman"/>
                      <w:color w:val="auto"/>
                      <w:sz w:val="21"/>
                      <w:szCs w:val="21"/>
                      <w:lang w:val="en-US" w:eastAsia="zh-CN"/>
                    </w:rPr>
                    <w:t>1</w:t>
                  </w:r>
                </w:p>
              </w:tc>
              <w:tc>
                <w:tcPr>
                  <w:tcW w:w="437" w:type="pct"/>
                  <w:noWrap w:val="0"/>
                  <w:tcMar>
                    <w:top w:w="0" w:type="dxa"/>
                    <w:left w:w="108" w:type="dxa"/>
                    <w:bottom w:w="0" w:type="dxa"/>
                    <w:right w:w="108" w:type="dxa"/>
                  </w:tcMar>
                  <w:vAlign w:val="center"/>
                </w:tcPr>
                <w:p w14:paraId="325E483A">
                  <w:pPr>
                    <w:pStyle w:val="77"/>
                    <w:adjustRightInd w:val="0"/>
                    <w:snapToGrid w:val="0"/>
                    <w:spacing w:before="0"/>
                    <w:rPr>
                      <w:rFonts w:hint="eastAsia" w:cs="Times New Roman"/>
                      <w:color w:val="auto"/>
                      <w:sz w:val="21"/>
                      <w:szCs w:val="21"/>
                      <w:lang w:eastAsia="zh-CN"/>
                    </w:rPr>
                  </w:pPr>
                  <w:r>
                    <w:rPr>
                      <w:rFonts w:hint="eastAsia" w:cs="Times New Roman"/>
                      <w:color w:val="auto"/>
                      <w:sz w:val="21"/>
                      <w:szCs w:val="21"/>
                      <w:lang w:eastAsia="zh-CN"/>
                    </w:rPr>
                    <w:t>台</w:t>
                  </w:r>
                </w:p>
              </w:tc>
              <w:tc>
                <w:tcPr>
                  <w:tcW w:w="831" w:type="pct"/>
                  <w:noWrap w:val="0"/>
                  <w:tcMar>
                    <w:top w:w="0" w:type="dxa"/>
                    <w:left w:w="108" w:type="dxa"/>
                    <w:bottom w:w="0" w:type="dxa"/>
                    <w:right w:w="108" w:type="dxa"/>
                  </w:tcMar>
                  <w:vAlign w:val="center"/>
                </w:tcPr>
                <w:p w14:paraId="2C1F90AA">
                  <w:pPr>
                    <w:pStyle w:val="77"/>
                    <w:adjustRightInd w:val="0"/>
                    <w:snapToGrid w:val="0"/>
                    <w:spacing w:before="0"/>
                    <w:rPr>
                      <w:rFonts w:hint="eastAsia" w:cs="Times New Roman"/>
                      <w:color w:val="auto"/>
                      <w:sz w:val="21"/>
                      <w:szCs w:val="21"/>
                      <w:lang w:eastAsia="zh-CN"/>
                    </w:rPr>
                  </w:pPr>
                  <w:r>
                    <w:rPr>
                      <w:rFonts w:hint="eastAsia" w:cs="Times New Roman"/>
                      <w:color w:val="auto"/>
                      <w:sz w:val="21"/>
                      <w:szCs w:val="21"/>
                      <w:lang w:eastAsia="zh-CN"/>
                    </w:rPr>
                    <w:t>操作室</w:t>
                  </w:r>
                  <w:r>
                    <w:rPr>
                      <w:rFonts w:hint="eastAsia" w:cs="Times New Roman"/>
                      <w:color w:val="auto"/>
                      <w:sz w:val="21"/>
                      <w:szCs w:val="21"/>
                      <w:lang w:val="en-US" w:eastAsia="zh-CN"/>
                    </w:rPr>
                    <w:t>3</w:t>
                  </w:r>
                </w:p>
              </w:tc>
            </w:tr>
            <w:tr w14:paraId="11B582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63" w:type="pct"/>
                  <w:noWrap w:val="0"/>
                  <w:tcMar>
                    <w:top w:w="0" w:type="dxa"/>
                    <w:left w:w="108" w:type="dxa"/>
                    <w:bottom w:w="0" w:type="dxa"/>
                    <w:right w:w="108" w:type="dxa"/>
                  </w:tcMar>
                  <w:vAlign w:val="center"/>
                </w:tcPr>
                <w:p w14:paraId="38173E96">
                  <w:pPr>
                    <w:pStyle w:val="77"/>
                    <w:numPr>
                      <w:ilvl w:val="0"/>
                      <w:numId w:val="3"/>
                    </w:numPr>
                    <w:adjustRightInd w:val="0"/>
                    <w:snapToGrid w:val="0"/>
                    <w:spacing w:before="0"/>
                    <w:rPr>
                      <w:rFonts w:cs="Times New Roman"/>
                      <w:color w:val="auto"/>
                      <w:sz w:val="21"/>
                      <w:szCs w:val="21"/>
                      <w:lang w:eastAsia="zh-CN"/>
                    </w:rPr>
                  </w:pPr>
                </w:p>
              </w:tc>
              <w:tc>
                <w:tcPr>
                  <w:tcW w:w="1362" w:type="pct"/>
                  <w:noWrap w:val="0"/>
                  <w:tcMar>
                    <w:top w:w="0" w:type="dxa"/>
                    <w:left w:w="108" w:type="dxa"/>
                    <w:bottom w:w="0" w:type="dxa"/>
                    <w:right w:w="108" w:type="dxa"/>
                  </w:tcMar>
                  <w:vAlign w:val="center"/>
                </w:tcPr>
                <w:p w14:paraId="30903F19">
                  <w:pPr>
                    <w:pStyle w:val="77"/>
                    <w:adjustRightInd w:val="0"/>
                    <w:snapToGrid w:val="0"/>
                    <w:spacing w:before="0"/>
                    <w:jc w:val="center"/>
                    <w:rPr>
                      <w:rFonts w:cs="Times New Roman"/>
                      <w:color w:val="auto"/>
                      <w:sz w:val="21"/>
                      <w:szCs w:val="21"/>
                      <w:lang w:eastAsia="zh-CN"/>
                    </w:rPr>
                  </w:pPr>
                  <w:r>
                    <w:rPr>
                      <w:rFonts w:hint="eastAsia"/>
                      <w:color w:val="auto"/>
                    </w:rPr>
                    <w:t>箱式电阻炉</w:t>
                  </w:r>
                </w:p>
              </w:tc>
              <w:tc>
                <w:tcPr>
                  <w:tcW w:w="1409" w:type="pct"/>
                  <w:noWrap w:val="0"/>
                  <w:tcMar>
                    <w:top w:w="0" w:type="dxa"/>
                    <w:left w:w="108" w:type="dxa"/>
                    <w:bottom w:w="0" w:type="dxa"/>
                    <w:right w:w="108" w:type="dxa"/>
                  </w:tcMar>
                  <w:vAlign w:val="center"/>
                </w:tcPr>
                <w:p w14:paraId="16FC5807">
                  <w:pPr>
                    <w:pStyle w:val="77"/>
                    <w:adjustRightInd w:val="0"/>
                    <w:snapToGrid w:val="0"/>
                    <w:spacing w:before="0"/>
                    <w:rPr>
                      <w:rFonts w:hint="default" w:ascii="Times New Roman" w:hAnsi="Times New Roman" w:cs="Times New Roman"/>
                      <w:color w:val="auto"/>
                      <w:sz w:val="21"/>
                      <w:szCs w:val="21"/>
                      <w:lang w:val="en-US" w:eastAsia="zh-CN"/>
                    </w:rPr>
                  </w:pPr>
                  <w:r>
                    <w:rPr>
                      <w:rFonts w:hint="default" w:ascii="Times New Roman" w:hAnsi="Times New Roman" w:cs="Times New Roman"/>
                      <w:color w:val="auto"/>
                    </w:rPr>
                    <w:t>SX2-12-10</w:t>
                  </w:r>
                </w:p>
              </w:tc>
              <w:tc>
                <w:tcPr>
                  <w:tcW w:w="595" w:type="pct"/>
                  <w:noWrap w:val="0"/>
                  <w:tcMar>
                    <w:top w:w="0" w:type="dxa"/>
                    <w:left w:w="108" w:type="dxa"/>
                    <w:bottom w:w="0" w:type="dxa"/>
                    <w:right w:w="108" w:type="dxa"/>
                  </w:tcMar>
                  <w:vAlign w:val="center"/>
                </w:tcPr>
                <w:p w14:paraId="0AD27362">
                  <w:pPr>
                    <w:pStyle w:val="77"/>
                    <w:adjustRightInd w:val="0"/>
                    <w:snapToGrid w:val="0"/>
                    <w:spacing w:before="0"/>
                    <w:rPr>
                      <w:rFonts w:hint="default" w:cs="Times New Roman"/>
                      <w:color w:val="auto"/>
                      <w:sz w:val="21"/>
                      <w:szCs w:val="21"/>
                      <w:lang w:val="en-US" w:eastAsia="zh-CN"/>
                    </w:rPr>
                  </w:pPr>
                  <w:r>
                    <w:rPr>
                      <w:rFonts w:hint="eastAsia" w:cs="Times New Roman"/>
                      <w:color w:val="auto"/>
                      <w:sz w:val="21"/>
                      <w:szCs w:val="21"/>
                      <w:lang w:val="en-US" w:eastAsia="zh-CN"/>
                    </w:rPr>
                    <w:t>4</w:t>
                  </w:r>
                </w:p>
              </w:tc>
              <w:tc>
                <w:tcPr>
                  <w:tcW w:w="437" w:type="pct"/>
                  <w:noWrap w:val="0"/>
                  <w:tcMar>
                    <w:top w:w="0" w:type="dxa"/>
                    <w:left w:w="108" w:type="dxa"/>
                    <w:bottom w:w="0" w:type="dxa"/>
                    <w:right w:w="108" w:type="dxa"/>
                  </w:tcMar>
                  <w:vAlign w:val="center"/>
                </w:tcPr>
                <w:p w14:paraId="33926D16">
                  <w:pPr>
                    <w:pStyle w:val="77"/>
                    <w:adjustRightInd w:val="0"/>
                    <w:snapToGrid w:val="0"/>
                    <w:spacing w:before="0"/>
                    <w:rPr>
                      <w:rFonts w:cs="Times New Roman"/>
                      <w:color w:val="auto"/>
                      <w:sz w:val="21"/>
                      <w:szCs w:val="21"/>
                      <w:lang w:eastAsia="zh-CN"/>
                    </w:rPr>
                  </w:pPr>
                  <w:r>
                    <w:rPr>
                      <w:rFonts w:hint="eastAsia" w:cs="Times New Roman"/>
                      <w:color w:val="auto"/>
                      <w:sz w:val="21"/>
                      <w:szCs w:val="21"/>
                      <w:lang w:eastAsia="zh-CN"/>
                    </w:rPr>
                    <w:t>台</w:t>
                  </w:r>
                </w:p>
              </w:tc>
              <w:tc>
                <w:tcPr>
                  <w:tcW w:w="831" w:type="pct"/>
                  <w:noWrap w:val="0"/>
                  <w:tcMar>
                    <w:top w:w="0" w:type="dxa"/>
                    <w:left w:w="108" w:type="dxa"/>
                    <w:bottom w:w="0" w:type="dxa"/>
                    <w:right w:w="108" w:type="dxa"/>
                  </w:tcMar>
                  <w:vAlign w:val="center"/>
                </w:tcPr>
                <w:p w14:paraId="73DD1C5D">
                  <w:pPr>
                    <w:pStyle w:val="77"/>
                    <w:adjustRightInd w:val="0"/>
                    <w:snapToGrid w:val="0"/>
                    <w:spacing w:before="0"/>
                    <w:rPr>
                      <w:rFonts w:cs="Times New Roman"/>
                      <w:color w:val="auto"/>
                      <w:sz w:val="21"/>
                      <w:szCs w:val="21"/>
                      <w:lang w:eastAsia="zh-CN"/>
                    </w:rPr>
                  </w:pPr>
                  <w:r>
                    <w:rPr>
                      <w:rFonts w:hint="eastAsia" w:cs="Times New Roman"/>
                      <w:color w:val="auto"/>
                      <w:sz w:val="21"/>
                      <w:szCs w:val="21"/>
                      <w:lang w:eastAsia="zh-CN"/>
                    </w:rPr>
                    <w:t>高温炉室</w:t>
                  </w:r>
                </w:p>
              </w:tc>
            </w:tr>
            <w:tr w14:paraId="2A893F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63" w:type="pct"/>
                  <w:noWrap w:val="0"/>
                  <w:tcMar>
                    <w:top w:w="0" w:type="dxa"/>
                    <w:left w:w="108" w:type="dxa"/>
                    <w:bottom w:w="0" w:type="dxa"/>
                    <w:right w:w="108" w:type="dxa"/>
                  </w:tcMar>
                  <w:vAlign w:val="center"/>
                </w:tcPr>
                <w:p w14:paraId="63CF7C1C">
                  <w:pPr>
                    <w:pStyle w:val="77"/>
                    <w:numPr>
                      <w:ilvl w:val="0"/>
                      <w:numId w:val="3"/>
                    </w:numPr>
                    <w:adjustRightInd w:val="0"/>
                    <w:snapToGrid w:val="0"/>
                    <w:spacing w:before="0"/>
                    <w:rPr>
                      <w:rFonts w:cs="Times New Roman"/>
                      <w:color w:val="auto"/>
                      <w:sz w:val="21"/>
                      <w:szCs w:val="21"/>
                      <w:lang w:eastAsia="zh-CN"/>
                    </w:rPr>
                  </w:pPr>
                </w:p>
              </w:tc>
              <w:tc>
                <w:tcPr>
                  <w:tcW w:w="1362" w:type="pct"/>
                  <w:noWrap w:val="0"/>
                  <w:tcMar>
                    <w:top w:w="0" w:type="dxa"/>
                    <w:left w:w="108" w:type="dxa"/>
                    <w:bottom w:w="0" w:type="dxa"/>
                    <w:right w:w="108" w:type="dxa"/>
                  </w:tcMar>
                  <w:vAlign w:val="center"/>
                </w:tcPr>
                <w:p w14:paraId="212731C3">
                  <w:pPr>
                    <w:jc w:val="center"/>
                    <w:rPr>
                      <w:rFonts w:cs="Times New Roman"/>
                      <w:color w:val="auto"/>
                      <w:sz w:val="21"/>
                      <w:szCs w:val="21"/>
                      <w:lang w:eastAsia="zh-CN"/>
                    </w:rPr>
                  </w:pPr>
                  <w:r>
                    <w:rPr>
                      <w:rFonts w:hint="default" w:ascii="Times New Roman" w:hAnsi="Times New Roman" w:cs="Times New Roman"/>
                      <w:color w:val="auto"/>
                      <w:lang w:val="en-US" w:eastAsia="zh-CN"/>
                    </w:rPr>
                    <w:t>电热鼓风干燥箱</w:t>
                  </w:r>
                </w:p>
              </w:tc>
              <w:tc>
                <w:tcPr>
                  <w:tcW w:w="1409" w:type="pct"/>
                  <w:noWrap w:val="0"/>
                  <w:tcMar>
                    <w:top w:w="0" w:type="dxa"/>
                    <w:left w:w="108" w:type="dxa"/>
                    <w:bottom w:w="0" w:type="dxa"/>
                    <w:right w:w="108" w:type="dxa"/>
                  </w:tcMar>
                  <w:vAlign w:val="center"/>
                </w:tcPr>
                <w:p w14:paraId="6E590437">
                  <w:pPr>
                    <w:jc w:val="center"/>
                    <w:rPr>
                      <w:rFonts w:hint="default" w:ascii="Times New Roman" w:hAnsi="Times New Roman" w:cs="Times New Roman"/>
                      <w:color w:val="auto"/>
                      <w:sz w:val="21"/>
                      <w:szCs w:val="21"/>
                      <w:lang w:eastAsia="zh-CN"/>
                    </w:rPr>
                  </w:pPr>
                  <w:r>
                    <w:rPr>
                      <w:rFonts w:hint="default" w:ascii="Times New Roman" w:hAnsi="Times New Roman" w:cs="Times New Roman"/>
                      <w:color w:val="auto"/>
                      <w:lang w:val="en-US" w:eastAsia="zh-CN"/>
                    </w:rPr>
                    <w:t>101-00B</w:t>
                  </w:r>
                </w:p>
              </w:tc>
              <w:tc>
                <w:tcPr>
                  <w:tcW w:w="595" w:type="pct"/>
                  <w:noWrap w:val="0"/>
                  <w:tcMar>
                    <w:top w:w="0" w:type="dxa"/>
                    <w:left w:w="108" w:type="dxa"/>
                    <w:bottom w:w="0" w:type="dxa"/>
                    <w:right w:w="108" w:type="dxa"/>
                  </w:tcMar>
                  <w:vAlign w:val="center"/>
                </w:tcPr>
                <w:p w14:paraId="703EBFC1">
                  <w:pPr>
                    <w:pStyle w:val="77"/>
                    <w:adjustRightInd w:val="0"/>
                    <w:snapToGrid w:val="0"/>
                    <w:spacing w:before="0"/>
                    <w:rPr>
                      <w:rFonts w:hint="default" w:cs="Times New Roman"/>
                      <w:color w:val="auto"/>
                      <w:sz w:val="21"/>
                      <w:szCs w:val="21"/>
                      <w:lang w:val="en-US" w:eastAsia="zh-CN"/>
                    </w:rPr>
                  </w:pPr>
                  <w:r>
                    <w:rPr>
                      <w:rFonts w:hint="eastAsia" w:cs="Times New Roman"/>
                      <w:color w:val="auto"/>
                      <w:sz w:val="21"/>
                      <w:szCs w:val="21"/>
                      <w:lang w:val="en-US" w:eastAsia="zh-CN"/>
                    </w:rPr>
                    <w:t>1</w:t>
                  </w:r>
                </w:p>
              </w:tc>
              <w:tc>
                <w:tcPr>
                  <w:tcW w:w="437" w:type="pct"/>
                  <w:noWrap w:val="0"/>
                  <w:tcMar>
                    <w:top w:w="0" w:type="dxa"/>
                    <w:left w:w="108" w:type="dxa"/>
                    <w:bottom w:w="0" w:type="dxa"/>
                    <w:right w:w="108" w:type="dxa"/>
                  </w:tcMar>
                  <w:vAlign w:val="center"/>
                </w:tcPr>
                <w:p w14:paraId="361CF57B">
                  <w:pPr>
                    <w:pStyle w:val="77"/>
                    <w:adjustRightInd w:val="0"/>
                    <w:snapToGrid w:val="0"/>
                    <w:spacing w:before="0"/>
                    <w:rPr>
                      <w:rFonts w:cs="Times New Roman"/>
                      <w:color w:val="auto"/>
                      <w:sz w:val="21"/>
                      <w:szCs w:val="21"/>
                      <w:lang w:eastAsia="zh-CN"/>
                    </w:rPr>
                  </w:pPr>
                  <w:r>
                    <w:rPr>
                      <w:rFonts w:hint="eastAsia" w:cs="Times New Roman"/>
                      <w:color w:val="auto"/>
                      <w:sz w:val="21"/>
                      <w:szCs w:val="21"/>
                      <w:lang w:eastAsia="zh-CN"/>
                    </w:rPr>
                    <w:t>台</w:t>
                  </w:r>
                </w:p>
              </w:tc>
              <w:tc>
                <w:tcPr>
                  <w:tcW w:w="831" w:type="pct"/>
                  <w:noWrap w:val="0"/>
                  <w:tcMar>
                    <w:top w:w="0" w:type="dxa"/>
                    <w:left w:w="108" w:type="dxa"/>
                    <w:bottom w:w="0" w:type="dxa"/>
                    <w:right w:w="108" w:type="dxa"/>
                  </w:tcMar>
                  <w:vAlign w:val="center"/>
                </w:tcPr>
                <w:p w14:paraId="76D287F2">
                  <w:pPr>
                    <w:pStyle w:val="77"/>
                    <w:adjustRightInd w:val="0"/>
                    <w:snapToGrid w:val="0"/>
                    <w:spacing w:before="0"/>
                    <w:rPr>
                      <w:rFonts w:cs="Times New Roman"/>
                      <w:color w:val="auto"/>
                      <w:sz w:val="21"/>
                      <w:szCs w:val="21"/>
                      <w:lang w:eastAsia="zh-CN"/>
                    </w:rPr>
                  </w:pPr>
                  <w:r>
                    <w:rPr>
                      <w:rFonts w:hint="eastAsia" w:cs="Times New Roman"/>
                      <w:color w:val="auto"/>
                      <w:sz w:val="21"/>
                      <w:szCs w:val="21"/>
                      <w:lang w:eastAsia="zh-CN"/>
                    </w:rPr>
                    <w:t>高温炉室</w:t>
                  </w:r>
                </w:p>
              </w:tc>
            </w:tr>
            <w:tr w14:paraId="21C689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63" w:type="pct"/>
                  <w:noWrap w:val="0"/>
                  <w:tcMar>
                    <w:top w:w="0" w:type="dxa"/>
                    <w:left w:w="108" w:type="dxa"/>
                    <w:bottom w:w="0" w:type="dxa"/>
                    <w:right w:w="108" w:type="dxa"/>
                  </w:tcMar>
                  <w:vAlign w:val="center"/>
                </w:tcPr>
                <w:p w14:paraId="50560F39">
                  <w:pPr>
                    <w:pStyle w:val="77"/>
                    <w:numPr>
                      <w:ilvl w:val="0"/>
                      <w:numId w:val="3"/>
                    </w:numPr>
                    <w:adjustRightInd w:val="0"/>
                    <w:snapToGrid w:val="0"/>
                    <w:spacing w:before="0"/>
                    <w:rPr>
                      <w:rFonts w:cs="Times New Roman"/>
                      <w:color w:val="auto"/>
                      <w:sz w:val="21"/>
                      <w:szCs w:val="21"/>
                      <w:lang w:eastAsia="zh-CN"/>
                    </w:rPr>
                  </w:pPr>
                </w:p>
              </w:tc>
              <w:tc>
                <w:tcPr>
                  <w:tcW w:w="1362" w:type="pct"/>
                  <w:noWrap w:val="0"/>
                  <w:tcMar>
                    <w:top w:w="0" w:type="dxa"/>
                    <w:left w:w="108" w:type="dxa"/>
                    <w:bottom w:w="0" w:type="dxa"/>
                    <w:right w:w="108" w:type="dxa"/>
                  </w:tcMar>
                  <w:vAlign w:val="center"/>
                </w:tcPr>
                <w:p w14:paraId="58DE97E6">
                  <w:pPr>
                    <w:jc w:val="center"/>
                    <w:rPr>
                      <w:rFonts w:cs="Times New Roman"/>
                      <w:color w:val="auto"/>
                      <w:sz w:val="21"/>
                      <w:szCs w:val="21"/>
                      <w:lang w:eastAsia="zh-CN"/>
                    </w:rPr>
                  </w:pPr>
                  <w:r>
                    <w:rPr>
                      <w:rFonts w:hint="eastAsia"/>
                      <w:color w:val="auto"/>
                      <w:lang w:eastAsia="zh-CN"/>
                    </w:rPr>
                    <w:t>药品阴凉（冷藏）柜</w:t>
                  </w:r>
                </w:p>
              </w:tc>
              <w:tc>
                <w:tcPr>
                  <w:tcW w:w="1409" w:type="pct"/>
                  <w:noWrap w:val="0"/>
                  <w:tcMar>
                    <w:top w:w="0" w:type="dxa"/>
                    <w:left w:w="108" w:type="dxa"/>
                    <w:bottom w:w="0" w:type="dxa"/>
                    <w:right w:w="108" w:type="dxa"/>
                  </w:tcMar>
                  <w:vAlign w:val="center"/>
                </w:tcPr>
                <w:p w14:paraId="09F3D4E6">
                  <w:pPr>
                    <w:pStyle w:val="77"/>
                    <w:adjustRightInd w:val="0"/>
                    <w:snapToGrid w:val="0"/>
                    <w:spacing w:before="0"/>
                    <w:rPr>
                      <w:rFonts w:hint="default" w:ascii="Times New Roman" w:hAnsi="Times New Roman" w:cs="Times New Roman"/>
                      <w:color w:val="auto"/>
                      <w:sz w:val="21"/>
                      <w:szCs w:val="21"/>
                      <w:lang w:eastAsia="zh-CN"/>
                    </w:rPr>
                  </w:pPr>
                  <w:r>
                    <w:rPr>
                      <w:rFonts w:hint="default" w:ascii="Times New Roman" w:hAnsi="Times New Roman" w:eastAsia="宋体" w:cs="Times New Roman"/>
                      <w:i w:val="0"/>
                      <w:iCs w:val="0"/>
                      <w:color w:val="auto"/>
                      <w:kern w:val="0"/>
                      <w:sz w:val="22"/>
                      <w:szCs w:val="22"/>
                      <w:u w:val="none"/>
                      <w:lang w:val="en-US" w:eastAsia="zh-CN" w:bidi="ar"/>
                    </w:rPr>
                    <w:t>SCLG5-400</w:t>
                  </w:r>
                </w:p>
              </w:tc>
              <w:tc>
                <w:tcPr>
                  <w:tcW w:w="595" w:type="pct"/>
                  <w:noWrap w:val="0"/>
                  <w:tcMar>
                    <w:top w:w="0" w:type="dxa"/>
                    <w:left w:w="108" w:type="dxa"/>
                    <w:bottom w:w="0" w:type="dxa"/>
                    <w:right w:w="108" w:type="dxa"/>
                  </w:tcMar>
                  <w:vAlign w:val="center"/>
                </w:tcPr>
                <w:p w14:paraId="4B9E6B26">
                  <w:pPr>
                    <w:pStyle w:val="77"/>
                    <w:adjustRightInd w:val="0"/>
                    <w:snapToGrid w:val="0"/>
                    <w:spacing w:before="0"/>
                    <w:rPr>
                      <w:rFonts w:cs="Times New Roman"/>
                      <w:color w:val="auto"/>
                      <w:sz w:val="21"/>
                      <w:szCs w:val="21"/>
                      <w:lang w:eastAsia="zh-CN"/>
                    </w:rPr>
                  </w:pPr>
                  <w:r>
                    <w:rPr>
                      <w:rFonts w:hint="eastAsia" w:cs="Times New Roman"/>
                      <w:color w:val="auto"/>
                      <w:sz w:val="21"/>
                      <w:szCs w:val="21"/>
                      <w:lang w:val="en-US" w:eastAsia="zh-CN"/>
                    </w:rPr>
                    <w:t>1</w:t>
                  </w:r>
                </w:p>
              </w:tc>
              <w:tc>
                <w:tcPr>
                  <w:tcW w:w="437" w:type="pct"/>
                  <w:noWrap w:val="0"/>
                  <w:tcMar>
                    <w:top w:w="0" w:type="dxa"/>
                    <w:left w:w="108" w:type="dxa"/>
                    <w:bottom w:w="0" w:type="dxa"/>
                    <w:right w:w="108" w:type="dxa"/>
                  </w:tcMar>
                  <w:vAlign w:val="center"/>
                </w:tcPr>
                <w:p w14:paraId="564473C0">
                  <w:pPr>
                    <w:pStyle w:val="77"/>
                    <w:adjustRightInd w:val="0"/>
                    <w:snapToGrid w:val="0"/>
                    <w:spacing w:before="0"/>
                    <w:rPr>
                      <w:rFonts w:cs="Times New Roman"/>
                      <w:color w:val="auto"/>
                      <w:sz w:val="21"/>
                      <w:szCs w:val="21"/>
                      <w:lang w:eastAsia="zh-CN"/>
                    </w:rPr>
                  </w:pPr>
                  <w:r>
                    <w:rPr>
                      <w:rFonts w:hint="eastAsia" w:cs="Times New Roman"/>
                      <w:color w:val="auto"/>
                      <w:sz w:val="21"/>
                      <w:szCs w:val="21"/>
                      <w:lang w:eastAsia="zh-CN"/>
                    </w:rPr>
                    <w:t>台</w:t>
                  </w:r>
                </w:p>
              </w:tc>
              <w:tc>
                <w:tcPr>
                  <w:tcW w:w="831" w:type="pct"/>
                  <w:noWrap w:val="0"/>
                  <w:tcMar>
                    <w:top w:w="0" w:type="dxa"/>
                    <w:left w:w="108" w:type="dxa"/>
                    <w:bottom w:w="0" w:type="dxa"/>
                    <w:right w:w="108" w:type="dxa"/>
                  </w:tcMar>
                  <w:vAlign w:val="center"/>
                </w:tcPr>
                <w:p w14:paraId="5246D0CF">
                  <w:pPr>
                    <w:pStyle w:val="77"/>
                    <w:adjustRightInd w:val="0"/>
                    <w:snapToGrid w:val="0"/>
                    <w:spacing w:before="0"/>
                    <w:rPr>
                      <w:rFonts w:cs="Times New Roman"/>
                      <w:color w:val="auto"/>
                      <w:sz w:val="21"/>
                      <w:szCs w:val="21"/>
                      <w:lang w:eastAsia="zh-CN"/>
                    </w:rPr>
                  </w:pPr>
                  <w:r>
                    <w:rPr>
                      <w:rFonts w:hint="eastAsia" w:cs="Times New Roman"/>
                      <w:color w:val="auto"/>
                      <w:sz w:val="21"/>
                      <w:szCs w:val="21"/>
                      <w:lang w:eastAsia="zh-CN"/>
                    </w:rPr>
                    <w:t>标准室</w:t>
                  </w:r>
                </w:p>
              </w:tc>
            </w:tr>
            <w:tr w14:paraId="4730D1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56" w:hRule="atLeast"/>
                <w:jc w:val="center"/>
              </w:trPr>
              <w:tc>
                <w:tcPr>
                  <w:tcW w:w="363" w:type="pct"/>
                  <w:noWrap w:val="0"/>
                  <w:tcMar>
                    <w:top w:w="0" w:type="dxa"/>
                    <w:left w:w="108" w:type="dxa"/>
                    <w:bottom w:w="0" w:type="dxa"/>
                    <w:right w:w="108" w:type="dxa"/>
                  </w:tcMar>
                  <w:vAlign w:val="center"/>
                </w:tcPr>
                <w:p w14:paraId="6CD12362">
                  <w:pPr>
                    <w:pStyle w:val="77"/>
                    <w:numPr>
                      <w:ilvl w:val="0"/>
                      <w:numId w:val="3"/>
                    </w:numPr>
                    <w:adjustRightInd w:val="0"/>
                    <w:snapToGrid w:val="0"/>
                    <w:spacing w:before="0"/>
                    <w:rPr>
                      <w:rFonts w:cs="Times New Roman"/>
                      <w:color w:val="auto"/>
                      <w:sz w:val="21"/>
                      <w:szCs w:val="21"/>
                      <w:lang w:eastAsia="zh-CN"/>
                    </w:rPr>
                  </w:pPr>
                </w:p>
              </w:tc>
              <w:tc>
                <w:tcPr>
                  <w:tcW w:w="1362" w:type="pct"/>
                  <w:shd w:val="clear" w:color="auto" w:fill="auto"/>
                  <w:noWrap w:val="0"/>
                  <w:tcMar>
                    <w:top w:w="0" w:type="dxa"/>
                    <w:left w:w="108" w:type="dxa"/>
                    <w:bottom w:w="0" w:type="dxa"/>
                    <w:right w:w="108" w:type="dxa"/>
                  </w:tcMar>
                  <w:vAlign w:val="center"/>
                </w:tcPr>
                <w:p w14:paraId="37FB2150">
                  <w:pPr>
                    <w:pStyle w:val="77"/>
                    <w:adjustRightInd w:val="0"/>
                    <w:snapToGrid w:val="0"/>
                    <w:spacing w:before="0"/>
                    <w:jc w:val="center"/>
                    <w:rPr>
                      <w:rFonts w:hint="eastAsia" w:ascii="Times New Roman" w:hAnsi="Times New Roman" w:eastAsia="宋体" w:cs="Times New Roman"/>
                      <w:color w:val="auto"/>
                      <w:kern w:val="2"/>
                      <w:sz w:val="21"/>
                      <w:szCs w:val="24"/>
                      <w:lang w:val="en-US" w:eastAsia="zh-CN" w:bidi="ar-SA"/>
                    </w:rPr>
                  </w:pPr>
                  <w:r>
                    <w:rPr>
                      <w:rFonts w:hint="eastAsia" w:cs="Times New Roman"/>
                      <w:color w:val="auto"/>
                      <w:sz w:val="21"/>
                      <w:szCs w:val="21"/>
                      <w:lang w:eastAsia="zh-CN"/>
                    </w:rPr>
                    <w:t>原子吸收分光光度计</w:t>
                  </w:r>
                </w:p>
              </w:tc>
              <w:tc>
                <w:tcPr>
                  <w:tcW w:w="1409" w:type="pct"/>
                  <w:shd w:val="clear" w:color="auto" w:fill="auto"/>
                  <w:noWrap w:val="0"/>
                  <w:tcMar>
                    <w:top w:w="0" w:type="dxa"/>
                    <w:left w:w="108" w:type="dxa"/>
                    <w:bottom w:w="0" w:type="dxa"/>
                    <w:right w:w="108" w:type="dxa"/>
                  </w:tcMar>
                  <w:vAlign w:val="center"/>
                </w:tcPr>
                <w:p w14:paraId="7334BC96">
                  <w:pPr>
                    <w:pStyle w:val="77"/>
                    <w:adjustRightInd w:val="0"/>
                    <w:snapToGrid w:val="0"/>
                    <w:spacing w:before="0"/>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sz w:val="21"/>
                      <w:szCs w:val="21"/>
                      <w:lang w:eastAsia="zh-CN"/>
                    </w:rPr>
                    <w:t>GGX-910</w:t>
                  </w:r>
                </w:p>
              </w:tc>
              <w:tc>
                <w:tcPr>
                  <w:tcW w:w="595" w:type="pct"/>
                  <w:shd w:val="clear" w:color="auto" w:fill="auto"/>
                  <w:noWrap w:val="0"/>
                  <w:tcMar>
                    <w:top w:w="0" w:type="dxa"/>
                    <w:left w:w="108" w:type="dxa"/>
                    <w:bottom w:w="0" w:type="dxa"/>
                    <w:right w:w="108" w:type="dxa"/>
                  </w:tcMar>
                  <w:vAlign w:val="center"/>
                </w:tcPr>
                <w:p w14:paraId="516BB540">
                  <w:pPr>
                    <w:pStyle w:val="77"/>
                    <w:adjustRightInd w:val="0"/>
                    <w:snapToGrid w:val="0"/>
                    <w:spacing w:before="0"/>
                    <w:rPr>
                      <w:rFonts w:ascii="Times New Roman" w:hAnsi="Times New Roman" w:eastAsia="宋体" w:cs="Times New Roman"/>
                      <w:color w:val="auto"/>
                      <w:kern w:val="0"/>
                      <w:sz w:val="21"/>
                      <w:szCs w:val="21"/>
                      <w:lang w:val="en-US" w:eastAsia="zh-CN" w:bidi="ar-SA"/>
                    </w:rPr>
                  </w:pPr>
                  <w:r>
                    <w:rPr>
                      <w:rFonts w:hint="eastAsia" w:cs="Times New Roman"/>
                      <w:color w:val="auto"/>
                      <w:sz w:val="21"/>
                      <w:szCs w:val="21"/>
                      <w:lang w:val="en-US" w:eastAsia="zh-CN"/>
                    </w:rPr>
                    <w:t>1</w:t>
                  </w:r>
                </w:p>
              </w:tc>
              <w:tc>
                <w:tcPr>
                  <w:tcW w:w="437" w:type="pct"/>
                  <w:shd w:val="clear" w:color="auto" w:fill="auto"/>
                  <w:noWrap w:val="0"/>
                  <w:tcMar>
                    <w:top w:w="0" w:type="dxa"/>
                    <w:left w:w="108" w:type="dxa"/>
                    <w:bottom w:w="0" w:type="dxa"/>
                    <w:right w:w="108" w:type="dxa"/>
                  </w:tcMar>
                  <w:vAlign w:val="center"/>
                </w:tcPr>
                <w:p w14:paraId="0BBAA314">
                  <w:pPr>
                    <w:pStyle w:val="77"/>
                    <w:adjustRightInd w:val="0"/>
                    <w:snapToGrid w:val="0"/>
                    <w:spacing w:before="0"/>
                    <w:rPr>
                      <w:rFonts w:hint="eastAsia" w:ascii="Times New Roman" w:hAnsi="Times New Roman" w:eastAsia="宋体" w:cs="Times New Roman"/>
                      <w:color w:val="auto"/>
                      <w:kern w:val="0"/>
                      <w:sz w:val="21"/>
                      <w:szCs w:val="21"/>
                      <w:lang w:val="en-US" w:eastAsia="zh-CN" w:bidi="ar-SA"/>
                    </w:rPr>
                  </w:pPr>
                  <w:r>
                    <w:rPr>
                      <w:rFonts w:hint="eastAsia" w:cs="Times New Roman"/>
                      <w:color w:val="auto"/>
                      <w:sz w:val="21"/>
                      <w:szCs w:val="21"/>
                      <w:lang w:eastAsia="zh-CN"/>
                    </w:rPr>
                    <w:t>台</w:t>
                  </w:r>
                </w:p>
              </w:tc>
              <w:tc>
                <w:tcPr>
                  <w:tcW w:w="831" w:type="pct"/>
                  <w:shd w:val="clear" w:color="auto" w:fill="auto"/>
                  <w:noWrap w:val="0"/>
                  <w:tcMar>
                    <w:top w:w="0" w:type="dxa"/>
                    <w:left w:w="108" w:type="dxa"/>
                    <w:bottom w:w="0" w:type="dxa"/>
                    <w:right w:w="108" w:type="dxa"/>
                  </w:tcMar>
                  <w:vAlign w:val="center"/>
                </w:tcPr>
                <w:p w14:paraId="08D715FC">
                  <w:pPr>
                    <w:pStyle w:val="77"/>
                    <w:adjustRightInd w:val="0"/>
                    <w:snapToGrid w:val="0"/>
                    <w:spacing w:before="0"/>
                    <w:rPr>
                      <w:rFonts w:hint="eastAsia" w:ascii="Times New Roman" w:hAnsi="Times New Roman" w:eastAsia="宋体" w:cs="Times New Roman"/>
                      <w:color w:val="auto"/>
                      <w:kern w:val="0"/>
                      <w:sz w:val="21"/>
                      <w:szCs w:val="21"/>
                      <w:lang w:val="en-US" w:eastAsia="zh-CN" w:bidi="ar-SA"/>
                    </w:rPr>
                  </w:pPr>
                  <w:r>
                    <w:rPr>
                      <w:rFonts w:hint="eastAsia" w:cs="Times New Roman"/>
                      <w:color w:val="auto"/>
                      <w:sz w:val="21"/>
                      <w:szCs w:val="21"/>
                      <w:lang w:eastAsia="zh-CN"/>
                    </w:rPr>
                    <w:t>检测室</w:t>
                  </w:r>
                  <w:r>
                    <w:rPr>
                      <w:rFonts w:hint="eastAsia" w:cs="Times New Roman"/>
                      <w:color w:val="auto"/>
                      <w:sz w:val="21"/>
                      <w:szCs w:val="21"/>
                      <w:lang w:val="en-US" w:eastAsia="zh-CN"/>
                    </w:rPr>
                    <w:t>1</w:t>
                  </w:r>
                </w:p>
              </w:tc>
            </w:tr>
            <w:tr w14:paraId="3A0374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63" w:type="pct"/>
                  <w:noWrap w:val="0"/>
                  <w:tcMar>
                    <w:top w:w="0" w:type="dxa"/>
                    <w:left w:w="108" w:type="dxa"/>
                    <w:bottom w:w="0" w:type="dxa"/>
                    <w:right w:w="108" w:type="dxa"/>
                  </w:tcMar>
                  <w:vAlign w:val="center"/>
                </w:tcPr>
                <w:p w14:paraId="67145299">
                  <w:pPr>
                    <w:pStyle w:val="77"/>
                    <w:numPr>
                      <w:ilvl w:val="0"/>
                      <w:numId w:val="3"/>
                    </w:numPr>
                    <w:adjustRightInd w:val="0"/>
                    <w:snapToGrid w:val="0"/>
                    <w:spacing w:before="0"/>
                    <w:rPr>
                      <w:rFonts w:cs="Times New Roman"/>
                      <w:color w:val="auto"/>
                      <w:sz w:val="21"/>
                      <w:szCs w:val="21"/>
                      <w:lang w:eastAsia="zh-CN"/>
                    </w:rPr>
                  </w:pPr>
                </w:p>
              </w:tc>
              <w:tc>
                <w:tcPr>
                  <w:tcW w:w="1362" w:type="pct"/>
                  <w:shd w:val="clear" w:color="auto" w:fill="auto"/>
                  <w:noWrap w:val="0"/>
                  <w:tcMar>
                    <w:top w:w="0" w:type="dxa"/>
                    <w:left w:w="108" w:type="dxa"/>
                    <w:bottom w:w="0" w:type="dxa"/>
                    <w:right w:w="108" w:type="dxa"/>
                  </w:tcMar>
                  <w:vAlign w:val="center"/>
                </w:tcPr>
                <w:p w14:paraId="05D6B7C6">
                  <w:pPr>
                    <w:pStyle w:val="77"/>
                    <w:adjustRightInd w:val="0"/>
                    <w:snapToGrid w:val="0"/>
                    <w:spacing w:before="0"/>
                    <w:jc w:val="center"/>
                    <w:rPr>
                      <w:rFonts w:hint="eastAsia" w:ascii="Times New Roman" w:hAnsi="Times New Roman" w:eastAsia="宋体" w:cs="Times New Roman"/>
                      <w:color w:val="auto"/>
                      <w:kern w:val="0"/>
                      <w:sz w:val="21"/>
                      <w:szCs w:val="21"/>
                      <w:lang w:val="en-US" w:eastAsia="zh-CN" w:bidi="ar-SA"/>
                    </w:rPr>
                  </w:pPr>
                  <w:r>
                    <w:rPr>
                      <w:rFonts w:hint="eastAsia" w:cs="Times New Roman"/>
                      <w:color w:val="auto"/>
                      <w:sz w:val="21"/>
                      <w:szCs w:val="21"/>
                      <w:lang w:eastAsia="zh-CN"/>
                    </w:rPr>
                    <w:t>原子吸收分光光度计</w:t>
                  </w:r>
                </w:p>
              </w:tc>
              <w:tc>
                <w:tcPr>
                  <w:tcW w:w="1409" w:type="pct"/>
                  <w:shd w:val="clear" w:color="auto" w:fill="auto"/>
                  <w:noWrap w:val="0"/>
                  <w:tcMar>
                    <w:top w:w="0" w:type="dxa"/>
                    <w:left w:w="108" w:type="dxa"/>
                    <w:bottom w:w="0" w:type="dxa"/>
                    <w:right w:w="108" w:type="dxa"/>
                  </w:tcMar>
                  <w:vAlign w:val="center"/>
                </w:tcPr>
                <w:p w14:paraId="41D1C543">
                  <w:pPr>
                    <w:pStyle w:val="77"/>
                    <w:adjustRightInd w:val="0"/>
                    <w:snapToGrid w:val="0"/>
                    <w:spacing w:before="0"/>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sz w:val="21"/>
                      <w:szCs w:val="21"/>
                      <w:lang w:eastAsia="zh-CN"/>
                    </w:rPr>
                    <w:t>GGX-810</w:t>
                  </w:r>
                </w:p>
              </w:tc>
              <w:tc>
                <w:tcPr>
                  <w:tcW w:w="595" w:type="pct"/>
                  <w:shd w:val="clear" w:color="auto" w:fill="auto"/>
                  <w:noWrap w:val="0"/>
                  <w:tcMar>
                    <w:top w:w="0" w:type="dxa"/>
                    <w:left w:w="108" w:type="dxa"/>
                    <w:bottom w:w="0" w:type="dxa"/>
                    <w:right w:w="108" w:type="dxa"/>
                  </w:tcMar>
                  <w:vAlign w:val="center"/>
                </w:tcPr>
                <w:p w14:paraId="5DA52D4E">
                  <w:pPr>
                    <w:pStyle w:val="77"/>
                    <w:adjustRightInd w:val="0"/>
                    <w:snapToGrid w:val="0"/>
                    <w:spacing w:before="0"/>
                    <w:rPr>
                      <w:rFonts w:ascii="Times New Roman" w:hAnsi="Times New Roman" w:eastAsia="宋体" w:cs="Times New Roman"/>
                      <w:color w:val="auto"/>
                      <w:kern w:val="0"/>
                      <w:sz w:val="21"/>
                      <w:szCs w:val="21"/>
                      <w:lang w:val="en-US" w:eastAsia="zh-CN" w:bidi="ar-SA"/>
                    </w:rPr>
                  </w:pPr>
                  <w:r>
                    <w:rPr>
                      <w:rFonts w:hint="eastAsia" w:cs="Times New Roman"/>
                      <w:color w:val="auto"/>
                      <w:sz w:val="21"/>
                      <w:szCs w:val="21"/>
                      <w:lang w:val="en-US" w:eastAsia="zh-CN"/>
                    </w:rPr>
                    <w:t>1</w:t>
                  </w:r>
                </w:p>
              </w:tc>
              <w:tc>
                <w:tcPr>
                  <w:tcW w:w="437" w:type="pct"/>
                  <w:shd w:val="clear" w:color="auto" w:fill="auto"/>
                  <w:noWrap w:val="0"/>
                  <w:tcMar>
                    <w:top w:w="0" w:type="dxa"/>
                    <w:left w:w="108" w:type="dxa"/>
                    <w:bottom w:w="0" w:type="dxa"/>
                    <w:right w:w="108" w:type="dxa"/>
                  </w:tcMar>
                  <w:vAlign w:val="center"/>
                </w:tcPr>
                <w:p w14:paraId="4DF53A31">
                  <w:pPr>
                    <w:pStyle w:val="77"/>
                    <w:adjustRightInd w:val="0"/>
                    <w:snapToGrid w:val="0"/>
                    <w:spacing w:before="0"/>
                    <w:rPr>
                      <w:rFonts w:hint="eastAsia" w:ascii="Times New Roman" w:hAnsi="Times New Roman" w:eastAsia="宋体" w:cs="Times New Roman"/>
                      <w:color w:val="auto"/>
                      <w:kern w:val="0"/>
                      <w:sz w:val="21"/>
                      <w:szCs w:val="21"/>
                      <w:lang w:val="en-US" w:eastAsia="zh-CN" w:bidi="ar-SA"/>
                    </w:rPr>
                  </w:pPr>
                  <w:r>
                    <w:rPr>
                      <w:rFonts w:hint="eastAsia" w:cs="Times New Roman"/>
                      <w:color w:val="auto"/>
                      <w:sz w:val="21"/>
                      <w:szCs w:val="21"/>
                      <w:lang w:eastAsia="zh-CN"/>
                    </w:rPr>
                    <w:t>台</w:t>
                  </w:r>
                </w:p>
              </w:tc>
              <w:tc>
                <w:tcPr>
                  <w:tcW w:w="831" w:type="pct"/>
                  <w:shd w:val="clear" w:color="auto" w:fill="auto"/>
                  <w:noWrap w:val="0"/>
                  <w:tcMar>
                    <w:top w:w="0" w:type="dxa"/>
                    <w:left w:w="108" w:type="dxa"/>
                    <w:bottom w:w="0" w:type="dxa"/>
                    <w:right w:w="108" w:type="dxa"/>
                  </w:tcMar>
                  <w:vAlign w:val="center"/>
                </w:tcPr>
                <w:p w14:paraId="57307AFF">
                  <w:pPr>
                    <w:pStyle w:val="77"/>
                    <w:adjustRightInd w:val="0"/>
                    <w:snapToGrid w:val="0"/>
                    <w:spacing w:before="0"/>
                    <w:jc w:val="center"/>
                    <w:rPr>
                      <w:rFonts w:hint="eastAsia" w:ascii="Times New Roman" w:hAnsi="Times New Roman" w:eastAsia="宋体" w:cs="Times New Roman"/>
                      <w:color w:val="auto"/>
                      <w:kern w:val="0"/>
                      <w:sz w:val="21"/>
                      <w:szCs w:val="21"/>
                      <w:lang w:val="en-US" w:eastAsia="zh-CN" w:bidi="ar-SA"/>
                    </w:rPr>
                  </w:pPr>
                  <w:r>
                    <w:rPr>
                      <w:rFonts w:hint="eastAsia" w:cs="Times New Roman"/>
                      <w:color w:val="auto"/>
                      <w:sz w:val="21"/>
                      <w:szCs w:val="21"/>
                      <w:lang w:eastAsia="zh-CN"/>
                    </w:rPr>
                    <w:t>检测室</w:t>
                  </w:r>
                  <w:r>
                    <w:rPr>
                      <w:rFonts w:hint="eastAsia" w:cs="Times New Roman"/>
                      <w:color w:val="auto"/>
                      <w:sz w:val="21"/>
                      <w:szCs w:val="21"/>
                      <w:lang w:val="en-US" w:eastAsia="zh-CN"/>
                    </w:rPr>
                    <w:t>2</w:t>
                  </w:r>
                </w:p>
              </w:tc>
            </w:tr>
            <w:tr w14:paraId="0BD67B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63" w:type="pct"/>
                  <w:noWrap w:val="0"/>
                  <w:tcMar>
                    <w:top w:w="0" w:type="dxa"/>
                    <w:left w:w="108" w:type="dxa"/>
                    <w:bottom w:w="0" w:type="dxa"/>
                    <w:right w:w="108" w:type="dxa"/>
                  </w:tcMar>
                  <w:vAlign w:val="center"/>
                </w:tcPr>
                <w:p w14:paraId="05D09B36">
                  <w:pPr>
                    <w:pStyle w:val="77"/>
                    <w:numPr>
                      <w:ilvl w:val="0"/>
                      <w:numId w:val="3"/>
                    </w:numPr>
                    <w:adjustRightInd w:val="0"/>
                    <w:snapToGrid w:val="0"/>
                    <w:spacing w:before="0"/>
                    <w:rPr>
                      <w:rFonts w:cs="Times New Roman"/>
                      <w:color w:val="auto"/>
                      <w:sz w:val="21"/>
                      <w:szCs w:val="21"/>
                      <w:lang w:eastAsia="zh-CN"/>
                    </w:rPr>
                  </w:pPr>
                </w:p>
              </w:tc>
              <w:tc>
                <w:tcPr>
                  <w:tcW w:w="1362" w:type="pct"/>
                  <w:shd w:val="clear" w:color="auto" w:fill="auto"/>
                  <w:noWrap w:val="0"/>
                  <w:tcMar>
                    <w:top w:w="0" w:type="dxa"/>
                    <w:left w:w="108" w:type="dxa"/>
                    <w:bottom w:w="0" w:type="dxa"/>
                    <w:right w:w="108" w:type="dxa"/>
                  </w:tcMar>
                  <w:vAlign w:val="center"/>
                </w:tcPr>
                <w:p w14:paraId="4FE208DF">
                  <w:pPr>
                    <w:pStyle w:val="77"/>
                    <w:adjustRightInd w:val="0"/>
                    <w:snapToGrid w:val="0"/>
                    <w:spacing w:before="0"/>
                    <w:jc w:val="center"/>
                    <w:rPr>
                      <w:rFonts w:ascii="Times New Roman" w:hAnsi="Times New Roman" w:eastAsia="宋体" w:cs="Times New Roman"/>
                      <w:color w:val="auto"/>
                      <w:kern w:val="0"/>
                      <w:sz w:val="21"/>
                      <w:szCs w:val="21"/>
                      <w:lang w:val="en-US" w:eastAsia="zh-CN" w:bidi="ar-SA"/>
                    </w:rPr>
                  </w:pPr>
                  <w:r>
                    <w:rPr>
                      <w:rFonts w:hint="eastAsia" w:cs="Times New Roman"/>
                      <w:color w:val="auto"/>
                      <w:sz w:val="21"/>
                      <w:szCs w:val="21"/>
                      <w:lang w:eastAsia="zh-CN"/>
                    </w:rPr>
                    <w:t>电子天平</w:t>
                  </w:r>
                </w:p>
              </w:tc>
              <w:tc>
                <w:tcPr>
                  <w:tcW w:w="1409" w:type="pct"/>
                  <w:shd w:val="clear" w:color="auto" w:fill="auto"/>
                  <w:noWrap w:val="0"/>
                  <w:tcMar>
                    <w:top w:w="0" w:type="dxa"/>
                    <w:left w:w="108" w:type="dxa"/>
                    <w:bottom w:w="0" w:type="dxa"/>
                    <w:right w:w="108" w:type="dxa"/>
                  </w:tcMar>
                  <w:vAlign w:val="center"/>
                </w:tcPr>
                <w:p w14:paraId="3E363668">
                  <w:pPr>
                    <w:pStyle w:val="77"/>
                    <w:adjustRightInd w:val="0"/>
                    <w:snapToGrid w:val="0"/>
                    <w:spacing w:before="0"/>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sz w:val="21"/>
                      <w:szCs w:val="21"/>
                      <w:lang w:eastAsia="zh-CN"/>
                    </w:rPr>
                    <w:t>MA/104E</w:t>
                  </w:r>
                </w:p>
              </w:tc>
              <w:tc>
                <w:tcPr>
                  <w:tcW w:w="595" w:type="pct"/>
                  <w:shd w:val="clear" w:color="auto" w:fill="auto"/>
                  <w:noWrap w:val="0"/>
                  <w:tcMar>
                    <w:top w:w="0" w:type="dxa"/>
                    <w:left w:w="108" w:type="dxa"/>
                    <w:bottom w:w="0" w:type="dxa"/>
                    <w:right w:w="108" w:type="dxa"/>
                  </w:tcMar>
                  <w:vAlign w:val="center"/>
                </w:tcPr>
                <w:p w14:paraId="03FABD67">
                  <w:pPr>
                    <w:pStyle w:val="77"/>
                    <w:adjustRightInd w:val="0"/>
                    <w:snapToGrid w:val="0"/>
                    <w:spacing w:before="0"/>
                    <w:rPr>
                      <w:rFonts w:hint="eastAsia" w:ascii="Times New Roman" w:hAnsi="Times New Roman" w:eastAsia="宋体" w:cs="Times New Roman"/>
                      <w:color w:val="auto"/>
                      <w:kern w:val="0"/>
                      <w:sz w:val="21"/>
                      <w:szCs w:val="21"/>
                      <w:lang w:val="en-US" w:eastAsia="zh-CN" w:bidi="ar-SA"/>
                    </w:rPr>
                  </w:pPr>
                  <w:r>
                    <w:rPr>
                      <w:rFonts w:hint="eastAsia" w:cs="Times New Roman"/>
                      <w:color w:val="auto"/>
                      <w:sz w:val="21"/>
                      <w:szCs w:val="21"/>
                      <w:lang w:val="en-US" w:eastAsia="zh-CN"/>
                    </w:rPr>
                    <w:t>4</w:t>
                  </w:r>
                </w:p>
              </w:tc>
              <w:tc>
                <w:tcPr>
                  <w:tcW w:w="437" w:type="pct"/>
                  <w:shd w:val="clear" w:color="auto" w:fill="auto"/>
                  <w:noWrap w:val="0"/>
                  <w:tcMar>
                    <w:top w:w="0" w:type="dxa"/>
                    <w:left w:w="108" w:type="dxa"/>
                    <w:bottom w:w="0" w:type="dxa"/>
                    <w:right w:w="108" w:type="dxa"/>
                  </w:tcMar>
                  <w:vAlign w:val="center"/>
                </w:tcPr>
                <w:p w14:paraId="792563F3">
                  <w:pPr>
                    <w:pStyle w:val="77"/>
                    <w:adjustRightInd w:val="0"/>
                    <w:snapToGrid w:val="0"/>
                    <w:spacing w:before="0"/>
                    <w:rPr>
                      <w:rFonts w:hint="eastAsia" w:ascii="Times New Roman" w:hAnsi="Times New Roman" w:eastAsia="宋体" w:cs="Times New Roman"/>
                      <w:color w:val="auto"/>
                      <w:kern w:val="0"/>
                      <w:sz w:val="21"/>
                      <w:szCs w:val="21"/>
                      <w:lang w:val="en-US" w:eastAsia="zh-CN" w:bidi="ar-SA"/>
                    </w:rPr>
                  </w:pPr>
                  <w:r>
                    <w:rPr>
                      <w:rFonts w:hint="eastAsia" w:cs="Times New Roman"/>
                      <w:color w:val="auto"/>
                      <w:sz w:val="21"/>
                      <w:szCs w:val="21"/>
                      <w:lang w:eastAsia="zh-CN"/>
                    </w:rPr>
                    <w:t>台</w:t>
                  </w:r>
                </w:p>
              </w:tc>
              <w:tc>
                <w:tcPr>
                  <w:tcW w:w="831" w:type="pct"/>
                  <w:shd w:val="clear" w:color="auto" w:fill="auto"/>
                  <w:noWrap w:val="0"/>
                  <w:tcMar>
                    <w:top w:w="0" w:type="dxa"/>
                    <w:left w:w="108" w:type="dxa"/>
                    <w:bottom w:w="0" w:type="dxa"/>
                    <w:right w:w="108" w:type="dxa"/>
                  </w:tcMar>
                  <w:vAlign w:val="center"/>
                </w:tcPr>
                <w:p w14:paraId="6A143BDD">
                  <w:pPr>
                    <w:pStyle w:val="77"/>
                    <w:adjustRightInd w:val="0"/>
                    <w:snapToGrid w:val="0"/>
                    <w:spacing w:before="0"/>
                    <w:rPr>
                      <w:rFonts w:hint="eastAsia" w:ascii="Times New Roman" w:hAnsi="Times New Roman" w:eastAsia="宋体" w:cs="Times New Roman"/>
                      <w:color w:val="auto"/>
                      <w:kern w:val="0"/>
                      <w:sz w:val="21"/>
                      <w:szCs w:val="21"/>
                      <w:lang w:val="en-US" w:eastAsia="zh-CN" w:bidi="ar-SA"/>
                    </w:rPr>
                  </w:pPr>
                  <w:r>
                    <w:rPr>
                      <w:rFonts w:hint="eastAsia" w:cs="Times New Roman"/>
                      <w:color w:val="auto"/>
                      <w:sz w:val="21"/>
                      <w:szCs w:val="21"/>
                      <w:lang w:eastAsia="zh-CN"/>
                    </w:rPr>
                    <w:t>天平室</w:t>
                  </w:r>
                </w:p>
              </w:tc>
            </w:tr>
          </w:tbl>
          <w:p w14:paraId="2CA83940">
            <w:pPr>
              <w:adjustRightInd w:val="0"/>
              <w:snapToGrid w:val="0"/>
              <w:spacing w:before="48" w:beforeLines="20" w:line="360" w:lineRule="auto"/>
              <w:rPr>
                <w:rFonts w:hint="default" w:eastAsia="宋体"/>
                <w:color w:val="auto"/>
                <w:kern w:val="0"/>
                <w:sz w:val="24"/>
                <w:lang w:val="en-US" w:eastAsia="zh-CN"/>
              </w:rPr>
            </w:pPr>
            <w:r>
              <w:rPr>
                <w:rFonts w:hint="eastAsia"/>
                <w:b/>
                <w:bCs/>
                <w:color w:val="auto"/>
                <w:kern w:val="0"/>
                <w:sz w:val="24"/>
                <w:lang w:val="en-US" w:eastAsia="zh-CN"/>
              </w:rPr>
              <w:t>5</w:t>
            </w:r>
            <w:r>
              <w:rPr>
                <w:rFonts w:hint="eastAsia"/>
                <w:b/>
                <w:bCs/>
                <w:color w:val="auto"/>
                <w:kern w:val="0"/>
                <w:sz w:val="24"/>
              </w:rPr>
              <w:t>主要</w:t>
            </w:r>
            <w:r>
              <w:rPr>
                <w:rFonts w:hint="eastAsia" w:ascii="宋体" w:hAnsi="宋体"/>
                <w:b/>
                <w:bCs/>
                <w:color w:val="auto"/>
                <w:kern w:val="0"/>
                <w:sz w:val="24"/>
              </w:rPr>
              <w:t>原辅材料</w:t>
            </w:r>
            <w:r>
              <w:rPr>
                <w:rFonts w:hint="eastAsia" w:ascii="宋体" w:hAnsi="宋体"/>
                <w:b/>
                <w:bCs/>
                <w:color w:val="auto"/>
                <w:kern w:val="0"/>
                <w:sz w:val="24"/>
                <w:lang w:val="en-US" w:eastAsia="zh-CN"/>
              </w:rPr>
              <w:t>种类及用量</w:t>
            </w:r>
          </w:p>
          <w:p w14:paraId="12101460">
            <w:pPr>
              <w:pStyle w:val="77"/>
              <w:adjustRightInd w:val="0"/>
              <w:snapToGrid w:val="0"/>
              <w:spacing w:before="0" w:line="360" w:lineRule="auto"/>
              <w:ind w:firstLine="480"/>
              <w:jc w:val="both"/>
              <w:rPr>
                <w:rFonts w:cs="Times New Roman"/>
                <w:color w:val="auto"/>
                <w:sz w:val="24"/>
                <w:szCs w:val="24"/>
                <w:lang w:eastAsia="zh-CN"/>
              </w:rPr>
            </w:pPr>
            <w:r>
              <w:rPr>
                <w:rFonts w:hint="eastAsia" w:cs="Times New Roman"/>
                <w:color w:val="auto"/>
                <w:sz w:val="24"/>
                <w:szCs w:val="24"/>
                <w:lang w:eastAsia="zh-CN"/>
              </w:rPr>
              <w:t>本项目主要原辅材料及其消耗量见表2-</w:t>
            </w:r>
            <w:r>
              <w:rPr>
                <w:rFonts w:hint="eastAsia" w:cs="Times New Roman"/>
                <w:color w:val="auto"/>
                <w:sz w:val="24"/>
                <w:szCs w:val="24"/>
                <w:lang w:val="en-US" w:eastAsia="zh-CN"/>
              </w:rPr>
              <w:t>4</w:t>
            </w:r>
            <w:r>
              <w:rPr>
                <w:rFonts w:hint="eastAsia" w:cs="Times New Roman"/>
                <w:color w:val="auto"/>
                <w:sz w:val="24"/>
                <w:szCs w:val="24"/>
                <w:lang w:eastAsia="zh-CN"/>
              </w:rPr>
              <w:t>。</w:t>
            </w:r>
          </w:p>
          <w:p w14:paraId="7F19E60A">
            <w:pPr>
              <w:pStyle w:val="19"/>
              <w:adjustRightInd w:val="0"/>
              <w:jc w:val="center"/>
              <w:rPr>
                <w:rFonts w:hint="eastAsia"/>
                <w:b/>
                <w:color w:val="auto"/>
                <w:sz w:val="21"/>
                <w:szCs w:val="21"/>
                <w:lang w:bidi="en-US"/>
              </w:rPr>
            </w:pPr>
            <w:r>
              <w:rPr>
                <w:b/>
                <w:color w:val="auto"/>
                <w:sz w:val="21"/>
                <w:szCs w:val="21"/>
                <w:lang w:bidi="en-US"/>
              </w:rPr>
              <w:t>表</w:t>
            </w:r>
            <w:r>
              <w:rPr>
                <w:rFonts w:hint="eastAsia"/>
                <w:b/>
                <w:color w:val="auto"/>
                <w:sz w:val="21"/>
                <w:szCs w:val="21"/>
                <w:lang w:bidi="en-US"/>
              </w:rPr>
              <w:t>2-</w:t>
            </w:r>
            <w:r>
              <w:rPr>
                <w:rFonts w:hint="eastAsia"/>
                <w:b/>
                <w:color w:val="auto"/>
                <w:sz w:val="21"/>
                <w:szCs w:val="21"/>
                <w:lang w:val="en-US" w:eastAsia="zh-CN" w:bidi="en-US"/>
              </w:rPr>
              <w:t>4</w:t>
            </w:r>
            <w:r>
              <w:rPr>
                <w:b/>
                <w:color w:val="auto"/>
                <w:sz w:val="21"/>
                <w:szCs w:val="21"/>
                <w:lang w:bidi="en-US"/>
              </w:rPr>
              <w:t xml:space="preserve">   </w:t>
            </w:r>
            <w:r>
              <w:rPr>
                <w:rFonts w:hint="eastAsia"/>
                <w:b/>
                <w:color w:val="auto"/>
                <w:sz w:val="21"/>
                <w:szCs w:val="21"/>
                <w:lang w:bidi="en-US"/>
              </w:rPr>
              <w:t>本项目原辅材料及能源一览表</w:t>
            </w:r>
          </w:p>
          <w:tbl>
            <w:tblPr>
              <w:tblStyle w:val="28"/>
              <w:tblW w:w="9204"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813"/>
              <w:gridCol w:w="1542"/>
              <w:gridCol w:w="1278"/>
              <w:gridCol w:w="1366"/>
              <w:gridCol w:w="2159"/>
              <w:gridCol w:w="902"/>
              <w:gridCol w:w="1144"/>
            </w:tblGrid>
            <w:tr w14:paraId="09C76A3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813" w:type="dxa"/>
                  <w:tcBorders>
                    <w:top w:val="single" w:color="000000" w:sz="8" w:space="0"/>
                    <w:left w:val="single" w:color="000000" w:sz="8" w:space="0"/>
                    <w:bottom w:val="single" w:color="000000" w:sz="8" w:space="0"/>
                    <w:right w:val="single" w:color="000000" w:sz="8" w:space="0"/>
                  </w:tcBorders>
                  <w:noWrap/>
                  <w:vAlign w:val="center"/>
                </w:tcPr>
                <w:p w14:paraId="77F7EB2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序号</w:t>
                  </w:r>
                </w:p>
              </w:tc>
              <w:tc>
                <w:tcPr>
                  <w:tcW w:w="1542" w:type="dxa"/>
                  <w:tcBorders>
                    <w:top w:val="single" w:color="000000" w:sz="8" w:space="0"/>
                    <w:left w:val="nil"/>
                    <w:bottom w:val="single" w:color="000000" w:sz="8" w:space="0"/>
                    <w:right w:val="single" w:color="000000" w:sz="8" w:space="0"/>
                  </w:tcBorders>
                  <w:noWrap/>
                  <w:vAlign w:val="center"/>
                </w:tcPr>
                <w:p w14:paraId="4FB1E2E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原料名称</w:t>
                  </w:r>
                </w:p>
              </w:tc>
              <w:tc>
                <w:tcPr>
                  <w:tcW w:w="1278" w:type="dxa"/>
                  <w:tcBorders>
                    <w:top w:val="single" w:color="000000" w:sz="8" w:space="0"/>
                    <w:left w:val="nil"/>
                    <w:bottom w:val="single" w:color="000000" w:sz="8" w:space="0"/>
                    <w:right w:val="single" w:color="000000" w:sz="8" w:space="0"/>
                  </w:tcBorders>
                  <w:noWrap/>
                  <w:vAlign w:val="center"/>
                </w:tcPr>
                <w:p w14:paraId="0B4AF03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年用量</w:t>
                  </w:r>
                </w:p>
              </w:tc>
              <w:tc>
                <w:tcPr>
                  <w:tcW w:w="1366" w:type="dxa"/>
                  <w:tcBorders>
                    <w:top w:val="single" w:color="000000" w:sz="8" w:space="0"/>
                    <w:left w:val="nil"/>
                    <w:bottom w:val="single" w:color="000000" w:sz="8" w:space="0"/>
                    <w:right w:val="single" w:color="000000" w:sz="8" w:space="0"/>
                  </w:tcBorders>
                  <w:noWrap w:val="0"/>
                  <w:vAlign w:val="center"/>
                </w:tcPr>
                <w:p w14:paraId="29DDD13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最大存储量</w:t>
                  </w:r>
                </w:p>
              </w:tc>
              <w:tc>
                <w:tcPr>
                  <w:tcW w:w="2159" w:type="dxa"/>
                  <w:tcBorders>
                    <w:top w:val="single" w:color="000000" w:sz="8" w:space="0"/>
                    <w:left w:val="nil"/>
                    <w:bottom w:val="single" w:color="000000" w:sz="8" w:space="0"/>
                    <w:right w:val="single" w:color="000000" w:sz="8" w:space="0"/>
                  </w:tcBorders>
                  <w:noWrap/>
                  <w:vAlign w:val="center"/>
                </w:tcPr>
                <w:p w14:paraId="5454BAD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包装形式、纯度</w:t>
                  </w:r>
                </w:p>
              </w:tc>
              <w:tc>
                <w:tcPr>
                  <w:tcW w:w="902" w:type="dxa"/>
                  <w:tcBorders>
                    <w:top w:val="single" w:color="000000" w:sz="8" w:space="0"/>
                    <w:left w:val="nil"/>
                    <w:bottom w:val="single" w:color="000000" w:sz="8" w:space="0"/>
                    <w:right w:val="single" w:color="000000" w:sz="8" w:space="0"/>
                  </w:tcBorders>
                  <w:noWrap/>
                  <w:vAlign w:val="center"/>
                </w:tcPr>
                <w:p w14:paraId="2CDC430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形态</w:t>
                  </w:r>
                </w:p>
              </w:tc>
              <w:tc>
                <w:tcPr>
                  <w:tcW w:w="1144" w:type="dxa"/>
                  <w:tcBorders>
                    <w:top w:val="single" w:color="000000" w:sz="8" w:space="0"/>
                    <w:left w:val="nil"/>
                    <w:bottom w:val="single" w:color="000000" w:sz="8" w:space="0"/>
                    <w:right w:val="single" w:color="000000" w:sz="8" w:space="0"/>
                  </w:tcBorders>
                  <w:noWrap w:val="0"/>
                  <w:vAlign w:val="center"/>
                </w:tcPr>
                <w:p w14:paraId="5EF7FFC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存储位置</w:t>
                  </w:r>
                </w:p>
              </w:tc>
            </w:tr>
            <w:tr w14:paraId="5CB188F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813" w:type="dxa"/>
                  <w:tcBorders>
                    <w:top w:val="nil"/>
                    <w:left w:val="single" w:color="000000" w:sz="8" w:space="0"/>
                    <w:bottom w:val="single" w:color="000000" w:sz="8" w:space="0"/>
                    <w:right w:val="single" w:color="000000" w:sz="8" w:space="0"/>
                  </w:tcBorders>
                  <w:noWrap/>
                  <w:vAlign w:val="center"/>
                </w:tcPr>
                <w:p w14:paraId="4D93C42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w:t>
                  </w:r>
                </w:p>
              </w:tc>
              <w:tc>
                <w:tcPr>
                  <w:tcW w:w="1542" w:type="dxa"/>
                  <w:tcBorders>
                    <w:top w:val="single" w:color="000000" w:sz="4" w:space="0"/>
                    <w:left w:val="single" w:color="000000" w:sz="4" w:space="0"/>
                    <w:bottom w:val="single" w:color="000000" w:sz="4" w:space="0"/>
                    <w:right w:val="single" w:color="000000" w:sz="4" w:space="0"/>
                  </w:tcBorders>
                  <w:noWrap w:val="0"/>
                  <w:vAlign w:val="center"/>
                </w:tcPr>
                <w:p w14:paraId="2463E9A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盐酸</w:t>
                  </w:r>
                </w:p>
              </w:tc>
              <w:tc>
                <w:tcPr>
                  <w:tcW w:w="1278" w:type="dxa"/>
                  <w:tcBorders>
                    <w:top w:val="nil"/>
                    <w:left w:val="nil"/>
                    <w:bottom w:val="single" w:color="000000" w:sz="8" w:space="0"/>
                    <w:right w:val="single" w:color="000000" w:sz="8" w:space="0"/>
                  </w:tcBorders>
                  <w:noWrap/>
                  <w:vAlign w:val="center"/>
                </w:tcPr>
                <w:p w14:paraId="64703D6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360L</w:t>
                  </w:r>
                </w:p>
              </w:tc>
              <w:tc>
                <w:tcPr>
                  <w:tcW w:w="1366" w:type="dxa"/>
                  <w:tcBorders>
                    <w:top w:val="nil"/>
                    <w:left w:val="nil"/>
                    <w:bottom w:val="single" w:color="000000" w:sz="8" w:space="0"/>
                    <w:right w:val="single" w:color="000000" w:sz="8" w:space="0"/>
                  </w:tcBorders>
                  <w:noWrap w:val="0"/>
                  <w:vAlign w:val="center"/>
                </w:tcPr>
                <w:p w14:paraId="66273CD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50L</w:t>
                  </w:r>
                </w:p>
              </w:tc>
              <w:tc>
                <w:tcPr>
                  <w:tcW w:w="2159" w:type="dxa"/>
                  <w:tcBorders>
                    <w:top w:val="nil"/>
                    <w:left w:val="nil"/>
                    <w:bottom w:val="single" w:color="000000" w:sz="8" w:space="0"/>
                    <w:right w:val="single" w:color="000000" w:sz="8" w:space="0"/>
                  </w:tcBorders>
                  <w:noWrap/>
                  <w:vAlign w:val="center"/>
                </w:tcPr>
                <w:p w14:paraId="2EF233C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瓶装2500mL、分析纯</w:t>
                  </w:r>
                </w:p>
              </w:tc>
              <w:tc>
                <w:tcPr>
                  <w:tcW w:w="902" w:type="dxa"/>
                  <w:tcBorders>
                    <w:top w:val="nil"/>
                    <w:left w:val="nil"/>
                    <w:bottom w:val="single" w:color="000000" w:sz="8" w:space="0"/>
                    <w:right w:val="single" w:color="000000" w:sz="8" w:space="0"/>
                  </w:tcBorders>
                  <w:noWrap/>
                  <w:vAlign w:val="center"/>
                </w:tcPr>
                <w:p w14:paraId="2B5196D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液态</w:t>
                  </w:r>
                </w:p>
              </w:tc>
              <w:tc>
                <w:tcPr>
                  <w:tcW w:w="1144" w:type="dxa"/>
                  <w:tcBorders>
                    <w:top w:val="nil"/>
                    <w:left w:val="nil"/>
                    <w:bottom w:val="single" w:color="000000" w:sz="8" w:space="0"/>
                    <w:right w:val="single" w:color="000000" w:sz="8" w:space="0"/>
                  </w:tcBorders>
                  <w:noWrap w:val="0"/>
                  <w:vAlign w:val="center"/>
                </w:tcPr>
                <w:p w14:paraId="6BE107E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危化品库</w:t>
                  </w:r>
                </w:p>
              </w:tc>
            </w:tr>
            <w:tr w14:paraId="4C27289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813" w:type="dxa"/>
                  <w:tcBorders>
                    <w:top w:val="nil"/>
                    <w:left w:val="single" w:color="000000" w:sz="8" w:space="0"/>
                    <w:bottom w:val="single" w:color="000000" w:sz="8" w:space="0"/>
                    <w:right w:val="single" w:color="000000" w:sz="8" w:space="0"/>
                  </w:tcBorders>
                  <w:noWrap/>
                  <w:vAlign w:val="center"/>
                </w:tcPr>
                <w:p w14:paraId="4EB6406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w:t>
                  </w:r>
                </w:p>
              </w:tc>
              <w:tc>
                <w:tcPr>
                  <w:tcW w:w="1542" w:type="dxa"/>
                  <w:tcBorders>
                    <w:top w:val="single" w:color="000000" w:sz="4" w:space="0"/>
                    <w:left w:val="single" w:color="000000" w:sz="4" w:space="0"/>
                    <w:bottom w:val="single" w:color="000000" w:sz="4" w:space="0"/>
                    <w:right w:val="single" w:color="000000" w:sz="4" w:space="0"/>
                  </w:tcBorders>
                  <w:noWrap w:val="0"/>
                  <w:vAlign w:val="center"/>
                </w:tcPr>
                <w:p w14:paraId="65A30CD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硝酸</w:t>
                  </w:r>
                </w:p>
              </w:tc>
              <w:tc>
                <w:tcPr>
                  <w:tcW w:w="1278" w:type="dxa"/>
                  <w:tcBorders>
                    <w:top w:val="nil"/>
                    <w:left w:val="nil"/>
                    <w:bottom w:val="single" w:color="000000" w:sz="8" w:space="0"/>
                    <w:right w:val="single" w:color="000000" w:sz="8" w:space="0"/>
                  </w:tcBorders>
                  <w:noWrap/>
                  <w:vAlign w:val="center"/>
                </w:tcPr>
                <w:p w14:paraId="491BA19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120L</w:t>
                  </w:r>
                </w:p>
              </w:tc>
              <w:tc>
                <w:tcPr>
                  <w:tcW w:w="1366" w:type="dxa"/>
                  <w:tcBorders>
                    <w:top w:val="nil"/>
                    <w:left w:val="nil"/>
                    <w:bottom w:val="single" w:color="000000" w:sz="8" w:space="0"/>
                    <w:right w:val="single" w:color="000000" w:sz="8" w:space="0"/>
                  </w:tcBorders>
                  <w:noWrap w:val="0"/>
                  <w:vAlign w:val="center"/>
                </w:tcPr>
                <w:p w14:paraId="377D44D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20L</w:t>
                  </w:r>
                </w:p>
              </w:tc>
              <w:tc>
                <w:tcPr>
                  <w:tcW w:w="2159" w:type="dxa"/>
                  <w:tcBorders>
                    <w:top w:val="nil"/>
                    <w:left w:val="nil"/>
                    <w:bottom w:val="single" w:color="000000" w:sz="8" w:space="0"/>
                    <w:right w:val="single" w:color="000000" w:sz="8" w:space="0"/>
                  </w:tcBorders>
                  <w:noWrap/>
                  <w:vAlign w:val="center"/>
                </w:tcPr>
                <w:p w14:paraId="5C4D017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瓶装2500mL、分析纯</w:t>
                  </w:r>
                </w:p>
              </w:tc>
              <w:tc>
                <w:tcPr>
                  <w:tcW w:w="902" w:type="dxa"/>
                  <w:tcBorders>
                    <w:top w:val="nil"/>
                    <w:left w:val="nil"/>
                    <w:bottom w:val="single" w:color="000000" w:sz="8" w:space="0"/>
                    <w:right w:val="single" w:color="000000" w:sz="8" w:space="0"/>
                  </w:tcBorders>
                  <w:noWrap/>
                  <w:vAlign w:val="center"/>
                </w:tcPr>
                <w:p w14:paraId="5AE0224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液态</w:t>
                  </w:r>
                </w:p>
              </w:tc>
              <w:tc>
                <w:tcPr>
                  <w:tcW w:w="1144" w:type="dxa"/>
                  <w:tcBorders>
                    <w:top w:val="nil"/>
                    <w:left w:val="nil"/>
                    <w:bottom w:val="single" w:color="000000" w:sz="8" w:space="0"/>
                    <w:right w:val="single" w:color="000000" w:sz="8" w:space="0"/>
                  </w:tcBorders>
                  <w:noWrap w:val="0"/>
                  <w:vAlign w:val="center"/>
                </w:tcPr>
                <w:p w14:paraId="491F9B5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危化品库</w:t>
                  </w:r>
                </w:p>
              </w:tc>
            </w:tr>
            <w:tr w14:paraId="5040A5B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813" w:type="dxa"/>
                  <w:tcBorders>
                    <w:top w:val="nil"/>
                    <w:left w:val="single" w:color="000000" w:sz="8" w:space="0"/>
                    <w:bottom w:val="single" w:color="000000" w:sz="8" w:space="0"/>
                    <w:right w:val="single" w:color="000000" w:sz="8" w:space="0"/>
                  </w:tcBorders>
                  <w:noWrap/>
                  <w:vAlign w:val="center"/>
                </w:tcPr>
                <w:p w14:paraId="4465A3A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w:t>
                  </w:r>
                </w:p>
              </w:tc>
              <w:tc>
                <w:tcPr>
                  <w:tcW w:w="1542" w:type="dxa"/>
                  <w:tcBorders>
                    <w:top w:val="single" w:color="000000" w:sz="4" w:space="0"/>
                    <w:left w:val="single" w:color="000000" w:sz="4" w:space="0"/>
                    <w:bottom w:val="single" w:color="000000" w:sz="4" w:space="0"/>
                    <w:right w:val="single" w:color="000000" w:sz="4" w:space="0"/>
                  </w:tcBorders>
                  <w:noWrap w:val="0"/>
                  <w:vAlign w:val="center"/>
                </w:tcPr>
                <w:p w14:paraId="01EAA17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硫酸</w:t>
                  </w:r>
                </w:p>
              </w:tc>
              <w:tc>
                <w:tcPr>
                  <w:tcW w:w="1278" w:type="dxa"/>
                  <w:tcBorders>
                    <w:top w:val="nil"/>
                    <w:left w:val="nil"/>
                    <w:bottom w:val="single" w:color="000000" w:sz="8" w:space="0"/>
                    <w:right w:val="single" w:color="000000" w:sz="8" w:space="0"/>
                  </w:tcBorders>
                  <w:noWrap w:val="0"/>
                  <w:vAlign w:val="center"/>
                </w:tcPr>
                <w:p w14:paraId="37A95BC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5L</w:t>
                  </w:r>
                </w:p>
              </w:tc>
              <w:tc>
                <w:tcPr>
                  <w:tcW w:w="1366" w:type="dxa"/>
                  <w:tcBorders>
                    <w:top w:val="nil"/>
                    <w:left w:val="nil"/>
                    <w:bottom w:val="single" w:color="000000" w:sz="8" w:space="0"/>
                    <w:right w:val="single" w:color="000000" w:sz="8" w:space="0"/>
                  </w:tcBorders>
                  <w:noWrap w:val="0"/>
                  <w:vAlign w:val="center"/>
                </w:tcPr>
                <w:p w14:paraId="67B297F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2.5L</w:t>
                  </w:r>
                </w:p>
              </w:tc>
              <w:tc>
                <w:tcPr>
                  <w:tcW w:w="2159" w:type="dxa"/>
                  <w:tcBorders>
                    <w:top w:val="nil"/>
                    <w:left w:val="nil"/>
                    <w:bottom w:val="single" w:color="000000" w:sz="8" w:space="0"/>
                    <w:right w:val="single" w:color="000000" w:sz="8" w:space="0"/>
                  </w:tcBorders>
                  <w:noWrap/>
                  <w:vAlign w:val="center"/>
                </w:tcPr>
                <w:p w14:paraId="3871F38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瓶装500mL、分析纯</w:t>
                  </w:r>
                </w:p>
              </w:tc>
              <w:tc>
                <w:tcPr>
                  <w:tcW w:w="902" w:type="dxa"/>
                  <w:tcBorders>
                    <w:top w:val="nil"/>
                    <w:left w:val="nil"/>
                    <w:bottom w:val="single" w:color="000000" w:sz="8" w:space="0"/>
                    <w:right w:val="single" w:color="000000" w:sz="8" w:space="0"/>
                  </w:tcBorders>
                  <w:noWrap/>
                  <w:vAlign w:val="center"/>
                </w:tcPr>
                <w:p w14:paraId="4CC24C9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液态</w:t>
                  </w:r>
                </w:p>
              </w:tc>
              <w:tc>
                <w:tcPr>
                  <w:tcW w:w="1144" w:type="dxa"/>
                  <w:tcBorders>
                    <w:top w:val="nil"/>
                    <w:left w:val="nil"/>
                    <w:bottom w:val="single" w:color="000000" w:sz="8" w:space="0"/>
                    <w:right w:val="single" w:color="000000" w:sz="8" w:space="0"/>
                  </w:tcBorders>
                  <w:noWrap w:val="0"/>
                  <w:vAlign w:val="center"/>
                </w:tcPr>
                <w:p w14:paraId="29341F5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危化品库</w:t>
                  </w:r>
                </w:p>
              </w:tc>
            </w:tr>
            <w:tr w14:paraId="56A94C6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813" w:type="dxa"/>
                  <w:tcBorders>
                    <w:top w:val="nil"/>
                    <w:left w:val="single" w:color="000000" w:sz="8" w:space="0"/>
                    <w:bottom w:val="single" w:color="000000" w:sz="8" w:space="0"/>
                    <w:right w:val="single" w:color="000000" w:sz="8" w:space="0"/>
                  </w:tcBorders>
                  <w:noWrap/>
                  <w:vAlign w:val="center"/>
                </w:tcPr>
                <w:p w14:paraId="3970EEE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w:t>
                  </w:r>
                </w:p>
              </w:tc>
              <w:tc>
                <w:tcPr>
                  <w:tcW w:w="1542" w:type="dxa"/>
                  <w:tcBorders>
                    <w:top w:val="single" w:color="000000" w:sz="4" w:space="0"/>
                    <w:left w:val="single" w:color="000000" w:sz="4" w:space="0"/>
                    <w:bottom w:val="single" w:color="000000" w:sz="4" w:space="0"/>
                    <w:right w:val="single" w:color="000000" w:sz="4" w:space="0"/>
                  </w:tcBorders>
                  <w:noWrap w:val="0"/>
                  <w:vAlign w:val="center"/>
                </w:tcPr>
                <w:p w14:paraId="353D2DF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高氯酸</w:t>
                  </w:r>
                </w:p>
              </w:tc>
              <w:tc>
                <w:tcPr>
                  <w:tcW w:w="1278" w:type="dxa"/>
                  <w:tcBorders>
                    <w:top w:val="nil"/>
                    <w:left w:val="nil"/>
                    <w:bottom w:val="single" w:color="000000" w:sz="8" w:space="0"/>
                    <w:right w:val="single" w:color="000000" w:sz="8" w:space="0"/>
                  </w:tcBorders>
                  <w:noWrap w:val="0"/>
                  <w:vAlign w:val="center"/>
                </w:tcPr>
                <w:p w14:paraId="10C4246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1L</w:t>
                  </w:r>
                </w:p>
              </w:tc>
              <w:tc>
                <w:tcPr>
                  <w:tcW w:w="1366" w:type="dxa"/>
                  <w:tcBorders>
                    <w:top w:val="nil"/>
                    <w:left w:val="nil"/>
                    <w:bottom w:val="single" w:color="000000" w:sz="8" w:space="0"/>
                    <w:right w:val="single" w:color="000000" w:sz="8" w:space="0"/>
                  </w:tcBorders>
                  <w:noWrap w:val="0"/>
                  <w:vAlign w:val="center"/>
                </w:tcPr>
                <w:p w14:paraId="4CE2C97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1L</w:t>
                  </w:r>
                </w:p>
              </w:tc>
              <w:tc>
                <w:tcPr>
                  <w:tcW w:w="2159" w:type="dxa"/>
                  <w:tcBorders>
                    <w:top w:val="nil"/>
                    <w:left w:val="nil"/>
                    <w:bottom w:val="single" w:color="000000" w:sz="8" w:space="0"/>
                    <w:right w:val="single" w:color="000000" w:sz="8" w:space="0"/>
                  </w:tcBorders>
                  <w:noWrap/>
                  <w:vAlign w:val="center"/>
                </w:tcPr>
                <w:p w14:paraId="37FCA8F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瓶装500mL、分析纯</w:t>
                  </w:r>
                </w:p>
              </w:tc>
              <w:tc>
                <w:tcPr>
                  <w:tcW w:w="902" w:type="dxa"/>
                  <w:tcBorders>
                    <w:top w:val="nil"/>
                    <w:left w:val="nil"/>
                    <w:bottom w:val="single" w:color="000000" w:sz="8" w:space="0"/>
                    <w:right w:val="single" w:color="000000" w:sz="8" w:space="0"/>
                  </w:tcBorders>
                  <w:noWrap/>
                  <w:vAlign w:val="center"/>
                </w:tcPr>
                <w:p w14:paraId="426F375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液态</w:t>
                  </w:r>
                </w:p>
              </w:tc>
              <w:tc>
                <w:tcPr>
                  <w:tcW w:w="1144" w:type="dxa"/>
                  <w:tcBorders>
                    <w:top w:val="nil"/>
                    <w:left w:val="nil"/>
                    <w:bottom w:val="single" w:color="000000" w:sz="8" w:space="0"/>
                    <w:right w:val="single" w:color="000000" w:sz="8" w:space="0"/>
                  </w:tcBorders>
                  <w:noWrap w:val="0"/>
                  <w:vAlign w:val="center"/>
                </w:tcPr>
                <w:p w14:paraId="761D99F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危化品库</w:t>
                  </w:r>
                </w:p>
              </w:tc>
            </w:tr>
            <w:tr w14:paraId="01D3BB3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813" w:type="dxa"/>
                  <w:tcBorders>
                    <w:top w:val="nil"/>
                    <w:left w:val="single" w:color="000000" w:sz="8" w:space="0"/>
                    <w:bottom w:val="single" w:color="000000" w:sz="8" w:space="0"/>
                    <w:right w:val="single" w:color="000000" w:sz="8" w:space="0"/>
                  </w:tcBorders>
                  <w:noWrap/>
                  <w:vAlign w:val="center"/>
                </w:tcPr>
                <w:p w14:paraId="5F35C5D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w:t>
                  </w:r>
                </w:p>
              </w:tc>
              <w:tc>
                <w:tcPr>
                  <w:tcW w:w="1542" w:type="dxa"/>
                  <w:tcBorders>
                    <w:top w:val="single" w:color="000000" w:sz="4" w:space="0"/>
                    <w:left w:val="single" w:color="000000" w:sz="4" w:space="0"/>
                    <w:bottom w:val="single" w:color="000000" w:sz="4" w:space="0"/>
                    <w:right w:val="single" w:color="000000" w:sz="4" w:space="0"/>
                  </w:tcBorders>
                  <w:noWrap w:val="0"/>
                  <w:vAlign w:val="center"/>
                </w:tcPr>
                <w:p w14:paraId="1AECCF0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氢氟酸</w:t>
                  </w:r>
                </w:p>
              </w:tc>
              <w:tc>
                <w:tcPr>
                  <w:tcW w:w="1278" w:type="dxa"/>
                  <w:tcBorders>
                    <w:top w:val="nil"/>
                    <w:left w:val="nil"/>
                    <w:bottom w:val="single" w:color="000000" w:sz="8" w:space="0"/>
                    <w:right w:val="single" w:color="000000" w:sz="8" w:space="0"/>
                  </w:tcBorders>
                  <w:noWrap w:val="0"/>
                  <w:vAlign w:val="center"/>
                </w:tcPr>
                <w:p w14:paraId="4E44A52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1L</w:t>
                  </w:r>
                </w:p>
              </w:tc>
              <w:tc>
                <w:tcPr>
                  <w:tcW w:w="1366" w:type="dxa"/>
                  <w:tcBorders>
                    <w:top w:val="nil"/>
                    <w:left w:val="nil"/>
                    <w:bottom w:val="single" w:color="000000" w:sz="8" w:space="0"/>
                    <w:right w:val="single" w:color="000000" w:sz="8" w:space="0"/>
                  </w:tcBorders>
                  <w:noWrap w:val="0"/>
                  <w:vAlign w:val="center"/>
                </w:tcPr>
                <w:p w14:paraId="129CCF6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1L</w:t>
                  </w:r>
                </w:p>
              </w:tc>
              <w:tc>
                <w:tcPr>
                  <w:tcW w:w="2159" w:type="dxa"/>
                  <w:tcBorders>
                    <w:top w:val="nil"/>
                    <w:left w:val="nil"/>
                    <w:bottom w:val="single" w:color="000000" w:sz="8" w:space="0"/>
                    <w:right w:val="single" w:color="000000" w:sz="8" w:space="0"/>
                  </w:tcBorders>
                  <w:noWrap/>
                  <w:vAlign w:val="center"/>
                </w:tcPr>
                <w:p w14:paraId="5ABC531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瓶装500mL、分析纯</w:t>
                  </w:r>
                </w:p>
              </w:tc>
              <w:tc>
                <w:tcPr>
                  <w:tcW w:w="902" w:type="dxa"/>
                  <w:tcBorders>
                    <w:top w:val="nil"/>
                    <w:left w:val="nil"/>
                    <w:bottom w:val="single" w:color="000000" w:sz="8" w:space="0"/>
                    <w:right w:val="single" w:color="000000" w:sz="8" w:space="0"/>
                  </w:tcBorders>
                  <w:noWrap/>
                  <w:vAlign w:val="center"/>
                </w:tcPr>
                <w:p w14:paraId="7C6B210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液态</w:t>
                  </w:r>
                </w:p>
              </w:tc>
              <w:tc>
                <w:tcPr>
                  <w:tcW w:w="1144" w:type="dxa"/>
                  <w:tcBorders>
                    <w:top w:val="nil"/>
                    <w:left w:val="nil"/>
                    <w:bottom w:val="single" w:color="000000" w:sz="8" w:space="0"/>
                    <w:right w:val="single" w:color="000000" w:sz="8" w:space="0"/>
                  </w:tcBorders>
                  <w:noWrap w:val="0"/>
                  <w:vAlign w:val="center"/>
                </w:tcPr>
                <w:p w14:paraId="628A969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危化品库</w:t>
                  </w:r>
                </w:p>
              </w:tc>
            </w:tr>
            <w:tr w14:paraId="491A16F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813" w:type="dxa"/>
                  <w:tcBorders>
                    <w:top w:val="nil"/>
                    <w:left w:val="single" w:color="000000" w:sz="8" w:space="0"/>
                    <w:bottom w:val="single" w:color="000000" w:sz="8" w:space="0"/>
                    <w:right w:val="single" w:color="000000" w:sz="8" w:space="0"/>
                  </w:tcBorders>
                  <w:noWrap/>
                  <w:vAlign w:val="center"/>
                </w:tcPr>
                <w:p w14:paraId="3210561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6</w:t>
                  </w:r>
                </w:p>
              </w:tc>
              <w:tc>
                <w:tcPr>
                  <w:tcW w:w="1542" w:type="dxa"/>
                  <w:tcBorders>
                    <w:top w:val="single" w:color="000000" w:sz="4" w:space="0"/>
                    <w:left w:val="single" w:color="000000" w:sz="4" w:space="0"/>
                    <w:bottom w:val="single" w:color="000000" w:sz="4" w:space="0"/>
                    <w:right w:val="single" w:color="000000" w:sz="4" w:space="0"/>
                  </w:tcBorders>
                  <w:noWrap w:val="0"/>
                  <w:vAlign w:val="center"/>
                </w:tcPr>
                <w:p w14:paraId="34CFF8F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过氧化钠</w:t>
                  </w:r>
                </w:p>
              </w:tc>
              <w:tc>
                <w:tcPr>
                  <w:tcW w:w="1278" w:type="dxa"/>
                  <w:tcBorders>
                    <w:top w:val="nil"/>
                    <w:left w:val="nil"/>
                    <w:bottom w:val="single" w:color="000000" w:sz="8" w:space="0"/>
                    <w:right w:val="single" w:color="000000" w:sz="8" w:space="0"/>
                  </w:tcBorders>
                  <w:noWrap/>
                  <w:vAlign w:val="center"/>
                </w:tcPr>
                <w:p w14:paraId="3DD6567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2.5</w:t>
                  </w:r>
                  <w:r>
                    <w:rPr>
                      <w:rFonts w:hint="eastAsia" w:ascii="Times New Roman" w:hAnsi="Times New Roman" w:eastAsia="宋体" w:cs="Times New Roman"/>
                      <w:i w:val="0"/>
                      <w:iCs w:val="0"/>
                      <w:color w:val="auto"/>
                      <w:kern w:val="0"/>
                      <w:sz w:val="21"/>
                      <w:szCs w:val="21"/>
                      <w:u w:val="none"/>
                      <w:lang w:val="en-US" w:eastAsia="zh-CN" w:bidi="ar"/>
                    </w:rPr>
                    <w:t>kg</w:t>
                  </w:r>
                </w:p>
              </w:tc>
              <w:tc>
                <w:tcPr>
                  <w:tcW w:w="1366" w:type="dxa"/>
                  <w:tcBorders>
                    <w:top w:val="nil"/>
                    <w:left w:val="nil"/>
                    <w:bottom w:val="single" w:color="000000" w:sz="8" w:space="0"/>
                    <w:right w:val="single" w:color="000000" w:sz="8" w:space="0"/>
                  </w:tcBorders>
                  <w:noWrap w:val="0"/>
                  <w:vAlign w:val="center"/>
                </w:tcPr>
                <w:p w14:paraId="705AE21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500g</w:t>
                  </w:r>
                </w:p>
              </w:tc>
              <w:tc>
                <w:tcPr>
                  <w:tcW w:w="2159" w:type="dxa"/>
                  <w:tcBorders>
                    <w:top w:val="nil"/>
                    <w:left w:val="nil"/>
                    <w:bottom w:val="single" w:color="000000" w:sz="8" w:space="0"/>
                    <w:right w:val="single" w:color="000000" w:sz="8" w:space="0"/>
                  </w:tcBorders>
                  <w:noWrap/>
                  <w:vAlign w:val="center"/>
                </w:tcPr>
                <w:p w14:paraId="68C90D8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瓶装250g、分析纯</w:t>
                  </w:r>
                </w:p>
              </w:tc>
              <w:tc>
                <w:tcPr>
                  <w:tcW w:w="902" w:type="dxa"/>
                  <w:tcBorders>
                    <w:top w:val="nil"/>
                    <w:left w:val="nil"/>
                    <w:bottom w:val="single" w:color="000000" w:sz="8" w:space="0"/>
                    <w:right w:val="single" w:color="000000" w:sz="8" w:space="0"/>
                  </w:tcBorders>
                  <w:noWrap/>
                  <w:vAlign w:val="center"/>
                </w:tcPr>
                <w:p w14:paraId="3B5E2AD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固态</w:t>
                  </w:r>
                </w:p>
              </w:tc>
              <w:tc>
                <w:tcPr>
                  <w:tcW w:w="1144" w:type="dxa"/>
                  <w:tcBorders>
                    <w:top w:val="nil"/>
                    <w:left w:val="nil"/>
                    <w:bottom w:val="single" w:color="000000" w:sz="8" w:space="0"/>
                    <w:right w:val="single" w:color="000000" w:sz="8" w:space="0"/>
                  </w:tcBorders>
                  <w:noWrap w:val="0"/>
                  <w:vAlign w:val="center"/>
                </w:tcPr>
                <w:p w14:paraId="15D9E8F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危化品库</w:t>
                  </w:r>
                </w:p>
              </w:tc>
            </w:tr>
            <w:tr w14:paraId="73BAA54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813" w:type="dxa"/>
                  <w:tcBorders>
                    <w:top w:val="nil"/>
                    <w:left w:val="single" w:color="000000" w:sz="8" w:space="0"/>
                    <w:bottom w:val="single" w:color="000000" w:sz="8" w:space="0"/>
                    <w:right w:val="single" w:color="000000" w:sz="8" w:space="0"/>
                  </w:tcBorders>
                  <w:noWrap/>
                  <w:vAlign w:val="center"/>
                </w:tcPr>
                <w:p w14:paraId="4779F1F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7</w:t>
                  </w:r>
                </w:p>
              </w:tc>
              <w:tc>
                <w:tcPr>
                  <w:tcW w:w="1542" w:type="dxa"/>
                  <w:tcBorders>
                    <w:top w:val="single" w:color="000000" w:sz="4" w:space="0"/>
                    <w:left w:val="single" w:color="000000" w:sz="4" w:space="0"/>
                    <w:bottom w:val="single" w:color="000000" w:sz="4" w:space="0"/>
                    <w:right w:val="single" w:color="000000" w:sz="4" w:space="0"/>
                  </w:tcBorders>
                  <w:noWrap w:val="0"/>
                  <w:vAlign w:val="center"/>
                </w:tcPr>
                <w:p w14:paraId="7547845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磷酸</w:t>
                  </w:r>
                </w:p>
              </w:tc>
              <w:tc>
                <w:tcPr>
                  <w:tcW w:w="1278" w:type="dxa"/>
                  <w:tcBorders>
                    <w:top w:val="nil"/>
                    <w:left w:val="nil"/>
                    <w:bottom w:val="single" w:color="000000" w:sz="8" w:space="0"/>
                    <w:right w:val="single" w:color="000000" w:sz="8" w:space="0"/>
                  </w:tcBorders>
                  <w:noWrap w:val="0"/>
                  <w:vAlign w:val="center"/>
                </w:tcPr>
                <w:p w14:paraId="4369044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10L</w:t>
                  </w:r>
                </w:p>
              </w:tc>
              <w:tc>
                <w:tcPr>
                  <w:tcW w:w="1366" w:type="dxa"/>
                  <w:tcBorders>
                    <w:top w:val="nil"/>
                    <w:left w:val="nil"/>
                    <w:bottom w:val="single" w:color="000000" w:sz="8" w:space="0"/>
                    <w:right w:val="single" w:color="000000" w:sz="8" w:space="0"/>
                  </w:tcBorders>
                  <w:noWrap w:val="0"/>
                  <w:vAlign w:val="center"/>
                </w:tcPr>
                <w:p w14:paraId="0170331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5L</w:t>
                  </w:r>
                </w:p>
              </w:tc>
              <w:tc>
                <w:tcPr>
                  <w:tcW w:w="2159" w:type="dxa"/>
                  <w:tcBorders>
                    <w:top w:val="nil"/>
                    <w:left w:val="nil"/>
                    <w:bottom w:val="single" w:color="000000" w:sz="8" w:space="0"/>
                    <w:right w:val="single" w:color="000000" w:sz="8" w:space="0"/>
                  </w:tcBorders>
                  <w:noWrap/>
                  <w:vAlign w:val="center"/>
                </w:tcPr>
                <w:p w14:paraId="3B4DDAD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瓶装500mL、分析纯</w:t>
                  </w:r>
                </w:p>
              </w:tc>
              <w:tc>
                <w:tcPr>
                  <w:tcW w:w="902" w:type="dxa"/>
                  <w:tcBorders>
                    <w:top w:val="nil"/>
                    <w:left w:val="nil"/>
                    <w:bottom w:val="single" w:color="000000" w:sz="8" w:space="0"/>
                    <w:right w:val="single" w:color="000000" w:sz="8" w:space="0"/>
                  </w:tcBorders>
                  <w:noWrap/>
                  <w:vAlign w:val="center"/>
                </w:tcPr>
                <w:p w14:paraId="3B63269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液态</w:t>
                  </w:r>
                </w:p>
              </w:tc>
              <w:tc>
                <w:tcPr>
                  <w:tcW w:w="1144" w:type="dxa"/>
                  <w:tcBorders>
                    <w:top w:val="nil"/>
                    <w:left w:val="nil"/>
                    <w:bottom w:val="single" w:color="000000" w:sz="8" w:space="0"/>
                    <w:right w:val="single" w:color="000000" w:sz="8" w:space="0"/>
                  </w:tcBorders>
                  <w:noWrap w:val="0"/>
                  <w:vAlign w:val="center"/>
                </w:tcPr>
                <w:p w14:paraId="572D26C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试剂库</w:t>
                  </w:r>
                </w:p>
              </w:tc>
            </w:tr>
            <w:tr w14:paraId="6E89E64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813" w:type="dxa"/>
                  <w:tcBorders>
                    <w:top w:val="nil"/>
                    <w:left w:val="single" w:color="000000" w:sz="8" w:space="0"/>
                    <w:bottom w:val="single" w:color="000000" w:sz="8" w:space="0"/>
                    <w:right w:val="single" w:color="000000" w:sz="8" w:space="0"/>
                  </w:tcBorders>
                  <w:noWrap/>
                  <w:vAlign w:val="center"/>
                </w:tcPr>
                <w:p w14:paraId="18AB8C8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8</w:t>
                  </w:r>
                </w:p>
              </w:tc>
              <w:tc>
                <w:tcPr>
                  <w:tcW w:w="1542" w:type="dxa"/>
                  <w:tcBorders>
                    <w:top w:val="single" w:color="000000" w:sz="4" w:space="0"/>
                    <w:left w:val="single" w:color="000000" w:sz="4" w:space="0"/>
                    <w:bottom w:val="single" w:color="000000" w:sz="4" w:space="0"/>
                    <w:right w:val="single" w:color="000000" w:sz="4" w:space="0"/>
                  </w:tcBorders>
                  <w:noWrap w:val="0"/>
                  <w:vAlign w:val="center"/>
                </w:tcPr>
                <w:p w14:paraId="632D27F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冰乙酸</w:t>
                  </w:r>
                </w:p>
              </w:tc>
              <w:tc>
                <w:tcPr>
                  <w:tcW w:w="1278" w:type="dxa"/>
                  <w:tcBorders>
                    <w:top w:val="nil"/>
                    <w:left w:val="nil"/>
                    <w:bottom w:val="single" w:color="000000" w:sz="8" w:space="0"/>
                    <w:right w:val="single" w:color="000000" w:sz="8" w:space="0"/>
                  </w:tcBorders>
                  <w:noWrap w:val="0"/>
                  <w:vAlign w:val="center"/>
                </w:tcPr>
                <w:p w14:paraId="31D0FE5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0.5L</w:t>
                  </w:r>
                </w:p>
              </w:tc>
              <w:tc>
                <w:tcPr>
                  <w:tcW w:w="1366" w:type="dxa"/>
                  <w:tcBorders>
                    <w:top w:val="nil"/>
                    <w:left w:val="nil"/>
                    <w:bottom w:val="single" w:color="000000" w:sz="8" w:space="0"/>
                    <w:right w:val="single" w:color="000000" w:sz="8" w:space="0"/>
                  </w:tcBorders>
                  <w:noWrap w:val="0"/>
                  <w:vAlign w:val="center"/>
                </w:tcPr>
                <w:p w14:paraId="79C7752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0.5L</w:t>
                  </w:r>
                </w:p>
              </w:tc>
              <w:tc>
                <w:tcPr>
                  <w:tcW w:w="2159" w:type="dxa"/>
                  <w:tcBorders>
                    <w:top w:val="nil"/>
                    <w:left w:val="nil"/>
                    <w:bottom w:val="single" w:color="000000" w:sz="8" w:space="0"/>
                    <w:right w:val="single" w:color="000000" w:sz="8" w:space="0"/>
                  </w:tcBorders>
                  <w:noWrap/>
                  <w:vAlign w:val="center"/>
                </w:tcPr>
                <w:p w14:paraId="00368D5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瓶装500mL、分析纯</w:t>
                  </w:r>
                </w:p>
              </w:tc>
              <w:tc>
                <w:tcPr>
                  <w:tcW w:w="902" w:type="dxa"/>
                  <w:tcBorders>
                    <w:top w:val="nil"/>
                    <w:left w:val="nil"/>
                    <w:bottom w:val="single" w:color="000000" w:sz="8" w:space="0"/>
                    <w:right w:val="single" w:color="000000" w:sz="8" w:space="0"/>
                  </w:tcBorders>
                  <w:noWrap/>
                  <w:vAlign w:val="center"/>
                </w:tcPr>
                <w:p w14:paraId="032F42F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液态</w:t>
                  </w:r>
                </w:p>
              </w:tc>
              <w:tc>
                <w:tcPr>
                  <w:tcW w:w="1144" w:type="dxa"/>
                  <w:tcBorders>
                    <w:top w:val="nil"/>
                    <w:left w:val="nil"/>
                    <w:bottom w:val="single" w:color="000000" w:sz="8" w:space="0"/>
                    <w:right w:val="single" w:color="000000" w:sz="8" w:space="0"/>
                  </w:tcBorders>
                  <w:noWrap w:val="0"/>
                  <w:vAlign w:val="center"/>
                </w:tcPr>
                <w:p w14:paraId="54E547C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试剂库</w:t>
                  </w:r>
                </w:p>
              </w:tc>
            </w:tr>
            <w:tr w14:paraId="79AE9CB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813" w:type="dxa"/>
                  <w:tcBorders>
                    <w:top w:val="nil"/>
                    <w:left w:val="single" w:color="000000" w:sz="8" w:space="0"/>
                    <w:bottom w:val="single" w:color="000000" w:sz="8" w:space="0"/>
                    <w:right w:val="single" w:color="000000" w:sz="8" w:space="0"/>
                  </w:tcBorders>
                  <w:noWrap/>
                  <w:vAlign w:val="center"/>
                </w:tcPr>
                <w:p w14:paraId="70EEE16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9</w:t>
                  </w:r>
                </w:p>
              </w:tc>
              <w:tc>
                <w:tcPr>
                  <w:tcW w:w="1542" w:type="dxa"/>
                  <w:tcBorders>
                    <w:top w:val="single" w:color="000000" w:sz="4" w:space="0"/>
                    <w:left w:val="single" w:color="000000" w:sz="4" w:space="0"/>
                    <w:bottom w:val="single" w:color="000000" w:sz="4" w:space="0"/>
                    <w:right w:val="single" w:color="000000" w:sz="4" w:space="0"/>
                  </w:tcBorders>
                  <w:noWrap w:val="0"/>
                  <w:vAlign w:val="center"/>
                </w:tcPr>
                <w:p w14:paraId="7076C1E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氨水</w:t>
                  </w:r>
                </w:p>
              </w:tc>
              <w:tc>
                <w:tcPr>
                  <w:tcW w:w="1278" w:type="dxa"/>
                  <w:tcBorders>
                    <w:top w:val="nil"/>
                    <w:left w:val="nil"/>
                    <w:bottom w:val="single" w:color="000000" w:sz="8" w:space="0"/>
                    <w:right w:val="single" w:color="000000" w:sz="8" w:space="0"/>
                  </w:tcBorders>
                  <w:noWrap w:val="0"/>
                  <w:vAlign w:val="center"/>
                </w:tcPr>
                <w:p w14:paraId="03A8C8B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10L</w:t>
                  </w:r>
                </w:p>
              </w:tc>
              <w:tc>
                <w:tcPr>
                  <w:tcW w:w="1366" w:type="dxa"/>
                  <w:tcBorders>
                    <w:top w:val="nil"/>
                    <w:left w:val="nil"/>
                    <w:bottom w:val="single" w:color="000000" w:sz="8" w:space="0"/>
                    <w:right w:val="single" w:color="000000" w:sz="8" w:space="0"/>
                  </w:tcBorders>
                  <w:noWrap w:val="0"/>
                  <w:vAlign w:val="center"/>
                </w:tcPr>
                <w:p w14:paraId="00FC1C7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5L</w:t>
                  </w:r>
                </w:p>
              </w:tc>
              <w:tc>
                <w:tcPr>
                  <w:tcW w:w="2159" w:type="dxa"/>
                  <w:tcBorders>
                    <w:top w:val="nil"/>
                    <w:left w:val="nil"/>
                    <w:bottom w:val="single" w:color="000000" w:sz="8" w:space="0"/>
                    <w:right w:val="single" w:color="000000" w:sz="8" w:space="0"/>
                  </w:tcBorders>
                  <w:noWrap/>
                  <w:vAlign w:val="center"/>
                </w:tcPr>
                <w:p w14:paraId="32B9FA7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瓶装500mL、分析纯</w:t>
                  </w:r>
                </w:p>
              </w:tc>
              <w:tc>
                <w:tcPr>
                  <w:tcW w:w="902" w:type="dxa"/>
                  <w:tcBorders>
                    <w:top w:val="nil"/>
                    <w:left w:val="nil"/>
                    <w:bottom w:val="single" w:color="000000" w:sz="8" w:space="0"/>
                    <w:right w:val="single" w:color="000000" w:sz="8" w:space="0"/>
                  </w:tcBorders>
                  <w:noWrap/>
                  <w:vAlign w:val="center"/>
                </w:tcPr>
                <w:p w14:paraId="614D147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液态</w:t>
                  </w:r>
                </w:p>
              </w:tc>
              <w:tc>
                <w:tcPr>
                  <w:tcW w:w="1144" w:type="dxa"/>
                  <w:tcBorders>
                    <w:top w:val="nil"/>
                    <w:left w:val="nil"/>
                    <w:bottom w:val="single" w:color="000000" w:sz="8" w:space="0"/>
                    <w:right w:val="single" w:color="000000" w:sz="8" w:space="0"/>
                  </w:tcBorders>
                  <w:noWrap w:val="0"/>
                  <w:vAlign w:val="center"/>
                </w:tcPr>
                <w:p w14:paraId="10955B5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试剂库</w:t>
                  </w:r>
                </w:p>
              </w:tc>
            </w:tr>
            <w:tr w14:paraId="19EB8EA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813" w:type="dxa"/>
                  <w:tcBorders>
                    <w:top w:val="nil"/>
                    <w:left w:val="single" w:color="000000" w:sz="8" w:space="0"/>
                    <w:bottom w:val="single" w:color="000000" w:sz="8" w:space="0"/>
                    <w:right w:val="single" w:color="000000" w:sz="8" w:space="0"/>
                  </w:tcBorders>
                  <w:noWrap/>
                  <w:vAlign w:val="center"/>
                </w:tcPr>
                <w:p w14:paraId="134445D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10</w:t>
                  </w:r>
                </w:p>
              </w:tc>
              <w:tc>
                <w:tcPr>
                  <w:tcW w:w="1542" w:type="dxa"/>
                  <w:tcBorders>
                    <w:top w:val="single" w:color="000000" w:sz="4" w:space="0"/>
                    <w:left w:val="single" w:color="000000" w:sz="4" w:space="0"/>
                    <w:bottom w:val="single" w:color="000000" w:sz="4" w:space="0"/>
                    <w:right w:val="single" w:color="000000" w:sz="4" w:space="0"/>
                  </w:tcBorders>
                  <w:noWrap w:val="0"/>
                  <w:vAlign w:val="center"/>
                </w:tcPr>
                <w:p w14:paraId="24ABE66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溴水</w:t>
                  </w:r>
                </w:p>
              </w:tc>
              <w:tc>
                <w:tcPr>
                  <w:tcW w:w="1278" w:type="dxa"/>
                  <w:tcBorders>
                    <w:top w:val="nil"/>
                    <w:left w:val="nil"/>
                    <w:bottom w:val="single" w:color="000000" w:sz="8" w:space="0"/>
                    <w:right w:val="single" w:color="000000" w:sz="8" w:space="0"/>
                  </w:tcBorders>
                  <w:noWrap w:val="0"/>
                  <w:vAlign w:val="center"/>
                </w:tcPr>
                <w:p w14:paraId="074B15C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0.5L</w:t>
                  </w:r>
                </w:p>
              </w:tc>
              <w:tc>
                <w:tcPr>
                  <w:tcW w:w="1366" w:type="dxa"/>
                  <w:tcBorders>
                    <w:top w:val="nil"/>
                    <w:left w:val="nil"/>
                    <w:bottom w:val="single" w:color="000000" w:sz="8" w:space="0"/>
                    <w:right w:val="single" w:color="000000" w:sz="8" w:space="0"/>
                  </w:tcBorders>
                  <w:noWrap w:val="0"/>
                  <w:vAlign w:val="center"/>
                </w:tcPr>
                <w:p w14:paraId="364AAD4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0.5L</w:t>
                  </w:r>
                </w:p>
              </w:tc>
              <w:tc>
                <w:tcPr>
                  <w:tcW w:w="2159" w:type="dxa"/>
                  <w:tcBorders>
                    <w:top w:val="nil"/>
                    <w:left w:val="nil"/>
                    <w:bottom w:val="single" w:color="000000" w:sz="8" w:space="0"/>
                    <w:right w:val="single" w:color="000000" w:sz="8" w:space="0"/>
                  </w:tcBorders>
                  <w:noWrap/>
                  <w:vAlign w:val="center"/>
                </w:tcPr>
                <w:p w14:paraId="613E5F7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瓶装500mL、分析纯</w:t>
                  </w:r>
                </w:p>
              </w:tc>
              <w:tc>
                <w:tcPr>
                  <w:tcW w:w="902" w:type="dxa"/>
                  <w:tcBorders>
                    <w:top w:val="nil"/>
                    <w:left w:val="nil"/>
                    <w:bottom w:val="single" w:color="000000" w:sz="8" w:space="0"/>
                    <w:right w:val="single" w:color="000000" w:sz="8" w:space="0"/>
                  </w:tcBorders>
                  <w:noWrap/>
                  <w:vAlign w:val="center"/>
                </w:tcPr>
                <w:p w14:paraId="6BCC416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液态</w:t>
                  </w:r>
                </w:p>
              </w:tc>
              <w:tc>
                <w:tcPr>
                  <w:tcW w:w="1144" w:type="dxa"/>
                  <w:tcBorders>
                    <w:top w:val="nil"/>
                    <w:left w:val="nil"/>
                    <w:bottom w:val="single" w:color="000000" w:sz="8" w:space="0"/>
                    <w:right w:val="single" w:color="000000" w:sz="8" w:space="0"/>
                  </w:tcBorders>
                  <w:noWrap w:val="0"/>
                  <w:vAlign w:val="center"/>
                </w:tcPr>
                <w:p w14:paraId="199B227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试剂库</w:t>
                  </w:r>
                </w:p>
              </w:tc>
            </w:tr>
            <w:tr w14:paraId="549F95F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813" w:type="dxa"/>
                  <w:tcBorders>
                    <w:top w:val="nil"/>
                    <w:left w:val="single" w:color="000000" w:sz="8" w:space="0"/>
                    <w:bottom w:val="single" w:color="000000" w:sz="8" w:space="0"/>
                    <w:right w:val="single" w:color="000000" w:sz="8" w:space="0"/>
                  </w:tcBorders>
                  <w:noWrap/>
                  <w:vAlign w:val="center"/>
                </w:tcPr>
                <w:p w14:paraId="3499070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11</w:t>
                  </w:r>
                </w:p>
              </w:tc>
              <w:tc>
                <w:tcPr>
                  <w:tcW w:w="1542" w:type="dxa"/>
                  <w:tcBorders>
                    <w:top w:val="single" w:color="000000" w:sz="4" w:space="0"/>
                    <w:left w:val="single" w:color="000000" w:sz="4" w:space="0"/>
                    <w:bottom w:val="single" w:color="000000" w:sz="4" w:space="0"/>
                    <w:right w:val="single" w:color="000000" w:sz="4" w:space="0"/>
                  </w:tcBorders>
                  <w:noWrap w:val="0"/>
                  <w:vAlign w:val="center"/>
                </w:tcPr>
                <w:p w14:paraId="17F0EB5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无水乙醇</w:t>
                  </w:r>
                </w:p>
              </w:tc>
              <w:tc>
                <w:tcPr>
                  <w:tcW w:w="1278" w:type="dxa"/>
                  <w:tcBorders>
                    <w:top w:val="nil"/>
                    <w:left w:val="nil"/>
                    <w:bottom w:val="single" w:color="000000" w:sz="8" w:space="0"/>
                    <w:right w:val="single" w:color="000000" w:sz="8" w:space="0"/>
                  </w:tcBorders>
                  <w:noWrap w:val="0"/>
                  <w:vAlign w:val="center"/>
                </w:tcPr>
                <w:p w14:paraId="68A78EE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1L</w:t>
                  </w:r>
                </w:p>
              </w:tc>
              <w:tc>
                <w:tcPr>
                  <w:tcW w:w="1366" w:type="dxa"/>
                  <w:tcBorders>
                    <w:top w:val="nil"/>
                    <w:left w:val="nil"/>
                    <w:bottom w:val="single" w:color="000000" w:sz="8" w:space="0"/>
                    <w:right w:val="single" w:color="000000" w:sz="8" w:space="0"/>
                  </w:tcBorders>
                  <w:noWrap w:val="0"/>
                  <w:vAlign w:val="center"/>
                </w:tcPr>
                <w:p w14:paraId="6F47AE5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1L</w:t>
                  </w:r>
                </w:p>
              </w:tc>
              <w:tc>
                <w:tcPr>
                  <w:tcW w:w="2159" w:type="dxa"/>
                  <w:tcBorders>
                    <w:top w:val="nil"/>
                    <w:left w:val="nil"/>
                    <w:bottom w:val="single" w:color="000000" w:sz="8" w:space="0"/>
                    <w:right w:val="single" w:color="000000" w:sz="8" w:space="0"/>
                  </w:tcBorders>
                  <w:noWrap/>
                  <w:vAlign w:val="center"/>
                </w:tcPr>
                <w:p w14:paraId="77D86B7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瓶装500mL、分析纯</w:t>
                  </w:r>
                </w:p>
              </w:tc>
              <w:tc>
                <w:tcPr>
                  <w:tcW w:w="902" w:type="dxa"/>
                  <w:tcBorders>
                    <w:top w:val="nil"/>
                    <w:left w:val="nil"/>
                    <w:bottom w:val="single" w:color="000000" w:sz="8" w:space="0"/>
                    <w:right w:val="single" w:color="000000" w:sz="8" w:space="0"/>
                  </w:tcBorders>
                  <w:noWrap/>
                  <w:vAlign w:val="center"/>
                </w:tcPr>
                <w:p w14:paraId="7B3FB90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液态</w:t>
                  </w:r>
                </w:p>
              </w:tc>
              <w:tc>
                <w:tcPr>
                  <w:tcW w:w="1144" w:type="dxa"/>
                  <w:tcBorders>
                    <w:top w:val="nil"/>
                    <w:left w:val="nil"/>
                    <w:bottom w:val="single" w:color="000000" w:sz="8" w:space="0"/>
                    <w:right w:val="single" w:color="000000" w:sz="8" w:space="0"/>
                  </w:tcBorders>
                  <w:noWrap w:val="0"/>
                  <w:vAlign w:val="center"/>
                </w:tcPr>
                <w:p w14:paraId="012FF50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试剂库</w:t>
                  </w:r>
                </w:p>
              </w:tc>
            </w:tr>
            <w:tr w14:paraId="294135C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813" w:type="dxa"/>
                  <w:tcBorders>
                    <w:top w:val="nil"/>
                    <w:left w:val="single" w:color="000000" w:sz="8" w:space="0"/>
                    <w:bottom w:val="single" w:color="000000" w:sz="8" w:space="0"/>
                    <w:right w:val="single" w:color="000000" w:sz="8" w:space="0"/>
                  </w:tcBorders>
                  <w:noWrap/>
                  <w:vAlign w:val="center"/>
                </w:tcPr>
                <w:p w14:paraId="7DF6540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12</w:t>
                  </w:r>
                </w:p>
              </w:tc>
              <w:tc>
                <w:tcPr>
                  <w:tcW w:w="1542" w:type="dxa"/>
                  <w:tcBorders>
                    <w:top w:val="single" w:color="000000" w:sz="4" w:space="0"/>
                    <w:left w:val="single" w:color="000000" w:sz="4" w:space="0"/>
                    <w:bottom w:val="single" w:color="000000" w:sz="4" w:space="0"/>
                    <w:right w:val="single" w:color="000000" w:sz="4" w:space="0"/>
                  </w:tcBorders>
                  <w:noWrap w:val="0"/>
                  <w:vAlign w:val="center"/>
                </w:tcPr>
                <w:p w14:paraId="4C64A02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三氯化钛</w:t>
                  </w:r>
                </w:p>
              </w:tc>
              <w:tc>
                <w:tcPr>
                  <w:tcW w:w="1278" w:type="dxa"/>
                  <w:tcBorders>
                    <w:top w:val="nil"/>
                    <w:left w:val="nil"/>
                    <w:bottom w:val="single" w:color="000000" w:sz="8" w:space="0"/>
                    <w:right w:val="single" w:color="000000" w:sz="8" w:space="0"/>
                  </w:tcBorders>
                  <w:noWrap w:val="0"/>
                  <w:vAlign w:val="center"/>
                </w:tcPr>
                <w:p w14:paraId="26E2182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0.5L</w:t>
                  </w:r>
                </w:p>
              </w:tc>
              <w:tc>
                <w:tcPr>
                  <w:tcW w:w="1366" w:type="dxa"/>
                  <w:tcBorders>
                    <w:top w:val="nil"/>
                    <w:left w:val="nil"/>
                    <w:bottom w:val="single" w:color="000000" w:sz="8" w:space="0"/>
                    <w:right w:val="single" w:color="000000" w:sz="8" w:space="0"/>
                  </w:tcBorders>
                  <w:noWrap w:val="0"/>
                  <w:vAlign w:val="center"/>
                </w:tcPr>
                <w:p w14:paraId="23DEAB1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0.5L</w:t>
                  </w:r>
                </w:p>
              </w:tc>
              <w:tc>
                <w:tcPr>
                  <w:tcW w:w="2159" w:type="dxa"/>
                  <w:tcBorders>
                    <w:top w:val="nil"/>
                    <w:left w:val="nil"/>
                    <w:bottom w:val="single" w:color="000000" w:sz="8" w:space="0"/>
                    <w:right w:val="single" w:color="000000" w:sz="8" w:space="0"/>
                  </w:tcBorders>
                  <w:noWrap/>
                  <w:vAlign w:val="center"/>
                </w:tcPr>
                <w:p w14:paraId="727DD55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瓶装500mL、分析纯</w:t>
                  </w:r>
                </w:p>
              </w:tc>
              <w:tc>
                <w:tcPr>
                  <w:tcW w:w="902" w:type="dxa"/>
                  <w:tcBorders>
                    <w:top w:val="nil"/>
                    <w:left w:val="nil"/>
                    <w:bottom w:val="single" w:color="000000" w:sz="8" w:space="0"/>
                    <w:right w:val="single" w:color="000000" w:sz="8" w:space="0"/>
                  </w:tcBorders>
                  <w:noWrap/>
                  <w:vAlign w:val="center"/>
                </w:tcPr>
                <w:p w14:paraId="6D74B51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液态</w:t>
                  </w:r>
                </w:p>
              </w:tc>
              <w:tc>
                <w:tcPr>
                  <w:tcW w:w="1144" w:type="dxa"/>
                  <w:tcBorders>
                    <w:top w:val="nil"/>
                    <w:left w:val="nil"/>
                    <w:bottom w:val="single" w:color="000000" w:sz="8" w:space="0"/>
                    <w:right w:val="single" w:color="000000" w:sz="8" w:space="0"/>
                  </w:tcBorders>
                  <w:noWrap w:val="0"/>
                  <w:vAlign w:val="center"/>
                </w:tcPr>
                <w:p w14:paraId="7BA0B31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试剂库</w:t>
                  </w:r>
                </w:p>
              </w:tc>
            </w:tr>
            <w:tr w14:paraId="06201A8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813" w:type="dxa"/>
                  <w:tcBorders>
                    <w:top w:val="nil"/>
                    <w:left w:val="single" w:color="000000" w:sz="8" w:space="0"/>
                    <w:bottom w:val="single" w:color="000000" w:sz="8" w:space="0"/>
                    <w:right w:val="single" w:color="000000" w:sz="8" w:space="0"/>
                  </w:tcBorders>
                  <w:noWrap/>
                  <w:vAlign w:val="center"/>
                </w:tcPr>
                <w:p w14:paraId="32D95E8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13</w:t>
                  </w:r>
                </w:p>
              </w:tc>
              <w:tc>
                <w:tcPr>
                  <w:tcW w:w="1542" w:type="dxa"/>
                  <w:tcBorders>
                    <w:top w:val="single" w:color="000000" w:sz="4" w:space="0"/>
                    <w:left w:val="single" w:color="000000" w:sz="4" w:space="0"/>
                    <w:bottom w:val="single" w:color="000000" w:sz="4" w:space="0"/>
                    <w:right w:val="single" w:color="000000" w:sz="4" w:space="0"/>
                  </w:tcBorders>
                  <w:noWrap w:val="0"/>
                  <w:vAlign w:val="center"/>
                </w:tcPr>
                <w:p w14:paraId="164AEA0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硫脲</w:t>
                  </w:r>
                </w:p>
              </w:tc>
              <w:tc>
                <w:tcPr>
                  <w:tcW w:w="1278" w:type="dxa"/>
                  <w:tcBorders>
                    <w:top w:val="nil"/>
                    <w:left w:val="nil"/>
                    <w:bottom w:val="single" w:color="000000" w:sz="8" w:space="0"/>
                    <w:right w:val="single" w:color="000000" w:sz="8" w:space="0"/>
                  </w:tcBorders>
                  <w:noWrap/>
                  <w:vAlign w:val="center"/>
                </w:tcPr>
                <w:p w14:paraId="46FBF39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10</w:t>
                  </w:r>
                  <w:r>
                    <w:rPr>
                      <w:rFonts w:hint="eastAsia" w:ascii="Times New Roman" w:hAnsi="Times New Roman" w:eastAsia="宋体" w:cs="Times New Roman"/>
                      <w:i w:val="0"/>
                      <w:iCs w:val="0"/>
                      <w:color w:val="auto"/>
                      <w:kern w:val="0"/>
                      <w:sz w:val="21"/>
                      <w:szCs w:val="21"/>
                      <w:u w:val="none"/>
                      <w:lang w:val="en-US" w:eastAsia="zh-CN" w:bidi="ar"/>
                    </w:rPr>
                    <w:t>kg</w:t>
                  </w:r>
                </w:p>
              </w:tc>
              <w:tc>
                <w:tcPr>
                  <w:tcW w:w="1366" w:type="dxa"/>
                  <w:tcBorders>
                    <w:top w:val="nil"/>
                    <w:left w:val="nil"/>
                    <w:bottom w:val="single" w:color="000000" w:sz="8" w:space="0"/>
                    <w:right w:val="single" w:color="000000" w:sz="8" w:space="0"/>
                  </w:tcBorders>
                  <w:noWrap w:val="0"/>
                  <w:vAlign w:val="center"/>
                </w:tcPr>
                <w:p w14:paraId="58CC337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w:t>
                  </w:r>
                  <w:r>
                    <w:rPr>
                      <w:rFonts w:hint="eastAsia" w:ascii="Times New Roman" w:hAnsi="Times New Roman" w:eastAsia="宋体" w:cs="Times New Roman"/>
                      <w:i w:val="0"/>
                      <w:iCs w:val="0"/>
                      <w:color w:val="auto"/>
                      <w:kern w:val="0"/>
                      <w:sz w:val="21"/>
                      <w:szCs w:val="21"/>
                      <w:u w:val="none"/>
                      <w:lang w:val="en-US" w:eastAsia="zh-CN" w:bidi="ar"/>
                    </w:rPr>
                    <w:t>kg</w:t>
                  </w:r>
                </w:p>
              </w:tc>
              <w:tc>
                <w:tcPr>
                  <w:tcW w:w="2159" w:type="dxa"/>
                  <w:tcBorders>
                    <w:top w:val="nil"/>
                    <w:left w:val="nil"/>
                    <w:bottom w:val="single" w:color="000000" w:sz="8" w:space="0"/>
                    <w:right w:val="single" w:color="000000" w:sz="8" w:space="0"/>
                  </w:tcBorders>
                  <w:noWrap/>
                  <w:vAlign w:val="center"/>
                </w:tcPr>
                <w:p w14:paraId="58DD6E5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瓶装500g、分析纯</w:t>
                  </w:r>
                </w:p>
              </w:tc>
              <w:tc>
                <w:tcPr>
                  <w:tcW w:w="902" w:type="dxa"/>
                  <w:tcBorders>
                    <w:top w:val="nil"/>
                    <w:left w:val="nil"/>
                    <w:bottom w:val="single" w:color="000000" w:sz="8" w:space="0"/>
                    <w:right w:val="single" w:color="000000" w:sz="8" w:space="0"/>
                  </w:tcBorders>
                  <w:noWrap/>
                  <w:vAlign w:val="center"/>
                </w:tcPr>
                <w:p w14:paraId="108BB19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固态</w:t>
                  </w:r>
                </w:p>
              </w:tc>
              <w:tc>
                <w:tcPr>
                  <w:tcW w:w="1144" w:type="dxa"/>
                  <w:tcBorders>
                    <w:top w:val="nil"/>
                    <w:left w:val="nil"/>
                    <w:bottom w:val="single" w:color="000000" w:sz="8" w:space="0"/>
                    <w:right w:val="single" w:color="000000" w:sz="8" w:space="0"/>
                  </w:tcBorders>
                  <w:noWrap w:val="0"/>
                  <w:vAlign w:val="center"/>
                </w:tcPr>
                <w:p w14:paraId="01A8ACD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试剂库</w:t>
                  </w:r>
                </w:p>
              </w:tc>
            </w:tr>
            <w:tr w14:paraId="310F5BA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813" w:type="dxa"/>
                  <w:tcBorders>
                    <w:top w:val="nil"/>
                    <w:left w:val="single" w:color="000000" w:sz="8" w:space="0"/>
                    <w:bottom w:val="single" w:color="000000" w:sz="8" w:space="0"/>
                    <w:right w:val="single" w:color="000000" w:sz="8" w:space="0"/>
                  </w:tcBorders>
                  <w:noWrap/>
                  <w:vAlign w:val="center"/>
                </w:tcPr>
                <w:p w14:paraId="07EAB11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14</w:t>
                  </w:r>
                </w:p>
              </w:tc>
              <w:tc>
                <w:tcPr>
                  <w:tcW w:w="1542" w:type="dxa"/>
                  <w:tcBorders>
                    <w:top w:val="single" w:color="000000" w:sz="4" w:space="0"/>
                    <w:left w:val="single" w:color="000000" w:sz="4" w:space="0"/>
                    <w:bottom w:val="single" w:color="000000" w:sz="4" w:space="0"/>
                    <w:right w:val="single" w:color="000000" w:sz="4" w:space="0"/>
                  </w:tcBorders>
                  <w:noWrap w:val="0"/>
                  <w:vAlign w:val="center"/>
                </w:tcPr>
                <w:p w14:paraId="41F12B1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氟化氢铵</w:t>
                  </w:r>
                </w:p>
              </w:tc>
              <w:tc>
                <w:tcPr>
                  <w:tcW w:w="1278" w:type="dxa"/>
                  <w:tcBorders>
                    <w:top w:val="nil"/>
                    <w:left w:val="nil"/>
                    <w:bottom w:val="single" w:color="000000" w:sz="8" w:space="0"/>
                    <w:right w:val="single" w:color="000000" w:sz="8" w:space="0"/>
                  </w:tcBorders>
                  <w:noWrap/>
                  <w:vAlign w:val="center"/>
                </w:tcPr>
                <w:p w14:paraId="67E779B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500g</w:t>
                  </w:r>
                </w:p>
              </w:tc>
              <w:tc>
                <w:tcPr>
                  <w:tcW w:w="1366" w:type="dxa"/>
                  <w:tcBorders>
                    <w:top w:val="nil"/>
                    <w:left w:val="nil"/>
                    <w:bottom w:val="single" w:color="000000" w:sz="8" w:space="0"/>
                    <w:right w:val="single" w:color="000000" w:sz="8" w:space="0"/>
                  </w:tcBorders>
                  <w:noWrap w:val="0"/>
                  <w:vAlign w:val="center"/>
                </w:tcPr>
                <w:p w14:paraId="079C5BE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500g</w:t>
                  </w:r>
                </w:p>
              </w:tc>
              <w:tc>
                <w:tcPr>
                  <w:tcW w:w="2159" w:type="dxa"/>
                  <w:tcBorders>
                    <w:top w:val="nil"/>
                    <w:left w:val="nil"/>
                    <w:bottom w:val="single" w:color="000000" w:sz="8" w:space="0"/>
                    <w:right w:val="single" w:color="000000" w:sz="8" w:space="0"/>
                  </w:tcBorders>
                  <w:noWrap/>
                  <w:vAlign w:val="center"/>
                </w:tcPr>
                <w:p w14:paraId="732BA17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瓶装500g、分析纯</w:t>
                  </w:r>
                </w:p>
              </w:tc>
              <w:tc>
                <w:tcPr>
                  <w:tcW w:w="902" w:type="dxa"/>
                  <w:tcBorders>
                    <w:top w:val="nil"/>
                    <w:left w:val="nil"/>
                    <w:bottom w:val="single" w:color="000000" w:sz="8" w:space="0"/>
                    <w:right w:val="single" w:color="000000" w:sz="8" w:space="0"/>
                  </w:tcBorders>
                  <w:noWrap/>
                  <w:vAlign w:val="center"/>
                </w:tcPr>
                <w:p w14:paraId="6E11098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固态</w:t>
                  </w:r>
                </w:p>
              </w:tc>
              <w:tc>
                <w:tcPr>
                  <w:tcW w:w="1144" w:type="dxa"/>
                  <w:tcBorders>
                    <w:top w:val="nil"/>
                    <w:left w:val="nil"/>
                    <w:bottom w:val="single" w:color="000000" w:sz="8" w:space="0"/>
                    <w:right w:val="single" w:color="000000" w:sz="8" w:space="0"/>
                  </w:tcBorders>
                  <w:noWrap w:val="0"/>
                  <w:vAlign w:val="center"/>
                </w:tcPr>
                <w:p w14:paraId="22C971F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试剂库</w:t>
                  </w:r>
                </w:p>
              </w:tc>
            </w:tr>
            <w:tr w14:paraId="2B66C2C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813" w:type="dxa"/>
                  <w:tcBorders>
                    <w:top w:val="nil"/>
                    <w:left w:val="single" w:color="000000" w:sz="8" w:space="0"/>
                    <w:bottom w:val="single" w:color="000000" w:sz="8" w:space="0"/>
                    <w:right w:val="single" w:color="000000" w:sz="8" w:space="0"/>
                  </w:tcBorders>
                  <w:noWrap/>
                  <w:vAlign w:val="center"/>
                </w:tcPr>
                <w:p w14:paraId="7A008F1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15</w:t>
                  </w:r>
                </w:p>
              </w:tc>
              <w:tc>
                <w:tcPr>
                  <w:tcW w:w="1542" w:type="dxa"/>
                  <w:tcBorders>
                    <w:top w:val="single" w:color="000000" w:sz="4" w:space="0"/>
                    <w:left w:val="single" w:color="000000" w:sz="4" w:space="0"/>
                    <w:bottom w:val="single" w:color="000000" w:sz="4" w:space="0"/>
                    <w:right w:val="single" w:color="000000" w:sz="4" w:space="0"/>
                  </w:tcBorders>
                  <w:noWrap w:val="0"/>
                  <w:vAlign w:val="center"/>
                </w:tcPr>
                <w:p w14:paraId="11BB218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氟化铵</w:t>
                  </w:r>
                </w:p>
              </w:tc>
              <w:tc>
                <w:tcPr>
                  <w:tcW w:w="1278" w:type="dxa"/>
                  <w:tcBorders>
                    <w:top w:val="nil"/>
                    <w:left w:val="nil"/>
                    <w:bottom w:val="single" w:color="000000" w:sz="8" w:space="0"/>
                    <w:right w:val="single" w:color="000000" w:sz="8" w:space="0"/>
                  </w:tcBorders>
                  <w:noWrap/>
                  <w:vAlign w:val="center"/>
                </w:tcPr>
                <w:p w14:paraId="0208A26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500g</w:t>
                  </w:r>
                </w:p>
              </w:tc>
              <w:tc>
                <w:tcPr>
                  <w:tcW w:w="1366" w:type="dxa"/>
                  <w:tcBorders>
                    <w:top w:val="nil"/>
                    <w:left w:val="nil"/>
                    <w:bottom w:val="single" w:color="000000" w:sz="8" w:space="0"/>
                    <w:right w:val="single" w:color="000000" w:sz="8" w:space="0"/>
                  </w:tcBorders>
                  <w:noWrap w:val="0"/>
                  <w:vAlign w:val="center"/>
                </w:tcPr>
                <w:p w14:paraId="4FE922E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500g</w:t>
                  </w:r>
                </w:p>
              </w:tc>
              <w:tc>
                <w:tcPr>
                  <w:tcW w:w="2159" w:type="dxa"/>
                  <w:tcBorders>
                    <w:top w:val="nil"/>
                    <w:left w:val="nil"/>
                    <w:bottom w:val="single" w:color="000000" w:sz="8" w:space="0"/>
                    <w:right w:val="single" w:color="000000" w:sz="8" w:space="0"/>
                  </w:tcBorders>
                  <w:noWrap/>
                  <w:vAlign w:val="center"/>
                </w:tcPr>
                <w:p w14:paraId="33BA59F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瓶装500g、分析纯</w:t>
                  </w:r>
                </w:p>
              </w:tc>
              <w:tc>
                <w:tcPr>
                  <w:tcW w:w="902" w:type="dxa"/>
                  <w:tcBorders>
                    <w:top w:val="nil"/>
                    <w:left w:val="nil"/>
                    <w:bottom w:val="single" w:color="000000" w:sz="8" w:space="0"/>
                    <w:right w:val="single" w:color="000000" w:sz="8" w:space="0"/>
                  </w:tcBorders>
                  <w:noWrap/>
                  <w:vAlign w:val="center"/>
                </w:tcPr>
                <w:p w14:paraId="36316C4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固态</w:t>
                  </w:r>
                </w:p>
              </w:tc>
              <w:tc>
                <w:tcPr>
                  <w:tcW w:w="1144" w:type="dxa"/>
                  <w:tcBorders>
                    <w:top w:val="nil"/>
                    <w:left w:val="nil"/>
                    <w:bottom w:val="single" w:color="000000" w:sz="8" w:space="0"/>
                    <w:right w:val="single" w:color="000000" w:sz="8" w:space="0"/>
                  </w:tcBorders>
                  <w:noWrap w:val="0"/>
                  <w:vAlign w:val="center"/>
                </w:tcPr>
                <w:p w14:paraId="064CE6D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试剂库</w:t>
                  </w:r>
                </w:p>
              </w:tc>
            </w:tr>
            <w:tr w14:paraId="7DA8F90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813" w:type="dxa"/>
                  <w:tcBorders>
                    <w:top w:val="nil"/>
                    <w:left w:val="single" w:color="000000" w:sz="8" w:space="0"/>
                    <w:bottom w:val="single" w:color="000000" w:sz="8" w:space="0"/>
                    <w:right w:val="single" w:color="000000" w:sz="8" w:space="0"/>
                  </w:tcBorders>
                  <w:noWrap/>
                  <w:vAlign w:val="center"/>
                </w:tcPr>
                <w:p w14:paraId="5D51413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16</w:t>
                  </w:r>
                </w:p>
              </w:tc>
              <w:tc>
                <w:tcPr>
                  <w:tcW w:w="1542" w:type="dxa"/>
                  <w:tcBorders>
                    <w:top w:val="single" w:color="000000" w:sz="4" w:space="0"/>
                    <w:left w:val="single" w:color="000000" w:sz="4" w:space="0"/>
                    <w:bottom w:val="single" w:color="000000" w:sz="4" w:space="0"/>
                    <w:right w:val="single" w:color="000000" w:sz="4" w:space="0"/>
                  </w:tcBorders>
                  <w:noWrap w:val="0"/>
                  <w:vAlign w:val="center"/>
                </w:tcPr>
                <w:p w14:paraId="39F1743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氟化钾</w:t>
                  </w:r>
                </w:p>
              </w:tc>
              <w:tc>
                <w:tcPr>
                  <w:tcW w:w="1278" w:type="dxa"/>
                  <w:tcBorders>
                    <w:top w:val="nil"/>
                    <w:left w:val="nil"/>
                    <w:bottom w:val="single" w:color="000000" w:sz="8" w:space="0"/>
                    <w:right w:val="single" w:color="000000" w:sz="8" w:space="0"/>
                  </w:tcBorders>
                  <w:noWrap/>
                  <w:vAlign w:val="center"/>
                </w:tcPr>
                <w:p w14:paraId="303F6DD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500g</w:t>
                  </w:r>
                </w:p>
              </w:tc>
              <w:tc>
                <w:tcPr>
                  <w:tcW w:w="1366" w:type="dxa"/>
                  <w:tcBorders>
                    <w:top w:val="nil"/>
                    <w:left w:val="nil"/>
                    <w:bottom w:val="single" w:color="000000" w:sz="8" w:space="0"/>
                    <w:right w:val="single" w:color="000000" w:sz="8" w:space="0"/>
                  </w:tcBorders>
                  <w:noWrap w:val="0"/>
                  <w:vAlign w:val="center"/>
                </w:tcPr>
                <w:p w14:paraId="4CD563A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500g</w:t>
                  </w:r>
                </w:p>
              </w:tc>
              <w:tc>
                <w:tcPr>
                  <w:tcW w:w="2159" w:type="dxa"/>
                  <w:tcBorders>
                    <w:top w:val="nil"/>
                    <w:left w:val="nil"/>
                    <w:bottom w:val="single" w:color="000000" w:sz="8" w:space="0"/>
                    <w:right w:val="single" w:color="000000" w:sz="8" w:space="0"/>
                  </w:tcBorders>
                  <w:noWrap/>
                  <w:vAlign w:val="center"/>
                </w:tcPr>
                <w:p w14:paraId="6941742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瓶装500g、分析纯</w:t>
                  </w:r>
                </w:p>
              </w:tc>
              <w:tc>
                <w:tcPr>
                  <w:tcW w:w="902" w:type="dxa"/>
                  <w:tcBorders>
                    <w:top w:val="nil"/>
                    <w:left w:val="nil"/>
                    <w:bottom w:val="single" w:color="000000" w:sz="8" w:space="0"/>
                    <w:right w:val="single" w:color="000000" w:sz="8" w:space="0"/>
                  </w:tcBorders>
                  <w:noWrap/>
                  <w:vAlign w:val="center"/>
                </w:tcPr>
                <w:p w14:paraId="02C2178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固态</w:t>
                  </w:r>
                </w:p>
              </w:tc>
              <w:tc>
                <w:tcPr>
                  <w:tcW w:w="1144" w:type="dxa"/>
                  <w:tcBorders>
                    <w:top w:val="nil"/>
                    <w:left w:val="nil"/>
                    <w:bottom w:val="single" w:color="000000" w:sz="8" w:space="0"/>
                    <w:right w:val="single" w:color="000000" w:sz="8" w:space="0"/>
                  </w:tcBorders>
                  <w:noWrap w:val="0"/>
                  <w:vAlign w:val="center"/>
                </w:tcPr>
                <w:p w14:paraId="21AC5E5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试剂库</w:t>
                  </w:r>
                </w:p>
              </w:tc>
            </w:tr>
            <w:tr w14:paraId="68A57BF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813" w:type="dxa"/>
                  <w:tcBorders>
                    <w:top w:val="nil"/>
                    <w:left w:val="single" w:color="000000" w:sz="8" w:space="0"/>
                    <w:bottom w:val="single" w:color="000000" w:sz="8" w:space="0"/>
                    <w:right w:val="single" w:color="000000" w:sz="8" w:space="0"/>
                  </w:tcBorders>
                  <w:noWrap/>
                  <w:vAlign w:val="center"/>
                </w:tcPr>
                <w:p w14:paraId="35A52CB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17</w:t>
                  </w:r>
                </w:p>
              </w:tc>
              <w:tc>
                <w:tcPr>
                  <w:tcW w:w="1542" w:type="dxa"/>
                  <w:tcBorders>
                    <w:top w:val="single" w:color="000000" w:sz="4" w:space="0"/>
                    <w:left w:val="single" w:color="000000" w:sz="4" w:space="0"/>
                    <w:bottom w:val="single" w:color="000000" w:sz="4" w:space="0"/>
                    <w:right w:val="single" w:color="000000" w:sz="4" w:space="0"/>
                  </w:tcBorders>
                  <w:noWrap w:val="0"/>
                  <w:vAlign w:val="center"/>
                </w:tcPr>
                <w:p w14:paraId="0FE2581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氯化铵</w:t>
                  </w:r>
                </w:p>
              </w:tc>
              <w:tc>
                <w:tcPr>
                  <w:tcW w:w="1278" w:type="dxa"/>
                  <w:tcBorders>
                    <w:top w:val="nil"/>
                    <w:left w:val="nil"/>
                    <w:bottom w:val="single" w:color="000000" w:sz="8" w:space="0"/>
                    <w:right w:val="single" w:color="000000" w:sz="8" w:space="0"/>
                  </w:tcBorders>
                  <w:noWrap/>
                  <w:vAlign w:val="center"/>
                </w:tcPr>
                <w:p w14:paraId="7E10626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500g</w:t>
                  </w:r>
                </w:p>
              </w:tc>
              <w:tc>
                <w:tcPr>
                  <w:tcW w:w="1366" w:type="dxa"/>
                  <w:tcBorders>
                    <w:top w:val="nil"/>
                    <w:left w:val="nil"/>
                    <w:bottom w:val="single" w:color="000000" w:sz="8" w:space="0"/>
                    <w:right w:val="single" w:color="000000" w:sz="8" w:space="0"/>
                  </w:tcBorders>
                  <w:noWrap w:val="0"/>
                  <w:vAlign w:val="center"/>
                </w:tcPr>
                <w:p w14:paraId="44CED7D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500g</w:t>
                  </w:r>
                </w:p>
              </w:tc>
              <w:tc>
                <w:tcPr>
                  <w:tcW w:w="2159" w:type="dxa"/>
                  <w:tcBorders>
                    <w:top w:val="nil"/>
                    <w:left w:val="nil"/>
                    <w:bottom w:val="single" w:color="000000" w:sz="8" w:space="0"/>
                    <w:right w:val="single" w:color="000000" w:sz="8" w:space="0"/>
                  </w:tcBorders>
                  <w:noWrap/>
                  <w:vAlign w:val="center"/>
                </w:tcPr>
                <w:p w14:paraId="3296FD9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瓶装500g、分析纯</w:t>
                  </w:r>
                </w:p>
              </w:tc>
              <w:tc>
                <w:tcPr>
                  <w:tcW w:w="902" w:type="dxa"/>
                  <w:tcBorders>
                    <w:top w:val="nil"/>
                    <w:left w:val="nil"/>
                    <w:bottom w:val="single" w:color="000000" w:sz="8" w:space="0"/>
                    <w:right w:val="single" w:color="000000" w:sz="8" w:space="0"/>
                  </w:tcBorders>
                  <w:noWrap/>
                  <w:vAlign w:val="center"/>
                </w:tcPr>
                <w:p w14:paraId="3849BCF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固态</w:t>
                  </w:r>
                </w:p>
              </w:tc>
              <w:tc>
                <w:tcPr>
                  <w:tcW w:w="1144" w:type="dxa"/>
                  <w:tcBorders>
                    <w:top w:val="nil"/>
                    <w:left w:val="nil"/>
                    <w:bottom w:val="single" w:color="000000" w:sz="8" w:space="0"/>
                    <w:right w:val="single" w:color="000000" w:sz="8" w:space="0"/>
                  </w:tcBorders>
                  <w:noWrap w:val="0"/>
                  <w:vAlign w:val="center"/>
                </w:tcPr>
                <w:p w14:paraId="7A0CD21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试剂库</w:t>
                  </w:r>
                </w:p>
              </w:tc>
            </w:tr>
            <w:tr w14:paraId="64FFB58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813" w:type="dxa"/>
                  <w:tcBorders>
                    <w:top w:val="nil"/>
                    <w:left w:val="single" w:color="000000" w:sz="8" w:space="0"/>
                    <w:bottom w:val="single" w:color="000000" w:sz="8" w:space="0"/>
                    <w:right w:val="single" w:color="000000" w:sz="8" w:space="0"/>
                  </w:tcBorders>
                  <w:noWrap/>
                  <w:vAlign w:val="center"/>
                </w:tcPr>
                <w:p w14:paraId="02E63D3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18</w:t>
                  </w:r>
                </w:p>
              </w:tc>
              <w:tc>
                <w:tcPr>
                  <w:tcW w:w="1542" w:type="dxa"/>
                  <w:tcBorders>
                    <w:top w:val="single" w:color="000000" w:sz="4" w:space="0"/>
                    <w:left w:val="single" w:color="000000" w:sz="4" w:space="0"/>
                    <w:bottom w:val="single" w:color="000000" w:sz="4" w:space="0"/>
                    <w:right w:val="single" w:color="000000" w:sz="4" w:space="0"/>
                  </w:tcBorders>
                  <w:noWrap w:val="0"/>
                  <w:vAlign w:val="center"/>
                </w:tcPr>
                <w:p w14:paraId="3FA29FB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硫代硫酸钠</w:t>
                  </w:r>
                </w:p>
              </w:tc>
              <w:tc>
                <w:tcPr>
                  <w:tcW w:w="1278" w:type="dxa"/>
                  <w:tcBorders>
                    <w:top w:val="nil"/>
                    <w:left w:val="nil"/>
                    <w:bottom w:val="single" w:color="000000" w:sz="8" w:space="0"/>
                    <w:right w:val="single" w:color="000000" w:sz="8" w:space="0"/>
                  </w:tcBorders>
                  <w:noWrap/>
                  <w:vAlign w:val="center"/>
                </w:tcPr>
                <w:p w14:paraId="486B52A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500g</w:t>
                  </w:r>
                </w:p>
              </w:tc>
              <w:tc>
                <w:tcPr>
                  <w:tcW w:w="1366" w:type="dxa"/>
                  <w:tcBorders>
                    <w:top w:val="nil"/>
                    <w:left w:val="nil"/>
                    <w:bottom w:val="single" w:color="000000" w:sz="8" w:space="0"/>
                    <w:right w:val="single" w:color="000000" w:sz="8" w:space="0"/>
                  </w:tcBorders>
                  <w:noWrap w:val="0"/>
                  <w:vAlign w:val="center"/>
                </w:tcPr>
                <w:p w14:paraId="19CA96F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500g</w:t>
                  </w:r>
                </w:p>
              </w:tc>
              <w:tc>
                <w:tcPr>
                  <w:tcW w:w="2159" w:type="dxa"/>
                  <w:tcBorders>
                    <w:top w:val="nil"/>
                    <w:left w:val="nil"/>
                    <w:bottom w:val="single" w:color="000000" w:sz="8" w:space="0"/>
                    <w:right w:val="single" w:color="000000" w:sz="8" w:space="0"/>
                  </w:tcBorders>
                  <w:noWrap/>
                  <w:vAlign w:val="center"/>
                </w:tcPr>
                <w:p w14:paraId="6D0DADE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瓶装500g、分析纯</w:t>
                  </w:r>
                </w:p>
              </w:tc>
              <w:tc>
                <w:tcPr>
                  <w:tcW w:w="902" w:type="dxa"/>
                  <w:tcBorders>
                    <w:top w:val="nil"/>
                    <w:left w:val="nil"/>
                    <w:bottom w:val="single" w:color="000000" w:sz="8" w:space="0"/>
                    <w:right w:val="single" w:color="000000" w:sz="8" w:space="0"/>
                  </w:tcBorders>
                  <w:noWrap/>
                  <w:vAlign w:val="center"/>
                </w:tcPr>
                <w:p w14:paraId="16BF8FC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固态</w:t>
                  </w:r>
                </w:p>
              </w:tc>
              <w:tc>
                <w:tcPr>
                  <w:tcW w:w="1144" w:type="dxa"/>
                  <w:tcBorders>
                    <w:top w:val="nil"/>
                    <w:left w:val="nil"/>
                    <w:bottom w:val="single" w:color="000000" w:sz="8" w:space="0"/>
                    <w:right w:val="single" w:color="000000" w:sz="8" w:space="0"/>
                  </w:tcBorders>
                  <w:noWrap w:val="0"/>
                  <w:vAlign w:val="center"/>
                </w:tcPr>
                <w:p w14:paraId="2AE79DB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试剂库</w:t>
                  </w:r>
                </w:p>
              </w:tc>
            </w:tr>
            <w:tr w14:paraId="6341948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813" w:type="dxa"/>
                  <w:tcBorders>
                    <w:top w:val="nil"/>
                    <w:left w:val="single" w:color="000000" w:sz="8" w:space="0"/>
                    <w:bottom w:val="single" w:color="000000" w:sz="8" w:space="0"/>
                    <w:right w:val="single" w:color="000000" w:sz="8" w:space="0"/>
                  </w:tcBorders>
                  <w:noWrap/>
                  <w:vAlign w:val="center"/>
                </w:tcPr>
                <w:p w14:paraId="4FD5DCD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19</w:t>
                  </w:r>
                </w:p>
              </w:tc>
              <w:tc>
                <w:tcPr>
                  <w:tcW w:w="1542" w:type="dxa"/>
                  <w:tcBorders>
                    <w:top w:val="single" w:color="000000" w:sz="4" w:space="0"/>
                    <w:left w:val="single" w:color="000000" w:sz="4" w:space="0"/>
                    <w:bottom w:val="single" w:color="000000" w:sz="4" w:space="0"/>
                    <w:right w:val="single" w:color="000000" w:sz="4" w:space="0"/>
                  </w:tcBorders>
                  <w:noWrap w:val="0"/>
                  <w:vAlign w:val="center"/>
                </w:tcPr>
                <w:p w14:paraId="2E6919C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碳酸钠</w:t>
                  </w:r>
                </w:p>
              </w:tc>
              <w:tc>
                <w:tcPr>
                  <w:tcW w:w="1278" w:type="dxa"/>
                  <w:tcBorders>
                    <w:top w:val="nil"/>
                    <w:left w:val="nil"/>
                    <w:bottom w:val="single" w:color="000000" w:sz="8" w:space="0"/>
                    <w:right w:val="single" w:color="000000" w:sz="8" w:space="0"/>
                  </w:tcBorders>
                  <w:noWrap/>
                  <w:vAlign w:val="center"/>
                </w:tcPr>
                <w:p w14:paraId="2666FA5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500g</w:t>
                  </w:r>
                </w:p>
              </w:tc>
              <w:tc>
                <w:tcPr>
                  <w:tcW w:w="1366" w:type="dxa"/>
                  <w:tcBorders>
                    <w:top w:val="nil"/>
                    <w:left w:val="nil"/>
                    <w:bottom w:val="single" w:color="000000" w:sz="8" w:space="0"/>
                    <w:right w:val="single" w:color="000000" w:sz="8" w:space="0"/>
                  </w:tcBorders>
                  <w:noWrap w:val="0"/>
                  <w:vAlign w:val="center"/>
                </w:tcPr>
                <w:p w14:paraId="467A3CF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500g</w:t>
                  </w:r>
                </w:p>
              </w:tc>
              <w:tc>
                <w:tcPr>
                  <w:tcW w:w="2159" w:type="dxa"/>
                  <w:tcBorders>
                    <w:top w:val="nil"/>
                    <w:left w:val="nil"/>
                    <w:bottom w:val="single" w:color="000000" w:sz="8" w:space="0"/>
                    <w:right w:val="single" w:color="000000" w:sz="8" w:space="0"/>
                  </w:tcBorders>
                  <w:noWrap/>
                  <w:vAlign w:val="center"/>
                </w:tcPr>
                <w:p w14:paraId="36F2C41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瓶装500g、分析纯</w:t>
                  </w:r>
                </w:p>
              </w:tc>
              <w:tc>
                <w:tcPr>
                  <w:tcW w:w="902" w:type="dxa"/>
                  <w:tcBorders>
                    <w:top w:val="nil"/>
                    <w:left w:val="nil"/>
                    <w:bottom w:val="single" w:color="000000" w:sz="8" w:space="0"/>
                    <w:right w:val="single" w:color="000000" w:sz="8" w:space="0"/>
                  </w:tcBorders>
                  <w:noWrap/>
                  <w:vAlign w:val="center"/>
                </w:tcPr>
                <w:p w14:paraId="173A3E2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固态</w:t>
                  </w:r>
                </w:p>
              </w:tc>
              <w:tc>
                <w:tcPr>
                  <w:tcW w:w="1144" w:type="dxa"/>
                  <w:tcBorders>
                    <w:top w:val="nil"/>
                    <w:left w:val="nil"/>
                    <w:bottom w:val="single" w:color="000000" w:sz="8" w:space="0"/>
                    <w:right w:val="single" w:color="000000" w:sz="8" w:space="0"/>
                  </w:tcBorders>
                  <w:noWrap w:val="0"/>
                  <w:vAlign w:val="center"/>
                </w:tcPr>
                <w:p w14:paraId="713EFEA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试剂库</w:t>
                  </w:r>
                </w:p>
              </w:tc>
            </w:tr>
            <w:tr w14:paraId="0CD8B76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813" w:type="dxa"/>
                  <w:tcBorders>
                    <w:top w:val="nil"/>
                    <w:left w:val="single" w:color="000000" w:sz="8" w:space="0"/>
                    <w:bottom w:val="single" w:color="000000" w:sz="8" w:space="0"/>
                    <w:right w:val="single" w:color="000000" w:sz="8" w:space="0"/>
                  </w:tcBorders>
                  <w:noWrap/>
                  <w:vAlign w:val="center"/>
                </w:tcPr>
                <w:p w14:paraId="348FE7E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20</w:t>
                  </w:r>
                </w:p>
              </w:tc>
              <w:tc>
                <w:tcPr>
                  <w:tcW w:w="1542" w:type="dxa"/>
                  <w:tcBorders>
                    <w:top w:val="single" w:color="000000" w:sz="4" w:space="0"/>
                    <w:left w:val="single" w:color="000000" w:sz="4" w:space="0"/>
                    <w:bottom w:val="single" w:color="000000" w:sz="4" w:space="0"/>
                    <w:right w:val="single" w:color="000000" w:sz="4" w:space="0"/>
                  </w:tcBorders>
                  <w:noWrap w:val="0"/>
                  <w:vAlign w:val="center"/>
                </w:tcPr>
                <w:p w14:paraId="29051AF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碘化钾</w:t>
                  </w:r>
                </w:p>
              </w:tc>
              <w:tc>
                <w:tcPr>
                  <w:tcW w:w="1278" w:type="dxa"/>
                  <w:tcBorders>
                    <w:top w:val="nil"/>
                    <w:left w:val="nil"/>
                    <w:bottom w:val="single" w:color="000000" w:sz="8" w:space="0"/>
                    <w:right w:val="single" w:color="000000" w:sz="8" w:space="0"/>
                  </w:tcBorders>
                  <w:noWrap/>
                  <w:vAlign w:val="center"/>
                </w:tcPr>
                <w:p w14:paraId="20A265C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500g</w:t>
                  </w:r>
                </w:p>
              </w:tc>
              <w:tc>
                <w:tcPr>
                  <w:tcW w:w="1366" w:type="dxa"/>
                  <w:tcBorders>
                    <w:top w:val="nil"/>
                    <w:left w:val="nil"/>
                    <w:bottom w:val="single" w:color="000000" w:sz="8" w:space="0"/>
                    <w:right w:val="single" w:color="000000" w:sz="8" w:space="0"/>
                  </w:tcBorders>
                  <w:noWrap w:val="0"/>
                  <w:vAlign w:val="center"/>
                </w:tcPr>
                <w:p w14:paraId="3BA228C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500g</w:t>
                  </w:r>
                </w:p>
              </w:tc>
              <w:tc>
                <w:tcPr>
                  <w:tcW w:w="2159" w:type="dxa"/>
                  <w:tcBorders>
                    <w:top w:val="nil"/>
                    <w:left w:val="nil"/>
                    <w:bottom w:val="single" w:color="000000" w:sz="8" w:space="0"/>
                    <w:right w:val="single" w:color="000000" w:sz="8" w:space="0"/>
                  </w:tcBorders>
                  <w:noWrap/>
                  <w:vAlign w:val="center"/>
                </w:tcPr>
                <w:p w14:paraId="3D60FDF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瓶装500g、分析纯</w:t>
                  </w:r>
                </w:p>
              </w:tc>
              <w:tc>
                <w:tcPr>
                  <w:tcW w:w="902" w:type="dxa"/>
                  <w:tcBorders>
                    <w:top w:val="nil"/>
                    <w:left w:val="nil"/>
                    <w:bottom w:val="single" w:color="000000" w:sz="8" w:space="0"/>
                    <w:right w:val="single" w:color="000000" w:sz="8" w:space="0"/>
                  </w:tcBorders>
                  <w:noWrap/>
                  <w:vAlign w:val="center"/>
                </w:tcPr>
                <w:p w14:paraId="5AF9F20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固态</w:t>
                  </w:r>
                </w:p>
              </w:tc>
              <w:tc>
                <w:tcPr>
                  <w:tcW w:w="1144" w:type="dxa"/>
                  <w:tcBorders>
                    <w:top w:val="nil"/>
                    <w:left w:val="nil"/>
                    <w:bottom w:val="single" w:color="000000" w:sz="8" w:space="0"/>
                    <w:right w:val="single" w:color="000000" w:sz="8" w:space="0"/>
                  </w:tcBorders>
                  <w:noWrap w:val="0"/>
                  <w:vAlign w:val="center"/>
                </w:tcPr>
                <w:p w14:paraId="0091AD1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试剂库</w:t>
                  </w:r>
                </w:p>
              </w:tc>
            </w:tr>
            <w:tr w14:paraId="7BEEC58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813" w:type="dxa"/>
                  <w:tcBorders>
                    <w:top w:val="nil"/>
                    <w:left w:val="single" w:color="000000" w:sz="8" w:space="0"/>
                    <w:bottom w:val="single" w:color="000000" w:sz="8" w:space="0"/>
                    <w:right w:val="single" w:color="000000" w:sz="8" w:space="0"/>
                  </w:tcBorders>
                  <w:noWrap/>
                  <w:vAlign w:val="center"/>
                </w:tcPr>
                <w:p w14:paraId="51D64AA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21</w:t>
                  </w:r>
                </w:p>
              </w:tc>
              <w:tc>
                <w:tcPr>
                  <w:tcW w:w="1542" w:type="dxa"/>
                  <w:tcBorders>
                    <w:top w:val="single" w:color="000000" w:sz="4" w:space="0"/>
                    <w:left w:val="single" w:color="000000" w:sz="4" w:space="0"/>
                    <w:bottom w:val="single" w:color="000000" w:sz="4" w:space="0"/>
                    <w:right w:val="single" w:color="000000" w:sz="4" w:space="0"/>
                  </w:tcBorders>
                  <w:noWrap w:val="0"/>
                  <w:vAlign w:val="center"/>
                </w:tcPr>
                <w:p w14:paraId="4ECB963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淀粉</w:t>
                  </w:r>
                </w:p>
              </w:tc>
              <w:tc>
                <w:tcPr>
                  <w:tcW w:w="1278" w:type="dxa"/>
                  <w:tcBorders>
                    <w:top w:val="nil"/>
                    <w:left w:val="nil"/>
                    <w:bottom w:val="single" w:color="000000" w:sz="8" w:space="0"/>
                    <w:right w:val="single" w:color="000000" w:sz="8" w:space="0"/>
                  </w:tcBorders>
                  <w:noWrap/>
                  <w:vAlign w:val="center"/>
                </w:tcPr>
                <w:p w14:paraId="05CCF03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500g</w:t>
                  </w:r>
                </w:p>
              </w:tc>
              <w:tc>
                <w:tcPr>
                  <w:tcW w:w="1366" w:type="dxa"/>
                  <w:tcBorders>
                    <w:top w:val="nil"/>
                    <w:left w:val="nil"/>
                    <w:bottom w:val="single" w:color="000000" w:sz="8" w:space="0"/>
                    <w:right w:val="single" w:color="000000" w:sz="8" w:space="0"/>
                  </w:tcBorders>
                  <w:noWrap w:val="0"/>
                  <w:vAlign w:val="center"/>
                </w:tcPr>
                <w:p w14:paraId="6488471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500g</w:t>
                  </w:r>
                </w:p>
              </w:tc>
              <w:tc>
                <w:tcPr>
                  <w:tcW w:w="2159" w:type="dxa"/>
                  <w:tcBorders>
                    <w:top w:val="nil"/>
                    <w:left w:val="nil"/>
                    <w:bottom w:val="single" w:color="000000" w:sz="8" w:space="0"/>
                    <w:right w:val="single" w:color="000000" w:sz="8" w:space="0"/>
                  </w:tcBorders>
                  <w:noWrap/>
                  <w:vAlign w:val="center"/>
                </w:tcPr>
                <w:p w14:paraId="794CD9E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瓶装500g、分析纯</w:t>
                  </w:r>
                </w:p>
              </w:tc>
              <w:tc>
                <w:tcPr>
                  <w:tcW w:w="902" w:type="dxa"/>
                  <w:tcBorders>
                    <w:top w:val="nil"/>
                    <w:left w:val="nil"/>
                    <w:bottom w:val="single" w:color="000000" w:sz="8" w:space="0"/>
                    <w:right w:val="single" w:color="000000" w:sz="8" w:space="0"/>
                  </w:tcBorders>
                  <w:noWrap/>
                  <w:vAlign w:val="center"/>
                </w:tcPr>
                <w:p w14:paraId="6A71F27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固态</w:t>
                  </w:r>
                </w:p>
              </w:tc>
              <w:tc>
                <w:tcPr>
                  <w:tcW w:w="1144" w:type="dxa"/>
                  <w:tcBorders>
                    <w:top w:val="nil"/>
                    <w:left w:val="nil"/>
                    <w:bottom w:val="single" w:color="000000" w:sz="8" w:space="0"/>
                    <w:right w:val="single" w:color="000000" w:sz="8" w:space="0"/>
                  </w:tcBorders>
                  <w:noWrap w:val="0"/>
                  <w:vAlign w:val="center"/>
                </w:tcPr>
                <w:p w14:paraId="761C8CC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试剂库</w:t>
                  </w:r>
                </w:p>
              </w:tc>
            </w:tr>
            <w:tr w14:paraId="0BB69C6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813" w:type="dxa"/>
                  <w:tcBorders>
                    <w:top w:val="nil"/>
                    <w:left w:val="single" w:color="000000" w:sz="8" w:space="0"/>
                    <w:bottom w:val="single" w:color="000000" w:sz="8" w:space="0"/>
                    <w:right w:val="single" w:color="000000" w:sz="8" w:space="0"/>
                  </w:tcBorders>
                  <w:noWrap/>
                  <w:vAlign w:val="center"/>
                </w:tcPr>
                <w:p w14:paraId="666C547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22</w:t>
                  </w:r>
                </w:p>
              </w:tc>
              <w:tc>
                <w:tcPr>
                  <w:tcW w:w="1542" w:type="dxa"/>
                  <w:tcBorders>
                    <w:top w:val="single" w:color="000000" w:sz="4" w:space="0"/>
                    <w:left w:val="single" w:color="000000" w:sz="4" w:space="0"/>
                    <w:bottom w:val="single" w:color="000000" w:sz="4" w:space="0"/>
                    <w:right w:val="single" w:color="000000" w:sz="4" w:space="0"/>
                  </w:tcBorders>
                  <w:noWrap w:val="0"/>
                  <w:vAlign w:val="center"/>
                </w:tcPr>
                <w:p w14:paraId="37F7799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氯化镁</w:t>
                  </w:r>
                </w:p>
              </w:tc>
              <w:tc>
                <w:tcPr>
                  <w:tcW w:w="1278" w:type="dxa"/>
                  <w:tcBorders>
                    <w:top w:val="nil"/>
                    <w:left w:val="nil"/>
                    <w:bottom w:val="single" w:color="000000" w:sz="8" w:space="0"/>
                    <w:right w:val="single" w:color="000000" w:sz="8" w:space="0"/>
                  </w:tcBorders>
                  <w:noWrap/>
                  <w:vAlign w:val="center"/>
                </w:tcPr>
                <w:p w14:paraId="5A76A40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500g</w:t>
                  </w:r>
                </w:p>
              </w:tc>
              <w:tc>
                <w:tcPr>
                  <w:tcW w:w="1366" w:type="dxa"/>
                  <w:tcBorders>
                    <w:top w:val="nil"/>
                    <w:left w:val="nil"/>
                    <w:bottom w:val="single" w:color="000000" w:sz="8" w:space="0"/>
                    <w:right w:val="single" w:color="000000" w:sz="8" w:space="0"/>
                  </w:tcBorders>
                  <w:noWrap w:val="0"/>
                  <w:vAlign w:val="center"/>
                </w:tcPr>
                <w:p w14:paraId="6A47F86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500g</w:t>
                  </w:r>
                </w:p>
              </w:tc>
              <w:tc>
                <w:tcPr>
                  <w:tcW w:w="2159" w:type="dxa"/>
                  <w:tcBorders>
                    <w:top w:val="nil"/>
                    <w:left w:val="nil"/>
                    <w:bottom w:val="single" w:color="000000" w:sz="8" w:space="0"/>
                    <w:right w:val="single" w:color="000000" w:sz="8" w:space="0"/>
                  </w:tcBorders>
                  <w:noWrap/>
                  <w:vAlign w:val="center"/>
                </w:tcPr>
                <w:p w14:paraId="4144F91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瓶装500g、分析纯</w:t>
                  </w:r>
                </w:p>
              </w:tc>
              <w:tc>
                <w:tcPr>
                  <w:tcW w:w="902" w:type="dxa"/>
                  <w:tcBorders>
                    <w:top w:val="nil"/>
                    <w:left w:val="nil"/>
                    <w:bottom w:val="single" w:color="000000" w:sz="8" w:space="0"/>
                    <w:right w:val="single" w:color="000000" w:sz="8" w:space="0"/>
                  </w:tcBorders>
                  <w:noWrap/>
                  <w:vAlign w:val="center"/>
                </w:tcPr>
                <w:p w14:paraId="421ECB2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固态</w:t>
                  </w:r>
                </w:p>
              </w:tc>
              <w:tc>
                <w:tcPr>
                  <w:tcW w:w="1144" w:type="dxa"/>
                  <w:tcBorders>
                    <w:top w:val="nil"/>
                    <w:left w:val="nil"/>
                    <w:bottom w:val="single" w:color="000000" w:sz="8" w:space="0"/>
                    <w:right w:val="single" w:color="000000" w:sz="8" w:space="0"/>
                  </w:tcBorders>
                  <w:noWrap w:val="0"/>
                  <w:vAlign w:val="center"/>
                </w:tcPr>
                <w:p w14:paraId="7225A5F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试剂库</w:t>
                  </w:r>
                </w:p>
              </w:tc>
            </w:tr>
            <w:tr w14:paraId="059B6ED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813" w:type="dxa"/>
                  <w:tcBorders>
                    <w:top w:val="nil"/>
                    <w:left w:val="single" w:color="000000" w:sz="8" w:space="0"/>
                    <w:bottom w:val="single" w:color="000000" w:sz="8" w:space="0"/>
                    <w:right w:val="single" w:color="000000" w:sz="8" w:space="0"/>
                  </w:tcBorders>
                  <w:noWrap/>
                  <w:vAlign w:val="center"/>
                </w:tcPr>
                <w:p w14:paraId="3F2056D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23</w:t>
                  </w:r>
                </w:p>
              </w:tc>
              <w:tc>
                <w:tcPr>
                  <w:tcW w:w="1542" w:type="dxa"/>
                  <w:tcBorders>
                    <w:top w:val="single" w:color="000000" w:sz="4" w:space="0"/>
                    <w:left w:val="single" w:color="000000" w:sz="4" w:space="0"/>
                    <w:bottom w:val="single" w:color="000000" w:sz="4" w:space="0"/>
                    <w:right w:val="single" w:color="000000" w:sz="4" w:space="0"/>
                  </w:tcBorders>
                  <w:noWrap w:val="0"/>
                  <w:vAlign w:val="center"/>
                </w:tcPr>
                <w:p w14:paraId="3863163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硫氰酸钾</w:t>
                  </w:r>
                </w:p>
              </w:tc>
              <w:tc>
                <w:tcPr>
                  <w:tcW w:w="1278" w:type="dxa"/>
                  <w:tcBorders>
                    <w:top w:val="nil"/>
                    <w:left w:val="nil"/>
                    <w:bottom w:val="single" w:color="000000" w:sz="8" w:space="0"/>
                    <w:right w:val="single" w:color="000000" w:sz="8" w:space="0"/>
                  </w:tcBorders>
                  <w:noWrap/>
                  <w:vAlign w:val="center"/>
                </w:tcPr>
                <w:p w14:paraId="011294C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500g</w:t>
                  </w:r>
                </w:p>
              </w:tc>
              <w:tc>
                <w:tcPr>
                  <w:tcW w:w="1366" w:type="dxa"/>
                  <w:tcBorders>
                    <w:top w:val="nil"/>
                    <w:left w:val="nil"/>
                    <w:bottom w:val="single" w:color="000000" w:sz="8" w:space="0"/>
                    <w:right w:val="single" w:color="000000" w:sz="8" w:space="0"/>
                  </w:tcBorders>
                  <w:noWrap w:val="0"/>
                  <w:vAlign w:val="center"/>
                </w:tcPr>
                <w:p w14:paraId="4163597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500g</w:t>
                  </w:r>
                </w:p>
              </w:tc>
              <w:tc>
                <w:tcPr>
                  <w:tcW w:w="2159" w:type="dxa"/>
                  <w:tcBorders>
                    <w:top w:val="nil"/>
                    <w:left w:val="nil"/>
                    <w:bottom w:val="single" w:color="000000" w:sz="8" w:space="0"/>
                    <w:right w:val="single" w:color="000000" w:sz="8" w:space="0"/>
                  </w:tcBorders>
                  <w:noWrap/>
                  <w:vAlign w:val="center"/>
                </w:tcPr>
                <w:p w14:paraId="6A5D8A7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瓶装500g、分析纯</w:t>
                  </w:r>
                </w:p>
              </w:tc>
              <w:tc>
                <w:tcPr>
                  <w:tcW w:w="902" w:type="dxa"/>
                  <w:tcBorders>
                    <w:top w:val="nil"/>
                    <w:left w:val="nil"/>
                    <w:bottom w:val="single" w:color="000000" w:sz="8" w:space="0"/>
                    <w:right w:val="single" w:color="000000" w:sz="8" w:space="0"/>
                  </w:tcBorders>
                  <w:noWrap/>
                  <w:vAlign w:val="center"/>
                </w:tcPr>
                <w:p w14:paraId="6D42964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固态</w:t>
                  </w:r>
                </w:p>
              </w:tc>
              <w:tc>
                <w:tcPr>
                  <w:tcW w:w="1144" w:type="dxa"/>
                  <w:tcBorders>
                    <w:top w:val="nil"/>
                    <w:left w:val="nil"/>
                    <w:bottom w:val="single" w:color="000000" w:sz="8" w:space="0"/>
                    <w:right w:val="single" w:color="000000" w:sz="8" w:space="0"/>
                  </w:tcBorders>
                  <w:noWrap w:val="0"/>
                  <w:vAlign w:val="center"/>
                </w:tcPr>
                <w:p w14:paraId="69652CF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试剂库</w:t>
                  </w:r>
                </w:p>
              </w:tc>
            </w:tr>
            <w:tr w14:paraId="488071E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813" w:type="dxa"/>
                  <w:tcBorders>
                    <w:top w:val="nil"/>
                    <w:left w:val="single" w:color="000000" w:sz="8" w:space="0"/>
                    <w:bottom w:val="single" w:color="000000" w:sz="8" w:space="0"/>
                    <w:right w:val="single" w:color="000000" w:sz="8" w:space="0"/>
                  </w:tcBorders>
                  <w:noWrap/>
                  <w:vAlign w:val="center"/>
                </w:tcPr>
                <w:p w14:paraId="416A8B5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24</w:t>
                  </w:r>
                </w:p>
              </w:tc>
              <w:tc>
                <w:tcPr>
                  <w:tcW w:w="1542" w:type="dxa"/>
                  <w:tcBorders>
                    <w:top w:val="single" w:color="000000" w:sz="4" w:space="0"/>
                    <w:left w:val="single" w:color="000000" w:sz="4" w:space="0"/>
                    <w:bottom w:val="single" w:color="000000" w:sz="4" w:space="0"/>
                    <w:right w:val="single" w:color="000000" w:sz="4" w:space="0"/>
                  </w:tcBorders>
                  <w:noWrap w:val="0"/>
                  <w:vAlign w:val="center"/>
                </w:tcPr>
                <w:p w14:paraId="5F1F7EA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硼酸</w:t>
                  </w:r>
                </w:p>
              </w:tc>
              <w:tc>
                <w:tcPr>
                  <w:tcW w:w="1278" w:type="dxa"/>
                  <w:tcBorders>
                    <w:top w:val="nil"/>
                    <w:left w:val="nil"/>
                    <w:bottom w:val="single" w:color="000000" w:sz="8" w:space="0"/>
                    <w:right w:val="single" w:color="000000" w:sz="8" w:space="0"/>
                  </w:tcBorders>
                  <w:noWrap/>
                  <w:vAlign w:val="center"/>
                </w:tcPr>
                <w:p w14:paraId="39BBA81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500g</w:t>
                  </w:r>
                </w:p>
              </w:tc>
              <w:tc>
                <w:tcPr>
                  <w:tcW w:w="1366" w:type="dxa"/>
                  <w:tcBorders>
                    <w:top w:val="nil"/>
                    <w:left w:val="nil"/>
                    <w:bottom w:val="single" w:color="000000" w:sz="8" w:space="0"/>
                    <w:right w:val="single" w:color="000000" w:sz="8" w:space="0"/>
                  </w:tcBorders>
                  <w:noWrap w:val="0"/>
                  <w:vAlign w:val="center"/>
                </w:tcPr>
                <w:p w14:paraId="5291632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500g</w:t>
                  </w:r>
                </w:p>
              </w:tc>
              <w:tc>
                <w:tcPr>
                  <w:tcW w:w="2159" w:type="dxa"/>
                  <w:tcBorders>
                    <w:top w:val="nil"/>
                    <w:left w:val="nil"/>
                    <w:bottom w:val="single" w:color="000000" w:sz="8" w:space="0"/>
                    <w:right w:val="single" w:color="000000" w:sz="8" w:space="0"/>
                  </w:tcBorders>
                  <w:noWrap/>
                  <w:vAlign w:val="center"/>
                </w:tcPr>
                <w:p w14:paraId="693E61C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瓶装500g、分析纯</w:t>
                  </w:r>
                </w:p>
              </w:tc>
              <w:tc>
                <w:tcPr>
                  <w:tcW w:w="902" w:type="dxa"/>
                  <w:tcBorders>
                    <w:top w:val="nil"/>
                    <w:left w:val="nil"/>
                    <w:bottom w:val="single" w:color="000000" w:sz="8" w:space="0"/>
                    <w:right w:val="single" w:color="000000" w:sz="8" w:space="0"/>
                  </w:tcBorders>
                  <w:noWrap/>
                  <w:vAlign w:val="center"/>
                </w:tcPr>
                <w:p w14:paraId="7711FFD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固态</w:t>
                  </w:r>
                </w:p>
              </w:tc>
              <w:tc>
                <w:tcPr>
                  <w:tcW w:w="1144" w:type="dxa"/>
                  <w:tcBorders>
                    <w:top w:val="nil"/>
                    <w:left w:val="nil"/>
                    <w:bottom w:val="single" w:color="000000" w:sz="8" w:space="0"/>
                    <w:right w:val="single" w:color="000000" w:sz="8" w:space="0"/>
                  </w:tcBorders>
                  <w:noWrap w:val="0"/>
                  <w:vAlign w:val="center"/>
                </w:tcPr>
                <w:p w14:paraId="6955EDE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试剂库</w:t>
                  </w:r>
                </w:p>
              </w:tc>
            </w:tr>
            <w:tr w14:paraId="1B7E75C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813" w:type="dxa"/>
                  <w:tcBorders>
                    <w:top w:val="nil"/>
                    <w:left w:val="single" w:color="000000" w:sz="8" w:space="0"/>
                    <w:bottom w:val="single" w:color="000000" w:sz="8" w:space="0"/>
                    <w:right w:val="single" w:color="000000" w:sz="8" w:space="0"/>
                  </w:tcBorders>
                  <w:noWrap/>
                  <w:vAlign w:val="center"/>
                </w:tcPr>
                <w:p w14:paraId="118CA96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25</w:t>
                  </w:r>
                </w:p>
              </w:tc>
              <w:tc>
                <w:tcPr>
                  <w:tcW w:w="1542" w:type="dxa"/>
                  <w:tcBorders>
                    <w:top w:val="single" w:color="000000" w:sz="4" w:space="0"/>
                    <w:left w:val="single" w:color="000000" w:sz="4" w:space="0"/>
                    <w:bottom w:val="single" w:color="000000" w:sz="4" w:space="0"/>
                    <w:right w:val="single" w:color="000000" w:sz="4" w:space="0"/>
                  </w:tcBorders>
                  <w:noWrap w:val="0"/>
                  <w:vAlign w:val="center"/>
                </w:tcPr>
                <w:p w14:paraId="7F848BE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乙酸钠</w:t>
                  </w:r>
                </w:p>
              </w:tc>
              <w:tc>
                <w:tcPr>
                  <w:tcW w:w="1278" w:type="dxa"/>
                  <w:tcBorders>
                    <w:top w:val="nil"/>
                    <w:left w:val="nil"/>
                    <w:bottom w:val="single" w:color="000000" w:sz="8" w:space="0"/>
                    <w:right w:val="single" w:color="000000" w:sz="8" w:space="0"/>
                  </w:tcBorders>
                  <w:noWrap/>
                  <w:vAlign w:val="center"/>
                </w:tcPr>
                <w:p w14:paraId="571CCD2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500g</w:t>
                  </w:r>
                </w:p>
              </w:tc>
              <w:tc>
                <w:tcPr>
                  <w:tcW w:w="1366" w:type="dxa"/>
                  <w:tcBorders>
                    <w:top w:val="nil"/>
                    <w:left w:val="nil"/>
                    <w:bottom w:val="single" w:color="000000" w:sz="8" w:space="0"/>
                    <w:right w:val="single" w:color="000000" w:sz="8" w:space="0"/>
                  </w:tcBorders>
                  <w:noWrap w:val="0"/>
                  <w:vAlign w:val="center"/>
                </w:tcPr>
                <w:p w14:paraId="16D88B7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500g</w:t>
                  </w:r>
                </w:p>
              </w:tc>
              <w:tc>
                <w:tcPr>
                  <w:tcW w:w="2159" w:type="dxa"/>
                  <w:tcBorders>
                    <w:top w:val="nil"/>
                    <w:left w:val="nil"/>
                    <w:bottom w:val="single" w:color="000000" w:sz="8" w:space="0"/>
                    <w:right w:val="single" w:color="000000" w:sz="8" w:space="0"/>
                  </w:tcBorders>
                  <w:noWrap/>
                  <w:vAlign w:val="center"/>
                </w:tcPr>
                <w:p w14:paraId="037C557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瓶装500g、分析纯</w:t>
                  </w:r>
                </w:p>
              </w:tc>
              <w:tc>
                <w:tcPr>
                  <w:tcW w:w="902" w:type="dxa"/>
                  <w:tcBorders>
                    <w:top w:val="nil"/>
                    <w:left w:val="nil"/>
                    <w:bottom w:val="single" w:color="000000" w:sz="8" w:space="0"/>
                    <w:right w:val="single" w:color="000000" w:sz="8" w:space="0"/>
                  </w:tcBorders>
                  <w:noWrap/>
                  <w:vAlign w:val="center"/>
                </w:tcPr>
                <w:p w14:paraId="1322A18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固态</w:t>
                  </w:r>
                </w:p>
              </w:tc>
              <w:tc>
                <w:tcPr>
                  <w:tcW w:w="1144" w:type="dxa"/>
                  <w:tcBorders>
                    <w:top w:val="nil"/>
                    <w:left w:val="nil"/>
                    <w:bottom w:val="single" w:color="000000" w:sz="8" w:space="0"/>
                    <w:right w:val="single" w:color="000000" w:sz="8" w:space="0"/>
                  </w:tcBorders>
                  <w:noWrap w:val="0"/>
                  <w:vAlign w:val="center"/>
                </w:tcPr>
                <w:p w14:paraId="4AE5A08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试剂库</w:t>
                  </w:r>
                </w:p>
              </w:tc>
            </w:tr>
            <w:tr w14:paraId="1381E84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813" w:type="dxa"/>
                  <w:tcBorders>
                    <w:top w:val="nil"/>
                    <w:left w:val="single" w:color="000000" w:sz="8" w:space="0"/>
                    <w:bottom w:val="single" w:color="000000" w:sz="8" w:space="0"/>
                    <w:right w:val="single" w:color="000000" w:sz="8" w:space="0"/>
                  </w:tcBorders>
                  <w:noWrap/>
                  <w:vAlign w:val="center"/>
                </w:tcPr>
                <w:p w14:paraId="3A182A6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26</w:t>
                  </w:r>
                </w:p>
              </w:tc>
              <w:tc>
                <w:tcPr>
                  <w:tcW w:w="1542" w:type="dxa"/>
                  <w:tcBorders>
                    <w:top w:val="single" w:color="000000" w:sz="4" w:space="0"/>
                    <w:left w:val="single" w:color="000000" w:sz="4" w:space="0"/>
                    <w:bottom w:val="single" w:color="000000" w:sz="4" w:space="0"/>
                    <w:right w:val="single" w:color="000000" w:sz="4" w:space="0"/>
                  </w:tcBorders>
                  <w:noWrap w:val="0"/>
                  <w:vAlign w:val="center"/>
                </w:tcPr>
                <w:p w14:paraId="0F61BD9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抗坏血酸</w:t>
                  </w:r>
                </w:p>
              </w:tc>
              <w:tc>
                <w:tcPr>
                  <w:tcW w:w="1278" w:type="dxa"/>
                  <w:tcBorders>
                    <w:top w:val="nil"/>
                    <w:left w:val="nil"/>
                    <w:bottom w:val="single" w:color="000000" w:sz="8" w:space="0"/>
                    <w:right w:val="single" w:color="000000" w:sz="8" w:space="0"/>
                  </w:tcBorders>
                  <w:noWrap/>
                  <w:vAlign w:val="center"/>
                </w:tcPr>
                <w:p w14:paraId="7F3371E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50g</w:t>
                  </w:r>
                </w:p>
              </w:tc>
              <w:tc>
                <w:tcPr>
                  <w:tcW w:w="1366" w:type="dxa"/>
                  <w:tcBorders>
                    <w:top w:val="nil"/>
                    <w:left w:val="nil"/>
                    <w:bottom w:val="single" w:color="000000" w:sz="8" w:space="0"/>
                    <w:right w:val="single" w:color="000000" w:sz="8" w:space="0"/>
                  </w:tcBorders>
                  <w:noWrap w:val="0"/>
                  <w:vAlign w:val="center"/>
                </w:tcPr>
                <w:p w14:paraId="1221D85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50g</w:t>
                  </w:r>
                </w:p>
              </w:tc>
              <w:tc>
                <w:tcPr>
                  <w:tcW w:w="2159" w:type="dxa"/>
                  <w:tcBorders>
                    <w:top w:val="nil"/>
                    <w:left w:val="nil"/>
                    <w:bottom w:val="single" w:color="000000" w:sz="8" w:space="0"/>
                    <w:right w:val="single" w:color="000000" w:sz="8" w:space="0"/>
                  </w:tcBorders>
                  <w:noWrap/>
                  <w:vAlign w:val="center"/>
                </w:tcPr>
                <w:p w14:paraId="7F65D6A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瓶装25g、分析纯</w:t>
                  </w:r>
                </w:p>
              </w:tc>
              <w:tc>
                <w:tcPr>
                  <w:tcW w:w="902" w:type="dxa"/>
                  <w:tcBorders>
                    <w:top w:val="nil"/>
                    <w:left w:val="nil"/>
                    <w:bottom w:val="single" w:color="000000" w:sz="8" w:space="0"/>
                    <w:right w:val="single" w:color="000000" w:sz="8" w:space="0"/>
                  </w:tcBorders>
                  <w:noWrap/>
                  <w:vAlign w:val="center"/>
                </w:tcPr>
                <w:p w14:paraId="024F0B4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固态</w:t>
                  </w:r>
                </w:p>
              </w:tc>
              <w:tc>
                <w:tcPr>
                  <w:tcW w:w="1144" w:type="dxa"/>
                  <w:tcBorders>
                    <w:top w:val="nil"/>
                    <w:left w:val="nil"/>
                    <w:bottom w:val="single" w:color="000000" w:sz="8" w:space="0"/>
                    <w:right w:val="single" w:color="000000" w:sz="8" w:space="0"/>
                  </w:tcBorders>
                  <w:noWrap w:val="0"/>
                  <w:vAlign w:val="center"/>
                </w:tcPr>
                <w:p w14:paraId="4455DE8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试剂库</w:t>
                  </w:r>
                </w:p>
              </w:tc>
            </w:tr>
            <w:tr w14:paraId="10FBE05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813" w:type="dxa"/>
                  <w:tcBorders>
                    <w:top w:val="nil"/>
                    <w:left w:val="single" w:color="000000" w:sz="8" w:space="0"/>
                    <w:bottom w:val="single" w:color="000000" w:sz="8" w:space="0"/>
                    <w:right w:val="single" w:color="000000" w:sz="8" w:space="0"/>
                  </w:tcBorders>
                  <w:noWrap/>
                  <w:vAlign w:val="center"/>
                </w:tcPr>
                <w:p w14:paraId="5D7035C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27</w:t>
                  </w:r>
                </w:p>
              </w:tc>
              <w:tc>
                <w:tcPr>
                  <w:tcW w:w="1542" w:type="dxa"/>
                  <w:tcBorders>
                    <w:top w:val="single" w:color="000000" w:sz="4" w:space="0"/>
                    <w:left w:val="single" w:color="000000" w:sz="4" w:space="0"/>
                    <w:bottom w:val="single" w:color="000000" w:sz="4" w:space="0"/>
                    <w:right w:val="single" w:color="000000" w:sz="4" w:space="0"/>
                  </w:tcBorders>
                  <w:noWrap w:val="0"/>
                  <w:vAlign w:val="center"/>
                </w:tcPr>
                <w:p w14:paraId="324493C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二甲酚橙</w:t>
                  </w:r>
                </w:p>
              </w:tc>
              <w:tc>
                <w:tcPr>
                  <w:tcW w:w="1278" w:type="dxa"/>
                  <w:tcBorders>
                    <w:top w:val="nil"/>
                    <w:left w:val="nil"/>
                    <w:bottom w:val="single" w:color="000000" w:sz="8" w:space="0"/>
                    <w:right w:val="single" w:color="000000" w:sz="8" w:space="0"/>
                  </w:tcBorders>
                  <w:noWrap/>
                  <w:vAlign w:val="center"/>
                </w:tcPr>
                <w:p w14:paraId="168CFCD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25g</w:t>
                  </w:r>
                </w:p>
              </w:tc>
              <w:tc>
                <w:tcPr>
                  <w:tcW w:w="1366" w:type="dxa"/>
                  <w:tcBorders>
                    <w:top w:val="nil"/>
                    <w:left w:val="nil"/>
                    <w:bottom w:val="single" w:color="000000" w:sz="8" w:space="0"/>
                    <w:right w:val="single" w:color="000000" w:sz="8" w:space="0"/>
                  </w:tcBorders>
                  <w:noWrap w:val="0"/>
                  <w:vAlign w:val="center"/>
                </w:tcPr>
                <w:p w14:paraId="0BD9C5B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25g</w:t>
                  </w:r>
                </w:p>
              </w:tc>
              <w:tc>
                <w:tcPr>
                  <w:tcW w:w="2159" w:type="dxa"/>
                  <w:tcBorders>
                    <w:top w:val="nil"/>
                    <w:left w:val="nil"/>
                    <w:bottom w:val="single" w:color="000000" w:sz="8" w:space="0"/>
                    <w:right w:val="single" w:color="000000" w:sz="8" w:space="0"/>
                  </w:tcBorders>
                  <w:noWrap/>
                  <w:vAlign w:val="center"/>
                </w:tcPr>
                <w:p w14:paraId="2BCCBC0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瓶装25g、分析纯</w:t>
                  </w:r>
                </w:p>
              </w:tc>
              <w:tc>
                <w:tcPr>
                  <w:tcW w:w="902" w:type="dxa"/>
                  <w:tcBorders>
                    <w:top w:val="nil"/>
                    <w:left w:val="nil"/>
                    <w:bottom w:val="single" w:color="000000" w:sz="8" w:space="0"/>
                    <w:right w:val="single" w:color="000000" w:sz="8" w:space="0"/>
                  </w:tcBorders>
                  <w:noWrap/>
                  <w:vAlign w:val="center"/>
                </w:tcPr>
                <w:p w14:paraId="22DF30C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固态</w:t>
                  </w:r>
                </w:p>
              </w:tc>
              <w:tc>
                <w:tcPr>
                  <w:tcW w:w="1144" w:type="dxa"/>
                  <w:tcBorders>
                    <w:top w:val="nil"/>
                    <w:left w:val="nil"/>
                    <w:bottom w:val="single" w:color="000000" w:sz="8" w:space="0"/>
                    <w:right w:val="single" w:color="000000" w:sz="8" w:space="0"/>
                  </w:tcBorders>
                  <w:noWrap w:val="0"/>
                  <w:vAlign w:val="center"/>
                </w:tcPr>
                <w:p w14:paraId="2E5566B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试剂库</w:t>
                  </w:r>
                </w:p>
              </w:tc>
            </w:tr>
            <w:tr w14:paraId="05E0B16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813" w:type="dxa"/>
                  <w:tcBorders>
                    <w:top w:val="nil"/>
                    <w:left w:val="single" w:color="000000" w:sz="8" w:space="0"/>
                    <w:bottom w:val="single" w:color="000000" w:sz="8" w:space="0"/>
                    <w:right w:val="single" w:color="000000" w:sz="8" w:space="0"/>
                  </w:tcBorders>
                  <w:noWrap/>
                  <w:vAlign w:val="center"/>
                </w:tcPr>
                <w:p w14:paraId="0F9E468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28</w:t>
                  </w:r>
                </w:p>
              </w:tc>
              <w:tc>
                <w:tcPr>
                  <w:tcW w:w="1542" w:type="dxa"/>
                  <w:tcBorders>
                    <w:top w:val="single" w:color="000000" w:sz="4" w:space="0"/>
                    <w:left w:val="single" w:color="000000" w:sz="4" w:space="0"/>
                    <w:bottom w:val="single" w:color="000000" w:sz="4" w:space="0"/>
                    <w:right w:val="single" w:color="000000" w:sz="4" w:space="0"/>
                  </w:tcBorders>
                  <w:noWrap w:val="0"/>
                  <w:vAlign w:val="center"/>
                </w:tcPr>
                <w:p w14:paraId="7F45BDC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硫酸铵</w:t>
                  </w:r>
                </w:p>
              </w:tc>
              <w:tc>
                <w:tcPr>
                  <w:tcW w:w="1278" w:type="dxa"/>
                  <w:tcBorders>
                    <w:top w:val="nil"/>
                    <w:left w:val="nil"/>
                    <w:bottom w:val="single" w:color="000000" w:sz="8" w:space="0"/>
                    <w:right w:val="single" w:color="000000" w:sz="8" w:space="0"/>
                  </w:tcBorders>
                  <w:noWrap/>
                  <w:vAlign w:val="center"/>
                </w:tcPr>
                <w:p w14:paraId="17EF18E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500g</w:t>
                  </w:r>
                </w:p>
              </w:tc>
              <w:tc>
                <w:tcPr>
                  <w:tcW w:w="1366" w:type="dxa"/>
                  <w:tcBorders>
                    <w:top w:val="nil"/>
                    <w:left w:val="nil"/>
                    <w:bottom w:val="single" w:color="000000" w:sz="8" w:space="0"/>
                    <w:right w:val="single" w:color="000000" w:sz="8" w:space="0"/>
                  </w:tcBorders>
                  <w:noWrap w:val="0"/>
                  <w:vAlign w:val="center"/>
                </w:tcPr>
                <w:p w14:paraId="5C11CDF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500g</w:t>
                  </w:r>
                </w:p>
              </w:tc>
              <w:tc>
                <w:tcPr>
                  <w:tcW w:w="2159" w:type="dxa"/>
                  <w:tcBorders>
                    <w:top w:val="nil"/>
                    <w:left w:val="nil"/>
                    <w:bottom w:val="single" w:color="000000" w:sz="8" w:space="0"/>
                    <w:right w:val="single" w:color="000000" w:sz="8" w:space="0"/>
                  </w:tcBorders>
                  <w:noWrap/>
                  <w:vAlign w:val="center"/>
                </w:tcPr>
                <w:p w14:paraId="19CC8D9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瓶装500g、分析纯</w:t>
                  </w:r>
                </w:p>
              </w:tc>
              <w:tc>
                <w:tcPr>
                  <w:tcW w:w="902" w:type="dxa"/>
                  <w:tcBorders>
                    <w:top w:val="nil"/>
                    <w:left w:val="nil"/>
                    <w:bottom w:val="single" w:color="000000" w:sz="8" w:space="0"/>
                    <w:right w:val="single" w:color="000000" w:sz="8" w:space="0"/>
                  </w:tcBorders>
                  <w:noWrap/>
                  <w:vAlign w:val="center"/>
                </w:tcPr>
                <w:p w14:paraId="3AAC60F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固态</w:t>
                  </w:r>
                </w:p>
              </w:tc>
              <w:tc>
                <w:tcPr>
                  <w:tcW w:w="1144" w:type="dxa"/>
                  <w:tcBorders>
                    <w:top w:val="nil"/>
                    <w:left w:val="nil"/>
                    <w:bottom w:val="single" w:color="000000" w:sz="8" w:space="0"/>
                    <w:right w:val="single" w:color="000000" w:sz="8" w:space="0"/>
                  </w:tcBorders>
                  <w:noWrap w:val="0"/>
                  <w:vAlign w:val="center"/>
                </w:tcPr>
                <w:p w14:paraId="2BA8E1F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试剂库</w:t>
                  </w:r>
                </w:p>
              </w:tc>
            </w:tr>
            <w:tr w14:paraId="4EA869C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813" w:type="dxa"/>
                  <w:tcBorders>
                    <w:top w:val="nil"/>
                    <w:left w:val="single" w:color="000000" w:sz="8" w:space="0"/>
                    <w:bottom w:val="single" w:color="000000" w:sz="8" w:space="0"/>
                    <w:right w:val="single" w:color="000000" w:sz="8" w:space="0"/>
                  </w:tcBorders>
                  <w:noWrap/>
                  <w:vAlign w:val="center"/>
                </w:tcPr>
                <w:p w14:paraId="65D80AA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29</w:t>
                  </w:r>
                </w:p>
              </w:tc>
              <w:tc>
                <w:tcPr>
                  <w:tcW w:w="1542" w:type="dxa"/>
                  <w:tcBorders>
                    <w:top w:val="single" w:color="000000" w:sz="4" w:space="0"/>
                    <w:left w:val="single" w:color="000000" w:sz="4" w:space="0"/>
                    <w:bottom w:val="single" w:color="000000" w:sz="4" w:space="0"/>
                    <w:right w:val="single" w:color="000000" w:sz="4" w:space="0"/>
                  </w:tcBorders>
                  <w:noWrap w:val="0"/>
                  <w:vAlign w:val="center"/>
                </w:tcPr>
                <w:p w14:paraId="3C94F13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对硝基酚</w:t>
                  </w:r>
                </w:p>
              </w:tc>
              <w:tc>
                <w:tcPr>
                  <w:tcW w:w="1278" w:type="dxa"/>
                  <w:tcBorders>
                    <w:top w:val="nil"/>
                    <w:left w:val="nil"/>
                    <w:bottom w:val="single" w:color="000000" w:sz="8" w:space="0"/>
                    <w:right w:val="single" w:color="000000" w:sz="8" w:space="0"/>
                  </w:tcBorders>
                  <w:noWrap/>
                  <w:vAlign w:val="center"/>
                </w:tcPr>
                <w:p w14:paraId="57C853A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25g</w:t>
                  </w:r>
                </w:p>
              </w:tc>
              <w:tc>
                <w:tcPr>
                  <w:tcW w:w="1366" w:type="dxa"/>
                  <w:tcBorders>
                    <w:top w:val="nil"/>
                    <w:left w:val="nil"/>
                    <w:bottom w:val="single" w:color="000000" w:sz="8" w:space="0"/>
                    <w:right w:val="single" w:color="000000" w:sz="8" w:space="0"/>
                  </w:tcBorders>
                  <w:noWrap w:val="0"/>
                  <w:vAlign w:val="center"/>
                </w:tcPr>
                <w:p w14:paraId="7A9B325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25g</w:t>
                  </w:r>
                </w:p>
              </w:tc>
              <w:tc>
                <w:tcPr>
                  <w:tcW w:w="2159" w:type="dxa"/>
                  <w:tcBorders>
                    <w:top w:val="nil"/>
                    <w:left w:val="nil"/>
                    <w:bottom w:val="single" w:color="000000" w:sz="8" w:space="0"/>
                    <w:right w:val="single" w:color="000000" w:sz="8" w:space="0"/>
                  </w:tcBorders>
                  <w:noWrap/>
                  <w:vAlign w:val="center"/>
                </w:tcPr>
                <w:p w14:paraId="5599B4B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瓶装25g、分析纯</w:t>
                  </w:r>
                </w:p>
              </w:tc>
              <w:tc>
                <w:tcPr>
                  <w:tcW w:w="902" w:type="dxa"/>
                  <w:tcBorders>
                    <w:top w:val="nil"/>
                    <w:left w:val="nil"/>
                    <w:bottom w:val="single" w:color="000000" w:sz="8" w:space="0"/>
                    <w:right w:val="single" w:color="000000" w:sz="8" w:space="0"/>
                  </w:tcBorders>
                  <w:noWrap/>
                  <w:vAlign w:val="center"/>
                </w:tcPr>
                <w:p w14:paraId="5BBBE60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固态</w:t>
                  </w:r>
                </w:p>
              </w:tc>
              <w:tc>
                <w:tcPr>
                  <w:tcW w:w="1144" w:type="dxa"/>
                  <w:tcBorders>
                    <w:top w:val="nil"/>
                    <w:left w:val="nil"/>
                    <w:bottom w:val="single" w:color="000000" w:sz="8" w:space="0"/>
                    <w:right w:val="single" w:color="000000" w:sz="8" w:space="0"/>
                  </w:tcBorders>
                  <w:noWrap w:val="0"/>
                  <w:vAlign w:val="center"/>
                </w:tcPr>
                <w:p w14:paraId="0401906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试剂库</w:t>
                  </w:r>
                </w:p>
              </w:tc>
            </w:tr>
            <w:tr w14:paraId="2D03549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813" w:type="dxa"/>
                  <w:tcBorders>
                    <w:top w:val="nil"/>
                    <w:left w:val="single" w:color="000000" w:sz="8" w:space="0"/>
                    <w:bottom w:val="single" w:color="000000" w:sz="8" w:space="0"/>
                    <w:right w:val="single" w:color="000000" w:sz="8" w:space="0"/>
                  </w:tcBorders>
                  <w:noWrap/>
                  <w:vAlign w:val="center"/>
                </w:tcPr>
                <w:p w14:paraId="1A20088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30</w:t>
                  </w:r>
                </w:p>
              </w:tc>
              <w:tc>
                <w:tcPr>
                  <w:tcW w:w="1542" w:type="dxa"/>
                  <w:tcBorders>
                    <w:top w:val="single" w:color="000000" w:sz="4" w:space="0"/>
                    <w:left w:val="single" w:color="000000" w:sz="4" w:space="0"/>
                    <w:bottom w:val="single" w:color="000000" w:sz="4" w:space="0"/>
                    <w:right w:val="single" w:color="000000" w:sz="4" w:space="0"/>
                  </w:tcBorders>
                  <w:noWrap w:val="0"/>
                  <w:vAlign w:val="center"/>
                </w:tcPr>
                <w:p w14:paraId="2CCF6B9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过硫酸钾</w:t>
                  </w:r>
                </w:p>
              </w:tc>
              <w:tc>
                <w:tcPr>
                  <w:tcW w:w="1278" w:type="dxa"/>
                  <w:tcBorders>
                    <w:top w:val="nil"/>
                    <w:left w:val="nil"/>
                    <w:bottom w:val="single" w:color="000000" w:sz="8" w:space="0"/>
                    <w:right w:val="single" w:color="000000" w:sz="8" w:space="0"/>
                  </w:tcBorders>
                  <w:noWrap/>
                  <w:vAlign w:val="center"/>
                </w:tcPr>
                <w:p w14:paraId="12A515F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500g</w:t>
                  </w:r>
                </w:p>
              </w:tc>
              <w:tc>
                <w:tcPr>
                  <w:tcW w:w="1366" w:type="dxa"/>
                  <w:tcBorders>
                    <w:top w:val="nil"/>
                    <w:left w:val="nil"/>
                    <w:bottom w:val="single" w:color="000000" w:sz="8" w:space="0"/>
                    <w:right w:val="single" w:color="000000" w:sz="8" w:space="0"/>
                  </w:tcBorders>
                  <w:noWrap w:val="0"/>
                  <w:vAlign w:val="center"/>
                </w:tcPr>
                <w:p w14:paraId="26BA8AF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500g</w:t>
                  </w:r>
                </w:p>
              </w:tc>
              <w:tc>
                <w:tcPr>
                  <w:tcW w:w="2159" w:type="dxa"/>
                  <w:tcBorders>
                    <w:top w:val="nil"/>
                    <w:left w:val="nil"/>
                    <w:bottom w:val="single" w:color="000000" w:sz="8" w:space="0"/>
                    <w:right w:val="single" w:color="000000" w:sz="8" w:space="0"/>
                  </w:tcBorders>
                  <w:noWrap/>
                  <w:vAlign w:val="center"/>
                </w:tcPr>
                <w:p w14:paraId="562EEEC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瓶装500g、分析纯</w:t>
                  </w:r>
                </w:p>
              </w:tc>
              <w:tc>
                <w:tcPr>
                  <w:tcW w:w="902" w:type="dxa"/>
                  <w:tcBorders>
                    <w:top w:val="nil"/>
                    <w:left w:val="nil"/>
                    <w:bottom w:val="single" w:color="000000" w:sz="8" w:space="0"/>
                    <w:right w:val="single" w:color="000000" w:sz="8" w:space="0"/>
                  </w:tcBorders>
                  <w:noWrap/>
                  <w:vAlign w:val="center"/>
                </w:tcPr>
                <w:p w14:paraId="5802789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固态</w:t>
                  </w:r>
                </w:p>
              </w:tc>
              <w:tc>
                <w:tcPr>
                  <w:tcW w:w="1144" w:type="dxa"/>
                  <w:tcBorders>
                    <w:top w:val="nil"/>
                    <w:left w:val="nil"/>
                    <w:bottom w:val="single" w:color="000000" w:sz="8" w:space="0"/>
                    <w:right w:val="single" w:color="000000" w:sz="8" w:space="0"/>
                  </w:tcBorders>
                  <w:noWrap w:val="0"/>
                  <w:vAlign w:val="center"/>
                </w:tcPr>
                <w:p w14:paraId="7016B52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试剂库</w:t>
                  </w:r>
                </w:p>
              </w:tc>
            </w:tr>
            <w:tr w14:paraId="3973669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813" w:type="dxa"/>
                  <w:tcBorders>
                    <w:top w:val="nil"/>
                    <w:left w:val="single" w:color="000000" w:sz="8" w:space="0"/>
                    <w:bottom w:val="single" w:color="000000" w:sz="8" w:space="0"/>
                    <w:right w:val="single" w:color="000000" w:sz="8" w:space="0"/>
                  </w:tcBorders>
                  <w:noWrap/>
                  <w:vAlign w:val="center"/>
                </w:tcPr>
                <w:p w14:paraId="783382E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31</w:t>
                  </w:r>
                </w:p>
              </w:tc>
              <w:tc>
                <w:tcPr>
                  <w:tcW w:w="1542" w:type="dxa"/>
                  <w:tcBorders>
                    <w:top w:val="single" w:color="000000" w:sz="4" w:space="0"/>
                    <w:left w:val="single" w:color="000000" w:sz="4" w:space="0"/>
                    <w:bottom w:val="single" w:color="000000" w:sz="4" w:space="0"/>
                    <w:right w:val="single" w:color="000000" w:sz="4" w:space="0"/>
                  </w:tcBorders>
                  <w:noWrap w:val="0"/>
                  <w:vAlign w:val="center"/>
                </w:tcPr>
                <w:p w14:paraId="0E22192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焦硫酸钾</w:t>
                  </w:r>
                </w:p>
              </w:tc>
              <w:tc>
                <w:tcPr>
                  <w:tcW w:w="1278" w:type="dxa"/>
                  <w:tcBorders>
                    <w:top w:val="nil"/>
                    <w:left w:val="nil"/>
                    <w:bottom w:val="single" w:color="000000" w:sz="8" w:space="0"/>
                    <w:right w:val="single" w:color="000000" w:sz="8" w:space="0"/>
                  </w:tcBorders>
                  <w:noWrap/>
                  <w:vAlign w:val="center"/>
                </w:tcPr>
                <w:p w14:paraId="245631F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500g</w:t>
                  </w:r>
                </w:p>
              </w:tc>
              <w:tc>
                <w:tcPr>
                  <w:tcW w:w="1366" w:type="dxa"/>
                  <w:tcBorders>
                    <w:top w:val="nil"/>
                    <w:left w:val="nil"/>
                    <w:bottom w:val="single" w:color="000000" w:sz="8" w:space="0"/>
                    <w:right w:val="single" w:color="000000" w:sz="8" w:space="0"/>
                  </w:tcBorders>
                  <w:noWrap w:val="0"/>
                  <w:vAlign w:val="center"/>
                </w:tcPr>
                <w:p w14:paraId="6ED2FBA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500g</w:t>
                  </w:r>
                </w:p>
              </w:tc>
              <w:tc>
                <w:tcPr>
                  <w:tcW w:w="2159" w:type="dxa"/>
                  <w:tcBorders>
                    <w:top w:val="nil"/>
                    <w:left w:val="nil"/>
                    <w:bottom w:val="single" w:color="000000" w:sz="8" w:space="0"/>
                    <w:right w:val="single" w:color="000000" w:sz="8" w:space="0"/>
                  </w:tcBorders>
                  <w:noWrap/>
                  <w:vAlign w:val="center"/>
                </w:tcPr>
                <w:p w14:paraId="5CBA8F3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瓶装500g、分析纯</w:t>
                  </w:r>
                </w:p>
              </w:tc>
              <w:tc>
                <w:tcPr>
                  <w:tcW w:w="902" w:type="dxa"/>
                  <w:tcBorders>
                    <w:top w:val="nil"/>
                    <w:left w:val="nil"/>
                    <w:bottom w:val="single" w:color="000000" w:sz="8" w:space="0"/>
                    <w:right w:val="single" w:color="000000" w:sz="8" w:space="0"/>
                  </w:tcBorders>
                  <w:noWrap/>
                  <w:vAlign w:val="center"/>
                </w:tcPr>
                <w:p w14:paraId="4B0BDED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固态</w:t>
                  </w:r>
                </w:p>
              </w:tc>
              <w:tc>
                <w:tcPr>
                  <w:tcW w:w="1144" w:type="dxa"/>
                  <w:tcBorders>
                    <w:top w:val="nil"/>
                    <w:left w:val="nil"/>
                    <w:bottom w:val="single" w:color="000000" w:sz="8" w:space="0"/>
                    <w:right w:val="single" w:color="000000" w:sz="8" w:space="0"/>
                  </w:tcBorders>
                  <w:noWrap w:val="0"/>
                  <w:vAlign w:val="center"/>
                </w:tcPr>
                <w:p w14:paraId="69F546A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试剂库</w:t>
                  </w:r>
                </w:p>
              </w:tc>
            </w:tr>
            <w:tr w14:paraId="3E154A8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813" w:type="dxa"/>
                  <w:tcBorders>
                    <w:top w:val="nil"/>
                    <w:left w:val="single" w:color="000000" w:sz="8" w:space="0"/>
                    <w:bottom w:val="single" w:color="000000" w:sz="8" w:space="0"/>
                    <w:right w:val="single" w:color="000000" w:sz="8" w:space="0"/>
                  </w:tcBorders>
                  <w:noWrap/>
                  <w:vAlign w:val="center"/>
                </w:tcPr>
                <w:p w14:paraId="390E722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32</w:t>
                  </w:r>
                </w:p>
              </w:tc>
              <w:tc>
                <w:tcPr>
                  <w:tcW w:w="1542" w:type="dxa"/>
                  <w:tcBorders>
                    <w:top w:val="single" w:color="000000" w:sz="4" w:space="0"/>
                    <w:left w:val="single" w:color="000000" w:sz="4" w:space="0"/>
                    <w:bottom w:val="single" w:color="000000" w:sz="4" w:space="0"/>
                    <w:right w:val="single" w:color="000000" w:sz="4" w:space="0"/>
                  </w:tcBorders>
                  <w:noWrap w:val="0"/>
                  <w:vAlign w:val="center"/>
                </w:tcPr>
                <w:p w14:paraId="1A4C4E1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氯化亚锡</w:t>
                  </w:r>
                </w:p>
              </w:tc>
              <w:tc>
                <w:tcPr>
                  <w:tcW w:w="1278" w:type="dxa"/>
                  <w:tcBorders>
                    <w:top w:val="nil"/>
                    <w:left w:val="nil"/>
                    <w:bottom w:val="single" w:color="000000" w:sz="8" w:space="0"/>
                    <w:right w:val="single" w:color="000000" w:sz="8" w:space="0"/>
                  </w:tcBorders>
                  <w:noWrap/>
                  <w:vAlign w:val="center"/>
                </w:tcPr>
                <w:p w14:paraId="6E4A9AB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500g</w:t>
                  </w:r>
                </w:p>
              </w:tc>
              <w:tc>
                <w:tcPr>
                  <w:tcW w:w="1366" w:type="dxa"/>
                  <w:tcBorders>
                    <w:top w:val="nil"/>
                    <w:left w:val="nil"/>
                    <w:bottom w:val="single" w:color="000000" w:sz="8" w:space="0"/>
                    <w:right w:val="single" w:color="000000" w:sz="8" w:space="0"/>
                  </w:tcBorders>
                  <w:noWrap w:val="0"/>
                  <w:vAlign w:val="center"/>
                </w:tcPr>
                <w:p w14:paraId="4DB325E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500g</w:t>
                  </w:r>
                </w:p>
              </w:tc>
              <w:tc>
                <w:tcPr>
                  <w:tcW w:w="2159" w:type="dxa"/>
                  <w:tcBorders>
                    <w:top w:val="nil"/>
                    <w:left w:val="nil"/>
                    <w:bottom w:val="single" w:color="000000" w:sz="8" w:space="0"/>
                    <w:right w:val="single" w:color="000000" w:sz="8" w:space="0"/>
                  </w:tcBorders>
                  <w:noWrap/>
                  <w:vAlign w:val="center"/>
                </w:tcPr>
                <w:p w14:paraId="57C8374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瓶装500g、分析纯</w:t>
                  </w:r>
                </w:p>
              </w:tc>
              <w:tc>
                <w:tcPr>
                  <w:tcW w:w="902" w:type="dxa"/>
                  <w:tcBorders>
                    <w:top w:val="nil"/>
                    <w:left w:val="nil"/>
                    <w:bottom w:val="single" w:color="000000" w:sz="8" w:space="0"/>
                    <w:right w:val="single" w:color="000000" w:sz="8" w:space="0"/>
                  </w:tcBorders>
                  <w:noWrap/>
                  <w:vAlign w:val="center"/>
                </w:tcPr>
                <w:p w14:paraId="21916E3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固态</w:t>
                  </w:r>
                </w:p>
              </w:tc>
              <w:tc>
                <w:tcPr>
                  <w:tcW w:w="1144" w:type="dxa"/>
                  <w:tcBorders>
                    <w:top w:val="nil"/>
                    <w:left w:val="nil"/>
                    <w:bottom w:val="single" w:color="000000" w:sz="8" w:space="0"/>
                    <w:right w:val="single" w:color="000000" w:sz="8" w:space="0"/>
                  </w:tcBorders>
                  <w:noWrap w:val="0"/>
                  <w:vAlign w:val="center"/>
                </w:tcPr>
                <w:p w14:paraId="38104EC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试剂库</w:t>
                  </w:r>
                </w:p>
              </w:tc>
            </w:tr>
            <w:tr w14:paraId="1245FFA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813" w:type="dxa"/>
                  <w:tcBorders>
                    <w:top w:val="nil"/>
                    <w:left w:val="single" w:color="000000" w:sz="8" w:space="0"/>
                    <w:bottom w:val="single" w:color="000000" w:sz="8" w:space="0"/>
                    <w:right w:val="single" w:color="000000" w:sz="8" w:space="0"/>
                  </w:tcBorders>
                  <w:noWrap/>
                  <w:vAlign w:val="center"/>
                </w:tcPr>
                <w:p w14:paraId="4995B29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33</w:t>
                  </w:r>
                </w:p>
              </w:tc>
              <w:tc>
                <w:tcPr>
                  <w:tcW w:w="1542" w:type="dxa"/>
                  <w:tcBorders>
                    <w:top w:val="single" w:color="000000" w:sz="4" w:space="0"/>
                    <w:left w:val="single" w:color="000000" w:sz="4" w:space="0"/>
                    <w:bottom w:val="single" w:color="000000" w:sz="4" w:space="0"/>
                    <w:right w:val="single" w:color="000000" w:sz="4" w:space="0"/>
                  </w:tcBorders>
                  <w:noWrap w:val="0"/>
                  <w:vAlign w:val="center"/>
                </w:tcPr>
                <w:p w14:paraId="46C3FA9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钨酸钠</w:t>
                  </w:r>
                </w:p>
              </w:tc>
              <w:tc>
                <w:tcPr>
                  <w:tcW w:w="1278" w:type="dxa"/>
                  <w:tcBorders>
                    <w:top w:val="nil"/>
                    <w:left w:val="nil"/>
                    <w:bottom w:val="single" w:color="000000" w:sz="8" w:space="0"/>
                    <w:right w:val="single" w:color="000000" w:sz="8" w:space="0"/>
                  </w:tcBorders>
                  <w:noWrap/>
                  <w:vAlign w:val="center"/>
                </w:tcPr>
                <w:p w14:paraId="730DD08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500g</w:t>
                  </w:r>
                </w:p>
              </w:tc>
              <w:tc>
                <w:tcPr>
                  <w:tcW w:w="1366" w:type="dxa"/>
                  <w:tcBorders>
                    <w:top w:val="nil"/>
                    <w:left w:val="nil"/>
                    <w:bottom w:val="single" w:color="000000" w:sz="8" w:space="0"/>
                    <w:right w:val="single" w:color="000000" w:sz="8" w:space="0"/>
                  </w:tcBorders>
                  <w:noWrap w:val="0"/>
                  <w:vAlign w:val="center"/>
                </w:tcPr>
                <w:p w14:paraId="7912121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500g</w:t>
                  </w:r>
                </w:p>
              </w:tc>
              <w:tc>
                <w:tcPr>
                  <w:tcW w:w="2159" w:type="dxa"/>
                  <w:tcBorders>
                    <w:top w:val="nil"/>
                    <w:left w:val="nil"/>
                    <w:bottom w:val="single" w:color="000000" w:sz="8" w:space="0"/>
                    <w:right w:val="single" w:color="000000" w:sz="8" w:space="0"/>
                  </w:tcBorders>
                  <w:noWrap/>
                  <w:vAlign w:val="center"/>
                </w:tcPr>
                <w:p w14:paraId="4CD969D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瓶装500g、分析纯</w:t>
                  </w:r>
                </w:p>
              </w:tc>
              <w:tc>
                <w:tcPr>
                  <w:tcW w:w="902" w:type="dxa"/>
                  <w:tcBorders>
                    <w:top w:val="nil"/>
                    <w:left w:val="nil"/>
                    <w:bottom w:val="single" w:color="000000" w:sz="8" w:space="0"/>
                    <w:right w:val="single" w:color="000000" w:sz="8" w:space="0"/>
                  </w:tcBorders>
                  <w:noWrap/>
                  <w:vAlign w:val="center"/>
                </w:tcPr>
                <w:p w14:paraId="4C08708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固态</w:t>
                  </w:r>
                </w:p>
              </w:tc>
              <w:tc>
                <w:tcPr>
                  <w:tcW w:w="1144" w:type="dxa"/>
                  <w:tcBorders>
                    <w:top w:val="nil"/>
                    <w:left w:val="nil"/>
                    <w:bottom w:val="single" w:color="000000" w:sz="8" w:space="0"/>
                    <w:right w:val="single" w:color="000000" w:sz="8" w:space="0"/>
                  </w:tcBorders>
                  <w:noWrap w:val="0"/>
                  <w:vAlign w:val="center"/>
                </w:tcPr>
                <w:p w14:paraId="6994D9E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试剂库</w:t>
                  </w:r>
                </w:p>
              </w:tc>
            </w:tr>
            <w:tr w14:paraId="7D252EE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813" w:type="dxa"/>
                  <w:tcBorders>
                    <w:top w:val="nil"/>
                    <w:left w:val="single" w:color="000000" w:sz="8" w:space="0"/>
                    <w:bottom w:val="single" w:color="000000" w:sz="8" w:space="0"/>
                    <w:right w:val="single" w:color="000000" w:sz="8" w:space="0"/>
                  </w:tcBorders>
                  <w:noWrap/>
                  <w:vAlign w:val="center"/>
                </w:tcPr>
                <w:p w14:paraId="7DBDE65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34</w:t>
                  </w:r>
                </w:p>
              </w:tc>
              <w:tc>
                <w:tcPr>
                  <w:tcW w:w="1542" w:type="dxa"/>
                  <w:tcBorders>
                    <w:top w:val="single" w:color="000000" w:sz="4" w:space="0"/>
                    <w:left w:val="single" w:color="000000" w:sz="4" w:space="0"/>
                    <w:bottom w:val="single" w:color="000000" w:sz="4" w:space="0"/>
                    <w:right w:val="single" w:color="000000" w:sz="4" w:space="0"/>
                  </w:tcBorders>
                  <w:noWrap w:val="0"/>
                  <w:vAlign w:val="center"/>
                </w:tcPr>
                <w:p w14:paraId="1747146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硫酸亚铁铵</w:t>
                  </w:r>
                </w:p>
              </w:tc>
              <w:tc>
                <w:tcPr>
                  <w:tcW w:w="1278" w:type="dxa"/>
                  <w:tcBorders>
                    <w:top w:val="nil"/>
                    <w:left w:val="nil"/>
                    <w:bottom w:val="single" w:color="000000" w:sz="8" w:space="0"/>
                    <w:right w:val="single" w:color="000000" w:sz="8" w:space="0"/>
                  </w:tcBorders>
                  <w:noWrap/>
                  <w:vAlign w:val="center"/>
                </w:tcPr>
                <w:p w14:paraId="00E5CA4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500g</w:t>
                  </w:r>
                </w:p>
              </w:tc>
              <w:tc>
                <w:tcPr>
                  <w:tcW w:w="1366" w:type="dxa"/>
                  <w:tcBorders>
                    <w:top w:val="nil"/>
                    <w:left w:val="nil"/>
                    <w:bottom w:val="single" w:color="000000" w:sz="8" w:space="0"/>
                    <w:right w:val="single" w:color="000000" w:sz="8" w:space="0"/>
                  </w:tcBorders>
                  <w:noWrap w:val="0"/>
                  <w:vAlign w:val="center"/>
                </w:tcPr>
                <w:p w14:paraId="00BCF2A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500g</w:t>
                  </w:r>
                </w:p>
              </w:tc>
              <w:tc>
                <w:tcPr>
                  <w:tcW w:w="2159" w:type="dxa"/>
                  <w:tcBorders>
                    <w:top w:val="nil"/>
                    <w:left w:val="nil"/>
                    <w:bottom w:val="single" w:color="000000" w:sz="8" w:space="0"/>
                    <w:right w:val="single" w:color="000000" w:sz="8" w:space="0"/>
                  </w:tcBorders>
                  <w:noWrap/>
                  <w:vAlign w:val="center"/>
                </w:tcPr>
                <w:p w14:paraId="6B30333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瓶装500g、分析纯</w:t>
                  </w:r>
                </w:p>
              </w:tc>
              <w:tc>
                <w:tcPr>
                  <w:tcW w:w="902" w:type="dxa"/>
                  <w:tcBorders>
                    <w:top w:val="nil"/>
                    <w:left w:val="nil"/>
                    <w:bottom w:val="single" w:color="000000" w:sz="8" w:space="0"/>
                    <w:right w:val="single" w:color="000000" w:sz="8" w:space="0"/>
                  </w:tcBorders>
                  <w:noWrap/>
                  <w:vAlign w:val="center"/>
                </w:tcPr>
                <w:p w14:paraId="16E0377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固态</w:t>
                  </w:r>
                </w:p>
              </w:tc>
              <w:tc>
                <w:tcPr>
                  <w:tcW w:w="1144" w:type="dxa"/>
                  <w:tcBorders>
                    <w:top w:val="nil"/>
                    <w:left w:val="nil"/>
                    <w:bottom w:val="single" w:color="000000" w:sz="8" w:space="0"/>
                    <w:right w:val="single" w:color="000000" w:sz="8" w:space="0"/>
                  </w:tcBorders>
                  <w:noWrap w:val="0"/>
                  <w:vAlign w:val="center"/>
                </w:tcPr>
                <w:p w14:paraId="06CAE3A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试剂库</w:t>
                  </w:r>
                </w:p>
              </w:tc>
            </w:tr>
            <w:tr w14:paraId="0CB285A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813" w:type="dxa"/>
                  <w:tcBorders>
                    <w:top w:val="nil"/>
                    <w:left w:val="single" w:color="000000" w:sz="8" w:space="0"/>
                    <w:bottom w:val="single" w:color="000000" w:sz="8" w:space="0"/>
                    <w:right w:val="single" w:color="000000" w:sz="8" w:space="0"/>
                  </w:tcBorders>
                  <w:noWrap/>
                  <w:vAlign w:val="center"/>
                </w:tcPr>
                <w:p w14:paraId="5E433A4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35</w:t>
                  </w:r>
                </w:p>
              </w:tc>
              <w:tc>
                <w:tcPr>
                  <w:tcW w:w="1542" w:type="dxa"/>
                  <w:tcBorders>
                    <w:top w:val="single" w:color="000000" w:sz="4" w:space="0"/>
                    <w:left w:val="single" w:color="000000" w:sz="4" w:space="0"/>
                    <w:bottom w:val="single" w:color="000000" w:sz="4" w:space="0"/>
                    <w:right w:val="single" w:color="000000" w:sz="4" w:space="0"/>
                  </w:tcBorders>
                  <w:noWrap w:val="0"/>
                  <w:vAlign w:val="center"/>
                </w:tcPr>
                <w:p w14:paraId="62F5D64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二苯胺磺酸钠</w:t>
                  </w:r>
                </w:p>
              </w:tc>
              <w:tc>
                <w:tcPr>
                  <w:tcW w:w="1278" w:type="dxa"/>
                  <w:tcBorders>
                    <w:top w:val="nil"/>
                    <w:left w:val="nil"/>
                    <w:bottom w:val="single" w:color="000000" w:sz="8" w:space="0"/>
                    <w:right w:val="single" w:color="000000" w:sz="8" w:space="0"/>
                  </w:tcBorders>
                  <w:noWrap/>
                  <w:vAlign w:val="center"/>
                </w:tcPr>
                <w:p w14:paraId="5B47132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500g</w:t>
                  </w:r>
                </w:p>
              </w:tc>
              <w:tc>
                <w:tcPr>
                  <w:tcW w:w="1366" w:type="dxa"/>
                  <w:tcBorders>
                    <w:top w:val="nil"/>
                    <w:left w:val="nil"/>
                    <w:bottom w:val="single" w:color="000000" w:sz="8" w:space="0"/>
                    <w:right w:val="single" w:color="000000" w:sz="8" w:space="0"/>
                  </w:tcBorders>
                  <w:noWrap w:val="0"/>
                  <w:vAlign w:val="center"/>
                </w:tcPr>
                <w:p w14:paraId="2232C2D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500g</w:t>
                  </w:r>
                </w:p>
              </w:tc>
              <w:tc>
                <w:tcPr>
                  <w:tcW w:w="2159" w:type="dxa"/>
                  <w:tcBorders>
                    <w:top w:val="nil"/>
                    <w:left w:val="nil"/>
                    <w:bottom w:val="single" w:color="000000" w:sz="8" w:space="0"/>
                    <w:right w:val="single" w:color="000000" w:sz="8" w:space="0"/>
                  </w:tcBorders>
                  <w:noWrap/>
                  <w:vAlign w:val="center"/>
                </w:tcPr>
                <w:p w14:paraId="746E996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瓶装500g、分析纯</w:t>
                  </w:r>
                </w:p>
              </w:tc>
              <w:tc>
                <w:tcPr>
                  <w:tcW w:w="902" w:type="dxa"/>
                  <w:tcBorders>
                    <w:top w:val="nil"/>
                    <w:left w:val="nil"/>
                    <w:bottom w:val="single" w:color="000000" w:sz="8" w:space="0"/>
                    <w:right w:val="single" w:color="000000" w:sz="8" w:space="0"/>
                  </w:tcBorders>
                  <w:noWrap/>
                  <w:vAlign w:val="center"/>
                </w:tcPr>
                <w:p w14:paraId="2359306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固态</w:t>
                  </w:r>
                </w:p>
              </w:tc>
              <w:tc>
                <w:tcPr>
                  <w:tcW w:w="1144" w:type="dxa"/>
                  <w:tcBorders>
                    <w:top w:val="nil"/>
                    <w:left w:val="nil"/>
                    <w:bottom w:val="single" w:color="000000" w:sz="8" w:space="0"/>
                    <w:right w:val="single" w:color="000000" w:sz="8" w:space="0"/>
                  </w:tcBorders>
                  <w:noWrap w:val="0"/>
                  <w:vAlign w:val="center"/>
                </w:tcPr>
                <w:p w14:paraId="3A04C83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试剂库</w:t>
                  </w:r>
                </w:p>
              </w:tc>
            </w:tr>
            <w:tr w14:paraId="447C93C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813" w:type="dxa"/>
                  <w:tcBorders>
                    <w:top w:val="nil"/>
                    <w:left w:val="single" w:color="000000" w:sz="8" w:space="0"/>
                    <w:bottom w:val="single" w:color="000000" w:sz="8" w:space="0"/>
                    <w:right w:val="single" w:color="000000" w:sz="8" w:space="0"/>
                  </w:tcBorders>
                  <w:noWrap/>
                  <w:vAlign w:val="center"/>
                </w:tcPr>
                <w:p w14:paraId="1111845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36</w:t>
                  </w:r>
                </w:p>
              </w:tc>
              <w:tc>
                <w:tcPr>
                  <w:tcW w:w="1542" w:type="dxa"/>
                  <w:tcBorders>
                    <w:top w:val="single" w:color="000000" w:sz="4" w:space="0"/>
                    <w:left w:val="single" w:color="000000" w:sz="4" w:space="0"/>
                    <w:bottom w:val="single" w:color="000000" w:sz="4" w:space="0"/>
                    <w:right w:val="single" w:color="000000" w:sz="4" w:space="0"/>
                  </w:tcBorders>
                  <w:noWrap w:val="0"/>
                  <w:vAlign w:val="center"/>
                </w:tcPr>
                <w:p w14:paraId="6CCEDA8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高锰酸钾</w:t>
                  </w:r>
                </w:p>
              </w:tc>
              <w:tc>
                <w:tcPr>
                  <w:tcW w:w="1278" w:type="dxa"/>
                  <w:tcBorders>
                    <w:top w:val="nil"/>
                    <w:left w:val="nil"/>
                    <w:bottom w:val="single" w:color="000000" w:sz="8" w:space="0"/>
                    <w:right w:val="single" w:color="000000" w:sz="8" w:space="0"/>
                  </w:tcBorders>
                  <w:noWrap/>
                  <w:vAlign w:val="center"/>
                </w:tcPr>
                <w:p w14:paraId="30575E5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100g</w:t>
                  </w:r>
                </w:p>
              </w:tc>
              <w:tc>
                <w:tcPr>
                  <w:tcW w:w="1366" w:type="dxa"/>
                  <w:tcBorders>
                    <w:top w:val="nil"/>
                    <w:left w:val="nil"/>
                    <w:bottom w:val="single" w:color="000000" w:sz="8" w:space="0"/>
                    <w:right w:val="single" w:color="000000" w:sz="8" w:space="0"/>
                  </w:tcBorders>
                  <w:noWrap w:val="0"/>
                  <w:vAlign w:val="center"/>
                </w:tcPr>
                <w:p w14:paraId="2AFB562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100g</w:t>
                  </w:r>
                </w:p>
              </w:tc>
              <w:tc>
                <w:tcPr>
                  <w:tcW w:w="2159" w:type="dxa"/>
                  <w:tcBorders>
                    <w:top w:val="nil"/>
                    <w:left w:val="nil"/>
                    <w:bottom w:val="single" w:color="000000" w:sz="8" w:space="0"/>
                    <w:right w:val="single" w:color="000000" w:sz="8" w:space="0"/>
                  </w:tcBorders>
                  <w:noWrap/>
                  <w:vAlign w:val="center"/>
                </w:tcPr>
                <w:p w14:paraId="69F02A3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瓶装100g、分析纯</w:t>
                  </w:r>
                </w:p>
              </w:tc>
              <w:tc>
                <w:tcPr>
                  <w:tcW w:w="902" w:type="dxa"/>
                  <w:tcBorders>
                    <w:top w:val="nil"/>
                    <w:left w:val="nil"/>
                    <w:bottom w:val="single" w:color="000000" w:sz="8" w:space="0"/>
                    <w:right w:val="single" w:color="000000" w:sz="8" w:space="0"/>
                  </w:tcBorders>
                  <w:noWrap/>
                  <w:vAlign w:val="center"/>
                </w:tcPr>
                <w:p w14:paraId="2A561FE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固态</w:t>
                  </w:r>
                </w:p>
              </w:tc>
              <w:tc>
                <w:tcPr>
                  <w:tcW w:w="1144" w:type="dxa"/>
                  <w:tcBorders>
                    <w:top w:val="nil"/>
                    <w:left w:val="nil"/>
                    <w:bottom w:val="single" w:color="000000" w:sz="8" w:space="0"/>
                    <w:right w:val="single" w:color="000000" w:sz="8" w:space="0"/>
                  </w:tcBorders>
                  <w:noWrap w:val="0"/>
                  <w:vAlign w:val="center"/>
                </w:tcPr>
                <w:p w14:paraId="754655A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试剂库</w:t>
                  </w:r>
                </w:p>
              </w:tc>
            </w:tr>
            <w:tr w14:paraId="6BE9CA4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813" w:type="dxa"/>
                  <w:tcBorders>
                    <w:top w:val="nil"/>
                    <w:left w:val="single" w:color="000000" w:sz="8" w:space="0"/>
                    <w:bottom w:val="single" w:color="000000" w:sz="8" w:space="0"/>
                    <w:right w:val="single" w:color="000000" w:sz="8" w:space="0"/>
                  </w:tcBorders>
                  <w:noWrap/>
                  <w:vAlign w:val="center"/>
                </w:tcPr>
                <w:p w14:paraId="2896864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37</w:t>
                  </w:r>
                </w:p>
              </w:tc>
              <w:tc>
                <w:tcPr>
                  <w:tcW w:w="1542" w:type="dxa"/>
                  <w:tcBorders>
                    <w:top w:val="single" w:color="000000" w:sz="4" w:space="0"/>
                    <w:left w:val="single" w:color="000000" w:sz="4" w:space="0"/>
                    <w:bottom w:val="single" w:color="000000" w:sz="4" w:space="0"/>
                    <w:right w:val="single" w:color="000000" w:sz="4" w:space="0"/>
                  </w:tcBorders>
                  <w:noWrap w:val="0"/>
                  <w:vAlign w:val="center"/>
                </w:tcPr>
                <w:p w14:paraId="4AEC053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EDTA二钠</w:t>
                  </w:r>
                </w:p>
              </w:tc>
              <w:tc>
                <w:tcPr>
                  <w:tcW w:w="1278" w:type="dxa"/>
                  <w:tcBorders>
                    <w:top w:val="nil"/>
                    <w:left w:val="nil"/>
                    <w:bottom w:val="single" w:color="000000" w:sz="8" w:space="0"/>
                    <w:right w:val="single" w:color="000000" w:sz="8" w:space="0"/>
                  </w:tcBorders>
                  <w:noWrap/>
                  <w:vAlign w:val="center"/>
                </w:tcPr>
                <w:p w14:paraId="7CDDDC5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100g</w:t>
                  </w:r>
                </w:p>
              </w:tc>
              <w:tc>
                <w:tcPr>
                  <w:tcW w:w="1366" w:type="dxa"/>
                  <w:tcBorders>
                    <w:top w:val="nil"/>
                    <w:left w:val="nil"/>
                    <w:bottom w:val="single" w:color="000000" w:sz="8" w:space="0"/>
                    <w:right w:val="single" w:color="000000" w:sz="8" w:space="0"/>
                  </w:tcBorders>
                  <w:noWrap w:val="0"/>
                  <w:vAlign w:val="center"/>
                </w:tcPr>
                <w:p w14:paraId="45F070F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100g</w:t>
                  </w:r>
                </w:p>
              </w:tc>
              <w:tc>
                <w:tcPr>
                  <w:tcW w:w="2159" w:type="dxa"/>
                  <w:tcBorders>
                    <w:top w:val="nil"/>
                    <w:left w:val="nil"/>
                    <w:bottom w:val="single" w:color="000000" w:sz="8" w:space="0"/>
                    <w:right w:val="single" w:color="000000" w:sz="8" w:space="0"/>
                  </w:tcBorders>
                  <w:noWrap/>
                  <w:vAlign w:val="center"/>
                </w:tcPr>
                <w:p w14:paraId="4E52C0F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瓶装100g、基准</w:t>
                  </w:r>
                </w:p>
              </w:tc>
              <w:tc>
                <w:tcPr>
                  <w:tcW w:w="902" w:type="dxa"/>
                  <w:tcBorders>
                    <w:top w:val="nil"/>
                    <w:left w:val="nil"/>
                    <w:bottom w:val="single" w:color="000000" w:sz="8" w:space="0"/>
                    <w:right w:val="single" w:color="000000" w:sz="8" w:space="0"/>
                  </w:tcBorders>
                  <w:noWrap/>
                  <w:vAlign w:val="center"/>
                </w:tcPr>
                <w:p w14:paraId="4A73889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固态</w:t>
                  </w:r>
                </w:p>
              </w:tc>
              <w:tc>
                <w:tcPr>
                  <w:tcW w:w="1144" w:type="dxa"/>
                  <w:tcBorders>
                    <w:top w:val="nil"/>
                    <w:left w:val="nil"/>
                    <w:bottom w:val="single" w:color="000000" w:sz="8" w:space="0"/>
                    <w:right w:val="single" w:color="000000" w:sz="8" w:space="0"/>
                  </w:tcBorders>
                  <w:noWrap w:val="0"/>
                  <w:vAlign w:val="center"/>
                </w:tcPr>
                <w:p w14:paraId="047DC00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标准室</w:t>
                  </w:r>
                </w:p>
              </w:tc>
            </w:tr>
            <w:tr w14:paraId="0FF22DC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813" w:type="dxa"/>
                  <w:tcBorders>
                    <w:top w:val="nil"/>
                    <w:left w:val="single" w:color="000000" w:sz="8" w:space="0"/>
                    <w:bottom w:val="single" w:color="000000" w:sz="8" w:space="0"/>
                    <w:right w:val="single" w:color="000000" w:sz="8" w:space="0"/>
                  </w:tcBorders>
                  <w:noWrap/>
                  <w:vAlign w:val="center"/>
                </w:tcPr>
                <w:p w14:paraId="3D79DF5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38</w:t>
                  </w:r>
                </w:p>
              </w:tc>
              <w:tc>
                <w:tcPr>
                  <w:tcW w:w="1542" w:type="dxa"/>
                  <w:tcBorders>
                    <w:top w:val="single" w:color="000000" w:sz="4" w:space="0"/>
                    <w:left w:val="single" w:color="000000" w:sz="4" w:space="0"/>
                    <w:bottom w:val="single" w:color="000000" w:sz="4" w:space="0"/>
                    <w:right w:val="single" w:color="000000" w:sz="4" w:space="0"/>
                  </w:tcBorders>
                  <w:noWrap w:val="0"/>
                  <w:vAlign w:val="center"/>
                </w:tcPr>
                <w:p w14:paraId="351E03F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重铬酸钾</w:t>
                  </w:r>
                </w:p>
              </w:tc>
              <w:tc>
                <w:tcPr>
                  <w:tcW w:w="1278" w:type="dxa"/>
                  <w:tcBorders>
                    <w:top w:val="nil"/>
                    <w:left w:val="nil"/>
                    <w:bottom w:val="single" w:color="000000" w:sz="8" w:space="0"/>
                    <w:right w:val="single" w:color="000000" w:sz="8" w:space="0"/>
                  </w:tcBorders>
                  <w:noWrap/>
                  <w:vAlign w:val="center"/>
                </w:tcPr>
                <w:p w14:paraId="21C3AF2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100g</w:t>
                  </w:r>
                </w:p>
              </w:tc>
              <w:tc>
                <w:tcPr>
                  <w:tcW w:w="1366" w:type="dxa"/>
                  <w:tcBorders>
                    <w:top w:val="nil"/>
                    <w:left w:val="nil"/>
                    <w:bottom w:val="single" w:color="000000" w:sz="8" w:space="0"/>
                    <w:right w:val="single" w:color="000000" w:sz="8" w:space="0"/>
                  </w:tcBorders>
                  <w:noWrap w:val="0"/>
                  <w:vAlign w:val="center"/>
                </w:tcPr>
                <w:p w14:paraId="0DC45F8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100g</w:t>
                  </w:r>
                </w:p>
              </w:tc>
              <w:tc>
                <w:tcPr>
                  <w:tcW w:w="2159" w:type="dxa"/>
                  <w:tcBorders>
                    <w:top w:val="nil"/>
                    <w:left w:val="nil"/>
                    <w:bottom w:val="single" w:color="000000" w:sz="8" w:space="0"/>
                    <w:right w:val="single" w:color="000000" w:sz="8" w:space="0"/>
                  </w:tcBorders>
                  <w:noWrap/>
                  <w:vAlign w:val="center"/>
                </w:tcPr>
                <w:p w14:paraId="7BA1236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瓶装100g、基准</w:t>
                  </w:r>
                </w:p>
              </w:tc>
              <w:tc>
                <w:tcPr>
                  <w:tcW w:w="902" w:type="dxa"/>
                  <w:tcBorders>
                    <w:top w:val="nil"/>
                    <w:left w:val="nil"/>
                    <w:bottom w:val="single" w:color="000000" w:sz="8" w:space="0"/>
                    <w:right w:val="single" w:color="000000" w:sz="8" w:space="0"/>
                  </w:tcBorders>
                  <w:noWrap/>
                  <w:vAlign w:val="center"/>
                </w:tcPr>
                <w:p w14:paraId="5D849A6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固态</w:t>
                  </w:r>
                </w:p>
              </w:tc>
              <w:tc>
                <w:tcPr>
                  <w:tcW w:w="1144" w:type="dxa"/>
                  <w:tcBorders>
                    <w:top w:val="nil"/>
                    <w:left w:val="nil"/>
                    <w:bottom w:val="single" w:color="000000" w:sz="8" w:space="0"/>
                    <w:right w:val="single" w:color="000000" w:sz="8" w:space="0"/>
                  </w:tcBorders>
                  <w:noWrap w:val="0"/>
                  <w:vAlign w:val="center"/>
                </w:tcPr>
                <w:p w14:paraId="670D245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标准室</w:t>
                  </w:r>
                </w:p>
              </w:tc>
            </w:tr>
            <w:tr w14:paraId="2E8158D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813" w:type="dxa"/>
                  <w:tcBorders>
                    <w:top w:val="nil"/>
                    <w:left w:val="single" w:color="000000" w:sz="8" w:space="0"/>
                    <w:bottom w:val="single" w:color="000000" w:sz="8" w:space="0"/>
                    <w:right w:val="single" w:color="000000" w:sz="8" w:space="0"/>
                  </w:tcBorders>
                  <w:noWrap/>
                  <w:vAlign w:val="center"/>
                </w:tcPr>
                <w:p w14:paraId="356A636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39</w:t>
                  </w:r>
                </w:p>
              </w:tc>
              <w:tc>
                <w:tcPr>
                  <w:tcW w:w="1542" w:type="dxa"/>
                  <w:tcBorders>
                    <w:top w:val="nil"/>
                    <w:left w:val="nil"/>
                    <w:bottom w:val="single" w:color="000000" w:sz="8" w:space="0"/>
                    <w:right w:val="single" w:color="000000" w:sz="8" w:space="0"/>
                  </w:tcBorders>
                  <w:noWrap/>
                  <w:vAlign w:val="center"/>
                </w:tcPr>
                <w:p w14:paraId="07F4A0B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铜粉</w:t>
                  </w:r>
                </w:p>
              </w:tc>
              <w:tc>
                <w:tcPr>
                  <w:tcW w:w="1278" w:type="dxa"/>
                  <w:tcBorders>
                    <w:top w:val="nil"/>
                    <w:left w:val="nil"/>
                    <w:bottom w:val="single" w:color="000000" w:sz="8" w:space="0"/>
                    <w:right w:val="single" w:color="000000" w:sz="8" w:space="0"/>
                  </w:tcBorders>
                  <w:noWrap/>
                  <w:vAlign w:val="center"/>
                </w:tcPr>
                <w:p w14:paraId="7BB1986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10g</w:t>
                  </w:r>
                </w:p>
              </w:tc>
              <w:tc>
                <w:tcPr>
                  <w:tcW w:w="1366" w:type="dxa"/>
                  <w:tcBorders>
                    <w:top w:val="nil"/>
                    <w:left w:val="nil"/>
                    <w:bottom w:val="single" w:color="000000" w:sz="8" w:space="0"/>
                    <w:right w:val="single" w:color="000000" w:sz="8" w:space="0"/>
                  </w:tcBorders>
                  <w:noWrap w:val="0"/>
                  <w:vAlign w:val="center"/>
                </w:tcPr>
                <w:p w14:paraId="32649D4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10g</w:t>
                  </w:r>
                </w:p>
              </w:tc>
              <w:tc>
                <w:tcPr>
                  <w:tcW w:w="2159" w:type="dxa"/>
                  <w:tcBorders>
                    <w:top w:val="nil"/>
                    <w:left w:val="nil"/>
                    <w:bottom w:val="single" w:color="000000" w:sz="8" w:space="0"/>
                    <w:right w:val="single" w:color="000000" w:sz="8" w:space="0"/>
                  </w:tcBorders>
                  <w:noWrap/>
                  <w:vAlign w:val="center"/>
                </w:tcPr>
                <w:p w14:paraId="284FB14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瓶装10g、高纯</w:t>
                  </w:r>
                </w:p>
              </w:tc>
              <w:tc>
                <w:tcPr>
                  <w:tcW w:w="902" w:type="dxa"/>
                  <w:tcBorders>
                    <w:top w:val="nil"/>
                    <w:left w:val="nil"/>
                    <w:bottom w:val="single" w:color="000000" w:sz="8" w:space="0"/>
                    <w:right w:val="single" w:color="000000" w:sz="8" w:space="0"/>
                  </w:tcBorders>
                  <w:noWrap/>
                  <w:vAlign w:val="center"/>
                </w:tcPr>
                <w:p w14:paraId="0BC984A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固态</w:t>
                  </w:r>
                </w:p>
              </w:tc>
              <w:tc>
                <w:tcPr>
                  <w:tcW w:w="1144" w:type="dxa"/>
                  <w:tcBorders>
                    <w:top w:val="nil"/>
                    <w:left w:val="nil"/>
                    <w:bottom w:val="single" w:color="000000" w:sz="8" w:space="0"/>
                    <w:right w:val="single" w:color="000000" w:sz="8" w:space="0"/>
                  </w:tcBorders>
                  <w:noWrap w:val="0"/>
                  <w:vAlign w:val="center"/>
                </w:tcPr>
                <w:p w14:paraId="3CD62A1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标准室</w:t>
                  </w:r>
                </w:p>
              </w:tc>
            </w:tr>
            <w:tr w14:paraId="0668ACD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813" w:type="dxa"/>
                  <w:tcBorders>
                    <w:top w:val="nil"/>
                    <w:left w:val="single" w:color="000000" w:sz="8" w:space="0"/>
                    <w:bottom w:val="single" w:color="000000" w:sz="8" w:space="0"/>
                    <w:right w:val="single" w:color="000000" w:sz="8" w:space="0"/>
                  </w:tcBorders>
                  <w:noWrap/>
                  <w:vAlign w:val="center"/>
                </w:tcPr>
                <w:p w14:paraId="480D5F2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40</w:t>
                  </w:r>
                </w:p>
              </w:tc>
              <w:tc>
                <w:tcPr>
                  <w:tcW w:w="1542" w:type="dxa"/>
                  <w:tcBorders>
                    <w:top w:val="nil"/>
                    <w:left w:val="nil"/>
                    <w:bottom w:val="single" w:color="000000" w:sz="8" w:space="0"/>
                    <w:right w:val="single" w:color="000000" w:sz="8" w:space="0"/>
                  </w:tcBorders>
                  <w:noWrap/>
                  <w:vAlign w:val="center"/>
                </w:tcPr>
                <w:p w14:paraId="33A95DB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铅粉</w:t>
                  </w:r>
                </w:p>
              </w:tc>
              <w:tc>
                <w:tcPr>
                  <w:tcW w:w="1278" w:type="dxa"/>
                  <w:tcBorders>
                    <w:top w:val="nil"/>
                    <w:left w:val="nil"/>
                    <w:bottom w:val="single" w:color="000000" w:sz="8" w:space="0"/>
                    <w:right w:val="single" w:color="000000" w:sz="8" w:space="0"/>
                  </w:tcBorders>
                  <w:noWrap/>
                  <w:vAlign w:val="center"/>
                </w:tcPr>
                <w:p w14:paraId="7D96812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10g</w:t>
                  </w:r>
                </w:p>
              </w:tc>
              <w:tc>
                <w:tcPr>
                  <w:tcW w:w="1366" w:type="dxa"/>
                  <w:tcBorders>
                    <w:top w:val="nil"/>
                    <w:left w:val="nil"/>
                    <w:bottom w:val="single" w:color="000000" w:sz="8" w:space="0"/>
                    <w:right w:val="single" w:color="000000" w:sz="8" w:space="0"/>
                  </w:tcBorders>
                  <w:noWrap w:val="0"/>
                  <w:vAlign w:val="center"/>
                </w:tcPr>
                <w:p w14:paraId="652AD52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10g</w:t>
                  </w:r>
                </w:p>
              </w:tc>
              <w:tc>
                <w:tcPr>
                  <w:tcW w:w="2159" w:type="dxa"/>
                  <w:tcBorders>
                    <w:top w:val="nil"/>
                    <w:left w:val="nil"/>
                    <w:bottom w:val="single" w:color="000000" w:sz="8" w:space="0"/>
                    <w:right w:val="single" w:color="000000" w:sz="8" w:space="0"/>
                  </w:tcBorders>
                  <w:noWrap/>
                  <w:vAlign w:val="center"/>
                </w:tcPr>
                <w:p w14:paraId="3E97C0D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瓶装10g、高纯</w:t>
                  </w:r>
                </w:p>
              </w:tc>
              <w:tc>
                <w:tcPr>
                  <w:tcW w:w="902" w:type="dxa"/>
                  <w:tcBorders>
                    <w:top w:val="nil"/>
                    <w:left w:val="nil"/>
                    <w:bottom w:val="single" w:color="000000" w:sz="8" w:space="0"/>
                    <w:right w:val="single" w:color="000000" w:sz="8" w:space="0"/>
                  </w:tcBorders>
                  <w:noWrap/>
                  <w:vAlign w:val="center"/>
                </w:tcPr>
                <w:p w14:paraId="080C9DD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固态</w:t>
                  </w:r>
                </w:p>
              </w:tc>
              <w:tc>
                <w:tcPr>
                  <w:tcW w:w="1144" w:type="dxa"/>
                  <w:tcBorders>
                    <w:top w:val="nil"/>
                    <w:left w:val="nil"/>
                    <w:bottom w:val="single" w:color="000000" w:sz="8" w:space="0"/>
                    <w:right w:val="single" w:color="000000" w:sz="8" w:space="0"/>
                  </w:tcBorders>
                  <w:noWrap w:val="0"/>
                  <w:vAlign w:val="center"/>
                </w:tcPr>
                <w:p w14:paraId="48238CC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标准室</w:t>
                  </w:r>
                </w:p>
              </w:tc>
            </w:tr>
            <w:tr w14:paraId="336CCF4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813" w:type="dxa"/>
                  <w:tcBorders>
                    <w:top w:val="nil"/>
                    <w:left w:val="single" w:color="000000" w:sz="8" w:space="0"/>
                    <w:bottom w:val="single" w:color="000000" w:sz="8" w:space="0"/>
                    <w:right w:val="single" w:color="000000" w:sz="8" w:space="0"/>
                  </w:tcBorders>
                  <w:noWrap/>
                  <w:vAlign w:val="center"/>
                </w:tcPr>
                <w:p w14:paraId="6C37786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41</w:t>
                  </w:r>
                </w:p>
              </w:tc>
              <w:tc>
                <w:tcPr>
                  <w:tcW w:w="1542" w:type="dxa"/>
                  <w:tcBorders>
                    <w:top w:val="nil"/>
                    <w:left w:val="nil"/>
                    <w:bottom w:val="single" w:color="000000" w:sz="8" w:space="0"/>
                    <w:right w:val="single" w:color="000000" w:sz="8" w:space="0"/>
                  </w:tcBorders>
                  <w:noWrap/>
                  <w:vAlign w:val="center"/>
                </w:tcPr>
                <w:p w14:paraId="43FDD3F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锌粉</w:t>
                  </w:r>
                </w:p>
              </w:tc>
              <w:tc>
                <w:tcPr>
                  <w:tcW w:w="1278" w:type="dxa"/>
                  <w:tcBorders>
                    <w:top w:val="nil"/>
                    <w:left w:val="nil"/>
                    <w:bottom w:val="single" w:color="000000" w:sz="8" w:space="0"/>
                    <w:right w:val="single" w:color="000000" w:sz="8" w:space="0"/>
                  </w:tcBorders>
                  <w:noWrap/>
                  <w:vAlign w:val="center"/>
                </w:tcPr>
                <w:p w14:paraId="1A654C6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10g</w:t>
                  </w:r>
                </w:p>
              </w:tc>
              <w:tc>
                <w:tcPr>
                  <w:tcW w:w="1366" w:type="dxa"/>
                  <w:tcBorders>
                    <w:top w:val="nil"/>
                    <w:left w:val="nil"/>
                    <w:bottom w:val="single" w:color="000000" w:sz="8" w:space="0"/>
                    <w:right w:val="single" w:color="000000" w:sz="8" w:space="0"/>
                  </w:tcBorders>
                  <w:noWrap w:val="0"/>
                  <w:vAlign w:val="center"/>
                </w:tcPr>
                <w:p w14:paraId="35910AE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10g</w:t>
                  </w:r>
                </w:p>
              </w:tc>
              <w:tc>
                <w:tcPr>
                  <w:tcW w:w="2159" w:type="dxa"/>
                  <w:tcBorders>
                    <w:top w:val="nil"/>
                    <w:left w:val="nil"/>
                    <w:bottom w:val="single" w:color="000000" w:sz="8" w:space="0"/>
                    <w:right w:val="single" w:color="000000" w:sz="8" w:space="0"/>
                  </w:tcBorders>
                  <w:noWrap/>
                  <w:vAlign w:val="center"/>
                </w:tcPr>
                <w:p w14:paraId="2BD0AFC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瓶装10g、高纯</w:t>
                  </w:r>
                </w:p>
              </w:tc>
              <w:tc>
                <w:tcPr>
                  <w:tcW w:w="902" w:type="dxa"/>
                  <w:tcBorders>
                    <w:top w:val="nil"/>
                    <w:left w:val="nil"/>
                    <w:bottom w:val="single" w:color="000000" w:sz="8" w:space="0"/>
                    <w:right w:val="single" w:color="000000" w:sz="8" w:space="0"/>
                  </w:tcBorders>
                  <w:noWrap/>
                  <w:vAlign w:val="center"/>
                </w:tcPr>
                <w:p w14:paraId="7CE8F67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固态</w:t>
                  </w:r>
                </w:p>
              </w:tc>
              <w:tc>
                <w:tcPr>
                  <w:tcW w:w="1144" w:type="dxa"/>
                  <w:tcBorders>
                    <w:top w:val="nil"/>
                    <w:left w:val="nil"/>
                    <w:bottom w:val="single" w:color="000000" w:sz="8" w:space="0"/>
                    <w:right w:val="single" w:color="000000" w:sz="8" w:space="0"/>
                  </w:tcBorders>
                  <w:noWrap w:val="0"/>
                  <w:vAlign w:val="center"/>
                </w:tcPr>
                <w:p w14:paraId="23ACC49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标准室</w:t>
                  </w:r>
                </w:p>
              </w:tc>
            </w:tr>
            <w:tr w14:paraId="57C9731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813" w:type="dxa"/>
                  <w:tcBorders>
                    <w:top w:val="nil"/>
                    <w:left w:val="single" w:color="000000" w:sz="8" w:space="0"/>
                    <w:bottom w:val="single" w:color="000000" w:sz="8" w:space="0"/>
                    <w:right w:val="single" w:color="000000" w:sz="8" w:space="0"/>
                  </w:tcBorders>
                  <w:noWrap/>
                  <w:vAlign w:val="center"/>
                </w:tcPr>
                <w:p w14:paraId="06E685A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42</w:t>
                  </w:r>
                </w:p>
              </w:tc>
              <w:tc>
                <w:tcPr>
                  <w:tcW w:w="1542" w:type="dxa"/>
                  <w:tcBorders>
                    <w:top w:val="single" w:color="000000" w:sz="4" w:space="0"/>
                    <w:left w:val="single" w:color="000000" w:sz="4" w:space="0"/>
                    <w:bottom w:val="single" w:color="000000" w:sz="4" w:space="0"/>
                    <w:right w:val="single" w:color="000000" w:sz="4" w:space="0"/>
                  </w:tcBorders>
                  <w:noWrap w:val="0"/>
                  <w:vAlign w:val="center"/>
                </w:tcPr>
                <w:p w14:paraId="57D3F2D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金标准溶液1000μg/mL</w:t>
                  </w:r>
                </w:p>
              </w:tc>
              <w:tc>
                <w:tcPr>
                  <w:tcW w:w="1278" w:type="dxa"/>
                  <w:tcBorders>
                    <w:top w:val="nil"/>
                    <w:left w:val="nil"/>
                    <w:bottom w:val="single" w:color="000000" w:sz="8" w:space="0"/>
                    <w:right w:val="single" w:color="000000" w:sz="8" w:space="0"/>
                  </w:tcBorders>
                  <w:noWrap/>
                  <w:vAlign w:val="center"/>
                </w:tcPr>
                <w:p w14:paraId="7C2AAB6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200mL</w:t>
                  </w:r>
                </w:p>
              </w:tc>
              <w:tc>
                <w:tcPr>
                  <w:tcW w:w="1366" w:type="dxa"/>
                  <w:tcBorders>
                    <w:top w:val="nil"/>
                    <w:left w:val="nil"/>
                    <w:bottom w:val="single" w:color="000000" w:sz="8" w:space="0"/>
                    <w:right w:val="single" w:color="000000" w:sz="8" w:space="0"/>
                  </w:tcBorders>
                  <w:noWrap w:val="0"/>
                  <w:vAlign w:val="center"/>
                </w:tcPr>
                <w:p w14:paraId="407D36F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50mL</w:t>
                  </w:r>
                </w:p>
              </w:tc>
              <w:tc>
                <w:tcPr>
                  <w:tcW w:w="2159" w:type="dxa"/>
                  <w:tcBorders>
                    <w:top w:val="nil"/>
                    <w:left w:val="nil"/>
                    <w:bottom w:val="single" w:color="000000" w:sz="8" w:space="0"/>
                    <w:right w:val="single" w:color="000000" w:sz="8" w:space="0"/>
                  </w:tcBorders>
                  <w:noWrap/>
                  <w:vAlign w:val="center"/>
                </w:tcPr>
                <w:p w14:paraId="3E15CC8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瓶装50mL、标准物质</w:t>
                  </w:r>
                </w:p>
              </w:tc>
              <w:tc>
                <w:tcPr>
                  <w:tcW w:w="902" w:type="dxa"/>
                  <w:tcBorders>
                    <w:top w:val="nil"/>
                    <w:left w:val="nil"/>
                    <w:bottom w:val="single" w:color="000000" w:sz="8" w:space="0"/>
                    <w:right w:val="single" w:color="000000" w:sz="8" w:space="0"/>
                  </w:tcBorders>
                  <w:noWrap/>
                  <w:vAlign w:val="center"/>
                </w:tcPr>
                <w:p w14:paraId="1D18452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液态</w:t>
                  </w:r>
                </w:p>
              </w:tc>
              <w:tc>
                <w:tcPr>
                  <w:tcW w:w="1144" w:type="dxa"/>
                  <w:tcBorders>
                    <w:top w:val="nil"/>
                    <w:left w:val="nil"/>
                    <w:bottom w:val="single" w:color="000000" w:sz="8" w:space="0"/>
                    <w:right w:val="single" w:color="000000" w:sz="8" w:space="0"/>
                  </w:tcBorders>
                  <w:noWrap w:val="0"/>
                  <w:vAlign w:val="center"/>
                </w:tcPr>
                <w:p w14:paraId="4EB6FD8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标准室</w:t>
                  </w:r>
                </w:p>
              </w:tc>
            </w:tr>
            <w:tr w14:paraId="280265E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813" w:type="dxa"/>
                  <w:tcBorders>
                    <w:top w:val="nil"/>
                    <w:left w:val="single" w:color="000000" w:sz="8" w:space="0"/>
                    <w:bottom w:val="single" w:color="000000" w:sz="8" w:space="0"/>
                    <w:right w:val="single" w:color="000000" w:sz="8" w:space="0"/>
                  </w:tcBorders>
                  <w:noWrap/>
                  <w:vAlign w:val="center"/>
                </w:tcPr>
                <w:p w14:paraId="6FBF1FA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43</w:t>
                  </w:r>
                </w:p>
              </w:tc>
              <w:tc>
                <w:tcPr>
                  <w:tcW w:w="1542" w:type="dxa"/>
                  <w:tcBorders>
                    <w:top w:val="single" w:color="000000" w:sz="4" w:space="0"/>
                    <w:left w:val="single" w:color="000000" w:sz="4" w:space="0"/>
                    <w:bottom w:val="single" w:color="000000" w:sz="4" w:space="0"/>
                    <w:right w:val="single" w:color="000000" w:sz="4" w:space="0"/>
                  </w:tcBorders>
                  <w:noWrap w:val="0"/>
                  <w:vAlign w:val="center"/>
                </w:tcPr>
                <w:p w14:paraId="787AD40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银标准溶液1000μg/mL</w:t>
                  </w:r>
                </w:p>
              </w:tc>
              <w:tc>
                <w:tcPr>
                  <w:tcW w:w="1278" w:type="dxa"/>
                  <w:tcBorders>
                    <w:top w:val="nil"/>
                    <w:left w:val="nil"/>
                    <w:bottom w:val="single" w:color="000000" w:sz="8" w:space="0"/>
                    <w:right w:val="single" w:color="000000" w:sz="8" w:space="0"/>
                  </w:tcBorders>
                  <w:noWrap/>
                  <w:vAlign w:val="center"/>
                </w:tcPr>
                <w:p w14:paraId="68F40B5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200mL</w:t>
                  </w:r>
                </w:p>
              </w:tc>
              <w:tc>
                <w:tcPr>
                  <w:tcW w:w="1366" w:type="dxa"/>
                  <w:tcBorders>
                    <w:top w:val="nil"/>
                    <w:left w:val="nil"/>
                    <w:bottom w:val="single" w:color="000000" w:sz="8" w:space="0"/>
                    <w:right w:val="single" w:color="000000" w:sz="8" w:space="0"/>
                  </w:tcBorders>
                  <w:noWrap w:val="0"/>
                  <w:vAlign w:val="center"/>
                </w:tcPr>
                <w:p w14:paraId="1C23387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50mL</w:t>
                  </w:r>
                </w:p>
              </w:tc>
              <w:tc>
                <w:tcPr>
                  <w:tcW w:w="2159" w:type="dxa"/>
                  <w:tcBorders>
                    <w:top w:val="nil"/>
                    <w:left w:val="nil"/>
                    <w:bottom w:val="single" w:color="000000" w:sz="8" w:space="0"/>
                    <w:right w:val="single" w:color="000000" w:sz="8" w:space="0"/>
                  </w:tcBorders>
                  <w:noWrap/>
                  <w:vAlign w:val="center"/>
                </w:tcPr>
                <w:p w14:paraId="2D0DE44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瓶装50mL、标准物质</w:t>
                  </w:r>
                </w:p>
              </w:tc>
              <w:tc>
                <w:tcPr>
                  <w:tcW w:w="902" w:type="dxa"/>
                  <w:tcBorders>
                    <w:top w:val="nil"/>
                    <w:left w:val="nil"/>
                    <w:bottom w:val="single" w:color="000000" w:sz="8" w:space="0"/>
                    <w:right w:val="single" w:color="000000" w:sz="8" w:space="0"/>
                  </w:tcBorders>
                  <w:noWrap/>
                  <w:vAlign w:val="center"/>
                </w:tcPr>
                <w:p w14:paraId="262EFEA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液态</w:t>
                  </w:r>
                </w:p>
              </w:tc>
              <w:tc>
                <w:tcPr>
                  <w:tcW w:w="1144" w:type="dxa"/>
                  <w:tcBorders>
                    <w:top w:val="nil"/>
                    <w:left w:val="nil"/>
                    <w:bottom w:val="single" w:color="000000" w:sz="8" w:space="0"/>
                    <w:right w:val="single" w:color="000000" w:sz="8" w:space="0"/>
                  </w:tcBorders>
                  <w:noWrap w:val="0"/>
                  <w:vAlign w:val="center"/>
                </w:tcPr>
                <w:p w14:paraId="398E72F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标准室</w:t>
                  </w:r>
                </w:p>
              </w:tc>
            </w:tr>
            <w:tr w14:paraId="4FE5A5E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813" w:type="dxa"/>
                  <w:tcBorders>
                    <w:top w:val="nil"/>
                    <w:left w:val="single" w:color="000000" w:sz="8" w:space="0"/>
                    <w:bottom w:val="single" w:color="000000" w:sz="8" w:space="0"/>
                    <w:right w:val="single" w:color="000000" w:sz="8" w:space="0"/>
                  </w:tcBorders>
                  <w:noWrap/>
                  <w:vAlign w:val="center"/>
                </w:tcPr>
                <w:p w14:paraId="37D9165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44</w:t>
                  </w:r>
                </w:p>
              </w:tc>
              <w:tc>
                <w:tcPr>
                  <w:tcW w:w="1542" w:type="dxa"/>
                  <w:tcBorders>
                    <w:top w:val="single" w:color="000000" w:sz="4" w:space="0"/>
                    <w:left w:val="single" w:color="000000" w:sz="4" w:space="0"/>
                    <w:bottom w:val="single" w:color="000000" w:sz="4" w:space="0"/>
                    <w:right w:val="single" w:color="000000" w:sz="4" w:space="0"/>
                  </w:tcBorders>
                  <w:noWrap w:val="0"/>
                  <w:vAlign w:val="center"/>
                </w:tcPr>
                <w:p w14:paraId="2AA56D7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铜标准溶液1000μg/mL</w:t>
                  </w:r>
                </w:p>
              </w:tc>
              <w:tc>
                <w:tcPr>
                  <w:tcW w:w="1278" w:type="dxa"/>
                  <w:tcBorders>
                    <w:top w:val="nil"/>
                    <w:left w:val="nil"/>
                    <w:bottom w:val="single" w:color="000000" w:sz="8" w:space="0"/>
                    <w:right w:val="single" w:color="000000" w:sz="8" w:space="0"/>
                  </w:tcBorders>
                  <w:noWrap/>
                  <w:vAlign w:val="center"/>
                </w:tcPr>
                <w:p w14:paraId="70F632E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200mL</w:t>
                  </w:r>
                </w:p>
              </w:tc>
              <w:tc>
                <w:tcPr>
                  <w:tcW w:w="1366" w:type="dxa"/>
                  <w:tcBorders>
                    <w:top w:val="nil"/>
                    <w:left w:val="nil"/>
                    <w:bottom w:val="single" w:color="000000" w:sz="8" w:space="0"/>
                    <w:right w:val="single" w:color="000000" w:sz="8" w:space="0"/>
                  </w:tcBorders>
                  <w:noWrap w:val="0"/>
                  <w:vAlign w:val="center"/>
                </w:tcPr>
                <w:p w14:paraId="35D0004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50mL</w:t>
                  </w:r>
                </w:p>
              </w:tc>
              <w:tc>
                <w:tcPr>
                  <w:tcW w:w="2159" w:type="dxa"/>
                  <w:tcBorders>
                    <w:top w:val="nil"/>
                    <w:left w:val="nil"/>
                    <w:bottom w:val="single" w:color="000000" w:sz="8" w:space="0"/>
                    <w:right w:val="single" w:color="000000" w:sz="8" w:space="0"/>
                  </w:tcBorders>
                  <w:noWrap/>
                  <w:vAlign w:val="center"/>
                </w:tcPr>
                <w:p w14:paraId="359492D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瓶装50mL、标准物质</w:t>
                  </w:r>
                </w:p>
              </w:tc>
              <w:tc>
                <w:tcPr>
                  <w:tcW w:w="902" w:type="dxa"/>
                  <w:tcBorders>
                    <w:top w:val="nil"/>
                    <w:left w:val="nil"/>
                    <w:bottom w:val="single" w:color="000000" w:sz="8" w:space="0"/>
                    <w:right w:val="single" w:color="000000" w:sz="8" w:space="0"/>
                  </w:tcBorders>
                  <w:noWrap/>
                  <w:vAlign w:val="center"/>
                </w:tcPr>
                <w:p w14:paraId="5EC68FD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液态</w:t>
                  </w:r>
                </w:p>
              </w:tc>
              <w:tc>
                <w:tcPr>
                  <w:tcW w:w="1144" w:type="dxa"/>
                  <w:tcBorders>
                    <w:top w:val="nil"/>
                    <w:left w:val="nil"/>
                    <w:bottom w:val="single" w:color="000000" w:sz="8" w:space="0"/>
                    <w:right w:val="single" w:color="000000" w:sz="8" w:space="0"/>
                  </w:tcBorders>
                  <w:noWrap w:val="0"/>
                  <w:vAlign w:val="center"/>
                </w:tcPr>
                <w:p w14:paraId="7E68949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标准室</w:t>
                  </w:r>
                </w:p>
              </w:tc>
            </w:tr>
            <w:tr w14:paraId="7B21A57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813" w:type="dxa"/>
                  <w:tcBorders>
                    <w:top w:val="nil"/>
                    <w:left w:val="single" w:color="000000" w:sz="8" w:space="0"/>
                    <w:bottom w:val="single" w:color="000000" w:sz="8" w:space="0"/>
                    <w:right w:val="single" w:color="000000" w:sz="8" w:space="0"/>
                  </w:tcBorders>
                  <w:noWrap/>
                  <w:vAlign w:val="center"/>
                </w:tcPr>
                <w:p w14:paraId="6B08BB6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45</w:t>
                  </w:r>
                </w:p>
              </w:tc>
              <w:tc>
                <w:tcPr>
                  <w:tcW w:w="1542" w:type="dxa"/>
                  <w:tcBorders>
                    <w:top w:val="single" w:color="000000" w:sz="4" w:space="0"/>
                    <w:left w:val="single" w:color="000000" w:sz="4" w:space="0"/>
                    <w:bottom w:val="single" w:color="000000" w:sz="4" w:space="0"/>
                    <w:right w:val="single" w:color="000000" w:sz="4" w:space="0"/>
                  </w:tcBorders>
                  <w:noWrap w:val="0"/>
                  <w:vAlign w:val="center"/>
                </w:tcPr>
                <w:p w14:paraId="27FBA63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铅标准溶液1000μg/mL</w:t>
                  </w:r>
                </w:p>
              </w:tc>
              <w:tc>
                <w:tcPr>
                  <w:tcW w:w="1278" w:type="dxa"/>
                  <w:tcBorders>
                    <w:top w:val="nil"/>
                    <w:left w:val="nil"/>
                    <w:bottom w:val="single" w:color="000000" w:sz="8" w:space="0"/>
                    <w:right w:val="single" w:color="000000" w:sz="8" w:space="0"/>
                  </w:tcBorders>
                  <w:noWrap/>
                  <w:vAlign w:val="center"/>
                </w:tcPr>
                <w:p w14:paraId="6CB7726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200mL</w:t>
                  </w:r>
                </w:p>
              </w:tc>
              <w:tc>
                <w:tcPr>
                  <w:tcW w:w="1366" w:type="dxa"/>
                  <w:tcBorders>
                    <w:top w:val="nil"/>
                    <w:left w:val="nil"/>
                    <w:bottom w:val="single" w:color="000000" w:sz="8" w:space="0"/>
                    <w:right w:val="single" w:color="000000" w:sz="8" w:space="0"/>
                  </w:tcBorders>
                  <w:noWrap w:val="0"/>
                  <w:vAlign w:val="center"/>
                </w:tcPr>
                <w:p w14:paraId="5BDD76C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50mL</w:t>
                  </w:r>
                </w:p>
              </w:tc>
              <w:tc>
                <w:tcPr>
                  <w:tcW w:w="2159" w:type="dxa"/>
                  <w:tcBorders>
                    <w:top w:val="nil"/>
                    <w:left w:val="nil"/>
                    <w:bottom w:val="single" w:color="000000" w:sz="8" w:space="0"/>
                    <w:right w:val="single" w:color="000000" w:sz="8" w:space="0"/>
                  </w:tcBorders>
                  <w:noWrap/>
                  <w:vAlign w:val="center"/>
                </w:tcPr>
                <w:p w14:paraId="7555EFB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瓶装50mL、标准物质</w:t>
                  </w:r>
                </w:p>
              </w:tc>
              <w:tc>
                <w:tcPr>
                  <w:tcW w:w="902" w:type="dxa"/>
                  <w:tcBorders>
                    <w:top w:val="nil"/>
                    <w:left w:val="nil"/>
                    <w:bottom w:val="single" w:color="000000" w:sz="8" w:space="0"/>
                    <w:right w:val="single" w:color="000000" w:sz="8" w:space="0"/>
                  </w:tcBorders>
                  <w:noWrap/>
                  <w:vAlign w:val="center"/>
                </w:tcPr>
                <w:p w14:paraId="5ADE8BC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液态</w:t>
                  </w:r>
                </w:p>
              </w:tc>
              <w:tc>
                <w:tcPr>
                  <w:tcW w:w="1144" w:type="dxa"/>
                  <w:tcBorders>
                    <w:top w:val="nil"/>
                    <w:left w:val="nil"/>
                    <w:bottom w:val="single" w:color="000000" w:sz="8" w:space="0"/>
                    <w:right w:val="single" w:color="000000" w:sz="8" w:space="0"/>
                  </w:tcBorders>
                  <w:noWrap w:val="0"/>
                  <w:vAlign w:val="center"/>
                </w:tcPr>
                <w:p w14:paraId="58D6F9F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标准室</w:t>
                  </w:r>
                </w:p>
              </w:tc>
            </w:tr>
            <w:tr w14:paraId="6551E70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813" w:type="dxa"/>
                  <w:tcBorders>
                    <w:top w:val="nil"/>
                    <w:left w:val="single" w:color="000000" w:sz="8" w:space="0"/>
                    <w:bottom w:val="single" w:color="000000" w:sz="8" w:space="0"/>
                    <w:right w:val="single" w:color="000000" w:sz="8" w:space="0"/>
                  </w:tcBorders>
                  <w:noWrap/>
                  <w:vAlign w:val="center"/>
                </w:tcPr>
                <w:p w14:paraId="14D44DC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46</w:t>
                  </w:r>
                </w:p>
              </w:tc>
              <w:tc>
                <w:tcPr>
                  <w:tcW w:w="1542" w:type="dxa"/>
                  <w:tcBorders>
                    <w:top w:val="single" w:color="000000" w:sz="4" w:space="0"/>
                    <w:left w:val="single" w:color="000000" w:sz="4" w:space="0"/>
                    <w:bottom w:val="single" w:color="000000" w:sz="4" w:space="0"/>
                    <w:right w:val="single" w:color="000000" w:sz="4" w:space="0"/>
                  </w:tcBorders>
                  <w:noWrap w:val="0"/>
                  <w:vAlign w:val="center"/>
                </w:tcPr>
                <w:p w14:paraId="220C4FF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锌标准溶液1000μg/mL</w:t>
                  </w:r>
                </w:p>
              </w:tc>
              <w:tc>
                <w:tcPr>
                  <w:tcW w:w="1278" w:type="dxa"/>
                  <w:tcBorders>
                    <w:top w:val="nil"/>
                    <w:left w:val="nil"/>
                    <w:bottom w:val="single" w:color="000000" w:sz="8" w:space="0"/>
                    <w:right w:val="single" w:color="000000" w:sz="8" w:space="0"/>
                  </w:tcBorders>
                  <w:noWrap/>
                  <w:vAlign w:val="center"/>
                </w:tcPr>
                <w:p w14:paraId="55D9FC7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200mL</w:t>
                  </w:r>
                </w:p>
              </w:tc>
              <w:tc>
                <w:tcPr>
                  <w:tcW w:w="1366" w:type="dxa"/>
                  <w:tcBorders>
                    <w:top w:val="nil"/>
                    <w:left w:val="nil"/>
                    <w:bottom w:val="single" w:color="000000" w:sz="8" w:space="0"/>
                    <w:right w:val="single" w:color="000000" w:sz="8" w:space="0"/>
                  </w:tcBorders>
                  <w:noWrap w:val="0"/>
                  <w:vAlign w:val="center"/>
                </w:tcPr>
                <w:p w14:paraId="508361D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50mL</w:t>
                  </w:r>
                </w:p>
              </w:tc>
              <w:tc>
                <w:tcPr>
                  <w:tcW w:w="2159" w:type="dxa"/>
                  <w:tcBorders>
                    <w:top w:val="nil"/>
                    <w:left w:val="nil"/>
                    <w:bottom w:val="single" w:color="000000" w:sz="8" w:space="0"/>
                    <w:right w:val="single" w:color="000000" w:sz="8" w:space="0"/>
                  </w:tcBorders>
                  <w:noWrap/>
                  <w:vAlign w:val="center"/>
                </w:tcPr>
                <w:p w14:paraId="2218EF6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瓶装50mL、标准物质</w:t>
                  </w:r>
                </w:p>
              </w:tc>
              <w:tc>
                <w:tcPr>
                  <w:tcW w:w="902" w:type="dxa"/>
                  <w:tcBorders>
                    <w:top w:val="nil"/>
                    <w:left w:val="nil"/>
                    <w:bottom w:val="single" w:color="000000" w:sz="8" w:space="0"/>
                    <w:right w:val="single" w:color="000000" w:sz="8" w:space="0"/>
                  </w:tcBorders>
                  <w:noWrap/>
                  <w:vAlign w:val="center"/>
                </w:tcPr>
                <w:p w14:paraId="6878396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液态</w:t>
                  </w:r>
                </w:p>
              </w:tc>
              <w:tc>
                <w:tcPr>
                  <w:tcW w:w="1144" w:type="dxa"/>
                  <w:tcBorders>
                    <w:top w:val="nil"/>
                    <w:left w:val="nil"/>
                    <w:bottom w:val="single" w:color="000000" w:sz="8" w:space="0"/>
                    <w:right w:val="single" w:color="000000" w:sz="8" w:space="0"/>
                  </w:tcBorders>
                  <w:noWrap w:val="0"/>
                  <w:vAlign w:val="center"/>
                </w:tcPr>
                <w:p w14:paraId="2235ED6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标准室</w:t>
                  </w:r>
                </w:p>
              </w:tc>
            </w:tr>
            <w:tr w14:paraId="5CFD364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813" w:type="dxa"/>
                  <w:tcBorders>
                    <w:top w:val="nil"/>
                    <w:left w:val="single" w:color="000000" w:sz="8" w:space="0"/>
                    <w:bottom w:val="single" w:color="000000" w:sz="8" w:space="0"/>
                    <w:right w:val="single" w:color="000000" w:sz="8" w:space="0"/>
                  </w:tcBorders>
                  <w:noWrap/>
                  <w:vAlign w:val="center"/>
                </w:tcPr>
                <w:p w14:paraId="28660DC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47</w:t>
                  </w:r>
                </w:p>
              </w:tc>
              <w:tc>
                <w:tcPr>
                  <w:tcW w:w="1542" w:type="dxa"/>
                  <w:tcBorders>
                    <w:top w:val="single" w:color="000000" w:sz="4" w:space="0"/>
                    <w:left w:val="single" w:color="000000" w:sz="4" w:space="0"/>
                    <w:bottom w:val="single" w:color="000000" w:sz="4" w:space="0"/>
                    <w:right w:val="single" w:color="000000" w:sz="4" w:space="0"/>
                  </w:tcBorders>
                  <w:noWrap w:val="0"/>
                  <w:vAlign w:val="center"/>
                </w:tcPr>
                <w:p w14:paraId="15787C4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铁标准溶液1000μg/mL</w:t>
                  </w:r>
                </w:p>
              </w:tc>
              <w:tc>
                <w:tcPr>
                  <w:tcW w:w="1278" w:type="dxa"/>
                  <w:tcBorders>
                    <w:top w:val="nil"/>
                    <w:left w:val="nil"/>
                    <w:bottom w:val="single" w:color="000000" w:sz="8" w:space="0"/>
                    <w:right w:val="single" w:color="000000" w:sz="8" w:space="0"/>
                  </w:tcBorders>
                  <w:noWrap/>
                  <w:vAlign w:val="center"/>
                </w:tcPr>
                <w:p w14:paraId="2016E1D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200mL</w:t>
                  </w:r>
                </w:p>
              </w:tc>
              <w:tc>
                <w:tcPr>
                  <w:tcW w:w="1366" w:type="dxa"/>
                  <w:tcBorders>
                    <w:top w:val="nil"/>
                    <w:left w:val="nil"/>
                    <w:bottom w:val="single" w:color="000000" w:sz="8" w:space="0"/>
                    <w:right w:val="single" w:color="000000" w:sz="8" w:space="0"/>
                  </w:tcBorders>
                  <w:noWrap w:val="0"/>
                  <w:vAlign w:val="center"/>
                </w:tcPr>
                <w:p w14:paraId="77F2995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50mL</w:t>
                  </w:r>
                </w:p>
              </w:tc>
              <w:tc>
                <w:tcPr>
                  <w:tcW w:w="2159" w:type="dxa"/>
                  <w:tcBorders>
                    <w:top w:val="nil"/>
                    <w:left w:val="nil"/>
                    <w:bottom w:val="single" w:color="000000" w:sz="8" w:space="0"/>
                    <w:right w:val="single" w:color="000000" w:sz="8" w:space="0"/>
                  </w:tcBorders>
                  <w:noWrap/>
                  <w:vAlign w:val="center"/>
                </w:tcPr>
                <w:p w14:paraId="12FC3A4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瓶装50mL、标准物质</w:t>
                  </w:r>
                </w:p>
              </w:tc>
              <w:tc>
                <w:tcPr>
                  <w:tcW w:w="902" w:type="dxa"/>
                  <w:tcBorders>
                    <w:top w:val="nil"/>
                    <w:left w:val="nil"/>
                    <w:bottom w:val="single" w:color="000000" w:sz="8" w:space="0"/>
                    <w:right w:val="single" w:color="000000" w:sz="8" w:space="0"/>
                  </w:tcBorders>
                  <w:noWrap/>
                  <w:vAlign w:val="center"/>
                </w:tcPr>
                <w:p w14:paraId="6764F50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液态</w:t>
                  </w:r>
                </w:p>
              </w:tc>
              <w:tc>
                <w:tcPr>
                  <w:tcW w:w="1144" w:type="dxa"/>
                  <w:tcBorders>
                    <w:top w:val="nil"/>
                    <w:left w:val="nil"/>
                    <w:bottom w:val="single" w:color="000000" w:sz="8" w:space="0"/>
                    <w:right w:val="single" w:color="000000" w:sz="8" w:space="0"/>
                  </w:tcBorders>
                  <w:noWrap w:val="0"/>
                  <w:vAlign w:val="center"/>
                </w:tcPr>
                <w:p w14:paraId="0463DE1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标准室</w:t>
                  </w:r>
                </w:p>
              </w:tc>
            </w:tr>
          </w:tbl>
          <w:p w14:paraId="7A541506">
            <w:pPr>
              <w:pStyle w:val="77"/>
              <w:adjustRightInd w:val="0"/>
              <w:snapToGrid w:val="0"/>
              <w:spacing w:before="120" w:beforeLines="50" w:line="360" w:lineRule="auto"/>
              <w:ind w:firstLine="482"/>
              <w:jc w:val="both"/>
              <w:rPr>
                <w:rFonts w:hint="eastAsia" w:cs="Times New Roman"/>
                <w:color w:val="auto"/>
                <w:sz w:val="24"/>
                <w:szCs w:val="24"/>
                <w:lang w:eastAsia="zh-CN"/>
              </w:rPr>
            </w:pPr>
            <w:r>
              <w:rPr>
                <w:rFonts w:hint="eastAsia" w:cs="Times New Roman"/>
                <w:color w:val="auto"/>
                <w:sz w:val="24"/>
                <w:szCs w:val="24"/>
                <w:lang w:eastAsia="zh-CN"/>
              </w:rPr>
              <w:t>主要原辅料的成分及理化性质见表2</w:t>
            </w:r>
            <w:r>
              <w:rPr>
                <w:rFonts w:cs="Times New Roman"/>
                <w:color w:val="auto"/>
                <w:sz w:val="24"/>
                <w:szCs w:val="24"/>
                <w:lang w:eastAsia="zh-CN"/>
              </w:rPr>
              <w:t>-</w:t>
            </w:r>
            <w:r>
              <w:rPr>
                <w:rFonts w:hint="eastAsia" w:cs="Times New Roman"/>
                <w:color w:val="auto"/>
                <w:sz w:val="24"/>
                <w:szCs w:val="24"/>
                <w:lang w:val="en-US" w:eastAsia="zh-CN"/>
              </w:rPr>
              <w:t>5</w:t>
            </w:r>
            <w:r>
              <w:rPr>
                <w:rFonts w:hint="eastAsia" w:cs="Times New Roman"/>
                <w:color w:val="auto"/>
                <w:sz w:val="24"/>
                <w:szCs w:val="24"/>
                <w:lang w:eastAsia="zh-CN"/>
              </w:rPr>
              <w:t>。</w:t>
            </w:r>
          </w:p>
          <w:p w14:paraId="6DCB1A5B">
            <w:pPr>
              <w:pStyle w:val="19"/>
              <w:adjustRightInd w:val="0"/>
              <w:jc w:val="center"/>
              <w:rPr>
                <w:b/>
                <w:color w:val="auto"/>
                <w:sz w:val="21"/>
                <w:szCs w:val="21"/>
                <w:lang w:bidi="en-US"/>
              </w:rPr>
            </w:pPr>
            <w:r>
              <w:rPr>
                <w:rFonts w:hint="eastAsia"/>
                <w:b/>
                <w:color w:val="auto"/>
                <w:sz w:val="21"/>
                <w:szCs w:val="21"/>
                <w:lang w:bidi="en-US"/>
              </w:rPr>
              <w:t>表2</w:t>
            </w:r>
            <w:r>
              <w:rPr>
                <w:b/>
                <w:color w:val="auto"/>
                <w:sz w:val="21"/>
                <w:szCs w:val="21"/>
                <w:lang w:bidi="en-US"/>
              </w:rPr>
              <w:t>-</w:t>
            </w:r>
            <w:r>
              <w:rPr>
                <w:rFonts w:hint="eastAsia"/>
                <w:b/>
                <w:color w:val="auto"/>
                <w:sz w:val="21"/>
                <w:szCs w:val="21"/>
                <w:lang w:val="en-US" w:eastAsia="zh-CN" w:bidi="en-US"/>
              </w:rPr>
              <w:t>5</w:t>
            </w:r>
            <w:r>
              <w:rPr>
                <w:b/>
                <w:color w:val="auto"/>
                <w:sz w:val="21"/>
                <w:szCs w:val="21"/>
                <w:lang w:bidi="en-US"/>
              </w:rPr>
              <w:t xml:space="preserve">   </w:t>
            </w:r>
            <w:r>
              <w:rPr>
                <w:b/>
                <w:bCs/>
                <w:color w:val="auto"/>
                <w:sz w:val="21"/>
                <w:szCs w:val="21"/>
                <w:lang w:bidi="en-US"/>
              </w:rPr>
              <w:t>主要原辅材料</w:t>
            </w:r>
            <w:r>
              <w:rPr>
                <w:rFonts w:hint="eastAsia"/>
                <w:b/>
                <w:bCs/>
                <w:color w:val="auto"/>
                <w:sz w:val="21"/>
                <w:szCs w:val="21"/>
                <w:lang w:bidi="en-US"/>
              </w:rPr>
              <w:t>理化</w:t>
            </w:r>
            <w:r>
              <w:rPr>
                <w:b/>
                <w:bCs/>
                <w:color w:val="auto"/>
                <w:sz w:val="21"/>
                <w:szCs w:val="21"/>
                <w:lang w:bidi="en-US"/>
              </w:rPr>
              <w:t>性质</w:t>
            </w:r>
            <w:r>
              <w:rPr>
                <w:rFonts w:hint="eastAsia"/>
                <w:b/>
                <w:bCs/>
                <w:color w:val="auto"/>
                <w:sz w:val="21"/>
                <w:szCs w:val="21"/>
                <w:lang w:bidi="en-US"/>
              </w:rPr>
              <w:t>一览表</w:t>
            </w:r>
          </w:p>
          <w:tbl>
            <w:tblPr>
              <w:tblStyle w:val="28"/>
              <w:tblW w:w="913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
            <w:tblGrid>
              <w:gridCol w:w="696"/>
              <w:gridCol w:w="1050"/>
              <w:gridCol w:w="975"/>
              <w:gridCol w:w="4344"/>
              <w:gridCol w:w="2070"/>
            </w:tblGrid>
            <w:tr w14:paraId="076AD6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0" w:hRule="atLeast"/>
              </w:trPr>
              <w:tc>
                <w:tcPr>
                  <w:tcW w:w="696" w:type="dxa"/>
                  <w:noWrap w:val="0"/>
                  <w:tcMar>
                    <w:top w:w="135" w:type="dxa"/>
                    <w:left w:w="120" w:type="dxa"/>
                    <w:bottom w:w="135" w:type="dxa"/>
                    <w:right w:w="120" w:type="dxa"/>
                  </w:tcMar>
                  <w:vAlign w:val="center"/>
                </w:tcPr>
                <w:p w14:paraId="59B71CD6">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序号</w:t>
                  </w:r>
                </w:p>
              </w:tc>
              <w:tc>
                <w:tcPr>
                  <w:tcW w:w="1050" w:type="dxa"/>
                  <w:noWrap w:val="0"/>
                  <w:tcMar>
                    <w:top w:w="135" w:type="dxa"/>
                    <w:left w:w="120" w:type="dxa"/>
                    <w:bottom w:w="135" w:type="dxa"/>
                    <w:right w:w="120" w:type="dxa"/>
                  </w:tcMar>
                  <w:vAlign w:val="center"/>
                </w:tcPr>
                <w:p w14:paraId="1763C8B7">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药品名称</w:t>
                  </w:r>
                </w:p>
              </w:tc>
              <w:tc>
                <w:tcPr>
                  <w:tcW w:w="975" w:type="dxa"/>
                  <w:noWrap w:val="0"/>
                  <w:tcMar>
                    <w:top w:w="135" w:type="dxa"/>
                    <w:left w:w="120" w:type="dxa"/>
                    <w:bottom w:w="135" w:type="dxa"/>
                    <w:right w:w="120" w:type="dxa"/>
                  </w:tcMar>
                  <w:vAlign w:val="center"/>
                </w:tcPr>
                <w:p w14:paraId="67F5AEF4">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分子式</w:t>
                  </w:r>
                </w:p>
              </w:tc>
              <w:tc>
                <w:tcPr>
                  <w:tcW w:w="4344" w:type="dxa"/>
                  <w:noWrap w:val="0"/>
                  <w:tcMar>
                    <w:top w:w="135" w:type="dxa"/>
                    <w:left w:w="120" w:type="dxa"/>
                    <w:bottom w:w="135" w:type="dxa"/>
                    <w:right w:w="120" w:type="dxa"/>
                  </w:tcMar>
                  <w:vAlign w:val="center"/>
                </w:tcPr>
                <w:p w14:paraId="02B7F515">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理化性质及燃烧、爆炸性</w:t>
                  </w:r>
                </w:p>
              </w:tc>
              <w:tc>
                <w:tcPr>
                  <w:tcW w:w="2070" w:type="dxa"/>
                  <w:noWrap w:val="0"/>
                  <w:tcMar>
                    <w:top w:w="135" w:type="dxa"/>
                    <w:left w:w="120" w:type="dxa"/>
                    <w:bottom w:w="135" w:type="dxa"/>
                    <w:right w:w="120" w:type="dxa"/>
                  </w:tcMar>
                  <w:vAlign w:val="center"/>
                </w:tcPr>
                <w:p w14:paraId="5975AD5B">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毒理毒性</w:t>
                  </w:r>
                </w:p>
              </w:tc>
            </w:tr>
            <w:tr w14:paraId="7506E2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0" w:hRule="atLeast"/>
              </w:trPr>
              <w:tc>
                <w:tcPr>
                  <w:tcW w:w="696" w:type="dxa"/>
                  <w:noWrap w:val="0"/>
                  <w:tcMar>
                    <w:top w:w="135" w:type="dxa"/>
                    <w:left w:w="120" w:type="dxa"/>
                    <w:bottom w:w="135" w:type="dxa"/>
                    <w:right w:w="120" w:type="dxa"/>
                  </w:tcMar>
                  <w:vAlign w:val="center"/>
                </w:tcPr>
                <w:p w14:paraId="00425AF7">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1</w:t>
                  </w:r>
                </w:p>
              </w:tc>
              <w:tc>
                <w:tcPr>
                  <w:tcW w:w="1050" w:type="dxa"/>
                  <w:noWrap w:val="0"/>
                  <w:tcMar>
                    <w:top w:w="135" w:type="dxa"/>
                    <w:left w:w="120" w:type="dxa"/>
                    <w:bottom w:w="135" w:type="dxa"/>
                    <w:right w:w="120" w:type="dxa"/>
                  </w:tcMar>
                  <w:vAlign w:val="center"/>
                </w:tcPr>
                <w:p w14:paraId="12CA2529">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盐酸</w:t>
                  </w:r>
                </w:p>
              </w:tc>
              <w:tc>
                <w:tcPr>
                  <w:tcW w:w="975" w:type="dxa"/>
                  <w:noWrap w:val="0"/>
                  <w:tcMar>
                    <w:top w:w="135" w:type="dxa"/>
                    <w:left w:w="120" w:type="dxa"/>
                    <w:bottom w:w="135" w:type="dxa"/>
                    <w:right w:w="120" w:type="dxa"/>
                  </w:tcMar>
                  <w:vAlign w:val="center"/>
                </w:tcPr>
                <w:p w14:paraId="2CFA98D4">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HCl</w:t>
                  </w:r>
                </w:p>
              </w:tc>
              <w:tc>
                <w:tcPr>
                  <w:tcW w:w="4344" w:type="dxa"/>
                  <w:noWrap w:val="0"/>
                  <w:tcMar>
                    <w:top w:w="135" w:type="dxa"/>
                    <w:left w:w="120" w:type="dxa"/>
                    <w:bottom w:w="135" w:type="dxa"/>
                    <w:right w:w="120" w:type="dxa"/>
                  </w:tcMar>
                  <w:vAlign w:val="center"/>
                </w:tcPr>
                <w:p w14:paraId="0B43BC8F">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无色液体，有腐蚀性，具刺激性气味。熔点 - 35℃，沸点 57℃，相对密度 (水 = 1) 1.20。强腐蚀性、强刺激性，可致人体灼伤；与活性金属粉末反应放出氢气，不燃。</w:t>
                  </w:r>
                </w:p>
              </w:tc>
              <w:tc>
                <w:tcPr>
                  <w:tcW w:w="2070" w:type="dxa"/>
                  <w:noWrap w:val="0"/>
                  <w:tcMar>
                    <w:top w:w="135" w:type="dxa"/>
                    <w:left w:w="120" w:type="dxa"/>
                    <w:bottom w:w="135" w:type="dxa"/>
                    <w:right w:w="120" w:type="dxa"/>
                  </w:tcMar>
                  <w:vAlign w:val="center"/>
                </w:tcPr>
                <w:p w14:paraId="695B65F6">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LD50 900mg/kg（兔经口）；LC50 3124ppm，1 小时（大鼠吸入）</w:t>
                  </w:r>
                </w:p>
              </w:tc>
            </w:tr>
            <w:tr w14:paraId="008FDB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0" w:hRule="atLeast"/>
              </w:trPr>
              <w:tc>
                <w:tcPr>
                  <w:tcW w:w="696" w:type="dxa"/>
                  <w:noWrap w:val="0"/>
                  <w:tcMar>
                    <w:top w:w="135" w:type="dxa"/>
                    <w:left w:w="120" w:type="dxa"/>
                    <w:bottom w:w="135" w:type="dxa"/>
                    <w:right w:w="120" w:type="dxa"/>
                  </w:tcMar>
                  <w:vAlign w:val="center"/>
                </w:tcPr>
                <w:p w14:paraId="0C83771B">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2</w:t>
                  </w:r>
                </w:p>
              </w:tc>
              <w:tc>
                <w:tcPr>
                  <w:tcW w:w="1050" w:type="dxa"/>
                  <w:noWrap w:val="0"/>
                  <w:tcMar>
                    <w:top w:w="135" w:type="dxa"/>
                    <w:left w:w="120" w:type="dxa"/>
                    <w:bottom w:w="135" w:type="dxa"/>
                    <w:right w:w="120" w:type="dxa"/>
                  </w:tcMar>
                  <w:vAlign w:val="center"/>
                </w:tcPr>
                <w:p w14:paraId="7C283FE7">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硝酸</w:t>
                  </w:r>
                </w:p>
              </w:tc>
              <w:tc>
                <w:tcPr>
                  <w:tcW w:w="975" w:type="dxa"/>
                  <w:noWrap w:val="0"/>
                  <w:tcMar>
                    <w:top w:w="135" w:type="dxa"/>
                    <w:left w:w="120" w:type="dxa"/>
                    <w:bottom w:w="135" w:type="dxa"/>
                    <w:right w:w="120" w:type="dxa"/>
                  </w:tcMar>
                  <w:vAlign w:val="center"/>
                </w:tcPr>
                <w:p w14:paraId="73691869">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HNO₃</w:t>
                  </w:r>
                </w:p>
              </w:tc>
              <w:tc>
                <w:tcPr>
                  <w:tcW w:w="4344" w:type="dxa"/>
                  <w:noWrap w:val="0"/>
                  <w:tcMar>
                    <w:top w:w="135" w:type="dxa"/>
                    <w:left w:w="120" w:type="dxa"/>
                    <w:bottom w:w="135" w:type="dxa"/>
                    <w:right w:w="120" w:type="dxa"/>
                  </w:tcMar>
                  <w:vAlign w:val="center"/>
                </w:tcPr>
                <w:p w14:paraId="04C3B9F0">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无色至淡黄色液体，有强刺激性气味。熔点 - 42℃，沸点 83℃，相对密度 (水 = 1) 1.42。强氧化性、腐蚀性，遇有机物易燃烧爆炸；与还原剂反应剧烈，不燃但助燃。</w:t>
                  </w:r>
                </w:p>
              </w:tc>
              <w:tc>
                <w:tcPr>
                  <w:tcW w:w="2070" w:type="dxa"/>
                  <w:noWrap w:val="0"/>
                  <w:tcMar>
                    <w:top w:w="135" w:type="dxa"/>
                    <w:left w:w="120" w:type="dxa"/>
                    <w:bottom w:w="135" w:type="dxa"/>
                    <w:right w:w="120" w:type="dxa"/>
                  </w:tcMar>
                  <w:vAlign w:val="center"/>
                </w:tcPr>
                <w:p w14:paraId="701FF94B">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LD50 49mg/kg（兔经口）；LC50 130ppm，4 小时（大鼠吸入）</w:t>
                  </w:r>
                </w:p>
              </w:tc>
            </w:tr>
            <w:tr w14:paraId="758721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0" w:hRule="atLeast"/>
              </w:trPr>
              <w:tc>
                <w:tcPr>
                  <w:tcW w:w="696" w:type="dxa"/>
                  <w:noWrap w:val="0"/>
                  <w:tcMar>
                    <w:top w:w="135" w:type="dxa"/>
                    <w:left w:w="120" w:type="dxa"/>
                    <w:bottom w:w="135" w:type="dxa"/>
                    <w:right w:w="120" w:type="dxa"/>
                  </w:tcMar>
                  <w:vAlign w:val="center"/>
                </w:tcPr>
                <w:p w14:paraId="48387654">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3</w:t>
                  </w:r>
                </w:p>
              </w:tc>
              <w:tc>
                <w:tcPr>
                  <w:tcW w:w="1050" w:type="dxa"/>
                  <w:noWrap w:val="0"/>
                  <w:tcMar>
                    <w:top w:w="135" w:type="dxa"/>
                    <w:left w:w="120" w:type="dxa"/>
                    <w:bottom w:w="135" w:type="dxa"/>
                    <w:right w:w="120" w:type="dxa"/>
                  </w:tcMar>
                  <w:vAlign w:val="center"/>
                </w:tcPr>
                <w:p w14:paraId="70E9F4BD">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硫酸</w:t>
                  </w:r>
                </w:p>
              </w:tc>
              <w:tc>
                <w:tcPr>
                  <w:tcW w:w="975" w:type="dxa"/>
                  <w:noWrap w:val="0"/>
                  <w:tcMar>
                    <w:top w:w="135" w:type="dxa"/>
                    <w:left w:w="120" w:type="dxa"/>
                    <w:bottom w:w="135" w:type="dxa"/>
                    <w:right w:w="120" w:type="dxa"/>
                  </w:tcMar>
                  <w:vAlign w:val="center"/>
                </w:tcPr>
                <w:p w14:paraId="5AD6B7C0">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H₂SO₄</w:t>
                  </w:r>
                </w:p>
              </w:tc>
              <w:tc>
                <w:tcPr>
                  <w:tcW w:w="4344" w:type="dxa"/>
                  <w:noWrap w:val="0"/>
                  <w:tcMar>
                    <w:top w:w="135" w:type="dxa"/>
                    <w:left w:w="120" w:type="dxa"/>
                    <w:bottom w:w="135" w:type="dxa"/>
                    <w:right w:w="120" w:type="dxa"/>
                  </w:tcMar>
                  <w:vAlign w:val="center"/>
                </w:tcPr>
                <w:p w14:paraId="20DA37DA">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无色油状液体，无臭，具强吸水性。熔点 10.5℃，沸点 330℃，相对密度 (水 = 1) 1.84。强腐蚀性、脱水性，遇水剧烈放热；与金属反应生成氢气，不燃。</w:t>
                  </w:r>
                </w:p>
              </w:tc>
              <w:tc>
                <w:tcPr>
                  <w:tcW w:w="2070" w:type="dxa"/>
                  <w:noWrap w:val="0"/>
                  <w:tcMar>
                    <w:top w:w="135" w:type="dxa"/>
                    <w:left w:w="120" w:type="dxa"/>
                    <w:bottom w:w="135" w:type="dxa"/>
                    <w:right w:w="120" w:type="dxa"/>
                  </w:tcMar>
                  <w:vAlign w:val="center"/>
                </w:tcPr>
                <w:p w14:paraId="073A2D4E">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LD50 2140mg/kg（大鼠经口）；LC50 510mg/m³，2 小时（大鼠吸入）</w:t>
                  </w:r>
                </w:p>
              </w:tc>
            </w:tr>
            <w:tr w14:paraId="755921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0" w:hRule="atLeast"/>
              </w:trPr>
              <w:tc>
                <w:tcPr>
                  <w:tcW w:w="696" w:type="dxa"/>
                  <w:noWrap w:val="0"/>
                  <w:tcMar>
                    <w:top w:w="135" w:type="dxa"/>
                    <w:left w:w="120" w:type="dxa"/>
                    <w:bottom w:w="135" w:type="dxa"/>
                    <w:right w:w="120" w:type="dxa"/>
                  </w:tcMar>
                  <w:vAlign w:val="center"/>
                </w:tcPr>
                <w:p w14:paraId="476D133E">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4</w:t>
                  </w:r>
                </w:p>
              </w:tc>
              <w:tc>
                <w:tcPr>
                  <w:tcW w:w="1050" w:type="dxa"/>
                  <w:noWrap w:val="0"/>
                  <w:tcMar>
                    <w:top w:w="135" w:type="dxa"/>
                    <w:left w:w="120" w:type="dxa"/>
                    <w:bottom w:w="135" w:type="dxa"/>
                    <w:right w:w="120" w:type="dxa"/>
                  </w:tcMar>
                  <w:vAlign w:val="center"/>
                </w:tcPr>
                <w:p w14:paraId="6DB80869">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高氯酸</w:t>
                  </w:r>
                </w:p>
              </w:tc>
              <w:tc>
                <w:tcPr>
                  <w:tcW w:w="975" w:type="dxa"/>
                  <w:noWrap w:val="0"/>
                  <w:tcMar>
                    <w:top w:w="135" w:type="dxa"/>
                    <w:left w:w="120" w:type="dxa"/>
                    <w:bottom w:w="135" w:type="dxa"/>
                    <w:right w:w="120" w:type="dxa"/>
                  </w:tcMar>
                  <w:vAlign w:val="center"/>
                </w:tcPr>
                <w:p w14:paraId="13487562">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HClO₄</w:t>
                  </w:r>
                </w:p>
              </w:tc>
              <w:tc>
                <w:tcPr>
                  <w:tcW w:w="4344" w:type="dxa"/>
                  <w:noWrap w:val="0"/>
                  <w:tcMar>
                    <w:top w:w="135" w:type="dxa"/>
                    <w:left w:w="120" w:type="dxa"/>
                    <w:bottom w:w="135" w:type="dxa"/>
                    <w:right w:w="120" w:type="dxa"/>
                  </w:tcMar>
                  <w:vAlign w:val="center"/>
                </w:tcPr>
                <w:p w14:paraId="78F6B9CA">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无色透明液体，有刺激性气味。熔点 - 112℃，沸点 130℃（分解），相对密度 (水 = 1) 1.76。强氧化性、腐蚀性，浓溶液遇有机物易爆炸；受热分解产生有毒气体，不燃。</w:t>
                  </w:r>
                </w:p>
              </w:tc>
              <w:tc>
                <w:tcPr>
                  <w:tcW w:w="2070" w:type="dxa"/>
                  <w:noWrap w:val="0"/>
                  <w:tcMar>
                    <w:top w:w="135" w:type="dxa"/>
                    <w:left w:w="120" w:type="dxa"/>
                    <w:bottom w:w="135" w:type="dxa"/>
                    <w:right w:w="120" w:type="dxa"/>
                  </w:tcMar>
                  <w:vAlign w:val="center"/>
                </w:tcPr>
                <w:p w14:paraId="053D53B2">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LD50 1100mg/kg（大鼠经口）；LC50 400ppm，2 小时（小鼠吸入）</w:t>
                  </w:r>
                </w:p>
              </w:tc>
            </w:tr>
            <w:tr w14:paraId="5886F9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0" w:hRule="atLeast"/>
              </w:trPr>
              <w:tc>
                <w:tcPr>
                  <w:tcW w:w="696" w:type="dxa"/>
                  <w:noWrap w:val="0"/>
                  <w:tcMar>
                    <w:top w:w="135" w:type="dxa"/>
                    <w:left w:w="120" w:type="dxa"/>
                    <w:bottom w:w="135" w:type="dxa"/>
                    <w:right w:w="120" w:type="dxa"/>
                  </w:tcMar>
                  <w:vAlign w:val="center"/>
                </w:tcPr>
                <w:p w14:paraId="57CD834A">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5</w:t>
                  </w:r>
                </w:p>
              </w:tc>
              <w:tc>
                <w:tcPr>
                  <w:tcW w:w="1050" w:type="dxa"/>
                  <w:noWrap w:val="0"/>
                  <w:tcMar>
                    <w:top w:w="135" w:type="dxa"/>
                    <w:left w:w="120" w:type="dxa"/>
                    <w:bottom w:w="135" w:type="dxa"/>
                    <w:right w:w="120" w:type="dxa"/>
                  </w:tcMar>
                  <w:vAlign w:val="center"/>
                </w:tcPr>
                <w:p w14:paraId="686632C9">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氢氟酸</w:t>
                  </w:r>
                </w:p>
              </w:tc>
              <w:tc>
                <w:tcPr>
                  <w:tcW w:w="975" w:type="dxa"/>
                  <w:noWrap w:val="0"/>
                  <w:tcMar>
                    <w:top w:w="135" w:type="dxa"/>
                    <w:left w:w="120" w:type="dxa"/>
                    <w:bottom w:w="135" w:type="dxa"/>
                    <w:right w:w="120" w:type="dxa"/>
                  </w:tcMar>
                  <w:vAlign w:val="center"/>
                </w:tcPr>
                <w:p w14:paraId="585C9098">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HF</w:t>
                  </w:r>
                </w:p>
              </w:tc>
              <w:tc>
                <w:tcPr>
                  <w:tcW w:w="4344" w:type="dxa"/>
                  <w:noWrap w:val="0"/>
                  <w:tcMar>
                    <w:top w:w="135" w:type="dxa"/>
                    <w:left w:w="120" w:type="dxa"/>
                    <w:bottom w:w="135" w:type="dxa"/>
                    <w:right w:w="120" w:type="dxa"/>
                  </w:tcMar>
                  <w:vAlign w:val="center"/>
                </w:tcPr>
                <w:p w14:paraId="0F1D9DA6">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无色透明液体，有刺激性气味。熔点 - 83.1℃，沸点 19.5℃，相对密度 (水 = 1) 1.15。强腐蚀性（可腐蚀玻璃），遇金属反应生成氢气；不燃，受热释放氟化氢气体。</w:t>
                  </w:r>
                </w:p>
              </w:tc>
              <w:tc>
                <w:tcPr>
                  <w:tcW w:w="2070" w:type="dxa"/>
                  <w:noWrap w:val="0"/>
                  <w:tcMar>
                    <w:top w:w="135" w:type="dxa"/>
                    <w:left w:w="120" w:type="dxa"/>
                    <w:bottom w:w="135" w:type="dxa"/>
                    <w:right w:w="120" w:type="dxa"/>
                  </w:tcMar>
                  <w:vAlign w:val="center"/>
                </w:tcPr>
                <w:p w14:paraId="07AB49A7">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LD50 25mg/kg（大鼠经口）；LC50 1000ppm，30 分钟（大鼠吸入）</w:t>
                  </w:r>
                </w:p>
              </w:tc>
            </w:tr>
            <w:tr w14:paraId="6250C4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0" w:hRule="atLeast"/>
              </w:trPr>
              <w:tc>
                <w:tcPr>
                  <w:tcW w:w="696" w:type="dxa"/>
                  <w:noWrap w:val="0"/>
                  <w:tcMar>
                    <w:top w:w="135" w:type="dxa"/>
                    <w:left w:w="120" w:type="dxa"/>
                    <w:bottom w:w="135" w:type="dxa"/>
                    <w:right w:w="120" w:type="dxa"/>
                  </w:tcMar>
                  <w:vAlign w:val="center"/>
                </w:tcPr>
                <w:p w14:paraId="43EBA262">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6</w:t>
                  </w:r>
                </w:p>
              </w:tc>
              <w:tc>
                <w:tcPr>
                  <w:tcW w:w="1050" w:type="dxa"/>
                  <w:noWrap w:val="0"/>
                  <w:tcMar>
                    <w:top w:w="135" w:type="dxa"/>
                    <w:left w:w="120" w:type="dxa"/>
                    <w:bottom w:w="135" w:type="dxa"/>
                    <w:right w:w="120" w:type="dxa"/>
                  </w:tcMar>
                  <w:vAlign w:val="center"/>
                </w:tcPr>
                <w:p w14:paraId="790DFFF0">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过氧化钠</w:t>
                  </w:r>
                </w:p>
              </w:tc>
              <w:tc>
                <w:tcPr>
                  <w:tcW w:w="975" w:type="dxa"/>
                  <w:noWrap w:val="0"/>
                  <w:tcMar>
                    <w:top w:w="135" w:type="dxa"/>
                    <w:left w:w="120" w:type="dxa"/>
                    <w:bottom w:w="135" w:type="dxa"/>
                    <w:right w:w="120" w:type="dxa"/>
                  </w:tcMar>
                  <w:vAlign w:val="center"/>
                </w:tcPr>
                <w:p w14:paraId="2A82598E">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Na₂O₂</w:t>
                  </w:r>
                </w:p>
              </w:tc>
              <w:tc>
                <w:tcPr>
                  <w:tcW w:w="4344" w:type="dxa"/>
                  <w:noWrap w:val="0"/>
                  <w:tcMar>
                    <w:top w:w="135" w:type="dxa"/>
                    <w:left w:w="120" w:type="dxa"/>
                    <w:bottom w:w="135" w:type="dxa"/>
                    <w:right w:w="120" w:type="dxa"/>
                  </w:tcMar>
                  <w:vAlign w:val="center"/>
                </w:tcPr>
                <w:p w14:paraId="27FFA795">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淡黄色粉末或颗粒，无臭。熔点 460℃（分解），相对密度 (水 = 1) 2.80。强氧化性，遇水生成氢氧化钠和氧气，与有机物、可燃物接触易燃烧爆炸。</w:t>
                  </w:r>
                </w:p>
              </w:tc>
              <w:tc>
                <w:tcPr>
                  <w:tcW w:w="2070" w:type="dxa"/>
                  <w:noWrap w:val="0"/>
                  <w:tcMar>
                    <w:top w:w="135" w:type="dxa"/>
                    <w:left w:w="120" w:type="dxa"/>
                    <w:bottom w:w="135" w:type="dxa"/>
                    <w:right w:w="120" w:type="dxa"/>
                  </w:tcMar>
                  <w:vAlign w:val="center"/>
                </w:tcPr>
                <w:p w14:paraId="56ECD8D2">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LD50 158mg/kg（大鼠经口）；对皮肤、黏膜有强刺激性，可致灼伤</w:t>
                  </w:r>
                </w:p>
              </w:tc>
            </w:tr>
            <w:tr w14:paraId="75C5DB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0" w:hRule="atLeast"/>
              </w:trPr>
              <w:tc>
                <w:tcPr>
                  <w:tcW w:w="696" w:type="dxa"/>
                  <w:noWrap w:val="0"/>
                  <w:tcMar>
                    <w:top w:w="135" w:type="dxa"/>
                    <w:left w:w="120" w:type="dxa"/>
                    <w:bottom w:w="135" w:type="dxa"/>
                    <w:right w:w="120" w:type="dxa"/>
                  </w:tcMar>
                  <w:vAlign w:val="center"/>
                </w:tcPr>
                <w:p w14:paraId="59DFA55B">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7</w:t>
                  </w:r>
                </w:p>
              </w:tc>
              <w:tc>
                <w:tcPr>
                  <w:tcW w:w="1050" w:type="dxa"/>
                  <w:noWrap w:val="0"/>
                  <w:tcMar>
                    <w:top w:w="135" w:type="dxa"/>
                    <w:left w:w="120" w:type="dxa"/>
                    <w:bottom w:w="135" w:type="dxa"/>
                    <w:right w:w="120" w:type="dxa"/>
                  </w:tcMar>
                  <w:vAlign w:val="center"/>
                </w:tcPr>
                <w:p w14:paraId="513F6172">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磷酸</w:t>
                  </w:r>
                </w:p>
              </w:tc>
              <w:tc>
                <w:tcPr>
                  <w:tcW w:w="975" w:type="dxa"/>
                  <w:noWrap w:val="0"/>
                  <w:tcMar>
                    <w:top w:w="135" w:type="dxa"/>
                    <w:left w:w="120" w:type="dxa"/>
                    <w:bottom w:w="135" w:type="dxa"/>
                    <w:right w:w="120" w:type="dxa"/>
                  </w:tcMar>
                  <w:vAlign w:val="center"/>
                </w:tcPr>
                <w:p w14:paraId="4E62A68A">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H₃PO₄</w:t>
                  </w:r>
                </w:p>
              </w:tc>
              <w:tc>
                <w:tcPr>
                  <w:tcW w:w="4344" w:type="dxa"/>
                  <w:noWrap w:val="0"/>
                  <w:tcMar>
                    <w:top w:w="135" w:type="dxa"/>
                    <w:left w:w="120" w:type="dxa"/>
                    <w:bottom w:w="135" w:type="dxa"/>
                    <w:right w:w="120" w:type="dxa"/>
                  </w:tcMar>
                  <w:vAlign w:val="center"/>
                </w:tcPr>
                <w:p w14:paraId="0EF07987">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无色透明黏稠液体，无臭。熔点 42.35℃，沸点 261℃（分解），相对密度 (水 = 1) 1.87。具腐蚀性（弱于强酸），不燃，与碱反应剧烈放热，稳定。</w:t>
                  </w:r>
                </w:p>
              </w:tc>
              <w:tc>
                <w:tcPr>
                  <w:tcW w:w="2070" w:type="dxa"/>
                  <w:noWrap w:val="0"/>
                  <w:tcMar>
                    <w:top w:w="135" w:type="dxa"/>
                    <w:left w:w="120" w:type="dxa"/>
                    <w:bottom w:w="135" w:type="dxa"/>
                    <w:right w:w="120" w:type="dxa"/>
                  </w:tcMar>
                  <w:vAlign w:val="center"/>
                </w:tcPr>
                <w:p w14:paraId="3E10FFC8">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LD50 1530mg/kg（大鼠经口）；对皮肤、黏膜有刺激性，长期接触可致慢性损伤</w:t>
                  </w:r>
                </w:p>
              </w:tc>
            </w:tr>
            <w:tr w14:paraId="15A42B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0" w:hRule="atLeast"/>
              </w:trPr>
              <w:tc>
                <w:tcPr>
                  <w:tcW w:w="696" w:type="dxa"/>
                  <w:noWrap w:val="0"/>
                  <w:tcMar>
                    <w:top w:w="135" w:type="dxa"/>
                    <w:left w:w="120" w:type="dxa"/>
                    <w:bottom w:w="135" w:type="dxa"/>
                    <w:right w:w="120" w:type="dxa"/>
                  </w:tcMar>
                  <w:vAlign w:val="center"/>
                </w:tcPr>
                <w:p w14:paraId="4966BB62">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8</w:t>
                  </w:r>
                </w:p>
              </w:tc>
              <w:tc>
                <w:tcPr>
                  <w:tcW w:w="1050" w:type="dxa"/>
                  <w:noWrap w:val="0"/>
                  <w:tcMar>
                    <w:top w:w="135" w:type="dxa"/>
                    <w:left w:w="120" w:type="dxa"/>
                    <w:bottom w:w="135" w:type="dxa"/>
                    <w:right w:w="120" w:type="dxa"/>
                  </w:tcMar>
                  <w:vAlign w:val="center"/>
                </w:tcPr>
                <w:p w14:paraId="31155F69">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冰乙酸</w:t>
                  </w:r>
                </w:p>
              </w:tc>
              <w:tc>
                <w:tcPr>
                  <w:tcW w:w="975" w:type="dxa"/>
                  <w:noWrap w:val="0"/>
                  <w:tcMar>
                    <w:top w:w="135" w:type="dxa"/>
                    <w:left w:w="120" w:type="dxa"/>
                    <w:bottom w:w="135" w:type="dxa"/>
                    <w:right w:w="120" w:type="dxa"/>
                  </w:tcMar>
                  <w:vAlign w:val="center"/>
                </w:tcPr>
                <w:p w14:paraId="6362EB58">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CH₃COOH</w:t>
                  </w:r>
                </w:p>
              </w:tc>
              <w:tc>
                <w:tcPr>
                  <w:tcW w:w="4344" w:type="dxa"/>
                  <w:noWrap w:val="0"/>
                  <w:tcMar>
                    <w:top w:w="135" w:type="dxa"/>
                    <w:left w:w="120" w:type="dxa"/>
                    <w:bottom w:w="135" w:type="dxa"/>
                    <w:right w:w="120" w:type="dxa"/>
                  </w:tcMar>
                  <w:vAlign w:val="center"/>
                </w:tcPr>
                <w:p w14:paraId="54156FCA">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无色透明液体，有强烈刺激性酸味。熔点 16.6℃，沸点 117.9℃，相对密度 (水 = 1) 1.05。易燃，闪点 39℃，爆炸极限 4.0%-17.0%；与氧化剂反应剧烈。</w:t>
                  </w:r>
                </w:p>
              </w:tc>
              <w:tc>
                <w:tcPr>
                  <w:tcW w:w="2070" w:type="dxa"/>
                  <w:noWrap w:val="0"/>
                  <w:tcMar>
                    <w:top w:w="135" w:type="dxa"/>
                    <w:left w:w="120" w:type="dxa"/>
                    <w:bottom w:w="135" w:type="dxa"/>
                    <w:right w:w="120" w:type="dxa"/>
                  </w:tcMar>
                  <w:vAlign w:val="center"/>
                </w:tcPr>
                <w:p w14:paraId="15FEA958">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LD50 3530mg/kg（大鼠经口）；LC50 13791mg/m³，1 小时（小鼠吸入）</w:t>
                  </w:r>
                </w:p>
              </w:tc>
            </w:tr>
            <w:tr w14:paraId="362FD5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0" w:hRule="atLeast"/>
              </w:trPr>
              <w:tc>
                <w:tcPr>
                  <w:tcW w:w="696" w:type="dxa"/>
                  <w:noWrap w:val="0"/>
                  <w:tcMar>
                    <w:top w:w="135" w:type="dxa"/>
                    <w:left w:w="120" w:type="dxa"/>
                    <w:bottom w:w="135" w:type="dxa"/>
                    <w:right w:w="120" w:type="dxa"/>
                  </w:tcMar>
                  <w:vAlign w:val="center"/>
                </w:tcPr>
                <w:p w14:paraId="1AD2376A">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9</w:t>
                  </w:r>
                </w:p>
              </w:tc>
              <w:tc>
                <w:tcPr>
                  <w:tcW w:w="1050" w:type="dxa"/>
                  <w:noWrap w:val="0"/>
                  <w:tcMar>
                    <w:top w:w="135" w:type="dxa"/>
                    <w:left w:w="120" w:type="dxa"/>
                    <w:bottom w:w="135" w:type="dxa"/>
                    <w:right w:w="120" w:type="dxa"/>
                  </w:tcMar>
                  <w:vAlign w:val="center"/>
                </w:tcPr>
                <w:p w14:paraId="786C0161">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氨水</w:t>
                  </w:r>
                </w:p>
              </w:tc>
              <w:tc>
                <w:tcPr>
                  <w:tcW w:w="975" w:type="dxa"/>
                  <w:noWrap w:val="0"/>
                  <w:tcMar>
                    <w:top w:w="135" w:type="dxa"/>
                    <w:left w:w="120" w:type="dxa"/>
                    <w:bottom w:w="135" w:type="dxa"/>
                    <w:right w:w="120" w:type="dxa"/>
                  </w:tcMar>
                  <w:vAlign w:val="center"/>
                </w:tcPr>
                <w:p w14:paraId="11FA7FA6">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NH₃·H₂O</w:t>
                  </w:r>
                </w:p>
              </w:tc>
              <w:tc>
                <w:tcPr>
                  <w:tcW w:w="4344" w:type="dxa"/>
                  <w:noWrap w:val="0"/>
                  <w:tcMar>
                    <w:top w:w="135" w:type="dxa"/>
                    <w:left w:w="120" w:type="dxa"/>
                    <w:bottom w:w="135" w:type="dxa"/>
                    <w:right w:w="120" w:type="dxa"/>
                  </w:tcMar>
                  <w:vAlign w:val="center"/>
                </w:tcPr>
                <w:p w14:paraId="6E997726">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无色透明液体，有强烈氨臭味。熔点 - 77℃，沸点 36℃，相对密度 (水 = 1) 0.91。易挥发，遇热释放氨气；与酸反应剧烈放热，不燃，无爆炸性。</w:t>
                  </w:r>
                </w:p>
              </w:tc>
              <w:tc>
                <w:tcPr>
                  <w:tcW w:w="2070" w:type="dxa"/>
                  <w:noWrap w:val="0"/>
                  <w:tcMar>
                    <w:top w:w="135" w:type="dxa"/>
                    <w:left w:w="120" w:type="dxa"/>
                    <w:bottom w:w="135" w:type="dxa"/>
                    <w:right w:w="120" w:type="dxa"/>
                  </w:tcMar>
                  <w:vAlign w:val="center"/>
                </w:tcPr>
                <w:p w14:paraId="1B5FFF10">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LD50 350mg/kg（大鼠经口）；LC50 1390mg/m³，4 小时（大鼠吸入）</w:t>
                  </w:r>
                </w:p>
              </w:tc>
            </w:tr>
            <w:tr w14:paraId="1E865B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0" w:hRule="atLeast"/>
              </w:trPr>
              <w:tc>
                <w:tcPr>
                  <w:tcW w:w="696" w:type="dxa"/>
                  <w:noWrap w:val="0"/>
                  <w:tcMar>
                    <w:top w:w="135" w:type="dxa"/>
                    <w:left w:w="120" w:type="dxa"/>
                    <w:bottom w:w="135" w:type="dxa"/>
                    <w:right w:w="120" w:type="dxa"/>
                  </w:tcMar>
                  <w:vAlign w:val="center"/>
                </w:tcPr>
                <w:p w14:paraId="1981F9FF">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10</w:t>
                  </w:r>
                </w:p>
              </w:tc>
              <w:tc>
                <w:tcPr>
                  <w:tcW w:w="1050" w:type="dxa"/>
                  <w:noWrap w:val="0"/>
                  <w:tcMar>
                    <w:top w:w="135" w:type="dxa"/>
                    <w:left w:w="120" w:type="dxa"/>
                    <w:bottom w:w="135" w:type="dxa"/>
                    <w:right w:w="120" w:type="dxa"/>
                  </w:tcMar>
                  <w:vAlign w:val="center"/>
                </w:tcPr>
                <w:p w14:paraId="070EA268">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溴水</w:t>
                  </w:r>
                </w:p>
              </w:tc>
              <w:tc>
                <w:tcPr>
                  <w:tcW w:w="975" w:type="dxa"/>
                  <w:noWrap w:val="0"/>
                  <w:tcMar>
                    <w:top w:w="135" w:type="dxa"/>
                    <w:left w:w="120" w:type="dxa"/>
                    <w:bottom w:w="135" w:type="dxa"/>
                    <w:right w:w="120" w:type="dxa"/>
                  </w:tcMar>
                  <w:vAlign w:val="center"/>
                </w:tcPr>
                <w:p w14:paraId="2486572F">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Br₂+H₂O</w:t>
                  </w:r>
                </w:p>
              </w:tc>
              <w:tc>
                <w:tcPr>
                  <w:tcW w:w="4344" w:type="dxa"/>
                  <w:noWrap w:val="0"/>
                  <w:tcMar>
                    <w:top w:w="135" w:type="dxa"/>
                    <w:left w:w="120" w:type="dxa"/>
                    <w:bottom w:w="135" w:type="dxa"/>
                    <w:right w:w="120" w:type="dxa"/>
                  </w:tcMar>
                  <w:vAlign w:val="center"/>
                </w:tcPr>
                <w:p w14:paraId="36D30594">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橙黄色至红棕色液体，有刺激性臭味。熔点 - 7.2℃（纯溴），沸点 58.78℃（纯溴），相对密度 (水 = 1) 3.12。溴易挥发，具强腐蚀性；不燃，与有机物反应可生成有毒物质。</w:t>
                  </w:r>
                </w:p>
              </w:tc>
              <w:tc>
                <w:tcPr>
                  <w:tcW w:w="2070" w:type="dxa"/>
                  <w:noWrap w:val="0"/>
                  <w:tcMar>
                    <w:top w:w="135" w:type="dxa"/>
                    <w:left w:w="120" w:type="dxa"/>
                    <w:bottom w:w="135" w:type="dxa"/>
                    <w:right w:w="120" w:type="dxa"/>
                  </w:tcMar>
                  <w:vAlign w:val="center"/>
                </w:tcPr>
                <w:p w14:paraId="7C535268">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LD50 78mg/kg（大鼠经口，纯溴）；LC50 1430mg/m³，1 小时（大鼠吸入，纯溴）</w:t>
                  </w:r>
                </w:p>
              </w:tc>
            </w:tr>
            <w:tr w14:paraId="7163CB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0" w:hRule="atLeast"/>
              </w:trPr>
              <w:tc>
                <w:tcPr>
                  <w:tcW w:w="696" w:type="dxa"/>
                  <w:noWrap w:val="0"/>
                  <w:tcMar>
                    <w:top w:w="135" w:type="dxa"/>
                    <w:left w:w="120" w:type="dxa"/>
                    <w:bottom w:w="135" w:type="dxa"/>
                    <w:right w:w="120" w:type="dxa"/>
                  </w:tcMar>
                  <w:vAlign w:val="center"/>
                </w:tcPr>
                <w:p w14:paraId="3BCB4175">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11</w:t>
                  </w:r>
                </w:p>
              </w:tc>
              <w:tc>
                <w:tcPr>
                  <w:tcW w:w="1050" w:type="dxa"/>
                  <w:noWrap w:val="0"/>
                  <w:tcMar>
                    <w:top w:w="135" w:type="dxa"/>
                    <w:left w:w="120" w:type="dxa"/>
                    <w:bottom w:w="135" w:type="dxa"/>
                    <w:right w:w="120" w:type="dxa"/>
                  </w:tcMar>
                  <w:vAlign w:val="center"/>
                </w:tcPr>
                <w:p w14:paraId="7D0E2955">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无水乙醇</w:t>
                  </w:r>
                </w:p>
              </w:tc>
              <w:tc>
                <w:tcPr>
                  <w:tcW w:w="975" w:type="dxa"/>
                  <w:noWrap w:val="0"/>
                  <w:tcMar>
                    <w:top w:w="135" w:type="dxa"/>
                    <w:left w:w="120" w:type="dxa"/>
                    <w:bottom w:w="135" w:type="dxa"/>
                    <w:right w:w="120" w:type="dxa"/>
                  </w:tcMar>
                  <w:vAlign w:val="center"/>
                </w:tcPr>
                <w:p w14:paraId="304BB5F9">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C₂H₅OH</w:t>
                  </w:r>
                </w:p>
              </w:tc>
              <w:tc>
                <w:tcPr>
                  <w:tcW w:w="4344" w:type="dxa"/>
                  <w:noWrap w:val="0"/>
                  <w:tcMar>
                    <w:top w:w="135" w:type="dxa"/>
                    <w:left w:w="120" w:type="dxa"/>
                    <w:bottom w:w="135" w:type="dxa"/>
                    <w:right w:w="120" w:type="dxa"/>
                  </w:tcMar>
                  <w:vAlign w:val="center"/>
                </w:tcPr>
                <w:p w14:paraId="47C2DF09">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无色透明液体，有特殊香味。熔点 - 114.1℃，沸点 78.3℃，相对密度 (水 = 1) 0.79。易燃，闪点 13℃，爆炸极限 3.3%-19.0%；与氧化剂接触易燃烧。</w:t>
                  </w:r>
                </w:p>
              </w:tc>
              <w:tc>
                <w:tcPr>
                  <w:tcW w:w="2070" w:type="dxa"/>
                  <w:noWrap w:val="0"/>
                  <w:tcMar>
                    <w:top w:w="135" w:type="dxa"/>
                    <w:left w:w="120" w:type="dxa"/>
                    <w:bottom w:w="135" w:type="dxa"/>
                    <w:right w:w="120" w:type="dxa"/>
                  </w:tcMar>
                  <w:vAlign w:val="center"/>
                </w:tcPr>
                <w:p w14:paraId="567A69B8">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LD50 7060mg/kg（大鼠经口）；LC50 37620mg/m³，10 小时（大鼠吸入）</w:t>
                  </w:r>
                </w:p>
              </w:tc>
            </w:tr>
            <w:tr w14:paraId="5EDFC2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0" w:hRule="atLeast"/>
              </w:trPr>
              <w:tc>
                <w:tcPr>
                  <w:tcW w:w="696" w:type="dxa"/>
                  <w:noWrap w:val="0"/>
                  <w:tcMar>
                    <w:top w:w="135" w:type="dxa"/>
                    <w:left w:w="120" w:type="dxa"/>
                    <w:bottom w:w="135" w:type="dxa"/>
                    <w:right w:w="120" w:type="dxa"/>
                  </w:tcMar>
                  <w:vAlign w:val="center"/>
                </w:tcPr>
                <w:p w14:paraId="11F3B213">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12</w:t>
                  </w:r>
                </w:p>
              </w:tc>
              <w:tc>
                <w:tcPr>
                  <w:tcW w:w="1050" w:type="dxa"/>
                  <w:noWrap w:val="0"/>
                  <w:tcMar>
                    <w:top w:w="135" w:type="dxa"/>
                    <w:left w:w="120" w:type="dxa"/>
                    <w:bottom w:w="135" w:type="dxa"/>
                    <w:right w:w="120" w:type="dxa"/>
                  </w:tcMar>
                  <w:vAlign w:val="center"/>
                </w:tcPr>
                <w:p w14:paraId="0180811B">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三氯化钛</w:t>
                  </w:r>
                </w:p>
              </w:tc>
              <w:tc>
                <w:tcPr>
                  <w:tcW w:w="975" w:type="dxa"/>
                  <w:noWrap w:val="0"/>
                  <w:tcMar>
                    <w:top w:w="135" w:type="dxa"/>
                    <w:left w:w="120" w:type="dxa"/>
                    <w:bottom w:w="135" w:type="dxa"/>
                    <w:right w:w="120" w:type="dxa"/>
                  </w:tcMar>
                  <w:vAlign w:val="center"/>
                </w:tcPr>
                <w:p w14:paraId="5D2F17C3">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TiCl₃</w:t>
                  </w:r>
                </w:p>
              </w:tc>
              <w:tc>
                <w:tcPr>
                  <w:tcW w:w="4344" w:type="dxa"/>
                  <w:noWrap w:val="0"/>
                  <w:tcMar>
                    <w:top w:w="135" w:type="dxa"/>
                    <w:left w:w="120" w:type="dxa"/>
                    <w:bottom w:w="135" w:type="dxa"/>
                    <w:right w:w="120" w:type="dxa"/>
                  </w:tcMar>
                  <w:vAlign w:val="center"/>
                </w:tcPr>
                <w:p w14:paraId="2B22FD79">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深紫色结晶或粉末，易潮解。熔点 304℃，沸点 730℃（分解），相对密度 (水 = 1) 2.64。遇水生成盐酸和氢氧化钛，具腐蚀性；不燃，受热分解释放氯化氢气体。</w:t>
                  </w:r>
                </w:p>
              </w:tc>
              <w:tc>
                <w:tcPr>
                  <w:tcW w:w="2070" w:type="dxa"/>
                  <w:noWrap w:val="0"/>
                  <w:tcMar>
                    <w:top w:w="135" w:type="dxa"/>
                    <w:left w:w="120" w:type="dxa"/>
                    <w:bottom w:w="135" w:type="dxa"/>
                    <w:right w:w="120" w:type="dxa"/>
                  </w:tcMar>
                  <w:vAlign w:val="center"/>
                </w:tcPr>
                <w:p w14:paraId="0B7BF6FA">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LD50 4000mg/kg（大鼠经口）；对皮肤、黏膜有刺激性，吸入可致呼吸道损伤</w:t>
                  </w:r>
                </w:p>
              </w:tc>
            </w:tr>
            <w:tr w14:paraId="685833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0" w:hRule="atLeast"/>
              </w:trPr>
              <w:tc>
                <w:tcPr>
                  <w:tcW w:w="696" w:type="dxa"/>
                  <w:noWrap w:val="0"/>
                  <w:tcMar>
                    <w:top w:w="135" w:type="dxa"/>
                    <w:left w:w="120" w:type="dxa"/>
                    <w:bottom w:w="135" w:type="dxa"/>
                    <w:right w:w="120" w:type="dxa"/>
                  </w:tcMar>
                  <w:vAlign w:val="center"/>
                </w:tcPr>
                <w:p w14:paraId="4F8F5E5B">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13</w:t>
                  </w:r>
                </w:p>
              </w:tc>
              <w:tc>
                <w:tcPr>
                  <w:tcW w:w="1050" w:type="dxa"/>
                  <w:noWrap w:val="0"/>
                  <w:tcMar>
                    <w:top w:w="135" w:type="dxa"/>
                    <w:left w:w="120" w:type="dxa"/>
                    <w:bottom w:w="135" w:type="dxa"/>
                    <w:right w:w="120" w:type="dxa"/>
                  </w:tcMar>
                  <w:vAlign w:val="center"/>
                </w:tcPr>
                <w:p w14:paraId="75D097DF">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硫脲</w:t>
                  </w:r>
                </w:p>
              </w:tc>
              <w:tc>
                <w:tcPr>
                  <w:tcW w:w="975" w:type="dxa"/>
                  <w:noWrap w:val="0"/>
                  <w:tcMar>
                    <w:top w:w="135" w:type="dxa"/>
                    <w:left w:w="120" w:type="dxa"/>
                    <w:bottom w:w="135" w:type="dxa"/>
                    <w:right w:w="120" w:type="dxa"/>
                  </w:tcMar>
                  <w:vAlign w:val="center"/>
                </w:tcPr>
                <w:p w14:paraId="6851F919">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CH₄N₂S</w:t>
                  </w:r>
                </w:p>
              </w:tc>
              <w:tc>
                <w:tcPr>
                  <w:tcW w:w="4344" w:type="dxa"/>
                  <w:noWrap w:val="0"/>
                  <w:tcMar>
                    <w:top w:w="135" w:type="dxa"/>
                    <w:left w:w="120" w:type="dxa"/>
                    <w:bottom w:w="135" w:type="dxa"/>
                    <w:right w:w="120" w:type="dxa"/>
                  </w:tcMar>
                  <w:vAlign w:val="center"/>
                </w:tcPr>
                <w:p w14:paraId="16CA68BB">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白色结晶粉末，无臭。熔点 182℃（分解），相对密度 (水 = 1) 1.41。溶于水，不溶于乙醚；稳定，遇明火、高温可燃，燃烧生成有毒氮氧化物、硫化物。</w:t>
                  </w:r>
                </w:p>
              </w:tc>
              <w:tc>
                <w:tcPr>
                  <w:tcW w:w="2070" w:type="dxa"/>
                  <w:noWrap w:val="0"/>
                  <w:tcMar>
                    <w:top w:w="135" w:type="dxa"/>
                    <w:left w:w="120" w:type="dxa"/>
                    <w:bottom w:w="135" w:type="dxa"/>
                    <w:right w:w="120" w:type="dxa"/>
                  </w:tcMar>
                  <w:vAlign w:val="center"/>
                </w:tcPr>
                <w:p w14:paraId="2D9ED1A3">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LD50 1830mg/kg（大鼠经口）；长期接触可致甲状腺功能异常，具轻微毒性</w:t>
                  </w:r>
                </w:p>
              </w:tc>
            </w:tr>
            <w:tr w14:paraId="2CE5EB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0" w:hRule="atLeast"/>
              </w:trPr>
              <w:tc>
                <w:tcPr>
                  <w:tcW w:w="696" w:type="dxa"/>
                  <w:noWrap w:val="0"/>
                  <w:tcMar>
                    <w:top w:w="135" w:type="dxa"/>
                    <w:left w:w="120" w:type="dxa"/>
                    <w:bottom w:w="135" w:type="dxa"/>
                    <w:right w:w="120" w:type="dxa"/>
                  </w:tcMar>
                  <w:vAlign w:val="center"/>
                </w:tcPr>
                <w:p w14:paraId="6B225775">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14</w:t>
                  </w:r>
                </w:p>
              </w:tc>
              <w:tc>
                <w:tcPr>
                  <w:tcW w:w="1050" w:type="dxa"/>
                  <w:noWrap w:val="0"/>
                  <w:tcMar>
                    <w:top w:w="135" w:type="dxa"/>
                    <w:left w:w="120" w:type="dxa"/>
                    <w:bottom w:w="135" w:type="dxa"/>
                    <w:right w:w="120" w:type="dxa"/>
                  </w:tcMar>
                  <w:vAlign w:val="center"/>
                </w:tcPr>
                <w:p w14:paraId="1C863312">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氟化氢铵</w:t>
                  </w:r>
                </w:p>
              </w:tc>
              <w:tc>
                <w:tcPr>
                  <w:tcW w:w="975" w:type="dxa"/>
                  <w:noWrap w:val="0"/>
                  <w:tcMar>
                    <w:top w:w="135" w:type="dxa"/>
                    <w:left w:w="120" w:type="dxa"/>
                    <w:bottom w:w="135" w:type="dxa"/>
                    <w:right w:w="120" w:type="dxa"/>
                  </w:tcMar>
                  <w:vAlign w:val="center"/>
                </w:tcPr>
                <w:p w14:paraId="14CAF72B">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NH₄HF₂</w:t>
                  </w:r>
                </w:p>
              </w:tc>
              <w:tc>
                <w:tcPr>
                  <w:tcW w:w="4344" w:type="dxa"/>
                  <w:noWrap w:val="0"/>
                  <w:tcMar>
                    <w:top w:w="135" w:type="dxa"/>
                    <w:left w:w="120" w:type="dxa"/>
                    <w:bottom w:w="135" w:type="dxa"/>
                    <w:right w:w="120" w:type="dxa"/>
                  </w:tcMar>
                  <w:vAlign w:val="center"/>
                </w:tcPr>
                <w:p w14:paraId="2E061907">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白色结晶粉末，有刺激性气味。熔点 125℃（分解），相对密度 (水 = 1) 1.52。易潮解，遇水释放氟化氢；具强腐蚀性（腐蚀玻璃），不燃，受热分解产生有毒气体。</w:t>
                  </w:r>
                </w:p>
              </w:tc>
              <w:tc>
                <w:tcPr>
                  <w:tcW w:w="2070" w:type="dxa"/>
                  <w:noWrap w:val="0"/>
                  <w:tcMar>
                    <w:top w:w="135" w:type="dxa"/>
                    <w:left w:w="120" w:type="dxa"/>
                    <w:bottom w:w="135" w:type="dxa"/>
                    <w:right w:w="120" w:type="dxa"/>
                  </w:tcMar>
                  <w:vAlign w:val="center"/>
                </w:tcPr>
                <w:p w14:paraId="4B18FD9E">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LD50 325mg/kg（大鼠经口）；对皮肤、骨骼有损害，吸入可致肺水肿</w:t>
                  </w:r>
                </w:p>
              </w:tc>
            </w:tr>
            <w:tr w14:paraId="375687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0" w:hRule="atLeast"/>
              </w:trPr>
              <w:tc>
                <w:tcPr>
                  <w:tcW w:w="696" w:type="dxa"/>
                  <w:noWrap w:val="0"/>
                  <w:tcMar>
                    <w:top w:w="135" w:type="dxa"/>
                    <w:left w:w="120" w:type="dxa"/>
                    <w:bottom w:w="135" w:type="dxa"/>
                    <w:right w:w="120" w:type="dxa"/>
                  </w:tcMar>
                  <w:vAlign w:val="center"/>
                </w:tcPr>
                <w:p w14:paraId="215015A0">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15</w:t>
                  </w:r>
                </w:p>
              </w:tc>
              <w:tc>
                <w:tcPr>
                  <w:tcW w:w="1050" w:type="dxa"/>
                  <w:noWrap w:val="0"/>
                  <w:tcMar>
                    <w:top w:w="135" w:type="dxa"/>
                    <w:left w:w="120" w:type="dxa"/>
                    <w:bottom w:w="135" w:type="dxa"/>
                    <w:right w:w="120" w:type="dxa"/>
                  </w:tcMar>
                  <w:vAlign w:val="center"/>
                </w:tcPr>
                <w:p w14:paraId="7A859A1F">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氟化铵</w:t>
                  </w:r>
                </w:p>
              </w:tc>
              <w:tc>
                <w:tcPr>
                  <w:tcW w:w="975" w:type="dxa"/>
                  <w:noWrap w:val="0"/>
                  <w:tcMar>
                    <w:top w:w="135" w:type="dxa"/>
                    <w:left w:w="120" w:type="dxa"/>
                    <w:bottom w:w="135" w:type="dxa"/>
                    <w:right w:w="120" w:type="dxa"/>
                  </w:tcMar>
                  <w:vAlign w:val="center"/>
                </w:tcPr>
                <w:p w14:paraId="0074A621">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NH₄F</w:t>
                  </w:r>
                </w:p>
              </w:tc>
              <w:tc>
                <w:tcPr>
                  <w:tcW w:w="4344" w:type="dxa"/>
                  <w:noWrap w:val="0"/>
                  <w:tcMar>
                    <w:top w:w="135" w:type="dxa"/>
                    <w:left w:w="120" w:type="dxa"/>
                    <w:bottom w:w="135" w:type="dxa"/>
                    <w:right w:w="120" w:type="dxa"/>
                  </w:tcMar>
                  <w:vAlign w:val="center"/>
                </w:tcPr>
                <w:p w14:paraId="5426F6EB">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白色结晶粉末，易潮解。熔点 98℃（分解），相对密度 (水 = 1) 1.01。溶于水，遇热释放氨气和氟化氢；具腐蚀性，不燃，长期接触可致氟骨症。</w:t>
                  </w:r>
                </w:p>
              </w:tc>
              <w:tc>
                <w:tcPr>
                  <w:tcW w:w="2070" w:type="dxa"/>
                  <w:noWrap w:val="0"/>
                  <w:tcMar>
                    <w:top w:w="135" w:type="dxa"/>
                    <w:left w:w="120" w:type="dxa"/>
                    <w:bottom w:w="135" w:type="dxa"/>
                    <w:right w:w="120" w:type="dxa"/>
                  </w:tcMar>
                  <w:vAlign w:val="center"/>
                </w:tcPr>
                <w:p w14:paraId="58B4C877">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LD50 325mg/kg（大鼠经口）；LC50 2600mg/m³，1 小时（大鼠吸入）</w:t>
                  </w:r>
                </w:p>
              </w:tc>
            </w:tr>
            <w:tr w14:paraId="44CED7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0" w:hRule="atLeast"/>
              </w:trPr>
              <w:tc>
                <w:tcPr>
                  <w:tcW w:w="696" w:type="dxa"/>
                  <w:noWrap w:val="0"/>
                  <w:tcMar>
                    <w:top w:w="135" w:type="dxa"/>
                    <w:left w:w="120" w:type="dxa"/>
                    <w:bottom w:w="135" w:type="dxa"/>
                    <w:right w:w="120" w:type="dxa"/>
                  </w:tcMar>
                  <w:vAlign w:val="center"/>
                </w:tcPr>
                <w:p w14:paraId="3B9D44E9">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16</w:t>
                  </w:r>
                </w:p>
              </w:tc>
              <w:tc>
                <w:tcPr>
                  <w:tcW w:w="1050" w:type="dxa"/>
                  <w:noWrap w:val="0"/>
                  <w:tcMar>
                    <w:top w:w="135" w:type="dxa"/>
                    <w:left w:w="120" w:type="dxa"/>
                    <w:bottom w:w="135" w:type="dxa"/>
                    <w:right w:w="120" w:type="dxa"/>
                  </w:tcMar>
                  <w:vAlign w:val="center"/>
                </w:tcPr>
                <w:p w14:paraId="5F1A3BD4">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氟化钾</w:t>
                  </w:r>
                </w:p>
              </w:tc>
              <w:tc>
                <w:tcPr>
                  <w:tcW w:w="975" w:type="dxa"/>
                  <w:noWrap w:val="0"/>
                  <w:tcMar>
                    <w:top w:w="135" w:type="dxa"/>
                    <w:left w:w="120" w:type="dxa"/>
                    <w:bottom w:w="135" w:type="dxa"/>
                    <w:right w:w="120" w:type="dxa"/>
                  </w:tcMar>
                  <w:vAlign w:val="center"/>
                </w:tcPr>
                <w:p w14:paraId="555A04D9">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KF</w:t>
                  </w:r>
                </w:p>
              </w:tc>
              <w:tc>
                <w:tcPr>
                  <w:tcW w:w="4344" w:type="dxa"/>
                  <w:noWrap w:val="0"/>
                  <w:tcMar>
                    <w:top w:w="135" w:type="dxa"/>
                    <w:left w:w="120" w:type="dxa"/>
                    <w:bottom w:w="135" w:type="dxa"/>
                    <w:right w:w="120" w:type="dxa"/>
                  </w:tcMar>
                  <w:vAlign w:val="center"/>
                </w:tcPr>
                <w:p w14:paraId="3480D08D">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白色结晶粉末，易潮解。熔点 858℃，沸点 1505℃，相对密度 (水 = 1) 2.48。溶于水，具强腐蚀性；不燃，稳定，长期接触可致氟中毒。</w:t>
                  </w:r>
                </w:p>
              </w:tc>
              <w:tc>
                <w:tcPr>
                  <w:tcW w:w="2070" w:type="dxa"/>
                  <w:noWrap w:val="0"/>
                  <w:tcMar>
                    <w:top w:w="135" w:type="dxa"/>
                    <w:left w:w="120" w:type="dxa"/>
                    <w:bottom w:w="135" w:type="dxa"/>
                    <w:right w:w="120" w:type="dxa"/>
                  </w:tcMar>
                  <w:vAlign w:val="center"/>
                </w:tcPr>
                <w:p w14:paraId="3B5A10C5">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LD50 245mg/kg（大鼠经口）；对皮肤、黏膜有刺激性，吸入可致呼吸道损伤</w:t>
                  </w:r>
                </w:p>
              </w:tc>
            </w:tr>
            <w:tr w14:paraId="157FB5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0" w:hRule="atLeast"/>
              </w:trPr>
              <w:tc>
                <w:tcPr>
                  <w:tcW w:w="696" w:type="dxa"/>
                  <w:noWrap w:val="0"/>
                  <w:tcMar>
                    <w:top w:w="135" w:type="dxa"/>
                    <w:left w:w="120" w:type="dxa"/>
                    <w:bottom w:w="135" w:type="dxa"/>
                    <w:right w:w="120" w:type="dxa"/>
                  </w:tcMar>
                  <w:vAlign w:val="center"/>
                </w:tcPr>
                <w:p w14:paraId="7A2AF1B7">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17</w:t>
                  </w:r>
                </w:p>
              </w:tc>
              <w:tc>
                <w:tcPr>
                  <w:tcW w:w="1050" w:type="dxa"/>
                  <w:noWrap w:val="0"/>
                  <w:tcMar>
                    <w:top w:w="135" w:type="dxa"/>
                    <w:left w:w="120" w:type="dxa"/>
                    <w:bottom w:w="135" w:type="dxa"/>
                    <w:right w:w="120" w:type="dxa"/>
                  </w:tcMar>
                  <w:vAlign w:val="center"/>
                </w:tcPr>
                <w:p w14:paraId="7EB1A290">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氯化铵</w:t>
                  </w:r>
                </w:p>
              </w:tc>
              <w:tc>
                <w:tcPr>
                  <w:tcW w:w="975" w:type="dxa"/>
                  <w:noWrap w:val="0"/>
                  <w:tcMar>
                    <w:top w:w="135" w:type="dxa"/>
                    <w:left w:w="120" w:type="dxa"/>
                    <w:bottom w:w="135" w:type="dxa"/>
                    <w:right w:w="120" w:type="dxa"/>
                  </w:tcMar>
                  <w:vAlign w:val="center"/>
                </w:tcPr>
                <w:p w14:paraId="1FAC3D4C">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NH₄Cl</w:t>
                  </w:r>
                </w:p>
              </w:tc>
              <w:tc>
                <w:tcPr>
                  <w:tcW w:w="4344" w:type="dxa"/>
                  <w:noWrap w:val="0"/>
                  <w:tcMar>
                    <w:top w:w="135" w:type="dxa"/>
                    <w:left w:w="120" w:type="dxa"/>
                    <w:bottom w:w="135" w:type="dxa"/>
                    <w:right w:w="120" w:type="dxa"/>
                  </w:tcMar>
                  <w:vAlign w:val="center"/>
                </w:tcPr>
                <w:p w14:paraId="56AC67BE">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白色结晶粉末，无臭。熔点 337.8℃（升华），相对密度 (水 = 1) 1.53。溶于水，稳定；不燃，受热分解产生氨气和氯化氢，具刺激性。</w:t>
                  </w:r>
                </w:p>
              </w:tc>
              <w:tc>
                <w:tcPr>
                  <w:tcW w:w="2070" w:type="dxa"/>
                  <w:noWrap w:val="0"/>
                  <w:tcMar>
                    <w:top w:w="135" w:type="dxa"/>
                    <w:left w:w="120" w:type="dxa"/>
                    <w:bottom w:w="135" w:type="dxa"/>
                    <w:right w:w="120" w:type="dxa"/>
                  </w:tcMar>
                  <w:vAlign w:val="center"/>
                </w:tcPr>
                <w:p w14:paraId="242BBF32">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LD50 1650mg/kg（大鼠经口）；低毒，过量摄入可致恶心、呕吐</w:t>
                  </w:r>
                </w:p>
              </w:tc>
            </w:tr>
            <w:tr w14:paraId="61615A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0" w:hRule="atLeast"/>
              </w:trPr>
              <w:tc>
                <w:tcPr>
                  <w:tcW w:w="696" w:type="dxa"/>
                  <w:noWrap w:val="0"/>
                  <w:tcMar>
                    <w:top w:w="135" w:type="dxa"/>
                    <w:left w:w="120" w:type="dxa"/>
                    <w:bottom w:w="135" w:type="dxa"/>
                    <w:right w:w="120" w:type="dxa"/>
                  </w:tcMar>
                  <w:vAlign w:val="center"/>
                </w:tcPr>
                <w:p w14:paraId="2ADA5087">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18</w:t>
                  </w:r>
                </w:p>
              </w:tc>
              <w:tc>
                <w:tcPr>
                  <w:tcW w:w="1050" w:type="dxa"/>
                  <w:noWrap w:val="0"/>
                  <w:tcMar>
                    <w:top w:w="135" w:type="dxa"/>
                    <w:left w:w="120" w:type="dxa"/>
                    <w:bottom w:w="135" w:type="dxa"/>
                    <w:right w:w="120" w:type="dxa"/>
                  </w:tcMar>
                  <w:vAlign w:val="center"/>
                </w:tcPr>
                <w:p w14:paraId="260D0318">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硫代硫酸钠</w:t>
                  </w:r>
                </w:p>
              </w:tc>
              <w:tc>
                <w:tcPr>
                  <w:tcW w:w="975" w:type="dxa"/>
                  <w:noWrap w:val="0"/>
                  <w:tcMar>
                    <w:top w:w="135" w:type="dxa"/>
                    <w:left w:w="120" w:type="dxa"/>
                    <w:bottom w:w="135" w:type="dxa"/>
                    <w:right w:w="120" w:type="dxa"/>
                  </w:tcMar>
                  <w:vAlign w:val="center"/>
                </w:tcPr>
                <w:p w14:paraId="0DB4885B">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Na₂S₂O₃·5H₂O</w:t>
                  </w:r>
                </w:p>
              </w:tc>
              <w:tc>
                <w:tcPr>
                  <w:tcW w:w="4344" w:type="dxa"/>
                  <w:noWrap w:val="0"/>
                  <w:tcMar>
                    <w:top w:w="135" w:type="dxa"/>
                    <w:left w:w="120" w:type="dxa"/>
                    <w:bottom w:w="135" w:type="dxa"/>
                    <w:right w:w="120" w:type="dxa"/>
                  </w:tcMar>
                  <w:vAlign w:val="center"/>
                </w:tcPr>
                <w:p w14:paraId="0AB7A056">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无色透明结晶，无臭。熔点 48.5℃（失去结晶水），相对密度 (水 = 1) 1.73。溶于水，稳定；不燃，与强酸反应生成硫和二氧化硫，低刺激性。</w:t>
                  </w:r>
                </w:p>
              </w:tc>
              <w:tc>
                <w:tcPr>
                  <w:tcW w:w="2070" w:type="dxa"/>
                  <w:noWrap w:val="0"/>
                  <w:tcMar>
                    <w:top w:w="135" w:type="dxa"/>
                    <w:left w:w="120" w:type="dxa"/>
                    <w:bottom w:w="135" w:type="dxa"/>
                    <w:right w:w="120" w:type="dxa"/>
                  </w:tcMar>
                  <w:vAlign w:val="center"/>
                </w:tcPr>
                <w:p w14:paraId="35B2BF86">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LD50 5980mg/kg（大鼠经口）；低毒，对皮肤、黏膜无明显刺激</w:t>
                  </w:r>
                </w:p>
              </w:tc>
            </w:tr>
            <w:tr w14:paraId="022A74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0" w:hRule="atLeast"/>
              </w:trPr>
              <w:tc>
                <w:tcPr>
                  <w:tcW w:w="696" w:type="dxa"/>
                  <w:noWrap w:val="0"/>
                  <w:tcMar>
                    <w:top w:w="135" w:type="dxa"/>
                    <w:left w:w="120" w:type="dxa"/>
                    <w:bottom w:w="135" w:type="dxa"/>
                    <w:right w:w="120" w:type="dxa"/>
                  </w:tcMar>
                  <w:vAlign w:val="center"/>
                </w:tcPr>
                <w:p w14:paraId="39E61244">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19</w:t>
                  </w:r>
                </w:p>
              </w:tc>
              <w:tc>
                <w:tcPr>
                  <w:tcW w:w="1050" w:type="dxa"/>
                  <w:noWrap w:val="0"/>
                  <w:tcMar>
                    <w:top w:w="135" w:type="dxa"/>
                    <w:left w:w="120" w:type="dxa"/>
                    <w:bottom w:w="135" w:type="dxa"/>
                    <w:right w:w="120" w:type="dxa"/>
                  </w:tcMar>
                  <w:vAlign w:val="center"/>
                </w:tcPr>
                <w:p w14:paraId="5E282DC9">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碳酸钠</w:t>
                  </w:r>
                </w:p>
              </w:tc>
              <w:tc>
                <w:tcPr>
                  <w:tcW w:w="975" w:type="dxa"/>
                  <w:noWrap w:val="0"/>
                  <w:tcMar>
                    <w:top w:w="135" w:type="dxa"/>
                    <w:left w:w="120" w:type="dxa"/>
                    <w:bottom w:w="135" w:type="dxa"/>
                    <w:right w:w="120" w:type="dxa"/>
                  </w:tcMar>
                  <w:vAlign w:val="center"/>
                </w:tcPr>
                <w:p w14:paraId="2E3C3B33">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Na₂CO₃</w:t>
                  </w:r>
                </w:p>
              </w:tc>
              <w:tc>
                <w:tcPr>
                  <w:tcW w:w="4344" w:type="dxa"/>
                  <w:noWrap w:val="0"/>
                  <w:tcMar>
                    <w:top w:w="135" w:type="dxa"/>
                    <w:left w:w="120" w:type="dxa"/>
                    <w:bottom w:w="135" w:type="dxa"/>
                    <w:right w:w="120" w:type="dxa"/>
                  </w:tcMar>
                  <w:vAlign w:val="center"/>
                </w:tcPr>
                <w:p w14:paraId="435CB6DB">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白色粉末或颗粒，无臭。熔点 851℃，沸点 1600℃，相对密度 (水 = 1) 2.53。溶于水，呈碱性；稳定，不燃，与酸反应剧烈放热，低刺激性。</w:t>
                  </w:r>
                </w:p>
              </w:tc>
              <w:tc>
                <w:tcPr>
                  <w:tcW w:w="2070" w:type="dxa"/>
                  <w:noWrap w:val="0"/>
                  <w:tcMar>
                    <w:top w:w="135" w:type="dxa"/>
                    <w:left w:w="120" w:type="dxa"/>
                    <w:bottom w:w="135" w:type="dxa"/>
                    <w:right w:w="120" w:type="dxa"/>
                  </w:tcMar>
                  <w:vAlign w:val="center"/>
                </w:tcPr>
                <w:p w14:paraId="5AE85FBA">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LD50 4090mg/kg（大鼠经口）；低毒，皮肤接触可致轻微干燥</w:t>
                  </w:r>
                </w:p>
              </w:tc>
            </w:tr>
            <w:tr w14:paraId="33AAA2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0" w:hRule="atLeast"/>
              </w:trPr>
              <w:tc>
                <w:tcPr>
                  <w:tcW w:w="696" w:type="dxa"/>
                  <w:noWrap w:val="0"/>
                  <w:tcMar>
                    <w:top w:w="135" w:type="dxa"/>
                    <w:left w:w="120" w:type="dxa"/>
                    <w:bottom w:w="135" w:type="dxa"/>
                    <w:right w:w="120" w:type="dxa"/>
                  </w:tcMar>
                  <w:vAlign w:val="center"/>
                </w:tcPr>
                <w:p w14:paraId="0AEBF227">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20</w:t>
                  </w:r>
                </w:p>
              </w:tc>
              <w:tc>
                <w:tcPr>
                  <w:tcW w:w="1050" w:type="dxa"/>
                  <w:noWrap w:val="0"/>
                  <w:tcMar>
                    <w:top w:w="135" w:type="dxa"/>
                    <w:left w:w="120" w:type="dxa"/>
                    <w:bottom w:w="135" w:type="dxa"/>
                    <w:right w:w="120" w:type="dxa"/>
                  </w:tcMar>
                  <w:vAlign w:val="center"/>
                </w:tcPr>
                <w:p w14:paraId="7157491A">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碘化钾</w:t>
                  </w:r>
                </w:p>
              </w:tc>
              <w:tc>
                <w:tcPr>
                  <w:tcW w:w="975" w:type="dxa"/>
                  <w:noWrap w:val="0"/>
                  <w:tcMar>
                    <w:top w:w="135" w:type="dxa"/>
                    <w:left w:w="120" w:type="dxa"/>
                    <w:bottom w:w="135" w:type="dxa"/>
                    <w:right w:w="120" w:type="dxa"/>
                  </w:tcMar>
                  <w:vAlign w:val="center"/>
                </w:tcPr>
                <w:p w14:paraId="7F2A18C5">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KI</w:t>
                  </w:r>
                </w:p>
              </w:tc>
              <w:tc>
                <w:tcPr>
                  <w:tcW w:w="4344" w:type="dxa"/>
                  <w:noWrap w:val="0"/>
                  <w:tcMar>
                    <w:top w:w="135" w:type="dxa"/>
                    <w:left w:w="120" w:type="dxa"/>
                    <w:bottom w:w="135" w:type="dxa"/>
                    <w:right w:w="120" w:type="dxa"/>
                  </w:tcMar>
                  <w:vAlign w:val="center"/>
                </w:tcPr>
                <w:p w14:paraId="26DDCC8C">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白色结晶粉末，无臭。熔点 681℃，沸点 1330℃，相对密度 (水 = 1) 3.13。溶于水，稳定；不燃，遇氧化剂易氧化为碘，低毒。</w:t>
                  </w:r>
                </w:p>
              </w:tc>
              <w:tc>
                <w:tcPr>
                  <w:tcW w:w="2070" w:type="dxa"/>
                  <w:noWrap w:val="0"/>
                  <w:tcMar>
                    <w:top w:w="135" w:type="dxa"/>
                    <w:left w:w="120" w:type="dxa"/>
                    <w:bottom w:w="135" w:type="dxa"/>
                    <w:right w:w="120" w:type="dxa"/>
                  </w:tcMar>
                  <w:vAlign w:val="center"/>
                </w:tcPr>
                <w:p w14:paraId="7455DDFD">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LD50 2850mg/kg（大鼠经口）；过量摄入可致甲状腺功能紊乱</w:t>
                  </w:r>
                </w:p>
              </w:tc>
            </w:tr>
            <w:tr w14:paraId="6DBCC9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0" w:hRule="atLeast"/>
              </w:trPr>
              <w:tc>
                <w:tcPr>
                  <w:tcW w:w="696" w:type="dxa"/>
                  <w:noWrap w:val="0"/>
                  <w:tcMar>
                    <w:top w:w="135" w:type="dxa"/>
                    <w:left w:w="120" w:type="dxa"/>
                    <w:bottom w:w="135" w:type="dxa"/>
                    <w:right w:w="120" w:type="dxa"/>
                  </w:tcMar>
                  <w:vAlign w:val="center"/>
                </w:tcPr>
                <w:p w14:paraId="31D0325D">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21</w:t>
                  </w:r>
                </w:p>
              </w:tc>
              <w:tc>
                <w:tcPr>
                  <w:tcW w:w="1050" w:type="dxa"/>
                  <w:noWrap w:val="0"/>
                  <w:tcMar>
                    <w:top w:w="135" w:type="dxa"/>
                    <w:left w:w="120" w:type="dxa"/>
                    <w:bottom w:w="135" w:type="dxa"/>
                    <w:right w:w="120" w:type="dxa"/>
                  </w:tcMar>
                  <w:vAlign w:val="center"/>
                </w:tcPr>
                <w:p w14:paraId="4B709984">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淀粉</w:t>
                  </w:r>
                </w:p>
              </w:tc>
              <w:tc>
                <w:tcPr>
                  <w:tcW w:w="975" w:type="dxa"/>
                  <w:noWrap w:val="0"/>
                  <w:tcMar>
                    <w:top w:w="135" w:type="dxa"/>
                    <w:left w:w="120" w:type="dxa"/>
                    <w:bottom w:w="135" w:type="dxa"/>
                    <w:right w:w="120" w:type="dxa"/>
                  </w:tcMar>
                  <w:vAlign w:val="center"/>
                </w:tcPr>
                <w:p w14:paraId="0232114F">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(C₆H₁₀O₅)ₙ</w:t>
                  </w:r>
                </w:p>
              </w:tc>
              <w:tc>
                <w:tcPr>
                  <w:tcW w:w="4344" w:type="dxa"/>
                  <w:noWrap w:val="0"/>
                  <w:tcMar>
                    <w:top w:w="135" w:type="dxa"/>
                    <w:left w:w="120" w:type="dxa"/>
                    <w:bottom w:w="135" w:type="dxa"/>
                    <w:right w:w="120" w:type="dxa"/>
                  </w:tcMar>
                  <w:vAlign w:val="center"/>
                </w:tcPr>
                <w:p w14:paraId="08CBE8E7">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白色粉末，无臭。无固定熔点（250℃以上碳化），相对密度 (水 = 1) 1.50。不溶于冷水，溶于热水；稳定，不燃，低毒。</w:t>
                  </w:r>
                </w:p>
              </w:tc>
              <w:tc>
                <w:tcPr>
                  <w:tcW w:w="2070" w:type="dxa"/>
                  <w:noWrap w:val="0"/>
                  <w:tcMar>
                    <w:top w:w="135" w:type="dxa"/>
                    <w:left w:w="120" w:type="dxa"/>
                    <w:bottom w:w="135" w:type="dxa"/>
                    <w:right w:w="120" w:type="dxa"/>
                  </w:tcMar>
                  <w:vAlign w:val="center"/>
                </w:tcPr>
                <w:p w14:paraId="72D79931">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LD50 ＞10000mg/kg（大鼠经口）；无毒，食品级可食用</w:t>
                  </w:r>
                </w:p>
              </w:tc>
            </w:tr>
            <w:tr w14:paraId="7F07DB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0" w:hRule="atLeast"/>
              </w:trPr>
              <w:tc>
                <w:tcPr>
                  <w:tcW w:w="696" w:type="dxa"/>
                  <w:noWrap w:val="0"/>
                  <w:tcMar>
                    <w:top w:w="135" w:type="dxa"/>
                    <w:left w:w="120" w:type="dxa"/>
                    <w:bottom w:w="135" w:type="dxa"/>
                    <w:right w:w="120" w:type="dxa"/>
                  </w:tcMar>
                  <w:vAlign w:val="center"/>
                </w:tcPr>
                <w:p w14:paraId="1C33CFBA">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22</w:t>
                  </w:r>
                </w:p>
              </w:tc>
              <w:tc>
                <w:tcPr>
                  <w:tcW w:w="1050" w:type="dxa"/>
                  <w:noWrap w:val="0"/>
                  <w:tcMar>
                    <w:top w:w="135" w:type="dxa"/>
                    <w:left w:w="120" w:type="dxa"/>
                    <w:bottom w:w="135" w:type="dxa"/>
                    <w:right w:w="120" w:type="dxa"/>
                  </w:tcMar>
                  <w:vAlign w:val="center"/>
                </w:tcPr>
                <w:p w14:paraId="4E6B8BBC">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氯化镁</w:t>
                  </w:r>
                </w:p>
              </w:tc>
              <w:tc>
                <w:tcPr>
                  <w:tcW w:w="975" w:type="dxa"/>
                  <w:noWrap w:val="0"/>
                  <w:tcMar>
                    <w:top w:w="135" w:type="dxa"/>
                    <w:left w:w="120" w:type="dxa"/>
                    <w:bottom w:w="135" w:type="dxa"/>
                    <w:right w:w="120" w:type="dxa"/>
                  </w:tcMar>
                  <w:vAlign w:val="center"/>
                </w:tcPr>
                <w:p w14:paraId="79DBE51B">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MgCl₂</w:t>
                  </w:r>
                </w:p>
              </w:tc>
              <w:tc>
                <w:tcPr>
                  <w:tcW w:w="4344" w:type="dxa"/>
                  <w:noWrap w:val="0"/>
                  <w:tcMar>
                    <w:top w:w="135" w:type="dxa"/>
                    <w:left w:w="120" w:type="dxa"/>
                    <w:bottom w:w="135" w:type="dxa"/>
                    <w:right w:w="120" w:type="dxa"/>
                  </w:tcMar>
                  <w:vAlign w:val="center"/>
                </w:tcPr>
                <w:p w14:paraId="70D2DD0A">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白色结晶粉末，易潮解。熔点 714℃，沸点 1412℃，相对密度 (水 = 1) 2.32。溶于水，稳定；不燃，与碱反应生成氢氧化镁，低刺激性。</w:t>
                  </w:r>
                </w:p>
              </w:tc>
              <w:tc>
                <w:tcPr>
                  <w:tcW w:w="2070" w:type="dxa"/>
                  <w:noWrap w:val="0"/>
                  <w:tcMar>
                    <w:top w:w="135" w:type="dxa"/>
                    <w:left w:w="120" w:type="dxa"/>
                    <w:bottom w:w="135" w:type="dxa"/>
                    <w:right w:w="120" w:type="dxa"/>
                  </w:tcMar>
                  <w:vAlign w:val="center"/>
                </w:tcPr>
                <w:p w14:paraId="431CDB79">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LD50 2800mg/kg（大鼠经口）；低毒，皮肤接触可致轻微刺激</w:t>
                  </w:r>
                </w:p>
              </w:tc>
            </w:tr>
            <w:tr w14:paraId="14073D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0" w:hRule="atLeast"/>
              </w:trPr>
              <w:tc>
                <w:tcPr>
                  <w:tcW w:w="696" w:type="dxa"/>
                  <w:noWrap w:val="0"/>
                  <w:tcMar>
                    <w:top w:w="135" w:type="dxa"/>
                    <w:left w:w="120" w:type="dxa"/>
                    <w:bottom w:w="135" w:type="dxa"/>
                    <w:right w:w="120" w:type="dxa"/>
                  </w:tcMar>
                  <w:vAlign w:val="center"/>
                </w:tcPr>
                <w:p w14:paraId="23D9C176">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23</w:t>
                  </w:r>
                </w:p>
              </w:tc>
              <w:tc>
                <w:tcPr>
                  <w:tcW w:w="1050" w:type="dxa"/>
                  <w:noWrap w:val="0"/>
                  <w:tcMar>
                    <w:top w:w="135" w:type="dxa"/>
                    <w:left w:w="120" w:type="dxa"/>
                    <w:bottom w:w="135" w:type="dxa"/>
                    <w:right w:w="120" w:type="dxa"/>
                  </w:tcMar>
                  <w:vAlign w:val="center"/>
                </w:tcPr>
                <w:p w14:paraId="56AB194C">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硫氰酸钾</w:t>
                  </w:r>
                </w:p>
              </w:tc>
              <w:tc>
                <w:tcPr>
                  <w:tcW w:w="975" w:type="dxa"/>
                  <w:noWrap w:val="0"/>
                  <w:tcMar>
                    <w:top w:w="135" w:type="dxa"/>
                    <w:left w:w="120" w:type="dxa"/>
                    <w:bottom w:w="135" w:type="dxa"/>
                    <w:right w:w="120" w:type="dxa"/>
                  </w:tcMar>
                  <w:vAlign w:val="center"/>
                </w:tcPr>
                <w:p w14:paraId="31BDF35D">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KSCN</w:t>
                  </w:r>
                </w:p>
              </w:tc>
              <w:tc>
                <w:tcPr>
                  <w:tcW w:w="4344" w:type="dxa"/>
                  <w:noWrap w:val="0"/>
                  <w:tcMar>
                    <w:top w:w="135" w:type="dxa"/>
                    <w:left w:w="120" w:type="dxa"/>
                    <w:bottom w:w="135" w:type="dxa"/>
                    <w:right w:w="120" w:type="dxa"/>
                  </w:tcMar>
                  <w:vAlign w:val="center"/>
                </w:tcPr>
                <w:p w14:paraId="296421A0">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无色结晶粉末，无臭。熔点 173℃，沸点 500℃（分解），相对密度 (水 = 1) 1.89。溶于水，稳定；不燃，受热分解产生有毒氰化物、硫化物。</w:t>
                  </w:r>
                </w:p>
              </w:tc>
              <w:tc>
                <w:tcPr>
                  <w:tcW w:w="2070" w:type="dxa"/>
                  <w:noWrap w:val="0"/>
                  <w:tcMar>
                    <w:top w:w="135" w:type="dxa"/>
                    <w:left w:w="120" w:type="dxa"/>
                    <w:bottom w:w="135" w:type="dxa"/>
                    <w:right w:w="120" w:type="dxa"/>
                  </w:tcMar>
                  <w:vAlign w:val="center"/>
                </w:tcPr>
                <w:p w14:paraId="04981317">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LD50 854mg/kg（大鼠经口）；中等毒性，摄入可致恶心、呼吸困难</w:t>
                  </w:r>
                </w:p>
              </w:tc>
            </w:tr>
            <w:tr w14:paraId="777767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0" w:hRule="atLeast"/>
              </w:trPr>
              <w:tc>
                <w:tcPr>
                  <w:tcW w:w="696" w:type="dxa"/>
                  <w:noWrap w:val="0"/>
                  <w:tcMar>
                    <w:top w:w="135" w:type="dxa"/>
                    <w:left w:w="120" w:type="dxa"/>
                    <w:bottom w:w="135" w:type="dxa"/>
                    <w:right w:w="120" w:type="dxa"/>
                  </w:tcMar>
                  <w:vAlign w:val="center"/>
                </w:tcPr>
                <w:p w14:paraId="3B6F0A02">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24</w:t>
                  </w:r>
                </w:p>
              </w:tc>
              <w:tc>
                <w:tcPr>
                  <w:tcW w:w="1050" w:type="dxa"/>
                  <w:noWrap w:val="0"/>
                  <w:tcMar>
                    <w:top w:w="135" w:type="dxa"/>
                    <w:left w:w="120" w:type="dxa"/>
                    <w:bottom w:w="135" w:type="dxa"/>
                    <w:right w:w="120" w:type="dxa"/>
                  </w:tcMar>
                  <w:vAlign w:val="center"/>
                </w:tcPr>
                <w:p w14:paraId="233F4969">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硼酸</w:t>
                  </w:r>
                </w:p>
              </w:tc>
              <w:tc>
                <w:tcPr>
                  <w:tcW w:w="975" w:type="dxa"/>
                  <w:noWrap w:val="0"/>
                  <w:tcMar>
                    <w:top w:w="135" w:type="dxa"/>
                    <w:left w:w="120" w:type="dxa"/>
                    <w:bottom w:w="135" w:type="dxa"/>
                    <w:right w:w="120" w:type="dxa"/>
                  </w:tcMar>
                  <w:vAlign w:val="center"/>
                </w:tcPr>
                <w:p w14:paraId="40A06B7E">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H₃BO₃</w:t>
                  </w:r>
                </w:p>
              </w:tc>
              <w:tc>
                <w:tcPr>
                  <w:tcW w:w="4344" w:type="dxa"/>
                  <w:noWrap w:val="0"/>
                  <w:tcMar>
                    <w:top w:w="135" w:type="dxa"/>
                    <w:left w:w="120" w:type="dxa"/>
                    <w:bottom w:w="135" w:type="dxa"/>
                    <w:right w:w="120" w:type="dxa"/>
                  </w:tcMar>
                  <w:vAlign w:val="center"/>
                </w:tcPr>
                <w:p w14:paraId="2A861146">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白色结晶粉末，无臭。熔点 169℃（分解），相对密度 (水 = 1) 1.44。溶于水，稳定；不燃，具弱腐蚀性，长期接触可致慢性中毒。</w:t>
                  </w:r>
                </w:p>
              </w:tc>
              <w:tc>
                <w:tcPr>
                  <w:tcW w:w="2070" w:type="dxa"/>
                  <w:noWrap w:val="0"/>
                  <w:tcMar>
                    <w:top w:w="135" w:type="dxa"/>
                    <w:left w:w="120" w:type="dxa"/>
                    <w:bottom w:w="135" w:type="dxa"/>
                    <w:right w:w="120" w:type="dxa"/>
                  </w:tcMar>
                  <w:vAlign w:val="center"/>
                </w:tcPr>
                <w:p w14:paraId="0EC15D2D">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LD50 2660mg/kg（大鼠经口）；低毒，过量摄入可致消化道不适</w:t>
                  </w:r>
                </w:p>
              </w:tc>
            </w:tr>
            <w:tr w14:paraId="7F39E6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0" w:hRule="atLeast"/>
              </w:trPr>
              <w:tc>
                <w:tcPr>
                  <w:tcW w:w="696" w:type="dxa"/>
                  <w:noWrap w:val="0"/>
                  <w:tcMar>
                    <w:top w:w="135" w:type="dxa"/>
                    <w:left w:w="120" w:type="dxa"/>
                    <w:bottom w:w="135" w:type="dxa"/>
                    <w:right w:w="120" w:type="dxa"/>
                  </w:tcMar>
                  <w:vAlign w:val="center"/>
                </w:tcPr>
                <w:p w14:paraId="6D8D5B34">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25</w:t>
                  </w:r>
                </w:p>
              </w:tc>
              <w:tc>
                <w:tcPr>
                  <w:tcW w:w="1050" w:type="dxa"/>
                  <w:noWrap w:val="0"/>
                  <w:tcMar>
                    <w:top w:w="135" w:type="dxa"/>
                    <w:left w:w="120" w:type="dxa"/>
                    <w:bottom w:w="135" w:type="dxa"/>
                    <w:right w:w="120" w:type="dxa"/>
                  </w:tcMar>
                  <w:vAlign w:val="center"/>
                </w:tcPr>
                <w:p w14:paraId="3CDE1077">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乙酸钠</w:t>
                  </w:r>
                </w:p>
              </w:tc>
              <w:tc>
                <w:tcPr>
                  <w:tcW w:w="975" w:type="dxa"/>
                  <w:noWrap w:val="0"/>
                  <w:tcMar>
                    <w:top w:w="135" w:type="dxa"/>
                    <w:left w:w="120" w:type="dxa"/>
                    <w:bottom w:w="135" w:type="dxa"/>
                    <w:right w:w="120" w:type="dxa"/>
                  </w:tcMar>
                  <w:vAlign w:val="center"/>
                </w:tcPr>
                <w:p w14:paraId="05103A2D">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CH₃COONa</w:t>
                  </w:r>
                </w:p>
              </w:tc>
              <w:tc>
                <w:tcPr>
                  <w:tcW w:w="4344" w:type="dxa"/>
                  <w:noWrap w:val="0"/>
                  <w:tcMar>
                    <w:top w:w="135" w:type="dxa"/>
                    <w:left w:w="120" w:type="dxa"/>
                    <w:bottom w:w="135" w:type="dxa"/>
                    <w:right w:w="120" w:type="dxa"/>
                  </w:tcMar>
                  <w:vAlign w:val="center"/>
                </w:tcPr>
                <w:p w14:paraId="0F5E8784">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白色结晶或粉末，无臭。熔点 324℃，相对密度 (水 = 1) 1.52。溶于水，稳定；不燃，与强酸反应生成乙酸，低毒。</w:t>
                  </w:r>
                </w:p>
              </w:tc>
              <w:tc>
                <w:tcPr>
                  <w:tcW w:w="2070" w:type="dxa"/>
                  <w:noWrap w:val="0"/>
                  <w:tcMar>
                    <w:top w:w="135" w:type="dxa"/>
                    <w:left w:w="120" w:type="dxa"/>
                    <w:bottom w:w="135" w:type="dxa"/>
                    <w:right w:w="120" w:type="dxa"/>
                  </w:tcMar>
                  <w:vAlign w:val="center"/>
                </w:tcPr>
                <w:p w14:paraId="6EE41434">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LD50 3530mg/kg（大鼠经口）；无毒，食品级可用作防腐剂</w:t>
                  </w:r>
                </w:p>
              </w:tc>
            </w:tr>
            <w:tr w14:paraId="3BC3CA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0" w:hRule="atLeast"/>
              </w:trPr>
              <w:tc>
                <w:tcPr>
                  <w:tcW w:w="696" w:type="dxa"/>
                  <w:noWrap w:val="0"/>
                  <w:tcMar>
                    <w:top w:w="135" w:type="dxa"/>
                    <w:left w:w="120" w:type="dxa"/>
                    <w:bottom w:w="135" w:type="dxa"/>
                    <w:right w:w="120" w:type="dxa"/>
                  </w:tcMar>
                  <w:vAlign w:val="center"/>
                </w:tcPr>
                <w:p w14:paraId="2CE78F1A">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26</w:t>
                  </w:r>
                </w:p>
              </w:tc>
              <w:tc>
                <w:tcPr>
                  <w:tcW w:w="1050" w:type="dxa"/>
                  <w:noWrap w:val="0"/>
                  <w:tcMar>
                    <w:top w:w="135" w:type="dxa"/>
                    <w:left w:w="120" w:type="dxa"/>
                    <w:bottom w:w="135" w:type="dxa"/>
                    <w:right w:w="120" w:type="dxa"/>
                  </w:tcMar>
                  <w:vAlign w:val="center"/>
                </w:tcPr>
                <w:p w14:paraId="27F151ED">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抗坏血酸</w:t>
                  </w:r>
                </w:p>
              </w:tc>
              <w:tc>
                <w:tcPr>
                  <w:tcW w:w="975" w:type="dxa"/>
                  <w:noWrap w:val="0"/>
                  <w:tcMar>
                    <w:top w:w="135" w:type="dxa"/>
                    <w:left w:w="120" w:type="dxa"/>
                    <w:bottom w:w="135" w:type="dxa"/>
                    <w:right w:w="120" w:type="dxa"/>
                  </w:tcMar>
                  <w:vAlign w:val="center"/>
                </w:tcPr>
                <w:p w14:paraId="70366042">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C₆H₈O₆</w:t>
                  </w:r>
                </w:p>
              </w:tc>
              <w:tc>
                <w:tcPr>
                  <w:tcW w:w="4344" w:type="dxa"/>
                  <w:noWrap w:val="0"/>
                  <w:tcMar>
                    <w:top w:w="135" w:type="dxa"/>
                    <w:left w:w="120" w:type="dxa"/>
                    <w:bottom w:w="135" w:type="dxa"/>
                    <w:right w:w="120" w:type="dxa"/>
                  </w:tcMar>
                  <w:vAlign w:val="center"/>
                </w:tcPr>
                <w:p w14:paraId="19B66EC2">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白色结晶粉末，无臭。熔点 190-192℃（分解），相对密度 (水 = 1) 1.65。溶于水，易氧化；不燃，低毒，具还原性。</w:t>
                  </w:r>
                </w:p>
              </w:tc>
              <w:tc>
                <w:tcPr>
                  <w:tcW w:w="2070" w:type="dxa"/>
                  <w:noWrap w:val="0"/>
                  <w:tcMar>
                    <w:top w:w="135" w:type="dxa"/>
                    <w:left w:w="120" w:type="dxa"/>
                    <w:bottom w:w="135" w:type="dxa"/>
                    <w:right w:w="120" w:type="dxa"/>
                  </w:tcMar>
                  <w:vAlign w:val="center"/>
                </w:tcPr>
                <w:p w14:paraId="417423FB">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LD50 11900mg/kg（大鼠经口）；无毒，食品级为维生素 C</w:t>
                  </w:r>
                </w:p>
              </w:tc>
            </w:tr>
            <w:tr w14:paraId="2A62E2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0" w:hRule="atLeast"/>
              </w:trPr>
              <w:tc>
                <w:tcPr>
                  <w:tcW w:w="696" w:type="dxa"/>
                  <w:noWrap w:val="0"/>
                  <w:tcMar>
                    <w:top w:w="135" w:type="dxa"/>
                    <w:left w:w="120" w:type="dxa"/>
                    <w:bottom w:w="135" w:type="dxa"/>
                    <w:right w:w="120" w:type="dxa"/>
                  </w:tcMar>
                  <w:vAlign w:val="center"/>
                </w:tcPr>
                <w:p w14:paraId="4C36B6BB">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27</w:t>
                  </w:r>
                </w:p>
              </w:tc>
              <w:tc>
                <w:tcPr>
                  <w:tcW w:w="1050" w:type="dxa"/>
                  <w:noWrap w:val="0"/>
                  <w:tcMar>
                    <w:top w:w="135" w:type="dxa"/>
                    <w:left w:w="120" w:type="dxa"/>
                    <w:bottom w:w="135" w:type="dxa"/>
                    <w:right w:w="120" w:type="dxa"/>
                  </w:tcMar>
                  <w:vAlign w:val="center"/>
                </w:tcPr>
                <w:p w14:paraId="0086BD5B">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二甲酚橙</w:t>
                  </w:r>
                </w:p>
              </w:tc>
              <w:tc>
                <w:tcPr>
                  <w:tcW w:w="975" w:type="dxa"/>
                  <w:noWrap w:val="0"/>
                  <w:tcMar>
                    <w:top w:w="135" w:type="dxa"/>
                    <w:left w:w="120" w:type="dxa"/>
                    <w:bottom w:w="135" w:type="dxa"/>
                    <w:right w:w="120" w:type="dxa"/>
                  </w:tcMar>
                  <w:vAlign w:val="center"/>
                </w:tcPr>
                <w:p w14:paraId="636C119C">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C₃1H32N2O13S</w:t>
                  </w:r>
                </w:p>
              </w:tc>
              <w:tc>
                <w:tcPr>
                  <w:tcW w:w="4344" w:type="dxa"/>
                  <w:noWrap w:val="0"/>
                  <w:tcMar>
                    <w:top w:w="135" w:type="dxa"/>
                    <w:left w:w="120" w:type="dxa"/>
                    <w:bottom w:w="135" w:type="dxa"/>
                    <w:right w:w="120" w:type="dxa"/>
                  </w:tcMar>
                  <w:vAlign w:val="center"/>
                </w:tcPr>
                <w:p w14:paraId="1B3C4C58">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红棕色粉末，无臭。无固定熔点（210℃以上分解），不溶于水；稳定，不燃，低毒，具弱刺激性。</w:t>
                  </w:r>
                </w:p>
              </w:tc>
              <w:tc>
                <w:tcPr>
                  <w:tcW w:w="2070" w:type="dxa"/>
                  <w:noWrap w:val="0"/>
                  <w:tcMar>
                    <w:top w:w="135" w:type="dxa"/>
                    <w:left w:w="120" w:type="dxa"/>
                    <w:bottom w:w="135" w:type="dxa"/>
                    <w:right w:w="120" w:type="dxa"/>
                  </w:tcMar>
                  <w:vAlign w:val="center"/>
                </w:tcPr>
                <w:p w14:paraId="081799C1">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LD50 ＞5000mg/kg（大鼠经口）；低毒，皮肤接触无明显危害</w:t>
                  </w:r>
                </w:p>
              </w:tc>
            </w:tr>
            <w:tr w14:paraId="7610D2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0" w:hRule="atLeast"/>
              </w:trPr>
              <w:tc>
                <w:tcPr>
                  <w:tcW w:w="696" w:type="dxa"/>
                  <w:noWrap w:val="0"/>
                  <w:tcMar>
                    <w:top w:w="135" w:type="dxa"/>
                    <w:left w:w="120" w:type="dxa"/>
                    <w:bottom w:w="135" w:type="dxa"/>
                    <w:right w:w="120" w:type="dxa"/>
                  </w:tcMar>
                  <w:vAlign w:val="center"/>
                </w:tcPr>
                <w:p w14:paraId="02D7F8C0">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28</w:t>
                  </w:r>
                </w:p>
              </w:tc>
              <w:tc>
                <w:tcPr>
                  <w:tcW w:w="1050" w:type="dxa"/>
                  <w:noWrap w:val="0"/>
                  <w:tcMar>
                    <w:top w:w="135" w:type="dxa"/>
                    <w:left w:w="120" w:type="dxa"/>
                    <w:bottom w:w="135" w:type="dxa"/>
                    <w:right w:w="120" w:type="dxa"/>
                  </w:tcMar>
                  <w:vAlign w:val="center"/>
                </w:tcPr>
                <w:p w14:paraId="41F0C037">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硫酸铵</w:t>
                  </w:r>
                </w:p>
              </w:tc>
              <w:tc>
                <w:tcPr>
                  <w:tcW w:w="975" w:type="dxa"/>
                  <w:noWrap w:val="0"/>
                  <w:tcMar>
                    <w:top w:w="135" w:type="dxa"/>
                    <w:left w:w="120" w:type="dxa"/>
                    <w:bottom w:w="135" w:type="dxa"/>
                    <w:right w:w="120" w:type="dxa"/>
                  </w:tcMar>
                  <w:vAlign w:val="center"/>
                </w:tcPr>
                <w:p w14:paraId="33D9D8FB">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(NH₄)₂SO₄</w:t>
                  </w:r>
                </w:p>
              </w:tc>
              <w:tc>
                <w:tcPr>
                  <w:tcW w:w="4344" w:type="dxa"/>
                  <w:noWrap w:val="0"/>
                  <w:tcMar>
                    <w:top w:w="135" w:type="dxa"/>
                    <w:left w:w="120" w:type="dxa"/>
                    <w:bottom w:w="135" w:type="dxa"/>
                    <w:right w:w="120" w:type="dxa"/>
                  </w:tcMar>
                  <w:vAlign w:val="center"/>
                </w:tcPr>
                <w:p w14:paraId="58CB0104">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白色结晶粉末，无臭。熔点 280℃（分解），相对密度 (水 = 1) 1.77。溶于水，稳定；不燃，受热分解产生氨气和硫酸，低刺激性。</w:t>
                  </w:r>
                </w:p>
              </w:tc>
              <w:tc>
                <w:tcPr>
                  <w:tcW w:w="2070" w:type="dxa"/>
                  <w:noWrap w:val="0"/>
                  <w:tcMar>
                    <w:top w:w="135" w:type="dxa"/>
                    <w:left w:w="120" w:type="dxa"/>
                    <w:bottom w:w="135" w:type="dxa"/>
                    <w:right w:w="120" w:type="dxa"/>
                  </w:tcMar>
                  <w:vAlign w:val="center"/>
                </w:tcPr>
                <w:p w14:paraId="137A0DAB">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LD50 3000mg/kg（大鼠经口）；低毒，过量摄入可致恶心、呕吐</w:t>
                  </w:r>
                </w:p>
              </w:tc>
            </w:tr>
            <w:tr w14:paraId="1283E9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0" w:hRule="atLeast"/>
              </w:trPr>
              <w:tc>
                <w:tcPr>
                  <w:tcW w:w="696" w:type="dxa"/>
                  <w:noWrap w:val="0"/>
                  <w:tcMar>
                    <w:top w:w="135" w:type="dxa"/>
                    <w:left w:w="120" w:type="dxa"/>
                    <w:bottom w:w="135" w:type="dxa"/>
                    <w:right w:w="120" w:type="dxa"/>
                  </w:tcMar>
                  <w:vAlign w:val="center"/>
                </w:tcPr>
                <w:p w14:paraId="08F5CD5B">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29</w:t>
                  </w:r>
                </w:p>
              </w:tc>
              <w:tc>
                <w:tcPr>
                  <w:tcW w:w="1050" w:type="dxa"/>
                  <w:noWrap w:val="0"/>
                  <w:tcMar>
                    <w:top w:w="135" w:type="dxa"/>
                    <w:left w:w="120" w:type="dxa"/>
                    <w:bottom w:w="135" w:type="dxa"/>
                    <w:right w:w="120" w:type="dxa"/>
                  </w:tcMar>
                  <w:vAlign w:val="center"/>
                </w:tcPr>
                <w:p w14:paraId="4269C730">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对硝基酚</w:t>
                  </w:r>
                </w:p>
              </w:tc>
              <w:tc>
                <w:tcPr>
                  <w:tcW w:w="975" w:type="dxa"/>
                  <w:noWrap w:val="0"/>
                  <w:tcMar>
                    <w:top w:w="135" w:type="dxa"/>
                    <w:left w:w="120" w:type="dxa"/>
                    <w:bottom w:w="135" w:type="dxa"/>
                    <w:right w:w="120" w:type="dxa"/>
                  </w:tcMar>
                  <w:vAlign w:val="center"/>
                </w:tcPr>
                <w:p w14:paraId="2A35A87B">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C₆H₅NO₃</w:t>
                  </w:r>
                </w:p>
              </w:tc>
              <w:tc>
                <w:tcPr>
                  <w:tcW w:w="4344" w:type="dxa"/>
                  <w:noWrap w:val="0"/>
                  <w:tcMar>
                    <w:top w:w="135" w:type="dxa"/>
                    <w:left w:w="120" w:type="dxa"/>
                    <w:bottom w:w="135" w:type="dxa"/>
                    <w:right w:w="120" w:type="dxa"/>
                  </w:tcMar>
                  <w:vAlign w:val="center"/>
                </w:tcPr>
                <w:p w14:paraId="7A1EDA16">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淡黄色结晶，有苦味。熔点 114℃，沸点 279℃（分解），相对密度 (水 = 1) 1.49。微溶于水，易燃，闪点 169℃；燃烧生成有毒氮氧化物。</w:t>
                  </w:r>
                </w:p>
              </w:tc>
              <w:tc>
                <w:tcPr>
                  <w:tcW w:w="2070" w:type="dxa"/>
                  <w:noWrap w:val="0"/>
                  <w:tcMar>
                    <w:top w:w="135" w:type="dxa"/>
                    <w:left w:w="120" w:type="dxa"/>
                    <w:bottom w:w="135" w:type="dxa"/>
                    <w:right w:w="120" w:type="dxa"/>
                  </w:tcMar>
                  <w:vAlign w:val="center"/>
                </w:tcPr>
                <w:p w14:paraId="73B730D7">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LD50 467mg/kg（大鼠经口）；中等毒性，皮肤接触可致过敏，吸入可致呼吸道损伤</w:t>
                  </w:r>
                </w:p>
              </w:tc>
            </w:tr>
            <w:tr w14:paraId="4FECB2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0" w:hRule="atLeast"/>
              </w:trPr>
              <w:tc>
                <w:tcPr>
                  <w:tcW w:w="696" w:type="dxa"/>
                  <w:noWrap w:val="0"/>
                  <w:tcMar>
                    <w:top w:w="135" w:type="dxa"/>
                    <w:left w:w="120" w:type="dxa"/>
                    <w:bottom w:w="135" w:type="dxa"/>
                    <w:right w:w="120" w:type="dxa"/>
                  </w:tcMar>
                  <w:vAlign w:val="center"/>
                </w:tcPr>
                <w:p w14:paraId="15AC5ABD">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30</w:t>
                  </w:r>
                </w:p>
              </w:tc>
              <w:tc>
                <w:tcPr>
                  <w:tcW w:w="1050" w:type="dxa"/>
                  <w:noWrap w:val="0"/>
                  <w:tcMar>
                    <w:top w:w="135" w:type="dxa"/>
                    <w:left w:w="120" w:type="dxa"/>
                    <w:bottom w:w="135" w:type="dxa"/>
                    <w:right w:w="120" w:type="dxa"/>
                  </w:tcMar>
                  <w:vAlign w:val="center"/>
                </w:tcPr>
                <w:p w14:paraId="28CDC840">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过硫酸钾</w:t>
                  </w:r>
                </w:p>
              </w:tc>
              <w:tc>
                <w:tcPr>
                  <w:tcW w:w="975" w:type="dxa"/>
                  <w:noWrap w:val="0"/>
                  <w:tcMar>
                    <w:top w:w="135" w:type="dxa"/>
                    <w:left w:w="120" w:type="dxa"/>
                    <w:bottom w:w="135" w:type="dxa"/>
                    <w:right w:w="120" w:type="dxa"/>
                  </w:tcMar>
                  <w:vAlign w:val="center"/>
                </w:tcPr>
                <w:p w14:paraId="2FC4208A">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K₂S₂O₈</w:t>
                  </w:r>
                </w:p>
              </w:tc>
              <w:tc>
                <w:tcPr>
                  <w:tcW w:w="4344" w:type="dxa"/>
                  <w:noWrap w:val="0"/>
                  <w:tcMar>
                    <w:top w:w="135" w:type="dxa"/>
                    <w:left w:w="120" w:type="dxa"/>
                    <w:bottom w:w="135" w:type="dxa"/>
                    <w:right w:w="120" w:type="dxa"/>
                  </w:tcMar>
                  <w:vAlign w:val="center"/>
                </w:tcPr>
                <w:p w14:paraId="0A850642">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白色结晶粉末，无臭。熔点 100℃（分解），相对密度 (水 = 1) 2.48。溶于水，强氧化性；遇有机物、还原剂易燃烧爆炸，受热分解产生氧气。</w:t>
                  </w:r>
                </w:p>
              </w:tc>
              <w:tc>
                <w:tcPr>
                  <w:tcW w:w="2070" w:type="dxa"/>
                  <w:noWrap w:val="0"/>
                  <w:tcMar>
                    <w:top w:w="135" w:type="dxa"/>
                    <w:left w:w="120" w:type="dxa"/>
                    <w:bottom w:w="135" w:type="dxa"/>
                    <w:right w:w="120" w:type="dxa"/>
                  </w:tcMar>
                  <w:vAlign w:val="center"/>
                </w:tcPr>
                <w:p w14:paraId="4ED69AF7">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LD50 802mg/kg（大鼠经口）；对皮肤、黏膜有刺激性，吸入可致肺水肿</w:t>
                  </w:r>
                </w:p>
              </w:tc>
            </w:tr>
            <w:tr w14:paraId="3B4FA0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0" w:hRule="atLeast"/>
              </w:trPr>
              <w:tc>
                <w:tcPr>
                  <w:tcW w:w="696" w:type="dxa"/>
                  <w:noWrap w:val="0"/>
                  <w:tcMar>
                    <w:top w:w="135" w:type="dxa"/>
                    <w:left w:w="120" w:type="dxa"/>
                    <w:bottom w:w="135" w:type="dxa"/>
                    <w:right w:w="120" w:type="dxa"/>
                  </w:tcMar>
                  <w:vAlign w:val="center"/>
                </w:tcPr>
                <w:p w14:paraId="02E8AEC5">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31</w:t>
                  </w:r>
                </w:p>
              </w:tc>
              <w:tc>
                <w:tcPr>
                  <w:tcW w:w="1050" w:type="dxa"/>
                  <w:noWrap w:val="0"/>
                  <w:tcMar>
                    <w:top w:w="135" w:type="dxa"/>
                    <w:left w:w="120" w:type="dxa"/>
                    <w:bottom w:w="135" w:type="dxa"/>
                    <w:right w:w="120" w:type="dxa"/>
                  </w:tcMar>
                  <w:vAlign w:val="center"/>
                </w:tcPr>
                <w:p w14:paraId="60F88F66">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焦硫酸钾</w:t>
                  </w:r>
                </w:p>
              </w:tc>
              <w:tc>
                <w:tcPr>
                  <w:tcW w:w="975" w:type="dxa"/>
                  <w:noWrap w:val="0"/>
                  <w:tcMar>
                    <w:top w:w="135" w:type="dxa"/>
                    <w:left w:w="120" w:type="dxa"/>
                    <w:bottom w:w="135" w:type="dxa"/>
                    <w:right w:w="120" w:type="dxa"/>
                  </w:tcMar>
                  <w:vAlign w:val="center"/>
                </w:tcPr>
                <w:p w14:paraId="66653157">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K₂S₂O₇</w:t>
                  </w:r>
                </w:p>
              </w:tc>
              <w:tc>
                <w:tcPr>
                  <w:tcW w:w="4344" w:type="dxa"/>
                  <w:noWrap w:val="0"/>
                  <w:tcMar>
                    <w:top w:w="135" w:type="dxa"/>
                    <w:left w:w="120" w:type="dxa"/>
                    <w:bottom w:w="135" w:type="dxa"/>
                    <w:right w:w="120" w:type="dxa"/>
                  </w:tcMar>
                  <w:vAlign w:val="center"/>
                </w:tcPr>
                <w:p w14:paraId="379ED124">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白色结晶粉末，无臭。熔点 325℃，沸点 516℃（分解），相对密度 (水 = 1) 2.28。溶于水生成硫酸，具腐蚀性；不燃，稳定，与有机物反应剧烈。</w:t>
                  </w:r>
                </w:p>
              </w:tc>
              <w:tc>
                <w:tcPr>
                  <w:tcW w:w="2070" w:type="dxa"/>
                  <w:noWrap w:val="0"/>
                  <w:tcMar>
                    <w:top w:w="135" w:type="dxa"/>
                    <w:left w:w="120" w:type="dxa"/>
                    <w:bottom w:w="135" w:type="dxa"/>
                    <w:right w:w="120" w:type="dxa"/>
                  </w:tcMar>
                  <w:vAlign w:val="center"/>
                </w:tcPr>
                <w:p w14:paraId="21CAA0B9">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LD50 1800mg/kg（大鼠经口）；低毒，皮肤接触可致轻微灼伤</w:t>
                  </w:r>
                </w:p>
              </w:tc>
            </w:tr>
            <w:tr w14:paraId="478179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0" w:hRule="atLeast"/>
              </w:trPr>
              <w:tc>
                <w:tcPr>
                  <w:tcW w:w="696" w:type="dxa"/>
                  <w:noWrap w:val="0"/>
                  <w:tcMar>
                    <w:top w:w="135" w:type="dxa"/>
                    <w:left w:w="120" w:type="dxa"/>
                    <w:bottom w:w="135" w:type="dxa"/>
                    <w:right w:w="120" w:type="dxa"/>
                  </w:tcMar>
                  <w:vAlign w:val="center"/>
                </w:tcPr>
                <w:p w14:paraId="00C965B7">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32</w:t>
                  </w:r>
                </w:p>
              </w:tc>
              <w:tc>
                <w:tcPr>
                  <w:tcW w:w="1050" w:type="dxa"/>
                  <w:noWrap w:val="0"/>
                  <w:tcMar>
                    <w:top w:w="135" w:type="dxa"/>
                    <w:left w:w="120" w:type="dxa"/>
                    <w:bottom w:w="135" w:type="dxa"/>
                    <w:right w:w="120" w:type="dxa"/>
                  </w:tcMar>
                  <w:vAlign w:val="center"/>
                </w:tcPr>
                <w:p w14:paraId="50E1F622">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氯化亚锡</w:t>
                  </w:r>
                </w:p>
              </w:tc>
              <w:tc>
                <w:tcPr>
                  <w:tcW w:w="975" w:type="dxa"/>
                  <w:noWrap w:val="0"/>
                  <w:tcMar>
                    <w:top w:w="135" w:type="dxa"/>
                    <w:left w:w="120" w:type="dxa"/>
                    <w:bottom w:w="135" w:type="dxa"/>
                    <w:right w:w="120" w:type="dxa"/>
                  </w:tcMar>
                  <w:vAlign w:val="center"/>
                </w:tcPr>
                <w:p w14:paraId="47CE5C79">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SnCl₂·2H₂O</w:t>
                  </w:r>
                </w:p>
              </w:tc>
              <w:tc>
                <w:tcPr>
                  <w:tcW w:w="4344" w:type="dxa"/>
                  <w:noWrap w:val="0"/>
                  <w:tcMar>
                    <w:top w:w="135" w:type="dxa"/>
                    <w:left w:w="120" w:type="dxa"/>
                    <w:bottom w:w="135" w:type="dxa"/>
                    <w:right w:w="120" w:type="dxa"/>
                  </w:tcMar>
                  <w:vAlign w:val="center"/>
                </w:tcPr>
                <w:p w14:paraId="531B3300">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白色结晶，易潮解。熔点 37.7℃（失去结晶水），沸点 623℃（分解），相对密度 (水 = 1) 2.71。溶于水，易氧化；不燃，受热分解产生氯化氢，具腐蚀性。</w:t>
                  </w:r>
                </w:p>
              </w:tc>
              <w:tc>
                <w:tcPr>
                  <w:tcW w:w="2070" w:type="dxa"/>
                  <w:noWrap w:val="0"/>
                  <w:tcMar>
                    <w:top w:w="135" w:type="dxa"/>
                    <w:left w:w="120" w:type="dxa"/>
                    <w:bottom w:w="135" w:type="dxa"/>
                    <w:right w:w="120" w:type="dxa"/>
                  </w:tcMar>
                  <w:vAlign w:val="center"/>
                </w:tcPr>
                <w:p w14:paraId="23F7EF20">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LD50 700mg/kg（大鼠经口）；中等毒性，吸入可致肺损伤</w:t>
                  </w:r>
                </w:p>
              </w:tc>
            </w:tr>
            <w:tr w14:paraId="0966D3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0" w:hRule="atLeast"/>
              </w:trPr>
              <w:tc>
                <w:tcPr>
                  <w:tcW w:w="696" w:type="dxa"/>
                  <w:noWrap w:val="0"/>
                  <w:tcMar>
                    <w:top w:w="135" w:type="dxa"/>
                    <w:left w:w="120" w:type="dxa"/>
                    <w:bottom w:w="135" w:type="dxa"/>
                    <w:right w:w="120" w:type="dxa"/>
                  </w:tcMar>
                  <w:vAlign w:val="center"/>
                </w:tcPr>
                <w:p w14:paraId="66211791">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33</w:t>
                  </w:r>
                </w:p>
              </w:tc>
              <w:tc>
                <w:tcPr>
                  <w:tcW w:w="1050" w:type="dxa"/>
                  <w:noWrap w:val="0"/>
                  <w:tcMar>
                    <w:top w:w="135" w:type="dxa"/>
                    <w:left w:w="120" w:type="dxa"/>
                    <w:bottom w:w="135" w:type="dxa"/>
                    <w:right w:w="120" w:type="dxa"/>
                  </w:tcMar>
                  <w:vAlign w:val="center"/>
                </w:tcPr>
                <w:p w14:paraId="7CBC7C56">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钨酸钠</w:t>
                  </w:r>
                </w:p>
              </w:tc>
              <w:tc>
                <w:tcPr>
                  <w:tcW w:w="975" w:type="dxa"/>
                  <w:noWrap w:val="0"/>
                  <w:tcMar>
                    <w:top w:w="135" w:type="dxa"/>
                    <w:left w:w="120" w:type="dxa"/>
                    <w:bottom w:w="135" w:type="dxa"/>
                    <w:right w:w="120" w:type="dxa"/>
                  </w:tcMar>
                  <w:vAlign w:val="center"/>
                </w:tcPr>
                <w:p w14:paraId="4B9C9BC8">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Na₂WO₄·2H₂O</w:t>
                  </w:r>
                </w:p>
              </w:tc>
              <w:tc>
                <w:tcPr>
                  <w:tcW w:w="4344" w:type="dxa"/>
                  <w:noWrap w:val="0"/>
                  <w:tcMar>
                    <w:top w:w="135" w:type="dxa"/>
                    <w:left w:w="120" w:type="dxa"/>
                    <w:bottom w:w="135" w:type="dxa"/>
                    <w:right w:w="120" w:type="dxa"/>
                  </w:tcMar>
                  <w:vAlign w:val="center"/>
                </w:tcPr>
                <w:p w14:paraId="463F32CF">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白色结晶粉末，无臭。熔点 698℃，相对密度 (水 = 1) 4.18。溶于水，稳定；不燃，与强酸反应生成钨酸，低毒。</w:t>
                  </w:r>
                </w:p>
              </w:tc>
              <w:tc>
                <w:tcPr>
                  <w:tcW w:w="2070" w:type="dxa"/>
                  <w:noWrap w:val="0"/>
                  <w:tcMar>
                    <w:top w:w="135" w:type="dxa"/>
                    <w:left w:w="120" w:type="dxa"/>
                    <w:bottom w:w="135" w:type="dxa"/>
                    <w:right w:w="120" w:type="dxa"/>
                  </w:tcMar>
                  <w:vAlign w:val="center"/>
                </w:tcPr>
                <w:p w14:paraId="4D0857F8">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LD50 1190mg/kg（大鼠经口）；低毒，长期接触无明显危害</w:t>
                  </w:r>
                </w:p>
              </w:tc>
            </w:tr>
            <w:tr w14:paraId="2A0E69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0" w:hRule="atLeast"/>
              </w:trPr>
              <w:tc>
                <w:tcPr>
                  <w:tcW w:w="696" w:type="dxa"/>
                  <w:noWrap w:val="0"/>
                  <w:tcMar>
                    <w:top w:w="135" w:type="dxa"/>
                    <w:left w:w="120" w:type="dxa"/>
                    <w:bottom w:w="135" w:type="dxa"/>
                    <w:right w:w="120" w:type="dxa"/>
                  </w:tcMar>
                  <w:vAlign w:val="center"/>
                </w:tcPr>
                <w:p w14:paraId="7BA2185B">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34</w:t>
                  </w:r>
                </w:p>
              </w:tc>
              <w:tc>
                <w:tcPr>
                  <w:tcW w:w="1050" w:type="dxa"/>
                  <w:noWrap w:val="0"/>
                  <w:tcMar>
                    <w:top w:w="135" w:type="dxa"/>
                    <w:left w:w="120" w:type="dxa"/>
                    <w:bottom w:w="135" w:type="dxa"/>
                    <w:right w:w="120" w:type="dxa"/>
                  </w:tcMar>
                  <w:vAlign w:val="center"/>
                </w:tcPr>
                <w:p w14:paraId="3012C1E6">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硫酸亚铁铵</w:t>
                  </w:r>
                </w:p>
              </w:tc>
              <w:tc>
                <w:tcPr>
                  <w:tcW w:w="975" w:type="dxa"/>
                  <w:noWrap w:val="0"/>
                  <w:tcMar>
                    <w:top w:w="135" w:type="dxa"/>
                    <w:left w:w="120" w:type="dxa"/>
                    <w:bottom w:w="135" w:type="dxa"/>
                    <w:right w:w="120" w:type="dxa"/>
                  </w:tcMar>
                  <w:vAlign w:val="center"/>
                </w:tcPr>
                <w:p w14:paraId="3C1F4B4B">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(NH₄)₂Fe(SO₄)₂·6H₂O</w:t>
                  </w:r>
                </w:p>
              </w:tc>
              <w:tc>
                <w:tcPr>
                  <w:tcW w:w="4344" w:type="dxa"/>
                  <w:noWrap w:val="0"/>
                  <w:tcMar>
                    <w:top w:w="135" w:type="dxa"/>
                    <w:left w:w="120" w:type="dxa"/>
                    <w:bottom w:w="135" w:type="dxa"/>
                    <w:right w:w="120" w:type="dxa"/>
                  </w:tcMar>
                  <w:vAlign w:val="center"/>
                </w:tcPr>
                <w:p w14:paraId="16A75FBF">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淡蓝绿色结晶，无臭。熔点 100-110℃（分解），相对密度 (水 = 1) 1.86。溶于水，易氧化；不燃，稳定，低毒。</w:t>
                  </w:r>
                </w:p>
              </w:tc>
              <w:tc>
                <w:tcPr>
                  <w:tcW w:w="2070" w:type="dxa"/>
                  <w:noWrap w:val="0"/>
                  <w:tcMar>
                    <w:top w:w="135" w:type="dxa"/>
                    <w:left w:w="120" w:type="dxa"/>
                    <w:bottom w:w="135" w:type="dxa"/>
                    <w:right w:w="120" w:type="dxa"/>
                  </w:tcMar>
                  <w:vAlign w:val="center"/>
                </w:tcPr>
                <w:p w14:paraId="0BC9A7EE">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LD50 3250mg/kg（大鼠经口）；低毒，皮肤接触可致轻微染色</w:t>
                  </w:r>
                </w:p>
              </w:tc>
            </w:tr>
            <w:tr w14:paraId="6F9753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0" w:hRule="atLeast"/>
              </w:trPr>
              <w:tc>
                <w:tcPr>
                  <w:tcW w:w="696" w:type="dxa"/>
                  <w:noWrap w:val="0"/>
                  <w:tcMar>
                    <w:top w:w="135" w:type="dxa"/>
                    <w:left w:w="120" w:type="dxa"/>
                    <w:bottom w:w="135" w:type="dxa"/>
                    <w:right w:w="120" w:type="dxa"/>
                  </w:tcMar>
                  <w:vAlign w:val="center"/>
                </w:tcPr>
                <w:p w14:paraId="10D49C20">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35</w:t>
                  </w:r>
                </w:p>
              </w:tc>
              <w:tc>
                <w:tcPr>
                  <w:tcW w:w="1050" w:type="dxa"/>
                  <w:noWrap w:val="0"/>
                  <w:tcMar>
                    <w:top w:w="135" w:type="dxa"/>
                    <w:left w:w="120" w:type="dxa"/>
                    <w:bottom w:w="135" w:type="dxa"/>
                    <w:right w:w="120" w:type="dxa"/>
                  </w:tcMar>
                  <w:vAlign w:val="center"/>
                </w:tcPr>
                <w:p w14:paraId="326F1365">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二苯胺磺酸钠</w:t>
                  </w:r>
                </w:p>
              </w:tc>
              <w:tc>
                <w:tcPr>
                  <w:tcW w:w="975" w:type="dxa"/>
                  <w:noWrap w:val="0"/>
                  <w:tcMar>
                    <w:top w:w="135" w:type="dxa"/>
                    <w:left w:w="120" w:type="dxa"/>
                    <w:bottom w:w="135" w:type="dxa"/>
                    <w:right w:w="120" w:type="dxa"/>
                  </w:tcMar>
                  <w:vAlign w:val="center"/>
                </w:tcPr>
                <w:p w14:paraId="2A9F7A96">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C₁₂H₁₀NNaO₃S</w:t>
                  </w:r>
                </w:p>
              </w:tc>
              <w:tc>
                <w:tcPr>
                  <w:tcW w:w="4344" w:type="dxa"/>
                  <w:noWrap w:val="0"/>
                  <w:tcMar>
                    <w:top w:w="135" w:type="dxa"/>
                    <w:left w:w="120" w:type="dxa"/>
                    <w:bottom w:w="135" w:type="dxa"/>
                    <w:right w:w="120" w:type="dxa"/>
                  </w:tcMar>
                  <w:vAlign w:val="center"/>
                </w:tcPr>
                <w:p w14:paraId="1848CBEF">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白色或淡黄色粉末，无臭。无固定熔点（250℃以上分解），溶于水；稳定，不燃，低毒，具弱刺激性。</w:t>
                  </w:r>
                </w:p>
              </w:tc>
              <w:tc>
                <w:tcPr>
                  <w:tcW w:w="2070" w:type="dxa"/>
                  <w:noWrap w:val="0"/>
                  <w:tcMar>
                    <w:top w:w="135" w:type="dxa"/>
                    <w:left w:w="120" w:type="dxa"/>
                    <w:bottom w:w="135" w:type="dxa"/>
                    <w:right w:w="120" w:type="dxa"/>
                  </w:tcMar>
                  <w:vAlign w:val="center"/>
                </w:tcPr>
                <w:p w14:paraId="0EA0E322">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LD50 ＞5000mg/kg（大鼠经口）；低毒，实验操作中无明显毒性反应</w:t>
                  </w:r>
                </w:p>
              </w:tc>
            </w:tr>
            <w:tr w14:paraId="1020CE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0" w:hRule="atLeast"/>
              </w:trPr>
              <w:tc>
                <w:tcPr>
                  <w:tcW w:w="696" w:type="dxa"/>
                  <w:noWrap w:val="0"/>
                  <w:tcMar>
                    <w:top w:w="135" w:type="dxa"/>
                    <w:left w:w="120" w:type="dxa"/>
                    <w:bottom w:w="135" w:type="dxa"/>
                    <w:right w:w="120" w:type="dxa"/>
                  </w:tcMar>
                  <w:vAlign w:val="center"/>
                </w:tcPr>
                <w:p w14:paraId="4AA05E33">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36</w:t>
                  </w:r>
                </w:p>
              </w:tc>
              <w:tc>
                <w:tcPr>
                  <w:tcW w:w="1050" w:type="dxa"/>
                  <w:noWrap w:val="0"/>
                  <w:tcMar>
                    <w:top w:w="135" w:type="dxa"/>
                    <w:left w:w="120" w:type="dxa"/>
                    <w:bottom w:w="135" w:type="dxa"/>
                    <w:right w:w="120" w:type="dxa"/>
                  </w:tcMar>
                  <w:vAlign w:val="center"/>
                </w:tcPr>
                <w:p w14:paraId="01D5532A">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高锰酸钾</w:t>
                  </w:r>
                </w:p>
              </w:tc>
              <w:tc>
                <w:tcPr>
                  <w:tcW w:w="975" w:type="dxa"/>
                  <w:noWrap w:val="0"/>
                  <w:tcMar>
                    <w:top w:w="135" w:type="dxa"/>
                    <w:left w:w="120" w:type="dxa"/>
                    <w:bottom w:w="135" w:type="dxa"/>
                    <w:right w:w="120" w:type="dxa"/>
                  </w:tcMar>
                  <w:vAlign w:val="center"/>
                </w:tcPr>
                <w:p w14:paraId="2CD2997C">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KMnO₄</w:t>
                  </w:r>
                </w:p>
              </w:tc>
              <w:tc>
                <w:tcPr>
                  <w:tcW w:w="4344" w:type="dxa"/>
                  <w:noWrap w:val="0"/>
                  <w:tcMar>
                    <w:top w:w="135" w:type="dxa"/>
                    <w:left w:w="120" w:type="dxa"/>
                    <w:bottom w:w="135" w:type="dxa"/>
                    <w:right w:w="120" w:type="dxa"/>
                  </w:tcMar>
                  <w:vAlign w:val="center"/>
                </w:tcPr>
                <w:p w14:paraId="14DC0F6F">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紫黑色结晶，无臭。熔点 240℃（分解），相对密度 (水 = 1) 2.70。溶于水，强氧化性；遇有机物、还原剂易燃烧爆炸，受热分解产生氧气。</w:t>
                  </w:r>
                </w:p>
              </w:tc>
              <w:tc>
                <w:tcPr>
                  <w:tcW w:w="2070" w:type="dxa"/>
                  <w:noWrap w:val="0"/>
                  <w:tcMar>
                    <w:top w:w="135" w:type="dxa"/>
                    <w:left w:w="120" w:type="dxa"/>
                    <w:bottom w:w="135" w:type="dxa"/>
                    <w:right w:w="120" w:type="dxa"/>
                  </w:tcMar>
                  <w:vAlign w:val="center"/>
                </w:tcPr>
                <w:p w14:paraId="5093CC6C">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LD50 1090mg/kg（大鼠经口）；中等毒性，皮肤接触可致灼伤，吸入可致呼吸道损伤</w:t>
                  </w:r>
                </w:p>
              </w:tc>
            </w:tr>
            <w:tr w14:paraId="7322BD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0" w:hRule="atLeast"/>
              </w:trPr>
              <w:tc>
                <w:tcPr>
                  <w:tcW w:w="696" w:type="dxa"/>
                  <w:noWrap w:val="0"/>
                  <w:tcMar>
                    <w:top w:w="135" w:type="dxa"/>
                    <w:left w:w="120" w:type="dxa"/>
                    <w:bottom w:w="135" w:type="dxa"/>
                    <w:right w:w="120" w:type="dxa"/>
                  </w:tcMar>
                  <w:vAlign w:val="center"/>
                </w:tcPr>
                <w:p w14:paraId="066B6017">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37</w:t>
                  </w:r>
                </w:p>
              </w:tc>
              <w:tc>
                <w:tcPr>
                  <w:tcW w:w="1050" w:type="dxa"/>
                  <w:noWrap w:val="0"/>
                  <w:tcMar>
                    <w:top w:w="135" w:type="dxa"/>
                    <w:left w:w="120" w:type="dxa"/>
                    <w:bottom w:w="135" w:type="dxa"/>
                    <w:right w:w="120" w:type="dxa"/>
                  </w:tcMar>
                  <w:vAlign w:val="center"/>
                </w:tcPr>
                <w:p w14:paraId="57F57493">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EDTA 二钠</w:t>
                  </w:r>
                </w:p>
              </w:tc>
              <w:tc>
                <w:tcPr>
                  <w:tcW w:w="975" w:type="dxa"/>
                  <w:noWrap w:val="0"/>
                  <w:tcMar>
                    <w:top w:w="135" w:type="dxa"/>
                    <w:left w:w="120" w:type="dxa"/>
                    <w:bottom w:w="135" w:type="dxa"/>
                    <w:right w:w="120" w:type="dxa"/>
                  </w:tcMar>
                  <w:vAlign w:val="center"/>
                </w:tcPr>
                <w:p w14:paraId="7B1E69B7">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C₁₀H₁₄N₂Na₂O₈·2H₂O</w:t>
                  </w:r>
                </w:p>
              </w:tc>
              <w:tc>
                <w:tcPr>
                  <w:tcW w:w="4344" w:type="dxa"/>
                  <w:noWrap w:val="0"/>
                  <w:tcMar>
                    <w:top w:w="135" w:type="dxa"/>
                    <w:left w:w="120" w:type="dxa"/>
                    <w:bottom w:w="135" w:type="dxa"/>
                    <w:right w:w="120" w:type="dxa"/>
                  </w:tcMar>
                  <w:vAlign w:val="center"/>
                </w:tcPr>
                <w:p w14:paraId="698663D5">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白色结晶粉末，无臭。熔点 250℃（分解），相对密度 (水 = 1) 1.46。溶于水，稳定；不燃，与金属离子络合，低毒。</w:t>
                  </w:r>
                </w:p>
              </w:tc>
              <w:tc>
                <w:tcPr>
                  <w:tcW w:w="2070" w:type="dxa"/>
                  <w:noWrap w:val="0"/>
                  <w:tcMar>
                    <w:top w:w="135" w:type="dxa"/>
                    <w:left w:w="120" w:type="dxa"/>
                    <w:bottom w:w="135" w:type="dxa"/>
                    <w:right w:w="120" w:type="dxa"/>
                  </w:tcMar>
                  <w:vAlign w:val="center"/>
                </w:tcPr>
                <w:p w14:paraId="54F512A6">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LD50 2000mg/kg（大鼠经口）；低毒，长期接触无明显危害</w:t>
                  </w:r>
                </w:p>
              </w:tc>
            </w:tr>
            <w:tr w14:paraId="3EC67B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0" w:hRule="atLeast"/>
              </w:trPr>
              <w:tc>
                <w:tcPr>
                  <w:tcW w:w="696" w:type="dxa"/>
                  <w:noWrap w:val="0"/>
                  <w:tcMar>
                    <w:top w:w="135" w:type="dxa"/>
                    <w:left w:w="120" w:type="dxa"/>
                    <w:bottom w:w="135" w:type="dxa"/>
                    <w:right w:w="120" w:type="dxa"/>
                  </w:tcMar>
                  <w:vAlign w:val="center"/>
                </w:tcPr>
                <w:p w14:paraId="27DFDEC8">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38</w:t>
                  </w:r>
                </w:p>
              </w:tc>
              <w:tc>
                <w:tcPr>
                  <w:tcW w:w="1050" w:type="dxa"/>
                  <w:noWrap w:val="0"/>
                  <w:tcMar>
                    <w:top w:w="135" w:type="dxa"/>
                    <w:left w:w="120" w:type="dxa"/>
                    <w:bottom w:w="135" w:type="dxa"/>
                    <w:right w:w="120" w:type="dxa"/>
                  </w:tcMar>
                  <w:vAlign w:val="center"/>
                </w:tcPr>
                <w:p w14:paraId="2BB3AA34">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重铬酸钾</w:t>
                  </w:r>
                </w:p>
              </w:tc>
              <w:tc>
                <w:tcPr>
                  <w:tcW w:w="975" w:type="dxa"/>
                  <w:noWrap w:val="0"/>
                  <w:tcMar>
                    <w:top w:w="135" w:type="dxa"/>
                    <w:left w:w="120" w:type="dxa"/>
                    <w:bottom w:w="135" w:type="dxa"/>
                    <w:right w:w="120" w:type="dxa"/>
                  </w:tcMar>
                  <w:vAlign w:val="center"/>
                </w:tcPr>
                <w:p w14:paraId="0997A8A0">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K₂Cr₂O₇</w:t>
                  </w:r>
                </w:p>
              </w:tc>
              <w:tc>
                <w:tcPr>
                  <w:tcW w:w="4344" w:type="dxa"/>
                  <w:noWrap w:val="0"/>
                  <w:tcMar>
                    <w:top w:w="135" w:type="dxa"/>
                    <w:left w:w="120" w:type="dxa"/>
                    <w:bottom w:w="135" w:type="dxa"/>
                    <w:right w:w="120" w:type="dxa"/>
                  </w:tcMar>
                  <w:vAlign w:val="center"/>
                </w:tcPr>
                <w:p w14:paraId="555FB4E6">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橙红色结晶，无臭。熔点 398℃，沸点 500℃（分解），相对密度 (水 = 1) 2.68。溶于水，强氧化性；遇有机物易燃烧，受热分解产生有毒铬氧化物。</w:t>
                  </w:r>
                </w:p>
              </w:tc>
              <w:tc>
                <w:tcPr>
                  <w:tcW w:w="2070" w:type="dxa"/>
                  <w:noWrap w:val="0"/>
                  <w:tcMar>
                    <w:top w:w="135" w:type="dxa"/>
                    <w:left w:w="120" w:type="dxa"/>
                    <w:bottom w:w="135" w:type="dxa"/>
                    <w:right w:w="120" w:type="dxa"/>
                  </w:tcMar>
                  <w:vAlign w:val="center"/>
                </w:tcPr>
                <w:p w14:paraId="55D522D6">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val="0"/>
                    <w:snapToGrid w:val="0"/>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LD50 25mg/kg（大鼠经口）；剧毒，具致癌性，皮肤接触可致</w:t>
                  </w:r>
                </w:p>
              </w:tc>
            </w:tr>
          </w:tbl>
          <w:p w14:paraId="47E8424C">
            <w:pPr>
              <w:spacing w:line="360" w:lineRule="auto"/>
              <w:rPr>
                <w:rFonts w:hint="eastAsia"/>
                <w:b/>
                <w:bCs/>
                <w:color w:val="auto"/>
                <w:sz w:val="24"/>
              </w:rPr>
            </w:pPr>
            <w:r>
              <w:rPr>
                <w:rFonts w:hint="eastAsia"/>
                <w:b/>
                <w:bCs/>
                <w:color w:val="auto"/>
                <w:sz w:val="24"/>
                <w:lang w:val="en-US" w:eastAsia="zh-CN"/>
              </w:rPr>
              <w:t>6</w:t>
            </w:r>
            <w:r>
              <w:rPr>
                <w:rFonts w:hint="eastAsia"/>
                <w:b/>
                <w:bCs/>
                <w:color w:val="auto"/>
                <w:sz w:val="24"/>
              </w:rPr>
              <w:t>总平面布置</w:t>
            </w:r>
          </w:p>
          <w:p w14:paraId="33505795">
            <w:pPr>
              <w:adjustRightInd w:val="0"/>
              <w:snapToGrid w:val="0"/>
              <w:spacing w:line="360" w:lineRule="auto"/>
              <w:ind w:firstLine="480" w:firstLineChars="200"/>
              <w:rPr>
                <w:rFonts w:hint="default" w:eastAsia="宋体"/>
                <w:color w:val="auto"/>
                <w:sz w:val="24"/>
                <w:lang w:val="en-US" w:eastAsia="zh-CN"/>
              </w:rPr>
            </w:pPr>
            <w:r>
              <w:rPr>
                <w:color w:val="auto"/>
                <w:sz w:val="24"/>
              </w:rPr>
              <w:t>本项目</w:t>
            </w:r>
            <w:r>
              <w:rPr>
                <w:rFonts w:hint="eastAsia"/>
                <w:color w:val="auto"/>
                <w:sz w:val="24"/>
              </w:rPr>
              <w:t>租赁位于昌吉高新技术产业开发区</w:t>
            </w:r>
            <w:r>
              <w:rPr>
                <w:rFonts w:hint="eastAsia"/>
                <w:color w:val="auto"/>
                <w:sz w:val="24"/>
                <w:lang w:val="en-US" w:eastAsia="zh-CN"/>
              </w:rPr>
              <w:t>新疆华爱康塑业科技发展有限公司1号厂房、库房及办公室</w:t>
            </w:r>
            <w:r>
              <w:rPr>
                <w:rFonts w:hint="eastAsia"/>
                <w:color w:val="auto"/>
                <w:sz w:val="24"/>
              </w:rPr>
              <w:t>新建</w:t>
            </w:r>
            <w:r>
              <w:rPr>
                <w:rFonts w:hint="eastAsia"/>
                <w:color w:val="auto"/>
                <w:sz w:val="24"/>
                <w:lang w:val="en-US" w:eastAsia="zh-CN"/>
              </w:rPr>
              <w:t>地质矿产分析实验室</w:t>
            </w:r>
            <w:r>
              <w:rPr>
                <w:rFonts w:hint="eastAsia"/>
                <w:color w:val="auto"/>
                <w:sz w:val="24"/>
              </w:rPr>
              <w:t>。企业北侧为检测实验室，</w:t>
            </w:r>
            <w:r>
              <w:rPr>
                <w:rFonts w:hint="eastAsia"/>
                <w:color w:val="auto"/>
                <w:sz w:val="24"/>
                <w:lang w:val="en-US" w:eastAsia="zh-CN"/>
              </w:rPr>
              <w:t>由西向东依次布置为天平室、测试室2、测试室1、标准室、试剂室、高温炉室、操作室3、操作室1；</w:t>
            </w:r>
            <w:r>
              <w:rPr>
                <w:rFonts w:hint="eastAsia"/>
                <w:color w:val="auto"/>
                <w:sz w:val="24"/>
              </w:rPr>
              <w:t>南侧设置办公</w:t>
            </w:r>
            <w:r>
              <w:rPr>
                <w:rFonts w:hint="eastAsia"/>
                <w:color w:val="auto"/>
                <w:sz w:val="24"/>
                <w:lang w:val="en-US" w:eastAsia="zh-CN"/>
              </w:rPr>
              <w:t>室、学习室及样品库</w:t>
            </w:r>
            <w:r>
              <w:rPr>
                <w:rFonts w:hint="eastAsia"/>
                <w:color w:val="auto"/>
                <w:sz w:val="24"/>
              </w:rPr>
              <w:t>，东侧为样品</w:t>
            </w:r>
            <w:r>
              <w:rPr>
                <w:rFonts w:hint="eastAsia"/>
                <w:color w:val="auto"/>
                <w:sz w:val="24"/>
                <w:lang w:val="en-US" w:eastAsia="zh-CN"/>
              </w:rPr>
              <w:t>加工</w:t>
            </w:r>
            <w:r>
              <w:rPr>
                <w:rFonts w:hint="eastAsia"/>
                <w:color w:val="auto"/>
                <w:sz w:val="24"/>
              </w:rPr>
              <w:t>室</w:t>
            </w:r>
            <w:r>
              <w:rPr>
                <w:rFonts w:hint="eastAsia"/>
                <w:color w:val="auto"/>
                <w:sz w:val="24"/>
                <w:lang w:eastAsia="zh-CN"/>
              </w:rPr>
              <w:t>、</w:t>
            </w:r>
            <w:r>
              <w:rPr>
                <w:rFonts w:hint="eastAsia"/>
                <w:color w:val="auto"/>
                <w:sz w:val="24"/>
                <w:lang w:val="en-US" w:eastAsia="zh-CN"/>
              </w:rPr>
              <w:t>操作室2及危险品仓库，</w:t>
            </w:r>
            <w:r>
              <w:rPr>
                <w:rFonts w:hint="eastAsia"/>
                <w:color w:val="auto"/>
                <w:sz w:val="24"/>
              </w:rPr>
              <w:t>布局相对合理。</w:t>
            </w:r>
            <w:r>
              <w:rPr>
                <w:rFonts w:hint="eastAsia" w:cs="Times New Roman"/>
                <w:color w:val="auto"/>
                <w:sz w:val="24"/>
                <w:lang w:val="en-US" w:eastAsia="zh-CN"/>
              </w:rPr>
              <w:t>实验室</w:t>
            </w:r>
            <w:r>
              <w:rPr>
                <w:rFonts w:hint="default" w:ascii="Times New Roman" w:hAnsi="Times New Roman" w:cs="Times New Roman"/>
                <w:color w:val="auto"/>
                <w:sz w:val="24"/>
                <w:lang w:val="en-US" w:eastAsia="zh-CN"/>
              </w:rPr>
              <w:t>设1座</w:t>
            </w:r>
            <w:r>
              <w:rPr>
                <w:rFonts w:hint="eastAsia" w:cs="Times New Roman"/>
                <w:color w:val="auto"/>
                <w:sz w:val="24"/>
                <w:lang w:val="en-US" w:eastAsia="zh-CN"/>
              </w:rPr>
              <w:t>20</w:t>
            </w:r>
            <w:r>
              <w:rPr>
                <w:rFonts w:hint="eastAsia" w:ascii="Times New Roman" w:hAnsi="Times New Roman" w:cs="Times New Roman"/>
                <w:color w:val="auto"/>
                <w:sz w:val="24"/>
                <w:lang w:val="en-US" w:eastAsia="zh-CN"/>
              </w:rPr>
              <w:t>m</w:t>
            </w:r>
            <w:r>
              <w:rPr>
                <w:rFonts w:hint="eastAsia" w:ascii="Times New Roman" w:hAnsi="Times New Roman" w:cs="Times New Roman"/>
                <w:color w:val="auto"/>
                <w:sz w:val="24"/>
                <w:vertAlign w:val="superscript"/>
                <w:lang w:val="en-US" w:eastAsia="zh-CN"/>
              </w:rPr>
              <w:t>2</w:t>
            </w:r>
            <w:r>
              <w:rPr>
                <w:rFonts w:hint="default" w:ascii="Times New Roman" w:hAnsi="Times New Roman" w:cs="Times New Roman"/>
                <w:color w:val="auto"/>
                <w:sz w:val="24"/>
                <w:lang w:val="en-US" w:eastAsia="zh-CN"/>
              </w:rPr>
              <w:t>的</w:t>
            </w:r>
            <w:r>
              <w:rPr>
                <w:rFonts w:hint="eastAsia" w:ascii="Times New Roman" w:hAnsi="Times New Roman" w:cs="Times New Roman"/>
                <w:color w:val="auto"/>
                <w:sz w:val="24"/>
                <w:lang w:val="en-US" w:eastAsia="zh-CN"/>
              </w:rPr>
              <w:t>危险废物暂存间，位于</w:t>
            </w:r>
            <w:r>
              <w:rPr>
                <w:rFonts w:hint="eastAsia" w:cs="Times New Roman"/>
                <w:color w:val="auto"/>
                <w:sz w:val="24"/>
                <w:lang w:val="en-US" w:eastAsia="zh-CN"/>
              </w:rPr>
              <w:t>项目</w:t>
            </w:r>
            <w:r>
              <w:rPr>
                <w:rFonts w:hint="eastAsia" w:ascii="Times New Roman" w:hAnsi="Times New Roman" w:cs="Times New Roman"/>
                <w:color w:val="auto"/>
                <w:sz w:val="24"/>
                <w:lang w:val="en-US" w:eastAsia="zh-CN"/>
              </w:rPr>
              <w:t>东侧</w:t>
            </w:r>
            <w:r>
              <w:rPr>
                <w:rFonts w:hint="eastAsia" w:cs="Times New Roman"/>
                <w:color w:val="auto"/>
                <w:sz w:val="24"/>
                <w:lang w:val="en-US" w:eastAsia="zh-CN"/>
              </w:rPr>
              <w:t>，</w:t>
            </w:r>
            <w:r>
              <w:rPr>
                <w:rFonts w:hint="eastAsia" w:ascii="Times New Roman" w:hAnsi="Times New Roman" w:cs="Times New Roman"/>
                <w:color w:val="auto"/>
                <w:sz w:val="24"/>
                <w:lang w:val="en-US" w:eastAsia="zh-CN"/>
              </w:rPr>
              <w:t>碱液喷淋塔位于</w:t>
            </w:r>
            <w:r>
              <w:rPr>
                <w:rFonts w:hint="eastAsia"/>
                <w:color w:val="auto"/>
                <w:sz w:val="24"/>
                <w:lang w:val="en-US" w:eastAsia="zh-CN"/>
              </w:rPr>
              <w:t>操作室1北侧</w:t>
            </w:r>
            <w:r>
              <w:rPr>
                <w:rFonts w:hint="eastAsia" w:ascii="Times New Roman" w:hAnsi="Times New Roman" w:cs="Times New Roman"/>
                <w:color w:val="auto"/>
                <w:sz w:val="24"/>
                <w:lang w:val="en-US" w:eastAsia="zh-CN"/>
              </w:rPr>
              <w:t>，废水处理设施位于操作室3南侧，加工除尘设备位于样品库南侧。项目环保设备均设置在产污环节较近位置，可减少管线分布，有效提高废气收集处理效率，布局合理。</w:t>
            </w:r>
          </w:p>
          <w:p w14:paraId="59ACDE30">
            <w:pPr>
              <w:adjustRightInd w:val="0"/>
              <w:snapToGrid w:val="0"/>
              <w:spacing w:line="360" w:lineRule="auto"/>
              <w:ind w:firstLine="480" w:firstLineChars="200"/>
              <w:rPr>
                <w:rFonts w:hint="eastAsia" w:eastAsia="宋体"/>
                <w:color w:val="auto"/>
                <w:sz w:val="24"/>
                <w:lang w:val="en-US" w:eastAsia="zh-CN"/>
              </w:rPr>
            </w:pPr>
            <w:r>
              <w:rPr>
                <w:rFonts w:hint="eastAsia"/>
                <w:color w:val="auto"/>
                <w:sz w:val="24"/>
                <w:lang w:val="en-US" w:eastAsia="zh-CN"/>
              </w:rPr>
              <w:t>项目位于</w:t>
            </w:r>
            <w:r>
              <w:rPr>
                <w:rFonts w:hint="eastAsia"/>
                <w:color w:val="auto"/>
                <w:sz w:val="24"/>
              </w:rPr>
              <w:t>昌吉高新技术产业开发区</w:t>
            </w:r>
            <w:r>
              <w:rPr>
                <w:rFonts w:hint="eastAsia"/>
                <w:color w:val="auto"/>
                <w:sz w:val="24"/>
                <w:lang w:eastAsia="zh-CN"/>
              </w:rPr>
              <w:t>，</w:t>
            </w:r>
            <w:r>
              <w:rPr>
                <w:rFonts w:hint="eastAsia"/>
                <w:color w:val="auto"/>
                <w:sz w:val="24"/>
                <w:lang w:val="en-US" w:eastAsia="zh-CN"/>
              </w:rPr>
              <w:t>常年主导风险为西南风，</w:t>
            </w:r>
            <w:r>
              <w:rPr>
                <w:rFonts w:ascii="宋体" w:hAnsi="宋体" w:eastAsia="宋体" w:cs="宋体"/>
                <w:color w:val="auto"/>
                <w:sz w:val="24"/>
                <w:szCs w:val="24"/>
              </w:rPr>
              <w:t>位于东侧的危险废物暂存间、危险品仓库、样品加工室等污染源，不易向西侧的检测实验室（天平室、测试室等）及南侧的办公区扩散，可有效减少对核心实验区和人员办公区的空气污染</w:t>
            </w:r>
            <w:r>
              <w:rPr>
                <w:rFonts w:hint="eastAsia" w:ascii="宋体" w:hAnsi="宋体" w:eastAsia="宋体" w:cs="宋体"/>
                <w:color w:val="auto"/>
                <w:sz w:val="24"/>
                <w:szCs w:val="24"/>
                <w:lang w:eastAsia="zh-CN"/>
              </w:rPr>
              <w:t>；</w:t>
            </w:r>
            <w:r>
              <w:rPr>
                <w:rFonts w:ascii="宋体" w:hAnsi="宋体" w:eastAsia="宋体" w:cs="宋体"/>
                <w:color w:val="auto"/>
                <w:sz w:val="24"/>
                <w:szCs w:val="24"/>
              </w:rPr>
              <w:t>碱液喷淋塔位于操作室北侧，处于厂区</w:t>
            </w:r>
            <w:r>
              <w:rPr>
                <w:rFonts w:hint="eastAsia" w:ascii="宋体" w:hAnsi="宋体" w:eastAsia="宋体" w:cs="宋体"/>
                <w:color w:val="auto"/>
                <w:sz w:val="24"/>
                <w:szCs w:val="24"/>
                <w:lang w:val="en-US" w:eastAsia="zh-CN"/>
              </w:rPr>
              <w:t>东北</w:t>
            </w:r>
            <w:r>
              <w:rPr>
                <w:rFonts w:ascii="宋体" w:hAnsi="宋体" w:eastAsia="宋体" w:cs="宋体"/>
                <w:color w:val="auto"/>
                <w:sz w:val="24"/>
                <w:szCs w:val="24"/>
              </w:rPr>
              <w:t>角，</w:t>
            </w:r>
            <w:r>
              <w:rPr>
                <w:rFonts w:hint="eastAsia" w:ascii="宋体" w:hAnsi="宋体" w:eastAsia="宋体" w:cs="宋体"/>
                <w:color w:val="auto"/>
                <w:sz w:val="24"/>
                <w:szCs w:val="24"/>
                <w:lang w:val="en-US" w:eastAsia="zh-CN"/>
              </w:rPr>
              <w:t>处于主导风向下风向，</w:t>
            </w:r>
            <w:r>
              <w:rPr>
                <w:rFonts w:ascii="宋体" w:hAnsi="宋体" w:eastAsia="宋体" w:cs="宋体"/>
                <w:color w:val="auto"/>
                <w:sz w:val="24"/>
                <w:szCs w:val="24"/>
              </w:rPr>
              <w:t>经处理后的达标废气向东北方向扩散，避免了对南侧办公区的影响。</w:t>
            </w:r>
          </w:p>
          <w:p w14:paraId="0E3A0B6B">
            <w:pPr>
              <w:adjustRightInd w:val="0"/>
              <w:snapToGrid w:val="0"/>
              <w:spacing w:line="360" w:lineRule="auto"/>
              <w:ind w:firstLine="480" w:firstLineChars="200"/>
              <w:rPr>
                <w:color w:val="auto"/>
                <w:sz w:val="24"/>
              </w:rPr>
            </w:pPr>
            <w:r>
              <w:rPr>
                <w:rFonts w:hint="eastAsia"/>
                <w:color w:val="auto"/>
                <w:sz w:val="24"/>
                <w:lang w:val="en-US" w:eastAsia="zh-CN"/>
              </w:rPr>
              <w:t>综上所述，</w:t>
            </w:r>
            <w:r>
              <w:rPr>
                <w:color w:val="auto"/>
                <w:sz w:val="24"/>
              </w:rPr>
              <w:t>项目总体布置合理、功能区划明显、物料运输顺畅，布局满足生产和办公的需求。项目厂区根据各功能分区及建设附属构筑物的情况，按照标准要求，进行分区防渗，平面布置合理。</w:t>
            </w:r>
            <w:r>
              <w:rPr>
                <w:rFonts w:hint="eastAsia"/>
                <w:color w:val="auto"/>
                <w:sz w:val="24"/>
              </w:rPr>
              <w:t>本项目平面布置见附图</w:t>
            </w:r>
            <w:r>
              <w:rPr>
                <w:rFonts w:hint="eastAsia"/>
                <w:color w:val="auto"/>
                <w:sz w:val="24"/>
                <w:lang w:val="en-US" w:eastAsia="zh-CN"/>
              </w:rPr>
              <w:t>7</w:t>
            </w:r>
            <w:r>
              <w:rPr>
                <w:rFonts w:hint="eastAsia"/>
                <w:color w:val="auto"/>
                <w:sz w:val="24"/>
              </w:rPr>
              <w:t>。</w:t>
            </w:r>
          </w:p>
          <w:p w14:paraId="01E8CABA">
            <w:pPr>
              <w:adjustRightInd w:val="0"/>
              <w:snapToGrid w:val="0"/>
              <w:spacing w:line="360" w:lineRule="auto"/>
              <w:outlineLvl w:val="1"/>
              <w:rPr>
                <w:rFonts w:hint="eastAsia"/>
                <w:b/>
                <w:bCs/>
                <w:color w:val="auto"/>
                <w:sz w:val="24"/>
              </w:rPr>
            </w:pPr>
            <w:r>
              <w:rPr>
                <w:rFonts w:hint="eastAsia"/>
                <w:b/>
                <w:bCs/>
                <w:color w:val="auto"/>
                <w:sz w:val="24"/>
                <w:lang w:val="en-US" w:eastAsia="zh-CN"/>
              </w:rPr>
              <w:t>7</w:t>
            </w:r>
            <w:r>
              <w:rPr>
                <w:rFonts w:hint="eastAsia"/>
                <w:b/>
                <w:bCs/>
                <w:color w:val="auto"/>
                <w:sz w:val="24"/>
              </w:rPr>
              <w:t>公用工程</w:t>
            </w:r>
          </w:p>
          <w:p w14:paraId="0CE03129">
            <w:pPr>
              <w:adjustRightInd w:val="0"/>
              <w:snapToGrid w:val="0"/>
              <w:spacing w:line="360" w:lineRule="auto"/>
              <w:outlineLvl w:val="1"/>
              <w:rPr>
                <w:b/>
                <w:bCs/>
                <w:color w:val="auto"/>
                <w:sz w:val="24"/>
              </w:rPr>
            </w:pPr>
            <w:r>
              <w:rPr>
                <w:rFonts w:hint="eastAsia"/>
                <w:b/>
                <w:bCs/>
                <w:color w:val="auto"/>
                <w:sz w:val="24"/>
                <w:lang w:val="en-US" w:eastAsia="zh-CN"/>
              </w:rPr>
              <w:t>7</w:t>
            </w:r>
            <w:r>
              <w:rPr>
                <w:b/>
                <w:bCs/>
                <w:color w:val="auto"/>
                <w:sz w:val="24"/>
              </w:rPr>
              <w:t>.1给水</w:t>
            </w:r>
          </w:p>
          <w:p w14:paraId="3980948E">
            <w:pPr>
              <w:pStyle w:val="19"/>
              <w:spacing w:line="360" w:lineRule="auto"/>
              <w:ind w:firstLine="482"/>
              <w:jc w:val="both"/>
              <w:rPr>
                <w:color w:val="auto"/>
                <w:sz w:val="24"/>
                <w:szCs w:val="24"/>
              </w:rPr>
            </w:pPr>
            <w:r>
              <w:rPr>
                <w:rFonts w:hint="eastAsia"/>
                <w:color w:val="auto"/>
                <w:sz w:val="24"/>
                <w:szCs w:val="24"/>
              </w:rPr>
              <w:t>本项目用水主要为</w:t>
            </w:r>
            <w:r>
              <w:rPr>
                <w:rFonts w:hint="eastAsia"/>
                <w:color w:val="auto"/>
                <w:sz w:val="24"/>
                <w:szCs w:val="24"/>
                <w:lang w:val="en-US" w:eastAsia="zh-CN"/>
              </w:rPr>
              <w:t>实验用水</w:t>
            </w:r>
            <w:r>
              <w:rPr>
                <w:rFonts w:hint="eastAsia"/>
                <w:color w:val="auto"/>
                <w:sz w:val="24"/>
                <w:szCs w:val="24"/>
              </w:rPr>
              <w:t>、生活用水，均由园区供水管网供给。</w:t>
            </w:r>
          </w:p>
          <w:p w14:paraId="2C3F2179">
            <w:pPr>
              <w:pStyle w:val="19"/>
              <w:spacing w:line="360" w:lineRule="auto"/>
              <w:ind w:firstLine="482"/>
              <w:jc w:val="both"/>
              <w:rPr>
                <w:rFonts w:hint="eastAsia" w:eastAsia="宋体"/>
                <w:color w:val="auto"/>
                <w:sz w:val="24"/>
                <w:szCs w:val="24"/>
                <w:lang w:eastAsia="zh-CN"/>
              </w:rPr>
            </w:pPr>
            <w:r>
              <w:rPr>
                <w:rFonts w:hint="eastAsia"/>
                <w:color w:val="auto"/>
                <w:sz w:val="24"/>
                <w:szCs w:val="24"/>
              </w:rPr>
              <w:t>（1）</w:t>
            </w:r>
            <w:r>
              <w:rPr>
                <w:rFonts w:hint="eastAsia"/>
                <w:color w:val="auto"/>
                <w:sz w:val="24"/>
                <w:szCs w:val="24"/>
                <w:lang w:val="en-US" w:eastAsia="zh-CN"/>
              </w:rPr>
              <w:t>实验用水</w:t>
            </w:r>
          </w:p>
          <w:p w14:paraId="46A4484E">
            <w:pPr>
              <w:pStyle w:val="19"/>
              <w:spacing w:line="360" w:lineRule="auto"/>
              <w:ind w:firstLine="482"/>
              <w:jc w:val="both"/>
              <w:rPr>
                <w:rFonts w:hint="eastAsia"/>
                <w:color w:val="auto"/>
                <w:sz w:val="24"/>
                <w:szCs w:val="24"/>
              </w:rPr>
            </w:pPr>
            <w:r>
              <w:rPr>
                <w:rFonts w:hint="eastAsia"/>
                <w:color w:val="auto"/>
                <w:sz w:val="24"/>
                <w:szCs w:val="24"/>
                <w:lang w:val="en-US" w:eastAsia="zh-CN"/>
              </w:rPr>
              <w:t>实验</w:t>
            </w:r>
            <w:r>
              <w:rPr>
                <w:rFonts w:hint="eastAsia"/>
                <w:color w:val="auto"/>
                <w:sz w:val="24"/>
                <w:szCs w:val="24"/>
              </w:rPr>
              <w:t>用水</w:t>
            </w:r>
            <w:r>
              <w:rPr>
                <w:color w:val="auto"/>
                <w:sz w:val="24"/>
                <w:szCs w:val="24"/>
              </w:rPr>
              <w:t>主要包括</w:t>
            </w:r>
            <w:r>
              <w:rPr>
                <w:rFonts w:hint="eastAsia"/>
                <w:color w:val="auto"/>
                <w:sz w:val="24"/>
                <w:szCs w:val="24"/>
                <w:lang w:val="en-US" w:eastAsia="zh-CN"/>
              </w:rPr>
              <w:t>纯水制备用水、样品</w:t>
            </w:r>
            <w:r>
              <w:rPr>
                <w:rFonts w:hint="eastAsia"/>
                <w:color w:val="auto"/>
                <w:sz w:val="24"/>
                <w:szCs w:val="24"/>
              </w:rPr>
              <w:t>配制</w:t>
            </w:r>
            <w:r>
              <w:rPr>
                <w:color w:val="auto"/>
                <w:sz w:val="24"/>
                <w:szCs w:val="24"/>
              </w:rPr>
              <w:t>用水、</w:t>
            </w:r>
            <w:r>
              <w:rPr>
                <w:rFonts w:hint="eastAsia"/>
                <w:color w:val="auto"/>
                <w:sz w:val="24"/>
                <w:szCs w:val="24"/>
                <w:lang w:val="en-US" w:eastAsia="zh-CN"/>
              </w:rPr>
              <w:t>器具清洗</w:t>
            </w:r>
            <w:r>
              <w:rPr>
                <w:rFonts w:hint="eastAsia"/>
                <w:color w:val="auto"/>
                <w:sz w:val="24"/>
                <w:szCs w:val="24"/>
              </w:rPr>
              <w:t>用水、</w:t>
            </w:r>
            <w:r>
              <w:rPr>
                <w:rFonts w:hint="eastAsia" w:ascii="Times New Roman" w:hAnsi="Times New Roman" w:cs="Times New Roman"/>
                <w:color w:val="auto"/>
                <w:sz w:val="24"/>
                <w:lang w:val="en-US" w:eastAsia="zh-CN"/>
              </w:rPr>
              <w:t>碱液喷淋塔</w:t>
            </w:r>
            <w:r>
              <w:rPr>
                <w:color w:val="auto"/>
                <w:sz w:val="24"/>
                <w:szCs w:val="24"/>
              </w:rPr>
              <w:t>喷淋用水</w:t>
            </w:r>
            <w:r>
              <w:rPr>
                <w:rFonts w:hint="eastAsia"/>
                <w:color w:val="auto"/>
                <w:sz w:val="24"/>
                <w:szCs w:val="24"/>
              </w:rPr>
              <w:t>，用水依托市政供水管网，水质和水量均能够满足生产的需要。</w:t>
            </w:r>
          </w:p>
          <w:p w14:paraId="3589AF76">
            <w:pPr>
              <w:pStyle w:val="19"/>
              <w:spacing w:line="360" w:lineRule="auto"/>
              <w:ind w:firstLine="482"/>
              <w:jc w:val="both"/>
              <w:rPr>
                <w:color w:val="auto"/>
                <w:sz w:val="24"/>
                <w:szCs w:val="24"/>
              </w:rPr>
            </w:pPr>
            <w:r>
              <w:rPr>
                <w:rFonts w:hint="eastAsia" w:ascii="宋体" w:hAnsi="宋体" w:cs="宋体"/>
                <w:color w:val="auto"/>
                <w:sz w:val="24"/>
                <w:szCs w:val="24"/>
              </w:rPr>
              <w:t>①</w:t>
            </w:r>
            <w:r>
              <w:rPr>
                <w:rFonts w:hint="eastAsia"/>
                <w:color w:val="auto"/>
                <w:sz w:val="24"/>
                <w:szCs w:val="24"/>
                <w:lang w:val="en-US" w:eastAsia="zh-CN"/>
              </w:rPr>
              <w:t>纯水制备</w:t>
            </w:r>
            <w:r>
              <w:rPr>
                <w:rFonts w:hint="eastAsia"/>
                <w:color w:val="auto"/>
                <w:sz w:val="24"/>
                <w:szCs w:val="24"/>
              </w:rPr>
              <w:t>用水</w:t>
            </w:r>
          </w:p>
          <w:p w14:paraId="54E76DBE">
            <w:pPr>
              <w:pStyle w:val="19"/>
              <w:spacing w:line="360" w:lineRule="auto"/>
              <w:ind w:firstLine="482"/>
              <w:jc w:val="both"/>
              <w:rPr>
                <w:rFonts w:ascii="宋体" w:hAnsi="宋体" w:cs="宋体"/>
                <w:color w:val="auto"/>
                <w:sz w:val="24"/>
                <w:szCs w:val="24"/>
              </w:rPr>
            </w:pPr>
            <w:r>
              <w:rPr>
                <w:rFonts w:hint="eastAsia"/>
                <w:color w:val="auto"/>
                <w:sz w:val="24"/>
                <w:szCs w:val="24"/>
                <w:lang w:val="en-US" w:eastAsia="zh-CN"/>
              </w:rPr>
              <w:t>项目配套有2台纯水机，主要用来配置各种溶剂、样品等。设备采用反渗透工艺，制备过程中产生一定量的浓水，纯水产生率约为50%。实验室需制备纯水0.1m</w:t>
            </w:r>
            <w:r>
              <w:rPr>
                <w:rFonts w:hint="eastAsia"/>
                <w:color w:val="auto"/>
                <w:sz w:val="24"/>
                <w:szCs w:val="24"/>
                <w:vertAlign w:val="superscript"/>
                <w:lang w:val="en-US" w:eastAsia="zh-CN"/>
              </w:rPr>
              <w:t>3</w:t>
            </w:r>
            <w:r>
              <w:rPr>
                <w:rFonts w:hint="eastAsia"/>
                <w:color w:val="auto"/>
                <w:sz w:val="24"/>
                <w:szCs w:val="24"/>
                <w:lang w:val="en-US" w:eastAsia="zh-CN"/>
              </w:rPr>
              <w:t>/d，则实验室纯水设备用新鲜水量0.2m</w:t>
            </w:r>
            <w:r>
              <w:rPr>
                <w:rFonts w:hint="eastAsia"/>
                <w:color w:val="auto"/>
                <w:sz w:val="24"/>
                <w:szCs w:val="24"/>
                <w:vertAlign w:val="superscript"/>
                <w:lang w:val="en-US" w:eastAsia="zh-CN"/>
              </w:rPr>
              <w:t>3</w:t>
            </w:r>
            <w:r>
              <w:rPr>
                <w:rFonts w:hint="eastAsia"/>
                <w:color w:val="auto"/>
                <w:sz w:val="24"/>
                <w:szCs w:val="24"/>
                <w:lang w:val="en-US" w:eastAsia="zh-CN"/>
              </w:rPr>
              <w:t>/d、60m</w:t>
            </w:r>
            <w:r>
              <w:rPr>
                <w:rFonts w:hint="eastAsia"/>
                <w:color w:val="auto"/>
                <w:sz w:val="24"/>
                <w:szCs w:val="24"/>
                <w:vertAlign w:val="superscript"/>
                <w:lang w:val="en-US" w:eastAsia="zh-CN"/>
              </w:rPr>
              <w:t>3</w:t>
            </w:r>
            <w:r>
              <w:rPr>
                <w:rFonts w:hint="eastAsia"/>
                <w:color w:val="auto"/>
                <w:sz w:val="24"/>
                <w:szCs w:val="24"/>
                <w:lang w:val="en-US" w:eastAsia="zh-CN"/>
              </w:rPr>
              <w:t>/a。</w:t>
            </w:r>
          </w:p>
          <w:p w14:paraId="62F8FD25">
            <w:pPr>
              <w:pStyle w:val="19"/>
              <w:spacing w:line="360" w:lineRule="auto"/>
              <w:ind w:firstLine="482"/>
              <w:jc w:val="both"/>
              <w:rPr>
                <w:rFonts w:hint="eastAsia" w:ascii="宋体" w:hAnsi="宋体" w:cs="宋体"/>
                <w:color w:val="auto"/>
                <w:sz w:val="24"/>
                <w:szCs w:val="24"/>
              </w:rPr>
            </w:pPr>
            <w:r>
              <w:rPr>
                <w:rFonts w:hint="eastAsia" w:ascii="宋体" w:hAnsi="宋体" w:cs="宋体"/>
                <w:color w:val="auto"/>
                <w:sz w:val="24"/>
                <w:szCs w:val="24"/>
              </w:rPr>
              <w:t>②</w:t>
            </w:r>
            <w:r>
              <w:rPr>
                <w:rFonts w:hint="eastAsia" w:ascii="宋体" w:hAnsi="宋体" w:cs="宋体"/>
                <w:color w:val="auto"/>
                <w:sz w:val="24"/>
                <w:szCs w:val="24"/>
                <w:lang w:val="en-US" w:eastAsia="zh-CN"/>
              </w:rPr>
              <w:t>实验分析</w:t>
            </w:r>
            <w:r>
              <w:rPr>
                <w:rFonts w:hint="eastAsia"/>
                <w:color w:val="auto"/>
                <w:sz w:val="24"/>
                <w:szCs w:val="24"/>
              </w:rPr>
              <w:t>用水</w:t>
            </w:r>
          </w:p>
          <w:p w14:paraId="597AE60A">
            <w:pPr>
              <w:pStyle w:val="19"/>
              <w:spacing w:line="360" w:lineRule="auto"/>
              <w:ind w:firstLine="482"/>
              <w:jc w:val="both"/>
              <w:rPr>
                <w:rFonts w:hint="default" w:eastAsia="宋体"/>
                <w:color w:val="auto"/>
                <w:sz w:val="24"/>
                <w:szCs w:val="24"/>
                <w:lang w:val="en-US" w:eastAsia="zh-CN"/>
              </w:rPr>
            </w:pPr>
            <w:r>
              <w:rPr>
                <w:rFonts w:hint="eastAsia"/>
                <w:color w:val="auto"/>
                <w:sz w:val="24"/>
                <w:szCs w:val="24"/>
                <w:lang w:val="en-US" w:eastAsia="zh-CN"/>
              </w:rPr>
              <w:t>实验检测过程使用纯水进行分析样品制备，用水量约为0.025m</w:t>
            </w:r>
            <w:r>
              <w:rPr>
                <w:rFonts w:hint="eastAsia"/>
                <w:color w:val="auto"/>
                <w:sz w:val="24"/>
                <w:szCs w:val="24"/>
                <w:vertAlign w:val="superscript"/>
                <w:lang w:val="en-US" w:eastAsia="zh-CN"/>
              </w:rPr>
              <w:t>3</w:t>
            </w:r>
            <w:r>
              <w:rPr>
                <w:rFonts w:hint="eastAsia"/>
                <w:color w:val="auto"/>
                <w:sz w:val="24"/>
                <w:szCs w:val="24"/>
                <w:lang w:val="en-US" w:eastAsia="zh-CN"/>
              </w:rPr>
              <w:t>/d、7.5m</w:t>
            </w:r>
            <w:r>
              <w:rPr>
                <w:rFonts w:hint="eastAsia"/>
                <w:color w:val="auto"/>
                <w:sz w:val="24"/>
                <w:szCs w:val="24"/>
                <w:vertAlign w:val="superscript"/>
                <w:lang w:val="en-US" w:eastAsia="zh-CN"/>
              </w:rPr>
              <w:t>3</w:t>
            </w:r>
            <w:r>
              <w:rPr>
                <w:rFonts w:hint="eastAsia"/>
                <w:color w:val="auto"/>
                <w:sz w:val="24"/>
                <w:szCs w:val="24"/>
                <w:lang w:val="en-US" w:eastAsia="zh-CN"/>
              </w:rPr>
              <w:t>/a。</w:t>
            </w:r>
          </w:p>
          <w:p w14:paraId="2DA30F38">
            <w:pPr>
              <w:pStyle w:val="19"/>
              <w:spacing w:line="360" w:lineRule="auto"/>
              <w:ind w:firstLine="482"/>
              <w:jc w:val="both"/>
              <w:rPr>
                <w:rFonts w:hint="eastAsia" w:ascii="宋体" w:hAnsi="宋体" w:eastAsia="宋体" w:cs="宋体"/>
                <w:color w:val="auto"/>
                <w:sz w:val="24"/>
                <w:szCs w:val="24"/>
              </w:rPr>
            </w:pPr>
            <w:r>
              <w:rPr>
                <w:rFonts w:hint="eastAsia" w:ascii="宋体" w:hAnsi="宋体" w:eastAsia="宋体" w:cs="宋体"/>
                <w:color w:val="auto"/>
                <w:sz w:val="24"/>
                <w:szCs w:val="24"/>
              </w:rPr>
              <w:t>③</w:t>
            </w:r>
            <w:r>
              <w:rPr>
                <w:rFonts w:hint="eastAsia" w:ascii="宋体" w:hAnsi="宋体" w:cs="宋体"/>
                <w:color w:val="auto"/>
                <w:sz w:val="24"/>
                <w:szCs w:val="24"/>
                <w:lang w:val="en-US" w:eastAsia="zh-CN"/>
              </w:rPr>
              <w:t>器具清洗</w:t>
            </w:r>
            <w:r>
              <w:rPr>
                <w:rFonts w:hint="eastAsia" w:ascii="宋体" w:hAnsi="宋体" w:eastAsia="宋体" w:cs="宋体"/>
                <w:color w:val="auto"/>
                <w:sz w:val="24"/>
                <w:szCs w:val="24"/>
              </w:rPr>
              <w:t>用水</w:t>
            </w:r>
          </w:p>
          <w:p w14:paraId="229E49E2">
            <w:pPr>
              <w:pStyle w:val="19"/>
              <w:spacing w:line="360" w:lineRule="auto"/>
              <w:ind w:firstLine="482"/>
              <w:jc w:val="both"/>
              <w:rPr>
                <w:rFonts w:ascii="宋体" w:hAnsi="宋体" w:cs="宋体"/>
                <w:color w:val="auto"/>
                <w:sz w:val="24"/>
                <w:szCs w:val="24"/>
              </w:rPr>
            </w:pPr>
            <w:r>
              <w:rPr>
                <w:rFonts w:hint="eastAsia"/>
                <w:color w:val="auto"/>
                <w:sz w:val="24"/>
                <w:szCs w:val="24"/>
                <w:lang w:val="en-US" w:eastAsia="zh-CN"/>
              </w:rPr>
              <w:t>实验室用水主要为实验器具清洗用水，实验器具可以重复使用，每次实验结束后均需清洗。实验器具初次清洗、</w:t>
            </w:r>
            <w:r>
              <w:rPr>
                <w:rFonts w:hint="eastAsia"/>
                <w:color w:val="auto"/>
                <w:sz w:val="24"/>
                <w:lang w:val="en-US" w:eastAsia="zh-CN"/>
              </w:rPr>
              <w:t>中段</w:t>
            </w:r>
            <w:r>
              <w:rPr>
                <w:rFonts w:hint="eastAsia"/>
                <w:color w:val="auto"/>
                <w:sz w:val="24"/>
                <w:szCs w:val="24"/>
                <w:lang w:val="en-US" w:eastAsia="zh-CN"/>
              </w:rPr>
              <w:t>清洗采用自来水，后段清洗采用纯水，实验操作过程中初次清洗用水量约为0.01m</w:t>
            </w:r>
            <w:r>
              <w:rPr>
                <w:rFonts w:hint="eastAsia"/>
                <w:color w:val="auto"/>
                <w:sz w:val="24"/>
                <w:szCs w:val="24"/>
                <w:vertAlign w:val="superscript"/>
                <w:lang w:val="en-US" w:eastAsia="zh-CN"/>
              </w:rPr>
              <w:t>3</w:t>
            </w:r>
            <w:r>
              <w:rPr>
                <w:rFonts w:hint="eastAsia"/>
                <w:color w:val="auto"/>
                <w:sz w:val="24"/>
                <w:szCs w:val="24"/>
                <w:lang w:val="en-US" w:eastAsia="zh-CN"/>
              </w:rPr>
              <w:t>/d、3m</w:t>
            </w:r>
            <w:r>
              <w:rPr>
                <w:rFonts w:hint="eastAsia"/>
                <w:color w:val="auto"/>
                <w:sz w:val="24"/>
                <w:szCs w:val="24"/>
                <w:vertAlign w:val="superscript"/>
                <w:lang w:val="en-US" w:eastAsia="zh-CN"/>
              </w:rPr>
              <w:t>3</w:t>
            </w:r>
            <w:r>
              <w:rPr>
                <w:rFonts w:hint="eastAsia"/>
                <w:color w:val="auto"/>
                <w:sz w:val="24"/>
                <w:szCs w:val="24"/>
                <w:lang w:val="en-US" w:eastAsia="zh-CN"/>
              </w:rPr>
              <w:t>/a；</w:t>
            </w:r>
            <w:r>
              <w:rPr>
                <w:rFonts w:hint="eastAsia"/>
                <w:color w:val="auto"/>
                <w:sz w:val="24"/>
                <w:lang w:val="en-US" w:eastAsia="zh-CN"/>
              </w:rPr>
              <w:t>中段</w:t>
            </w:r>
            <w:r>
              <w:rPr>
                <w:rFonts w:hint="eastAsia"/>
                <w:color w:val="auto"/>
                <w:sz w:val="24"/>
                <w:szCs w:val="24"/>
                <w:lang w:val="en-US" w:eastAsia="zh-CN"/>
              </w:rPr>
              <w:t>清洗用水量约为1.19m</w:t>
            </w:r>
            <w:r>
              <w:rPr>
                <w:rFonts w:hint="eastAsia"/>
                <w:color w:val="auto"/>
                <w:sz w:val="24"/>
                <w:szCs w:val="24"/>
                <w:vertAlign w:val="superscript"/>
                <w:lang w:val="en-US" w:eastAsia="zh-CN"/>
              </w:rPr>
              <w:t>3</w:t>
            </w:r>
            <w:r>
              <w:rPr>
                <w:rFonts w:hint="eastAsia"/>
                <w:color w:val="auto"/>
                <w:sz w:val="24"/>
                <w:szCs w:val="24"/>
                <w:lang w:val="en-US" w:eastAsia="zh-CN"/>
              </w:rPr>
              <w:t>/d，357m</w:t>
            </w:r>
            <w:r>
              <w:rPr>
                <w:rFonts w:hint="eastAsia"/>
                <w:color w:val="auto"/>
                <w:sz w:val="24"/>
                <w:szCs w:val="24"/>
                <w:vertAlign w:val="superscript"/>
                <w:lang w:val="en-US" w:eastAsia="zh-CN"/>
              </w:rPr>
              <w:t>3</w:t>
            </w:r>
            <w:r>
              <w:rPr>
                <w:rFonts w:hint="eastAsia"/>
                <w:color w:val="auto"/>
                <w:sz w:val="24"/>
                <w:szCs w:val="24"/>
                <w:lang w:val="en-US" w:eastAsia="zh-CN"/>
              </w:rPr>
              <w:t>/a；后段器皿清洗用水量约为0.075m</w:t>
            </w:r>
            <w:r>
              <w:rPr>
                <w:rFonts w:hint="eastAsia"/>
                <w:color w:val="auto"/>
                <w:sz w:val="24"/>
                <w:szCs w:val="24"/>
                <w:vertAlign w:val="superscript"/>
                <w:lang w:val="en-US" w:eastAsia="zh-CN"/>
              </w:rPr>
              <w:t>3</w:t>
            </w:r>
            <w:r>
              <w:rPr>
                <w:rFonts w:hint="eastAsia"/>
                <w:color w:val="auto"/>
                <w:sz w:val="24"/>
                <w:szCs w:val="24"/>
                <w:lang w:val="en-US" w:eastAsia="zh-CN"/>
              </w:rPr>
              <w:t>/d，22.5m</w:t>
            </w:r>
            <w:r>
              <w:rPr>
                <w:rFonts w:hint="eastAsia"/>
                <w:color w:val="auto"/>
                <w:sz w:val="24"/>
                <w:szCs w:val="24"/>
                <w:vertAlign w:val="superscript"/>
                <w:lang w:val="en-US" w:eastAsia="zh-CN"/>
              </w:rPr>
              <w:t>3</w:t>
            </w:r>
            <w:r>
              <w:rPr>
                <w:rFonts w:hint="eastAsia"/>
                <w:color w:val="auto"/>
                <w:sz w:val="24"/>
                <w:szCs w:val="24"/>
                <w:lang w:val="en-US" w:eastAsia="zh-CN"/>
              </w:rPr>
              <w:t>/a。</w:t>
            </w:r>
          </w:p>
          <w:p w14:paraId="49A7FB46">
            <w:pPr>
              <w:pStyle w:val="19"/>
              <w:spacing w:line="360" w:lineRule="auto"/>
              <w:ind w:firstLine="482"/>
              <w:jc w:val="both"/>
              <w:rPr>
                <w:color w:val="auto"/>
                <w:sz w:val="24"/>
                <w:szCs w:val="24"/>
              </w:rPr>
            </w:pPr>
            <w:r>
              <w:rPr>
                <w:rFonts w:hint="eastAsia" w:ascii="宋体" w:hAnsi="宋体" w:eastAsia="宋体" w:cs="宋体"/>
                <w:color w:val="auto"/>
                <w:sz w:val="24"/>
                <w:szCs w:val="24"/>
              </w:rPr>
              <w:t>④</w:t>
            </w:r>
            <w:r>
              <w:rPr>
                <w:rFonts w:hint="eastAsia" w:ascii="宋体" w:hAnsi="宋体" w:eastAsia="宋体" w:cs="宋体"/>
                <w:color w:val="auto"/>
                <w:sz w:val="24"/>
                <w:szCs w:val="24"/>
                <w:lang w:val="en-US" w:eastAsia="zh-CN"/>
              </w:rPr>
              <w:t>碱液喷淋</w:t>
            </w:r>
            <w:r>
              <w:rPr>
                <w:color w:val="auto"/>
                <w:sz w:val="24"/>
                <w:szCs w:val="24"/>
              </w:rPr>
              <w:t>塔</w:t>
            </w:r>
            <w:r>
              <w:rPr>
                <w:rFonts w:hint="eastAsia"/>
                <w:color w:val="auto"/>
                <w:sz w:val="24"/>
                <w:szCs w:val="24"/>
              </w:rPr>
              <w:t>喷淋</w:t>
            </w:r>
            <w:r>
              <w:rPr>
                <w:color w:val="auto"/>
                <w:sz w:val="24"/>
                <w:szCs w:val="24"/>
              </w:rPr>
              <w:t>用水</w:t>
            </w:r>
          </w:p>
          <w:p w14:paraId="7040B778">
            <w:pPr>
              <w:pStyle w:val="19"/>
              <w:spacing w:line="360" w:lineRule="auto"/>
              <w:ind w:firstLine="482"/>
              <w:jc w:val="both"/>
              <w:rPr>
                <w:rFonts w:hint="eastAsia"/>
                <w:color w:val="auto"/>
                <w:sz w:val="24"/>
                <w:szCs w:val="24"/>
              </w:rPr>
            </w:pPr>
            <w:r>
              <w:rPr>
                <w:rFonts w:hint="eastAsia"/>
                <w:color w:val="auto"/>
                <w:sz w:val="24"/>
                <w:szCs w:val="24"/>
                <w:lang w:val="en-US" w:eastAsia="zh-CN"/>
              </w:rPr>
              <w:t>根据企业提供资料，喷淋塔规格φ1800×5000，喷淋塔内水循环使用，碱液使用一段时间后，含盐量增加，影响中和效果，需要定期更换新液，一般每月彻底更换循环液一次，折合日均用水量为0.03m</w:t>
            </w:r>
            <w:r>
              <w:rPr>
                <w:rFonts w:hint="eastAsia"/>
                <w:color w:val="auto"/>
                <w:sz w:val="24"/>
                <w:szCs w:val="24"/>
                <w:vertAlign w:val="superscript"/>
                <w:lang w:val="en-US" w:eastAsia="zh-CN"/>
              </w:rPr>
              <w:t>3</w:t>
            </w:r>
            <w:r>
              <w:rPr>
                <w:rFonts w:hint="eastAsia"/>
                <w:color w:val="auto"/>
                <w:sz w:val="24"/>
                <w:szCs w:val="24"/>
                <w:lang w:val="en-US" w:eastAsia="zh-CN"/>
              </w:rPr>
              <w:t>/d、9m</w:t>
            </w:r>
            <w:r>
              <w:rPr>
                <w:rFonts w:hint="eastAsia"/>
                <w:color w:val="auto"/>
                <w:sz w:val="24"/>
                <w:szCs w:val="24"/>
                <w:vertAlign w:val="superscript"/>
                <w:lang w:val="en-US" w:eastAsia="zh-CN"/>
              </w:rPr>
              <w:t>3</w:t>
            </w:r>
            <w:r>
              <w:rPr>
                <w:rFonts w:hint="eastAsia"/>
                <w:color w:val="auto"/>
                <w:sz w:val="24"/>
                <w:szCs w:val="24"/>
                <w:lang w:val="en-US" w:eastAsia="zh-CN"/>
              </w:rPr>
              <w:t>/a。</w:t>
            </w:r>
            <w:r>
              <w:rPr>
                <w:rFonts w:hint="eastAsia"/>
                <w:color w:val="auto"/>
                <w:sz w:val="24"/>
                <w:szCs w:val="24"/>
              </w:rPr>
              <w:t>来自新鲜水，市政提供。</w:t>
            </w:r>
          </w:p>
          <w:p w14:paraId="53AC5FE5">
            <w:pPr>
              <w:pStyle w:val="19"/>
              <w:spacing w:line="360" w:lineRule="auto"/>
              <w:ind w:firstLine="482"/>
              <w:jc w:val="both"/>
              <w:rPr>
                <w:color w:val="auto"/>
                <w:sz w:val="24"/>
                <w:szCs w:val="24"/>
              </w:rPr>
            </w:pPr>
            <w:r>
              <w:rPr>
                <w:rFonts w:hint="eastAsia"/>
                <w:color w:val="auto"/>
                <w:sz w:val="24"/>
                <w:szCs w:val="24"/>
              </w:rPr>
              <w:t>（2）生活用水</w:t>
            </w:r>
          </w:p>
          <w:p w14:paraId="4E99BC83">
            <w:pPr>
              <w:pStyle w:val="19"/>
              <w:spacing w:line="360" w:lineRule="auto"/>
              <w:ind w:firstLine="482"/>
              <w:jc w:val="both"/>
              <w:rPr>
                <w:color w:val="auto"/>
                <w:sz w:val="24"/>
                <w:szCs w:val="24"/>
              </w:rPr>
            </w:pPr>
            <w:r>
              <w:rPr>
                <w:color w:val="auto"/>
                <w:sz w:val="24"/>
                <w:szCs w:val="24"/>
              </w:rPr>
              <w:t>根据《建筑给水排水设计规范》（GB50015-2019），</w:t>
            </w:r>
            <w:r>
              <w:rPr>
                <w:rFonts w:hint="eastAsia"/>
                <w:color w:val="auto"/>
                <w:sz w:val="24"/>
                <w:szCs w:val="24"/>
              </w:rPr>
              <w:t>本</w:t>
            </w:r>
            <w:r>
              <w:rPr>
                <w:color w:val="auto"/>
                <w:sz w:val="24"/>
                <w:szCs w:val="24"/>
              </w:rPr>
              <w:t>项目新增劳动定员</w:t>
            </w:r>
            <w:r>
              <w:rPr>
                <w:rFonts w:hint="eastAsia"/>
                <w:color w:val="auto"/>
                <w:sz w:val="24"/>
                <w:szCs w:val="24"/>
                <w:lang w:val="en-US" w:eastAsia="zh-CN"/>
              </w:rPr>
              <w:t>12</w:t>
            </w:r>
            <w:r>
              <w:rPr>
                <w:color w:val="auto"/>
                <w:sz w:val="24"/>
                <w:szCs w:val="24"/>
              </w:rPr>
              <w:t>人，用水定额取50L/人d，生活用水总量为</w:t>
            </w:r>
            <w:r>
              <w:rPr>
                <w:rFonts w:hint="eastAsia"/>
                <w:color w:val="auto"/>
                <w:sz w:val="24"/>
                <w:szCs w:val="24"/>
                <w:lang w:val="en-US" w:eastAsia="zh-CN"/>
              </w:rPr>
              <w:t>0.6</w:t>
            </w:r>
            <w:r>
              <w:rPr>
                <w:color w:val="auto"/>
                <w:sz w:val="24"/>
                <w:szCs w:val="24"/>
              </w:rPr>
              <w:t>m</w:t>
            </w:r>
            <w:r>
              <w:rPr>
                <w:color w:val="auto"/>
                <w:sz w:val="24"/>
                <w:szCs w:val="24"/>
                <w:vertAlign w:val="superscript"/>
              </w:rPr>
              <w:t>3</w:t>
            </w:r>
            <w:r>
              <w:rPr>
                <w:color w:val="auto"/>
                <w:sz w:val="24"/>
                <w:szCs w:val="24"/>
              </w:rPr>
              <w:t>/d，1</w:t>
            </w:r>
            <w:r>
              <w:rPr>
                <w:rFonts w:hint="eastAsia"/>
                <w:color w:val="auto"/>
                <w:sz w:val="24"/>
                <w:szCs w:val="24"/>
                <w:lang w:val="en-US" w:eastAsia="zh-CN"/>
              </w:rPr>
              <w:t>80</w:t>
            </w:r>
            <w:r>
              <w:rPr>
                <w:color w:val="auto"/>
                <w:sz w:val="24"/>
                <w:szCs w:val="24"/>
              </w:rPr>
              <w:t>m</w:t>
            </w:r>
            <w:r>
              <w:rPr>
                <w:color w:val="auto"/>
                <w:sz w:val="24"/>
                <w:szCs w:val="24"/>
                <w:vertAlign w:val="superscript"/>
              </w:rPr>
              <w:t>3</w:t>
            </w:r>
            <w:r>
              <w:rPr>
                <w:color w:val="auto"/>
                <w:sz w:val="24"/>
                <w:szCs w:val="24"/>
              </w:rPr>
              <w:t>/a。</w:t>
            </w:r>
          </w:p>
          <w:p w14:paraId="2DACC4D8">
            <w:pPr>
              <w:adjustRightInd w:val="0"/>
              <w:snapToGrid w:val="0"/>
              <w:spacing w:line="360" w:lineRule="auto"/>
              <w:outlineLvl w:val="1"/>
              <w:rPr>
                <w:b/>
                <w:bCs/>
                <w:color w:val="auto"/>
                <w:sz w:val="24"/>
              </w:rPr>
            </w:pPr>
            <w:r>
              <w:rPr>
                <w:rFonts w:hint="eastAsia"/>
                <w:b/>
                <w:bCs/>
                <w:color w:val="auto"/>
                <w:sz w:val="24"/>
                <w:lang w:val="en-US" w:eastAsia="zh-CN"/>
              </w:rPr>
              <w:t>7</w:t>
            </w:r>
            <w:r>
              <w:rPr>
                <w:b/>
                <w:bCs/>
                <w:color w:val="auto"/>
                <w:sz w:val="24"/>
              </w:rPr>
              <w:t>.2排水</w:t>
            </w:r>
          </w:p>
          <w:p w14:paraId="55B9FC50">
            <w:pPr>
              <w:tabs>
                <w:tab w:val="left" w:pos="900"/>
              </w:tabs>
              <w:adjustRightInd w:val="0"/>
              <w:snapToGrid w:val="0"/>
              <w:spacing w:line="360" w:lineRule="auto"/>
              <w:ind w:firstLine="482"/>
              <w:rPr>
                <w:color w:val="auto"/>
                <w:sz w:val="24"/>
              </w:rPr>
            </w:pPr>
            <w:r>
              <w:rPr>
                <w:color w:val="auto"/>
                <w:sz w:val="24"/>
              </w:rPr>
              <w:t>本项目废水主要包括</w:t>
            </w:r>
            <w:r>
              <w:rPr>
                <w:rFonts w:hint="eastAsia"/>
                <w:color w:val="auto"/>
                <w:sz w:val="24"/>
                <w:lang w:val="en-US" w:eastAsia="zh-CN"/>
              </w:rPr>
              <w:t>纯水制备浓水</w:t>
            </w:r>
            <w:r>
              <w:rPr>
                <w:color w:val="auto"/>
                <w:sz w:val="24"/>
              </w:rPr>
              <w:t>、</w:t>
            </w:r>
            <w:r>
              <w:rPr>
                <w:rFonts w:hint="eastAsia"/>
                <w:color w:val="auto"/>
                <w:sz w:val="24"/>
                <w:lang w:val="en-US" w:eastAsia="zh-CN"/>
              </w:rPr>
              <w:t>检测</w:t>
            </w:r>
            <w:r>
              <w:rPr>
                <w:color w:val="auto"/>
                <w:sz w:val="24"/>
              </w:rPr>
              <w:t>废水</w:t>
            </w:r>
            <w:r>
              <w:rPr>
                <w:rFonts w:hint="eastAsia"/>
                <w:color w:val="auto"/>
                <w:sz w:val="24"/>
              </w:rPr>
              <w:t>、</w:t>
            </w:r>
            <w:r>
              <w:rPr>
                <w:rFonts w:hint="eastAsia"/>
                <w:color w:val="auto"/>
                <w:sz w:val="24"/>
                <w:lang w:val="en-US" w:eastAsia="zh-CN"/>
              </w:rPr>
              <w:t>器具清洗</w:t>
            </w:r>
            <w:r>
              <w:rPr>
                <w:rFonts w:hint="eastAsia"/>
                <w:color w:val="auto"/>
                <w:sz w:val="24"/>
              </w:rPr>
              <w:t>废水</w:t>
            </w:r>
            <w:r>
              <w:rPr>
                <w:rFonts w:hint="eastAsia" w:ascii="宋体" w:hAnsi="宋体" w:cs="宋体"/>
                <w:color w:val="auto"/>
                <w:sz w:val="24"/>
                <w:lang w:eastAsia="zh-CN"/>
              </w:rPr>
              <w:t>、</w:t>
            </w:r>
            <w:r>
              <w:rPr>
                <w:rFonts w:hint="eastAsia" w:ascii="宋体" w:hAnsi="宋体" w:cs="宋体"/>
                <w:color w:val="auto"/>
                <w:sz w:val="24"/>
                <w:lang w:val="en-US" w:eastAsia="zh-CN"/>
              </w:rPr>
              <w:t>喷淋塔废水和</w:t>
            </w:r>
            <w:r>
              <w:rPr>
                <w:color w:val="auto"/>
                <w:sz w:val="24"/>
              </w:rPr>
              <w:t>生活污水。</w:t>
            </w:r>
          </w:p>
          <w:p w14:paraId="2D4964CB">
            <w:pPr>
              <w:tabs>
                <w:tab w:val="left" w:pos="900"/>
              </w:tabs>
              <w:adjustRightInd w:val="0"/>
              <w:snapToGrid w:val="0"/>
              <w:spacing w:line="360" w:lineRule="auto"/>
              <w:ind w:firstLine="482"/>
              <w:rPr>
                <w:rFonts w:hint="default" w:eastAsia="宋体"/>
                <w:color w:val="auto"/>
                <w:sz w:val="24"/>
                <w:lang w:val="en-US" w:eastAsia="zh-CN"/>
              </w:rPr>
            </w:pPr>
            <w:r>
              <w:rPr>
                <w:rFonts w:hint="eastAsia"/>
                <w:color w:val="auto"/>
                <w:sz w:val="24"/>
              </w:rPr>
              <w:t>（1）</w:t>
            </w:r>
            <w:r>
              <w:rPr>
                <w:rFonts w:hint="eastAsia"/>
                <w:color w:val="auto"/>
                <w:sz w:val="24"/>
                <w:lang w:val="en-US" w:eastAsia="zh-CN"/>
              </w:rPr>
              <w:t>纯水制备装置浓水</w:t>
            </w:r>
          </w:p>
          <w:p w14:paraId="2DF4DC32">
            <w:pPr>
              <w:tabs>
                <w:tab w:val="left" w:pos="900"/>
              </w:tabs>
              <w:adjustRightInd w:val="0"/>
              <w:snapToGrid w:val="0"/>
              <w:spacing w:line="360" w:lineRule="auto"/>
              <w:ind w:firstLine="482"/>
              <w:rPr>
                <w:rFonts w:hint="eastAsia"/>
                <w:color w:val="auto"/>
                <w:sz w:val="24"/>
              </w:rPr>
            </w:pPr>
            <w:r>
              <w:rPr>
                <w:rFonts w:hint="eastAsia"/>
                <w:color w:val="auto"/>
                <w:sz w:val="24"/>
                <w:lang w:val="en-US" w:eastAsia="zh-CN"/>
              </w:rPr>
              <w:t>根据前文计算项目纯水制备装置浓水产量约为用水量50%，则项目纯水制备装置浓水排放量为0.1m</w:t>
            </w:r>
            <w:r>
              <w:rPr>
                <w:rFonts w:hint="eastAsia"/>
                <w:color w:val="auto"/>
                <w:sz w:val="24"/>
                <w:vertAlign w:val="superscript"/>
                <w:lang w:val="en-US" w:eastAsia="zh-CN"/>
              </w:rPr>
              <w:t>3</w:t>
            </w:r>
            <w:r>
              <w:rPr>
                <w:rFonts w:hint="eastAsia"/>
                <w:color w:val="auto"/>
                <w:sz w:val="24"/>
                <w:lang w:val="en-US" w:eastAsia="zh-CN"/>
              </w:rPr>
              <w:t>/d、30m</w:t>
            </w:r>
            <w:r>
              <w:rPr>
                <w:rFonts w:hint="eastAsia"/>
                <w:color w:val="auto"/>
                <w:sz w:val="24"/>
                <w:vertAlign w:val="superscript"/>
                <w:lang w:val="en-US" w:eastAsia="zh-CN"/>
              </w:rPr>
              <w:t>3</w:t>
            </w:r>
            <w:r>
              <w:rPr>
                <w:rFonts w:hint="eastAsia"/>
                <w:color w:val="auto"/>
                <w:sz w:val="24"/>
                <w:lang w:val="en-US" w:eastAsia="zh-CN"/>
              </w:rPr>
              <w:t>/a，纯水制备装置浓水属清净下水，直接排入废水池内。</w:t>
            </w:r>
          </w:p>
          <w:p w14:paraId="4AE9F8B3">
            <w:pPr>
              <w:tabs>
                <w:tab w:val="left" w:pos="900"/>
              </w:tabs>
              <w:adjustRightInd w:val="0"/>
              <w:snapToGrid w:val="0"/>
              <w:spacing w:line="360" w:lineRule="auto"/>
              <w:ind w:firstLine="482"/>
              <w:rPr>
                <w:rFonts w:hint="default"/>
                <w:color w:val="auto"/>
                <w:sz w:val="24"/>
                <w:lang w:val="en-US"/>
              </w:rPr>
            </w:pPr>
            <w:r>
              <w:rPr>
                <w:rFonts w:hint="eastAsia"/>
                <w:color w:val="auto"/>
                <w:sz w:val="24"/>
              </w:rPr>
              <w:t>（</w:t>
            </w:r>
            <w:r>
              <w:rPr>
                <w:rFonts w:hint="eastAsia"/>
                <w:color w:val="auto"/>
                <w:sz w:val="24"/>
                <w:lang w:val="en-US" w:eastAsia="zh-CN"/>
              </w:rPr>
              <w:t>2</w:t>
            </w:r>
            <w:r>
              <w:rPr>
                <w:rFonts w:hint="eastAsia"/>
                <w:color w:val="auto"/>
                <w:sz w:val="24"/>
              </w:rPr>
              <w:t>）</w:t>
            </w:r>
            <w:r>
              <w:rPr>
                <w:rFonts w:hint="eastAsia"/>
                <w:color w:val="auto"/>
                <w:sz w:val="24"/>
                <w:lang w:val="en-US" w:eastAsia="zh-CN"/>
              </w:rPr>
              <w:t>实验分析废液</w:t>
            </w:r>
          </w:p>
          <w:p w14:paraId="14C9B827">
            <w:pPr>
              <w:tabs>
                <w:tab w:val="left" w:pos="900"/>
              </w:tabs>
              <w:adjustRightInd w:val="0"/>
              <w:snapToGrid w:val="0"/>
              <w:spacing w:line="360" w:lineRule="auto"/>
              <w:ind w:firstLine="482"/>
              <w:rPr>
                <w:color w:val="auto"/>
                <w:sz w:val="24"/>
              </w:rPr>
            </w:pPr>
            <w:r>
              <w:rPr>
                <w:rFonts w:hint="eastAsia"/>
                <w:color w:val="auto"/>
                <w:sz w:val="24"/>
                <w:lang w:val="en-US" w:eastAsia="zh-CN"/>
              </w:rPr>
              <w:t>根据前文计算实验样品配制消耗纯水量约为7.5</w:t>
            </w:r>
            <w:r>
              <w:rPr>
                <w:color w:val="auto"/>
                <w:sz w:val="24"/>
                <w:szCs w:val="24"/>
              </w:rPr>
              <w:t>m</w:t>
            </w:r>
            <w:r>
              <w:rPr>
                <w:color w:val="auto"/>
                <w:sz w:val="24"/>
                <w:szCs w:val="24"/>
                <w:vertAlign w:val="superscript"/>
              </w:rPr>
              <w:t>3</w:t>
            </w:r>
            <w:r>
              <w:rPr>
                <w:color w:val="auto"/>
                <w:sz w:val="24"/>
                <w:szCs w:val="24"/>
              </w:rPr>
              <w:t>/a</w:t>
            </w:r>
            <w:r>
              <w:rPr>
                <w:rFonts w:hint="eastAsia"/>
                <w:color w:val="auto"/>
                <w:sz w:val="24"/>
                <w:lang w:val="en-US" w:eastAsia="zh-CN"/>
              </w:rPr>
              <w:t>，分析时配制试剂过程中约30%的水会蒸发损耗，其余70%形成实验废液，产生量为5.25m</w:t>
            </w:r>
            <w:r>
              <w:rPr>
                <w:rFonts w:hint="eastAsia"/>
                <w:color w:val="auto"/>
                <w:sz w:val="24"/>
                <w:vertAlign w:val="superscript"/>
                <w:lang w:val="en-US" w:eastAsia="zh-CN"/>
              </w:rPr>
              <w:t>3</w:t>
            </w:r>
            <w:r>
              <w:rPr>
                <w:rFonts w:hint="eastAsia"/>
                <w:color w:val="auto"/>
                <w:sz w:val="24"/>
                <w:lang w:val="en-US" w:eastAsia="zh-CN"/>
              </w:rPr>
              <w:t>/a，收集后做危废管理。</w:t>
            </w:r>
          </w:p>
          <w:p w14:paraId="0DEB2F37">
            <w:pPr>
              <w:tabs>
                <w:tab w:val="left" w:pos="900"/>
              </w:tabs>
              <w:adjustRightInd w:val="0"/>
              <w:snapToGrid w:val="0"/>
              <w:spacing w:line="360" w:lineRule="auto"/>
              <w:ind w:firstLine="482"/>
              <w:rPr>
                <w:color w:val="auto"/>
                <w:sz w:val="24"/>
              </w:rPr>
            </w:pPr>
            <w:r>
              <w:rPr>
                <w:rFonts w:hint="eastAsia"/>
                <w:color w:val="auto"/>
                <w:sz w:val="24"/>
              </w:rPr>
              <w:t>（</w:t>
            </w:r>
            <w:r>
              <w:rPr>
                <w:rFonts w:hint="eastAsia"/>
                <w:color w:val="auto"/>
                <w:sz w:val="24"/>
                <w:lang w:val="en-US" w:eastAsia="zh-CN"/>
              </w:rPr>
              <w:t>3</w:t>
            </w:r>
            <w:r>
              <w:rPr>
                <w:rFonts w:hint="eastAsia"/>
                <w:color w:val="auto"/>
                <w:sz w:val="24"/>
              </w:rPr>
              <w:t>）</w:t>
            </w:r>
            <w:r>
              <w:rPr>
                <w:rFonts w:hint="eastAsia"/>
                <w:color w:val="auto"/>
                <w:sz w:val="24"/>
                <w:lang w:val="en-US" w:eastAsia="zh-CN"/>
              </w:rPr>
              <w:t>实验器具清洗</w:t>
            </w:r>
            <w:r>
              <w:rPr>
                <w:rFonts w:hint="eastAsia"/>
                <w:color w:val="auto"/>
                <w:sz w:val="24"/>
              </w:rPr>
              <w:t>废水</w:t>
            </w:r>
          </w:p>
          <w:p w14:paraId="51E44CFC">
            <w:pPr>
              <w:tabs>
                <w:tab w:val="left" w:pos="900"/>
              </w:tabs>
              <w:adjustRightInd w:val="0"/>
              <w:snapToGrid w:val="0"/>
              <w:spacing w:line="360" w:lineRule="auto"/>
              <w:ind w:firstLine="482"/>
              <w:rPr>
                <w:color w:val="auto"/>
                <w:sz w:val="24"/>
              </w:rPr>
            </w:pPr>
            <w:r>
              <w:rPr>
                <w:rFonts w:hint="eastAsia"/>
                <w:color w:val="auto"/>
                <w:sz w:val="24"/>
                <w:lang w:val="en-US" w:eastAsia="zh-CN"/>
              </w:rPr>
              <w:t>实验器具初次清洗、中段清洗采用自来水，后段清洗采用纯水，实验操作过程中初次清洗用水量约为</w:t>
            </w:r>
            <w:r>
              <w:rPr>
                <w:rFonts w:hint="eastAsia"/>
                <w:color w:val="auto"/>
                <w:sz w:val="24"/>
                <w:szCs w:val="24"/>
                <w:lang w:val="en-US" w:eastAsia="zh-CN"/>
              </w:rPr>
              <w:t>0.01m</w:t>
            </w:r>
            <w:r>
              <w:rPr>
                <w:rFonts w:hint="eastAsia"/>
                <w:color w:val="auto"/>
                <w:sz w:val="24"/>
                <w:szCs w:val="24"/>
                <w:vertAlign w:val="superscript"/>
                <w:lang w:val="en-US" w:eastAsia="zh-CN"/>
              </w:rPr>
              <w:t>3</w:t>
            </w:r>
            <w:r>
              <w:rPr>
                <w:rFonts w:hint="eastAsia"/>
                <w:color w:val="auto"/>
                <w:sz w:val="24"/>
                <w:szCs w:val="24"/>
                <w:lang w:val="en-US" w:eastAsia="zh-CN"/>
              </w:rPr>
              <w:t>/d、3m</w:t>
            </w:r>
            <w:r>
              <w:rPr>
                <w:rFonts w:hint="eastAsia"/>
                <w:color w:val="auto"/>
                <w:sz w:val="24"/>
                <w:szCs w:val="24"/>
                <w:vertAlign w:val="superscript"/>
                <w:lang w:val="en-US" w:eastAsia="zh-CN"/>
              </w:rPr>
              <w:t>3</w:t>
            </w:r>
            <w:r>
              <w:rPr>
                <w:rFonts w:hint="eastAsia"/>
                <w:color w:val="auto"/>
                <w:sz w:val="24"/>
                <w:szCs w:val="24"/>
                <w:lang w:val="en-US" w:eastAsia="zh-CN"/>
              </w:rPr>
              <w:t>/a</w:t>
            </w:r>
            <w:r>
              <w:rPr>
                <w:rFonts w:hint="eastAsia"/>
                <w:color w:val="auto"/>
                <w:sz w:val="24"/>
                <w:lang w:val="en-US" w:eastAsia="zh-CN"/>
              </w:rPr>
              <w:t>，废水量按</w:t>
            </w:r>
            <w:r>
              <w:rPr>
                <w:rFonts w:hint="default"/>
                <w:color w:val="auto"/>
                <w:sz w:val="24"/>
                <w:lang w:val="en-US" w:eastAsia="zh-CN"/>
              </w:rPr>
              <w:t>90%</w:t>
            </w:r>
            <w:r>
              <w:rPr>
                <w:rFonts w:hint="eastAsia"/>
                <w:color w:val="auto"/>
                <w:sz w:val="24"/>
                <w:lang w:val="en-US" w:eastAsia="zh-CN"/>
              </w:rPr>
              <w:t>计算，初次清洗废水量约0.009</w:t>
            </w:r>
            <w:r>
              <w:rPr>
                <w:rFonts w:hint="eastAsia"/>
                <w:color w:val="auto"/>
                <w:sz w:val="24"/>
                <w:szCs w:val="24"/>
                <w:lang w:val="en-US" w:eastAsia="zh-CN"/>
              </w:rPr>
              <w:t>m</w:t>
            </w:r>
            <w:r>
              <w:rPr>
                <w:rFonts w:hint="eastAsia"/>
                <w:color w:val="auto"/>
                <w:sz w:val="24"/>
                <w:szCs w:val="24"/>
                <w:vertAlign w:val="superscript"/>
                <w:lang w:val="en-US" w:eastAsia="zh-CN"/>
              </w:rPr>
              <w:t>3</w:t>
            </w:r>
            <w:r>
              <w:rPr>
                <w:rFonts w:hint="default"/>
                <w:color w:val="auto"/>
                <w:sz w:val="24"/>
                <w:lang w:val="en-US" w:eastAsia="zh-CN"/>
              </w:rPr>
              <w:t>/d</w:t>
            </w:r>
            <w:r>
              <w:rPr>
                <w:rFonts w:hint="eastAsia"/>
                <w:color w:val="auto"/>
                <w:sz w:val="24"/>
                <w:lang w:val="en-US" w:eastAsia="zh-CN"/>
              </w:rPr>
              <w:t>、2.7</w:t>
            </w:r>
            <w:r>
              <w:rPr>
                <w:rFonts w:hint="eastAsia"/>
                <w:color w:val="auto"/>
                <w:sz w:val="24"/>
                <w:szCs w:val="24"/>
                <w:lang w:val="en-US" w:eastAsia="zh-CN"/>
              </w:rPr>
              <w:t>m</w:t>
            </w:r>
            <w:r>
              <w:rPr>
                <w:rFonts w:hint="eastAsia"/>
                <w:color w:val="auto"/>
                <w:sz w:val="24"/>
                <w:szCs w:val="24"/>
                <w:vertAlign w:val="superscript"/>
                <w:lang w:val="en-US" w:eastAsia="zh-CN"/>
              </w:rPr>
              <w:t>3</w:t>
            </w:r>
            <w:r>
              <w:rPr>
                <w:rFonts w:hint="default"/>
                <w:color w:val="auto"/>
                <w:sz w:val="24"/>
                <w:lang w:val="en-US" w:eastAsia="zh-CN"/>
              </w:rPr>
              <w:t>/a</w:t>
            </w:r>
            <w:r>
              <w:rPr>
                <w:rFonts w:hint="eastAsia"/>
                <w:color w:val="auto"/>
                <w:sz w:val="24"/>
                <w:lang w:val="en-US" w:eastAsia="zh-CN"/>
              </w:rPr>
              <w:t>，与高浓度废液一起作为危废处置；中段清洗</w:t>
            </w:r>
            <w:r>
              <w:rPr>
                <w:rFonts w:hint="eastAsia"/>
                <w:color w:val="auto"/>
                <w:sz w:val="24"/>
                <w:szCs w:val="24"/>
                <w:lang w:val="en-US" w:eastAsia="zh-CN"/>
              </w:rPr>
              <w:t>用水量约为1.19m</w:t>
            </w:r>
            <w:r>
              <w:rPr>
                <w:rFonts w:hint="eastAsia"/>
                <w:color w:val="auto"/>
                <w:sz w:val="24"/>
                <w:szCs w:val="24"/>
                <w:vertAlign w:val="superscript"/>
                <w:lang w:val="en-US" w:eastAsia="zh-CN"/>
              </w:rPr>
              <w:t>3</w:t>
            </w:r>
            <w:r>
              <w:rPr>
                <w:rFonts w:hint="eastAsia"/>
                <w:color w:val="auto"/>
                <w:sz w:val="24"/>
                <w:szCs w:val="24"/>
                <w:lang w:val="en-US" w:eastAsia="zh-CN"/>
              </w:rPr>
              <w:t>/d，357m</w:t>
            </w:r>
            <w:r>
              <w:rPr>
                <w:rFonts w:hint="eastAsia"/>
                <w:color w:val="auto"/>
                <w:sz w:val="24"/>
                <w:szCs w:val="24"/>
                <w:vertAlign w:val="superscript"/>
                <w:lang w:val="en-US" w:eastAsia="zh-CN"/>
              </w:rPr>
              <w:t>3</w:t>
            </w:r>
            <w:r>
              <w:rPr>
                <w:rFonts w:hint="eastAsia"/>
                <w:color w:val="auto"/>
                <w:sz w:val="24"/>
                <w:szCs w:val="24"/>
                <w:lang w:val="en-US" w:eastAsia="zh-CN"/>
              </w:rPr>
              <w:t>/a，</w:t>
            </w:r>
            <w:r>
              <w:rPr>
                <w:rFonts w:hint="eastAsia"/>
                <w:color w:val="auto"/>
                <w:sz w:val="24"/>
                <w:lang w:val="en-US" w:eastAsia="zh-CN"/>
              </w:rPr>
              <w:t>废水量按</w:t>
            </w:r>
            <w:r>
              <w:rPr>
                <w:rFonts w:hint="default"/>
                <w:color w:val="auto"/>
                <w:sz w:val="24"/>
                <w:lang w:val="en-US" w:eastAsia="zh-CN"/>
              </w:rPr>
              <w:t>90%</w:t>
            </w:r>
            <w:r>
              <w:rPr>
                <w:rFonts w:hint="eastAsia"/>
                <w:color w:val="auto"/>
                <w:sz w:val="24"/>
                <w:lang w:val="en-US" w:eastAsia="zh-CN"/>
              </w:rPr>
              <w:t>计算，中段清洗废水量约1.071</w:t>
            </w:r>
            <w:r>
              <w:rPr>
                <w:rFonts w:hint="eastAsia"/>
                <w:color w:val="auto"/>
                <w:sz w:val="24"/>
                <w:szCs w:val="24"/>
                <w:lang w:val="en-US" w:eastAsia="zh-CN"/>
              </w:rPr>
              <w:t>m</w:t>
            </w:r>
            <w:r>
              <w:rPr>
                <w:rFonts w:hint="eastAsia"/>
                <w:color w:val="auto"/>
                <w:sz w:val="24"/>
                <w:szCs w:val="24"/>
                <w:vertAlign w:val="superscript"/>
                <w:lang w:val="en-US" w:eastAsia="zh-CN"/>
              </w:rPr>
              <w:t>3</w:t>
            </w:r>
            <w:r>
              <w:rPr>
                <w:rFonts w:hint="default"/>
                <w:color w:val="auto"/>
                <w:sz w:val="24"/>
                <w:lang w:val="en-US" w:eastAsia="zh-CN"/>
              </w:rPr>
              <w:t>/d</w:t>
            </w:r>
            <w:r>
              <w:rPr>
                <w:rFonts w:hint="eastAsia"/>
                <w:color w:val="auto"/>
                <w:sz w:val="24"/>
                <w:lang w:val="en-US" w:eastAsia="zh-CN"/>
              </w:rPr>
              <w:t>、321.3</w:t>
            </w:r>
            <w:r>
              <w:rPr>
                <w:rFonts w:hint="eastAsia"/>
                <w:color w:val="auto"/>
                <w:sz w:val="24"/>
                <w:szCs w:val="24"/>
                <w:lang w:val="en-US" w:eastAsia="zh-CN"/>
              </w:rPr>
              <w:t>m</w:t>
            </w:r>
            <w:r>
              <w:rPr>
                <w:rFonts w:hint="eastAsia"/>
                <w:color w:val="auto"/>
                <w:sz w:val="24"/>
                <w:szCs w:val="24"/>
                <w:vertAlign w:val="superscript"/>
                <w:lang w:val="en-US" w:eastAsia="zh-CN"/>
              </w:rPr>
              <w:t>3</w:t>
            </w:r>
            <w:r>
              <w:rPr>
                <w:rFonts w:hint="default"/>
                <w:color w:val="auto"/>
                <w:sz w:val="24"/>
                <w:lang w:val="en-US" w:eastAsia="zh-CN"/>
              </w:rPr>
              <w:t>/a</w:t>
            </w:r>
            <w:r>
              <w:rPr>
                <w:rFonts w:hint="eastAsia"/>
                <w:color w:val="auto"/>
                <w:sz w:val="24"/>
                <w:lang w:val="en-US" w:eastAsia="zh-CN"/>
              </w:rPr>
              <w:t>，后段器皿清洗用水量约为</w:t>
            </w:r>
            <w:r>
              <w:rPr>
                <w:rFonts w:hint="default"/>
                <w:color w:val="auto"/>
                <w:sz w:val="24"/>
                <w:lang w:val="en-US" w:eastAsia="zh-CN"/>
              </w:rPr>
              <w:t>0.0</w:t>
            </w:r>
            <w:r>
              <w:rPr>
                <w:rFonts w:hint="eastAsia"/>
                <w:color w:val="auto"/>
                <w:sz w:val="24"/>
                <w:lang w:val="en-US" w:eastAsia="zh-CN"/>
              </w:rPr>
              <w:t>75</w:t>
            </w:r>
            <w:r>
              <w:rPr>
                <w:rFonts w:hint="default"/>
                <w:color w:val="auto"/>
                <w:sz w:val="24"/>
                <w:lang w:val="en-US" w:eastAsia="zh-CN"/>
              </w:rPr>
              <w:t>m</w:t>
            </w:r>
            <w:r>
              <w:rPr>
                <w:rFonts w:hint="default"/>
                <w:color w:val="auto"/>
                <w:sz w:val="24"/>
                <w:vertAlign w:val="superscript"/>
                <w:lang w:val="en-US" w:eastAsia="zh-CN"/>
              </w:rPr>
              <w:t>3</w:t>
            </w:r>
            <w:r>
              <w:rPr>
                <w:rFonts w:hint="default"/>
                <w:color w:val="auto"/>
                <w:sz w:val="24"/>
                <w:lang w:val="en-US" w:eastAsia="zh-CN"/>
              </w:rPr>
              <w:t>/d</w:t>
            </w:r>
            <w:r>
              <w:rPr>
                <w:rFonts w:hint="eastAsia"/>
                <w:color w:val="auto"/>
                <w:sz w:val="24"/>
                <w:lang w:val="en-US" w:eastAsia="zh-CN"/>
              </w:rPr>
              <w:t>、</w:t>
            </w:r>
            <w:r>
              <w:rPr>
                <w:rFonts w:hint="eastAsia"/>
                <w:color w:val="auto"/>
                <w:sz w:val="24"/>
                <w:szCs w:val="24"/>
                <w:lang w:val="en-US" w:eastAsia="zh-CN"/>
              </w:rPr>
              <w:t>22.5m</w:t>
            </w:r>
            <w:r>
              <w:rPr>
                <w:rFonts w:hint="eastAsia"/>
                <w:color w:val="auto"/>
                <w:sz w:val="24"/>
                <w:szCs w:val="24"/>
                <w:vertAlign w:val="superscript"/>
                <w:lang w:val="en-US" w:eastAsia="zh-CN"/>
              </w:rPr>
              <w:t>3</w:t>
            </w:r>
            <w:r>
              <w:rPr>
                <w:rFonts w:hint="eastAsia"/>
                <w:color w:val="auto"/>
                <w:sz w:val="24"/>
                <w:szCs w:val="24"/>
                <w:lang w:val="en-US" w:eastAsia="zh-CN"/>
              </w:rPr>
              <w:t>/a</w:t>
            </w:r>
            <w:r>
              <w:rPr>
                <w:rFonts w:hint="eastAsia"/>
                <w:color w:val="auto"/>
                <w:sz w:val="24"/>
                <w:lang w:val="en-US" w:eastAsia="zh-CN"/>
              </w:rPr>
              <w:t>，废水量按90</w:t>
            </w:r>
            <w:r>
              <w:rPr>
                <w:rFonts w:hint="default"/>
                <w:color w:val="auto"/>
                <w:sz w:val="24"/>
                <w:lang w:val="en-US" w:eastAsia="zh-CN"/>
              </w:rPr>
              <w:t>%</w:t>
            </w:r>
            <w:r>
              <w:rPr>
                <w:rFonts w:hint="eastAsia"/>
                <w:color w:val="auto"/>
                <w:sz w:val="24"/>
                <w:lang w:val="en-US" w:eastAsia="zh-CN"/>
              </w:rPr>
              <w:t>计算，则清洗废水量约</w:t>
            </w:r>
            <w:r>
              <w:rPr>
                <w:rFonts w:hint="default"/>
                <w:color w:val="auto"/>
                <w:sz w:val="24"/>
                <w:lang w:val="en-US" w:eastAsia="zh-CN"/>
              </w:rPr>
              <w:t>0.0</w:t>
            </w:r>
            <w:r>
              <w:rPr>
                <w:rFonts w:hint="eastAsia"/>
                <w:color w:val="auto"/>
                <w:sz w:val="24"/>
                <w:lang w:val="en-US" w:eastAsia="zh-CN"/>
              </w:rPr>
              <w:t>675</w:t>
            </w:r>
            <w:r>
              <w:rPr>
                <w:rFonts w:hint="default"/>
                <w:color w:val="auto"/>
                <w:sz w:val="24"/>
                <w:lang w:val="en-US" w:eastAsia="zh-CN"/>
              </w:rPr>
              <w:t>m</w:t>
            </w:r>
            <w:r>
              <w:rPr>
                <w:rFonts w:hint="default"/>
                <w:color w:val="auto"/>
                <w:sz w:val="24"/>
                <w:vertAlign w:val="superscript"/>
                <w:lang w:val="en-US" w:eastAsia="zh-CN"/>
              </w:rPr>
              <w:t>3</w:t>
            </w:r>
            <w:r>
              <w:rPr>
                <w:rFonts w:hint="default"/>
                <w:color w:val="auto"/>
                <w:sz w:val="24"/>
                <w:lang w:val="en-US" w:eastAsia="zh-CN"/>
              </w:rPr>
              <w:t>/d</w:t>
            </w:r>
            <w:r>
              <w:rPr>
                <w:rFonts w:hint="eastAsia"/>
                <w:color w:val="auto"/>
                <w:sz w:val="24"/>
                <w:lang w:val="en-US" w:eastAsia="zh-CN"/>
              </w:rPr>
              <w:t>、20.25</w:t>
            </w:r>
            <w:r>
              <w:rPr>
                <w:rFonts w:hint="default"/>
                <w:color w:val="auto"/>
                <w:sz w:val="24"/>
                <w:lang w:val="en-US" w:eastAsia="zh-CN"/>
              </w:rPr>
              <w:t>m</w:t>
            </w:r>
            <w:r>
              <w:rPr>
                <w:rFonts w:hint="default"/>
                <w:color w:val="auto"/>
                <w:sz w:val="24"/>
                <w:vertAlign w:val="superscript"/>
                <w:lang w:val="en-US" w:eastAsia="zh-CN"/>
              </w:rPr>
              <w:t>3</w:t>
            </w:r>
            <w:r>
              <w:rPr>
                <w:rFonts w:hint="default"/>
                <w:color w:val="auto"/>
                <w:sz w:val="24"/>
                <w:lang w:val="en-US" w:eastAsia="zh-CN"/>
              </w:rPr>
              <w:t>/a</w:t>
            </w:r>
            <w:r>
              <w:rPr>
                <w:rFonts w:hint="eastAsia"/>
                <w:color w:val="auto"/>
                <w:sz w:val="24"/>
                <w:lang w:val="en-US" w:eastAsia="zh-CN"/>
              </w:rPr>
              <w:t>。中段清洗废水、后段清洗废水收集后进入一体化污水处理设备处理。</w:t>
            </w:r>
          </w:p>
          <w:p w14:paraId="66D0BBFB">
            <w:pPr>
              <w:tabs>
                <w:tab w:val="left" w:pos="900"/>
              </w:tabs>
              <w:adjustRightInd w:val="0"/>
              <w:snapToGrid w:val="0"/>
              <w:spacing w:line="360" w:lineRule="auto"/>
              <w:ind w:firstLine="482"/>
              <w:rPr>
                <w:rFonts w:hint="eastAsia"/>
                <w:color w:val="auto"/>
                <w:sz w:val="24"/>
                <w:lang w:val="en-US" w:eastAsia="zh-CN"/>
              </w:rPr>
            </w:pPr>
            <w:r>
              <w:rPr>
                <w:rFonts w:hint="eastAsia"/>
                <w:color w:val="auto"/>
                <w:sz w:val="24"/>
                <w:lang w:eastAsia="zh-CN"/>
              </w:rPr>
              <w:t>（</w:t>
            </w:r>
            <w:r>
              <w:rPr>
                <w:rFonts w:hint="eastAsia"/>
                <w:color w:val="auto"/>
                <w:sz w:val="24"/>
                <w:lang w:val="en-US" w:eastAsia="zh-CN"/>
              </w:rPr>
              <w:t>4</w:t>
            </w:r>
            <w:r>
              <w:rPr>
                <w:rFonts w:hint="eastAsia"/>
                <w:color w:val="auto"/>
                <w:sz w:val="24"/>
                <w:lang w:eastAsia="zh-CN"/>
              </w:rPr>
              <w:t>）</w:t>
            </w:r>
            <w:r>
              <w:rPr>
                <w:rFonts w:hint="eastAsia"/>
                <w:color w:val="auto"/>
                <w:sz w:val="24"/>
                <w:lang w:val="en-US" w:eastAsia="zh-CN"/>
              </w:rPr>
              <w:t>喷淋塔废水</w:t>
            </w:r>
          </w:p>
          <w:p w14:paraId="6ACF77EA">
            <w:pPr>
              <w:tabs>
                <w:tab w:val="left" w:pos="900"/>
              </w:tabs>
              <w:adjustRightInd w:val="0"/>
              <w:snapToGrid w:val="0"/>
              <w:spacing w:line="360" w:lineRule="auto"/>
              <w:ind w:firstLine="482"/>
              <w:rPr>
                <w:rFonts w:hint="default"/>
                <w:color w:val="auto"/>
                <w:sz w:val="24"/>
                <w:lang w:val="en-US" w:eastAsia="zh-CN"/>
              </w:rPr>
            </w:pPr>
            <w:r>
              <w:rPr>
                <w:rFonts w:hint="default"/>
                <w:color w:val="auto"/>
                <w:sz w:val="24"/>
                <w:lang w:val="en-US" w:eastAsia="zh-CN"/>
              </w:rPr>
              <w:t>喷淋塔使用一段时间后，吸收液中含盐浓度较高，会导致吸收率降低，因此需要定期更换。折合日均喷淋塔用水量为</w:t>
            </w:r>
            <w:r>
              <w:rPr>
                <w:rFonts w:hint="eastAsia"/>
                <w:color w:val="auto"/>
                <w:sz w:val="24"/>
                <w:szCs w:val="24"/>
                <w:lang w:val="en-US" w:eastAsia="zh-CN"/>
              </w:rPr>
              <w:t>0.03m</w:t>
            </w:r>
            <w:r>
              <w:rPr>
                <w:rFonts w:hint="eastAsia"/>
                <w:color w:val="auto"/>
                <w:sz w:val="24"/>
                <w:szCs w:val="24"/>
                <w:vertAlign w:val="superscript"/>
                <w:lang w:val="en-US" w:eastAsia="zh-CN"/>
              </w:rPr>
              <w:t>3</w:t>
            </w:r>
            <w:r>
              <w:rPr>
                <w:rFonts w:hint="eastAsia"/>
                <w:color w:val="auto"/>
                <w:sz w:val="24"/>
                <w:szCs w:val="24"/>
                <w:lang w:val="en-US" w:eastAsia="zh-CN"/>
              </w:rPr>
              <w:t>/d、9m</w:t>
            </w:r>
            <w:r>
              <w:rPr>
                <w:rFonts w:hint="eastAsia"/>
                <w:color w:val="auto"/>
                <w:sz w:val="24"/>
                <w:szCs w:val="24"/>
                <w:vertAlign w:val="superscript"/>
                <w:lang w:val="en-US" w:eastAsia="zh-CN"/>
              </w:rPr>
              <w:t>3</w:t>
            </w:r>
            <w:r>
              <w:rPr>
                <w:rFonts w:hint="eastAsia"/>
                <w:color w:val="auto"/>
                <w:sz w:val="24"/>
                <w:szCs w:val="24"/>
                <w:lang w:val="en-US" w:eastAsia="zh-CN"/>
              </w:rPr>
              <w:t>/a</w:t>
            </w:r>
            <w:r>
              <w:rPr>
                <w:rFonts w:hint="default"/>
                <w:color w:val="auto"/>
                <w:sz w:val="24"/>
                <w:lang w:val="en-US" w:eastAsia="zh-CN"/>
              </w:rPr>
              <w:t>，损耗量按照用水量10%计算，则喷淋塔排水量为0.0</w:t>
            </w:r>
            <w:r>
              <w:rPr>
                <w:rFonts w:hint="eastAsia"/>
                <w:color w:val="auto"/>
                <w:sz w:val="24"/>
                <w:lang w:val="en-US" w:eastAsia="zh-CN"/>
              </w:rPr>
              <w:t>27</w:t>
            </w:r>
            <w:r>
              <w:rPr>
                <w:rFonts w:hint="default"/>
                <w:color w:val="auto"/>
                <w:sz w:val="24"/>
                <w:lang w:val="en-US" w:eastAsia="zh-CN"/>
              </w:rPr>
              <w:t>t/d，</w:t>
            </w:r>
            <w:r>
              <w:rPr>
                <w:rFonts w:hint="eastAsia"/>
                <w:color w:val="auto"/>
                <w:sz w:val="24"/>
                <w:lang w:val="en-US" w:eastAsia="zh-CN"/>
              </w:rPr>
              <w:t>8.1</w:t>
            </w:r>
            <w:r>
              <w:rPr>
                <w:rFonts w:hint="default"/>
                <w:color w:val="auto"/>
                <w:sz w:val="24"/>
                <w:lang w:val="en-US" w:eastAsia="zh-CN"/>
              </w:rPr>
              <w:t>t/a</w:t>
            </w:r>
            <w:r>
              <w:rPr>
                <w:rFonts w:hint="eastAsia"/>
                <w:color w:val="auto"/>
                <w:sz w:val="24"/>
                <w:lang w:val="en-US" w:eastAsia="zh-CN"/>
              </w:rPr>
              <w:t>，收集后进入一体化污水处理设备处理。</w:t>
            </w:r>
          </w:p>
          <w:p w14:paraId="653CDAF5">
            <w:pPr>
              <w:tabs>
                <w:tab w:val="left" w:pos="900"/>
              </w:tabs>
              <w:adjustRightInd w:val="0"/>
              <w:snapToGrid w:val="0"/>
              <w:spacing w:line="360" w:lineRule="auto"/>
              <w:ind w:firstLine="482"/>
              <w:rPr>
                <w:color w:val="auto"/>
                <w:sz w:val="24"/>
              </w:rPr>
            </w:pPr>
            <w:r>
              <w:rPr>
                <w:rFonts w:hint="eastAsia"/>
                <w:color w:val="auto"/>
                <w:sz w:val="24"/>
              </w:rPr>
              <w:t>（</w:t>
            </w:r>
            <w:r>
              <w:rPr>
                <w:rFonts w:hint="eastAsia"/>
                <w:color w:val="auto"/>
                <w:sz w:val="24"/>
                <w:lang w:val="en-US" w:eastAsia="zh-CN"/>
              </w:rPr>
              <w:t>5</w:t>
            </w:r>
            <w:r>
              <w:rPr>
                <w:rFonts w:hint="eastAsia"/>
                <w:color w:val="auto"/>
                <w:sz w:val="24"/>
              </w:rPr>
              <w:t>）生活污水</w:t>
            </w:r>
          </w:p>
          <w:p w14:paraId="57B1B712">
            <w:pPr>
              <w:tabs>
                <w:tab w:val="left" w:pos="900"/>
              </w:tabs>
              <w:adjustRightInd w:val="0"/>
              <w:snapToGrid w:val="0"/>
              <w:spacing w:line="360" w:lineRule="auto"/>
              <w:ind w:firstLine="482"/>
              <w:rPr>
                <w:rFonts w:hint="eastAsia"/>
                <w:color w:val="auto"/>
                <w:sz w:val="24"/>
              </w:rPr>
            </w:pPr>
            <w:r>
              <w:rPr>
                <w:color w:val="auto"/>
                <w:sz w:val="24"/>
              </w:rPr>
              <w:t>本项目生活用水量为</w:t>
            </w:r>
            <w:r>
              <w:rPr>
                <w:rFonts w:hint="eastAsia"/>
                <w:color w:val="auto"/>
                <w:sz w:val="24"/>
                <w:lang w:val="en-US" w:eastAsia="zh-CN"/>
              </w:rPr>
              <w:t>0.6</w:t>
            </w:r>
            <w:r>
              <w:rPr>
                <w:color w:val="auto"/>
                <w:sz w:val="24"/>
              </w:rPr>
              <w:t>m</w:t>
            </w:r>
            <w:r>
              <w:rPr>
                <w:color w:val="auto"/>
                <w:sz w:val="24"/>
                <w:vertAlign w:val="superscript"/>
              </w:rPr>
              <w:t>3</w:t>
            </w:r>
            <w:r>
              <w:rPr>
                <w:color w:val="auto"/>
                <w:sz w:val="24"/>
              </w:rPr>
              <w:t>/d，</w:t>
            </w:r>
            <w:r>
              <w:rPr>
                <w:rFonts w:hint="eastAsia"/>
                <w:color w:val="auto"/>
                <w:sz w:val="24"/>
                <w:lang w:val="en-US" w:eastAsia="zh-CN"/>
              </w:rPr>
              <w:t>180</w:t>
            </w:r>
            <w:r>
              <w:rPr>
                <w:color w:val="auto"/>
                <w:sz w:val="24"/>
              </w:rPr>
              <w:t>m</w:t>
            </w:r>
            <w:r>
              <w:rPr>
                <w:color w:val="auto"/>
                <w:sz w:val="24"/>
                <w:vertAlign w:val="superscript"/>
              </w:rPr>
              <w:t>3</w:t>
            </w:r>
            <w:r>
              <w:rPr>
                <w:color w:val="auto"/>
                <w:sz w:val="24"/>
              </w:rPr>
              <w:t>/a。产污系数取0.8，则生活污水</w:t>
            </w:r>
            <w:r>
              <w:rPr>
                <w:rFonts w:hint="eastAsia"/>
                <w:color w:val="auto"/>
                <w:sz w:val="24"/>
              </w:rPr>
              <w:t>排放量</w:t>
            </w:r>
            <w:r>
              <w:rPr>
                <w:color w:val="auto"/>
                <w:sz w:val="24"/>
              </w:rPr>
              <w:t>为</w:t>
            </w:r>
            <w:r>
              <w:rPr>
                <w:rFonts w:hint="eastAsia"/>
                <w:color w:val="auto"/>
                <w:sz w:val="24"/>
                <w:lang w:val="en-US" w:eastAsia="zh-CN"/>
              </w:rPr>
              <w:t>0.48</w:t>
            </w:r>
            <w:r>
              <w:rPr>
                <w:color w:val="auto"/>
                <w:sz w:val="24"/>
              </w:rPr>
              <w:t>m</w:t>
            </w:r>
            <w:r>
              <w:rPr>
                <w:color w:val="auto"/>
                <w:sz w:val="24"/>
                <w:vertAlign w:val="superscript"/>
              </w:rPr>
              <w:t>3/</w:t>
            </w:r>
            <w:r>
              <w:rPr>
                <w:color w:val="auto"/>
                <w:sz w:val="24"/>
              </w:rPr>
              <w:t>d，</w:t>
            </w:r>
            <w:r>
              <w:rPr>
                <w:rFonts w:hint="eastAsia"/>
                <w:color w:val="auto"/>
                <w:sz w:val="24"/>
              </w:rPr>
              <w:t>1</w:t>
            </w:r>
            <w:r>
              <w:rPr>
                <w:rFonts w:hint="eastAsia"/>
                <w:color w:val="auto"/>
                <w:sz w:val="24"/>
                <w:lang w:val="en-US" w:eastAsia="zh-CN"/>
              </w:rPr>
              <w:t>44</w:t>
            </w:r>
            <w:r>
              <w:rPr>
                <w:color w:val="auto"/>
                <w:sz w:val="24"/>
              </w:rPr>
              <w:t>m</w:t>
            </w:r>
            <w:r>
              <w:rPr>
                <w:color w:val="auto"/>
                <w:sz w:val="24"/>
                <w:vertAlign w:val="superscript"/>
              </w:rPr>
              <w:t>3</w:t>
            </w:r>
            <w:r>
              <w:rPr>
                <w:color w:val="auto"/>
                <w:sz w:val="24"/>
              </w:rPr>
              <w:t>/a</w:t>
            </w:r>
            <w:r>
              <w:rPr>
                <w:rFonts w:hint="eastAsia"/>
                <w:color w:val="auto"/>
                <w:sz w:val="24"/>
              </w:rPr>
              <w:t>，通过</w:t>
            </w:r>
            <w:r>
              <w:rPr>
                <w:rFonts w:hint="eastAsia"/>
                <w:color w:val="auto"/>
                <w:sz w:val="24"/>
                <w:lang w:val="en-US" w:eastAsia="zh-CN"/>
              </w:rPr>
              <w:t>实验室</w:t>
            </w:r>
            <w:r>
              <w:rPr>
                <w:rFonts w:hint="eastAsia"/>
                <w:color w:val="auto"/>
                <w:sz w:val="24"/>
              </w:rPr>
              <w:t>卫生间直接排入</w:t>
            </w:r>
            <w:r>
              <w:rPr>
                <w:rFonts w:hint="eastAsia"/>
                <w:color w:val="auto"/>
                <w:sz w:val="24"/>
                <w:lang w:val="en-US" w:eastAsia="zh-CN"/>
              </w:rPr>
              <w:t>租用厂房</w:t>
            </w:r>
            <w:r>
              <w:rPr>
                <w:rFonts w:hint="eastAsia" w:cs="宋体"/>
                <w:color w:val="0000FF"/>
                <w:kern w:val="0"/>
                <w:sz w:val="24"/>
                <w:lang w:val="en-US" w:eastAsia="zh-CN"/>
              </w:rPr>
              <w:t>新疆华爱康塑业科技发展有限公司已建化粪池处理</w:t>
            </w:r>
            <w:r>
              <w:rPr>
                <w:rFonts w:hint="eastAsia"/>
                <w:color w:val="auto"/>
                <w:sz w:val="24"/>
              </w:rPr>
              <w:t>。</w:t>
            </w:r>
          </w:p>
          <w:p w14:paraId="59202C5B">
            <w:pPr>
              <w:tabs>
                <w:tab w:val="left" w:pos="900"/>
              </w:tabs>
              <w:adjustRightInd w:val="0"/>
              <w:snapToGrid w:val="0"/>
              <w:spacing w:line="360" w:lineRule="auto"/>
              <w:ind w:firstLine="482"/>
              <w:rPr>
                <w:color w:val="auto"/>
                <w:szCs w:val="21"/>
              </w:rPr>
            </w:pPr>
            <w:r>
              <w:rPr>
                <w:rFonts w:hint="eastAsia"/>
                <w:color w:val="auto"/>
                <w:sz w:val="24"/>
              </w:rPr>
              <w:t>本项目在厂区设置</w:t>
            </w:r>
            <w:r>
              <w:rPr>
                <w:rFonts w:hint="eastAsia"/>
                <w:color w:val="auto"/>
                <w:sz w:val="24"/>
                <w:lang w:val="en-US" w:eastAsia="zh-CN"/>
              </w:rPr>
              <w:t>一体化污水处理设备</w:t>
            </w:r>
            <w:r>
              <w:rPr>
                <w:rFonts w:hint="eastAsia"/>
                <w:color w:val="auto"/>
                <w:sz w:val="24"/>
              </w:rPr>
              <w:t>，对</w:t>
            </w:r>
            <w:r>
              <w:rPr>
                <w:rFonts w:hint="eastAsia"/>
                <w:color w:val="auto"/>
                <w:sz w:val="24"/>
                <w:lang w:val="en-US" w:eastAsia="zh-CN"/>
              </w:rPr>
              <w:t>器具清洗</w:t>
            </w:r>
            <w:r>
              <w:rPr>
                <w:rFonts w:hint="eastAsia"/>
                <w:color w:val="auto"/>
                <w:sz w:val="24"/>
              </w:rPr>
              <w:t>废水、</w:t>
            </w:r>
            <w:r>
              <w:rPr>
                <w:rFonts w:hint="eastAsia"/>
                <w:color w:val="auto"/>
                <w:sz w:val="24"/>
                <w:lang w:val="en-US" w:eastAsia="zh-CN"/>
              </w:rPr>
              <w:t>喷淋塔</w:t>
            </w:r>
            <w:r>
              <w:rPr>
                <w:rFonts w:hint="eastAsia"/>
                <w:color w:val="auto"/>
                <w:sz w:val="24"/>
              </w:rPr>
              <w:t>废</w:t>
            </w:r>
            <w:r>
              <w:rPr>
                <w:rFonts w:hint="eastAsia"/>
                <w:color w:val="auto"/>
                <w:sz w:val="24"/>
                <w:lang w:val="en-US" w:eastAsia="zh-CN"/>
              </w:rPr>
              <w:t>水</w:t>
            </w:r>
            <w:r>
              <w:rPr>
                <w:rFonts w:hint="eastAsia"/>
                <w:color w:val="auto"/>
                <w:sz w:val="24"/>
              </w:rPr>
              <w:t>进行处理，废水经排水管道收集于</w:t>
            </w:r>
            <w:r>
              <w:rPr>
                <w:rFonts w:hint="eastAsia"/>
                <w:color w:val="auto"/>
                <w:sz w:val="24"/>
                <w:lang w:val="en-US" w:eastAsia="zh-CN"/>
              </w:rPr>
              <w:t>废水贮存</w:t>
            </w:r>
            <w:r>
              <w:rPr>
                <w:rFonts w:hint="eastAsia"/>
                <w:color w:val="auto"/>
                <w:sz w:val="24"/>
              </w:rPr>
              <w:t>调节池，</w:t>
            </w:r>
            <w:r>
              <w:rPr>
                <w:rFonts w:hint="eastAsia"/>
                <w:color w:val="auto"/>
                <w:sz w:val="24"/>
                <w:lang w:val="en-US" w:eastAsia="zh-CN"/>
              </w:rPr>
              <w:t>经提升泵打入一体化处理设备进行处理，</w:t>
            </w:r>
            <w:r>
              <w:rPr>
                <w:rFonts w:hint="eastAsia"/>
                <w:color w:val="auto"/>
                <w:sz w:val="24"/>
              </w:rPr>
              <w:t>采用“</w:t>
            </w:r>
            <w:r>
              <w:rPr>
                <w:rFonts w:hint="eastAsia"/>
                <w:color w:val="auto"/>
                <w:sz w:val="24"/>
                <w:lang w:val="en-US" w:eastAsia="zh-CN"/>
              </w:rPr>
              <w:t>酸碱中和+重金属捕捉+高效分离沉淀+微生物反应装置+多相催化氧化反应+氧化消毒+多介质过滤</w:t>
            </w:r>
            <w:r>
              <w:rPr>
                <w:rFonts w:hint="eastAsia"/>
                <w:color w:val="auto"/>
                <w:sz w:val="24"/>
              </w:rPr>
              <w:t>”工艺，</w:t>
            </w:r>
            <w:r>
              <w:rPr>
                <w:rFonts w:hint="eastAsia"/>
                <w:color w:val="0000FF"/>
                <w:sz w:val="24"/>
              </w:rPr>
              <w:t>出水排入</w:t>
            </w:r>
            <w:r>
              <w:rPr>
                <w:rFonts w:hint="eastAsia"/>
                <w:color w:val="0000FF"/>
                <w:sz w:val="24"/>
                <w:lang w:val="en-US" w:eastAsia="zh-CN"/>
              </w:rPr>
              <w:t>项目新建废水池</w:t>
            </w:r>
            <w:r>
              <w:rPr>
                <w:rFonts w:hint="eastAsia"/>
                <w:color w:val="0000FF"/>
                <w:sz w:val="24"/>
                <w:lang w:eastAsia="zh-CN"/>
              </w:rPr>
              <w:t>，</w:t>
            </w:r>
            <w:r>
              <w:rPr>
                <w:rFonts w:hint="eastAsia"/>
                <w:color w:val="auto"/>
                <w:sz w:val="24"/>
                <w:lang w:val="en-US" w:eastAsia="zh-CN"/>
              </w:rPr>
              <w:t>纯水制备浓水属清净下水，直接排入废水池内，废水池内废水</w:t>
            </w:r>
            <w:r>
              <w:rPr>
                <w:rFonts w:hint="eastAsia"/>
                <w:color w:val="0000FF"/>
                <w:sz w:val="24"/>
                <w:lang w:val="en-US" w:eastAsia="zh-CN"/>
              </w:rPr>
              <w:t>由吸污车定期拉运至</w:t>
            </w:r>
            <w:r>
              <w:rPr>
                <w:rFonts w:hint="eastAsia" w:ascii="Times New Roman" w:hAnsi="Times New Roman" w:eastAsia="宋体" w:cs="Times New Roman"/>
                <w:color w:val="0000FF"/>
                <w:sz w:val="24"/>
                <w:szCs w:val="24"/>
                <w:lang w:val="en-US" w:eastAsia="zh-CN"/>
              </w:rPr>
              <w:t>昌吉高新技术产业开发区污水处理厂处理</w:t>
            </w:r>
            <w:r>
              <w:rPr>
                <w:rFonts w:hint="eastAsia"/>
                <w:color w:val="auto"/>
                <w:sz w:val="24"/>
                <w:lang w:val="en-US" w:eastAsia="zh-CN"/>
              </w:rPr>
              <w:t>；</w:t>
            </w:r>
            <w:r>
              <w:rPr>
                <w:rFonts w:hint="eastAsia"/>
                <w:color w:val="auto"/>
                <w:sz w:val="24"/>
              </w:rPr>
              <w:t>生活污水直接排入</w:t>
            </w:r>
            <w:r>
              <w:rPr>
                <w:rFonts w:hint="eastAsia"/>
                <w:color w:val="auto"/>
                <w:sz w:val="24"/>
                <w:lang w:val="en-US" w:eastAsia="zh-CN"/>
              </w:rPr>
              <w:t>租用厂房</w:t>
            </w:r>
            <w:r>
              <w:rPr>
                <w:rFonts w:hint="eastAsia" w:cs="宋体"/>
                <w:color w:val="0000FF"/>
                <w:kern w:val="0"/>
                <w:sz w:val="24"/>
                <w:lang w:val="en-US" w:eastAsia="zh-CN"/>
              </w:rPr>
              <w:t>新疆华爱康塑业科技发展有限公司已建化粪池处理</w:t>
            </w:r>
            <w:r>
              <w:rPr>
                <w:rFonts w:hint="eastAsia"/>
                <w:color w:val="auto"/>
                <w:sz w:val="24"/>
                <w:lang w:eastAsia="zh-CN"/>
              </w:rPr>
              <w:t>。</w:t>
            </w:r>
            <w:r>
              <w:rPr>
                <w:rFonts w:hint="eastAsia"/>
                <w:color w:val="auto"/>
                <w:sz w:val="24"/>
              </w:rPr>
              <w:t>项目给水排水一览表2-6所示，水平衡见图2</w:t>
            </w:r>
            <w:r>
              <w:rPr>
                <w:color w:val="auto"/>
                <w:sz w:val="24"/>
              </w:rPr>
              <w:t>-</w:t>
            </w:r>
            <w:r>
              <w:rPr>
                <w:rFonts w:hint="eastAsia"/>
                <w:color w:val="auto"/>
                <w:sz w:val="24"/>
              </w:rPr>
              <w:t>1。</w:t>
            </w:r>
          </w:p>
          <w:p w14:paraId="5A8572FB">
            <w:pPr>
              <w:pStyle w:val="19"/>
              <w:adjustRightInd w:val="0"/>
              <w:jc w:val="center"/>
              <w:rPr>
                <w:b/>
                <w:color w:val="auto"/>
                <w:sz w:val="21"/>
                <w:szCs w:val="21"/>
                <w:lang w:bidi="en-US"/>
              </w:rPr>
            </w:pPr>
            <w:r>
              <w:rPr>
                <w:b/>
                <w:color w:val="auto"/>
                <w:sz w:val="21"/>
                <w:szCs w:val="21"/>
                <w:lang w:bidi="en-US"/>
              </w:rPr>
              <w:t>表</w:t>
            </w:r>
            <w:r>
              <w:rPr>
                <w:rFonts w:hint="eastAsia"/>
                <w:b/>
                <w:color w:val="auto"/>
                <w:sz w:val="21"/>
                <w:szCs w:val="21"/>
                <w:lang w:bidi="en-US"/>
              </w:rPr>
              <w:t>2-6</w:t>
            </w:r>
            <w:r>
              <w:rPr>
                <w:b/>
                <w:color w:val="auto"/>
                <w:sz w:val="21"/>
                <w:szCs w:val="21"/>
                <w:lang w:bidi="en-US"/>
              </w:rPr>
              <w:t xml:space="preserve">  本项目给排水情况表</w:t>
            </w:r>
          </w:p>
          <w:tbl>
            <w:tblPr>
              <w:tblStyle w:val="28"/>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1"/>
              <w:gridCol w:w="950"/>
              <w:gridCol w:w="1300"/>
              <w:gridCol w:w="1746"/>
              <w:gridCol w:w="1290"/>
              <w:gridCol w:w="1215"/>
              <w:gridCol w:w="1953"/>
            </w:tblGrid>
            <w:tr w14:paraId="765C57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2" w:type="pct"/>
                  <w:noWrap w:val="0"/>
                  <w:vAlign w:val="center"/>
                </w:tcPr>
                <w:p w14:paraId="468690B6">
                  <w:pPr>
                    <w:widowControl/>
                    <w:adjustRightInd w:val="0"/>
                    <w:snapToGrid w:val="0"/>
                    <w:spacing w:line="300" w:lineRule="exact"/>
                    <w:jc w:val="center"/>
                    <w:rPr>
                      <w:bCs/>
                      <w:color w:val="auto"/>
                      <w:kern w:val="0"/>
                      <w:szCs w:val="21"/>
                    </w:rPr>
                  </w:pPr>
                  <w:r>
                    <w:rPr>
                      <w:bCs/>
                      <w:color w:val="auto"/>
                      <w:kern w:val="0"/>
                      <w:szCs w:val="21"/>
                    </w:rPr>
                    <w:t>序号</w:t>
                  </w:r>
                </w:p>
              </w:tc>
              <w:tc>
                <w:tcPr>
                  <w:tcW w:w="1231" w:type="pct"/>
                  <w:gridSpan w:val="2"/>
                  <w:noWrap w:val="0"/>
                  <w:vAlign w:val="center"/>
                </w:tcPr>
                <w:p w14:paraId="13859842">
                  <w:pPr>
                    <w:widowControl/>
                    <w:adjustRightInd w:val="0"/>
                    <w:snapToGrid w:val="0"/>
                    <w:spacing w:line="300" w:lineRule="exact"/>
                    <w:jc w:val="center"/>
                    <w:rPr>
                      <w:bCs/>
                      <w:color w:val="auto"/>
                      <w:kern w:val="0"/>
                      <w:szCs w:val="21"/>
                    </w:rPr>
                  </w:pPr>
                  <w:r>
                    <w:rPr>
                      <w:bCs/>
                      <w:color w:val="auto"/>
                      <w:kern w:val="0"/>
                      <w:szCs w:val="21"/>
                    </w:rPr>
                    <w:t>用水单位</w:t>
                  </w:r>
                </w:p>
              </w:tc>
              <w:tc>
                <w:tcPr>
                  <w:tcW w:w="955" w:type="pct"/>
                  <w:noWrap w:val="0"/>
                  <w:vAlign w:val="center"/>
                </w:tcPr>
                <w:p w14:paraId="17B9758F">
                  <w:pPr>
                    <w:widowControl/>
                    <w:adjustRightInd w:val="0"/>
                    <w:snapToGrid w:val="0"/>
                    <w:spacing w:line="300" w:lineRule="exact"/>
                    <w:jc w:val="center"/>
                    <w:rPr>
                      <w:rFonts w:hint="eastAsia"/>
                      <w:bCs/>
                      <w:color w:val="auto"/>
                      <w:kern w:val="0"/>
                      <w:szCs w:val="21"/>
                    </w:rPr>
                  </w:pPr>
                  <w:r>
                    <w:rPr>
                      <w:bCs/>
                      <w:color w:val="auto"/>
                      <w:kern w:val="0"/>
                      <w:szCs w:val="21"/>
                    </w:rPr>
                    <w:t>用水量</w:t>
                  </w:r>
                  <w:r>
                    <w:rPr>
                      <w:rFonts w:hint="eastAsia"/>
                      <w:bCs/>
                      <w:color w:val="auto"/>
                      <w:kern w:val="0"/>
                      <w:szCs w:val="21"/>
                    </w:rPr>
                    <w:t>(</w:t>
                  </w:r>
                  <w:r>
                    <w:rPr>
                      <w:bCs/>
                      <w:color w:val="auto"/>
                      <w:kern w:val="0"/>
                      <w:szCs w:val="21"/>
                    </w:rPr>
                    <w:t>m</w:t>
                  </w:r>
                  <w:r>
                    <w:rPr>
                      <w:bCs/>
                      <w:color w:val="auto"/>
                      <w:kern w:val="0"/>
                      <w:szCs w:val="21"/>
                      <w:vertAlign w:val="superscript"/>
                    </w:rPr>
                    <w:t>3</w:t>
                  </w:r>
                  <w:r>
                    <w:rPr>
                      <w:bCs/>
                      <w:color w:val="auto"/>
                      <w:kern w:val="0"/>
                      <w:szCs w:val="21"/>
                    </w:rPr>
                    <w:t>/</w:t>
                  </w:r>
                  <w:r>
                    <w:rPr>
                      <w:rFonts w:hint="eastAsia"/>
                      <w:bCs/>
                      <w:color w:val="auto"/>
                      <w:kern w:val="0"/>
                      <w:szCs w:val="21"/>
                    </w:rPr>
                    <w:t>a)</w:t>
                  </w:r>
                </w:p>
              </w:tc>
              <w:tc>
                <w:tcPr>
                  <w:tcW w:w="706" w:type="pct"/>
                  <w:noWrap w:val="0"/>
                  <w:vAlign w:val="center"/>
                </w:tcPr>
                <w:p w14:paraId="5724F443">
                  <w:pPr>
                    <w:widowControl/>
                    <w:adjustRightInd w:val="0"/>
                    <w:snapToGrid w:val="0"/>
                    <w:spacing w:line="300" w:lineRule="exact"/>
                    <w:jc w:val="center"/>
                    <w:rPr>
                      <w:bCs/>
                      <w:color w:val="auto"/>
                      <w:kern w:val="0"/>
                      <w:szCs w:val="21"/>
                    </w:rPr>
                  </w:pPr>
                  <w:r>
                    <w:rPr>
                      <w:bCs/>
                      <w:color w:val="auto"/>
                      <w:kern w:val="0"/>
                      <w:szCs w:val="21"/>
                    </w:rPr>
                    <w:t>损失水量(m</w:t>
                  </w:r>
                  <w:r>
                    <w:rPr>
                      <w:bCs/>
                      <w:color w:val="auto"/>
                      <w:kern w:val="0"/>
                      <w:szCs w:val="21"/>
                      <w:vertAlign w:val="superscript"/>
                    </w:rPr>
                    <w:t>3</w:t>
                  </w:r>
                  <w:r>
                    <w:rPr>
                      <w:bCs/>
                      <w:color w:val="auto"/>
                      <w:kern w:val="0"/>
                      <w:szCs w:val="21"/>
                    </w:rPr>
                    <w:t>/a)</w:t>
                  </w:r>
                </w:p>
              </w:tc>
              <w:tc>
                <w:tcPr>
                  <w:tcW w:w="665" w:type="pct"/>
                  <w:noWrap w:val="0"/>
                  <w:vAlign w:val="center"/>
                </w:tcPr>
                <w:p w14:paraId="112CCF61">
                  <w:pPr>
                    <w:widowControl/>
                    <w:adjustRightInd w:val="0"/>
                    <w:snapToGrid w:val="0"/>
                    <w:spacing w:line="300" w:lineRule="exact"/>
                    <w:jc w:val="center"/>
                    <w:rPr>
                      <w:bCs/>
                      <w:color w:val="auto"/>
                      <w:kern w:val="0"/>
                      <w:szCs w:val="21"/>
                    </w:rPr>
                  </w:pPr>
                  <w:r>
                    <w:rPr>
                      <w:bCs/>
                      <w:color w:val="auto"/>
                      <w:kern w:val="0"/>
                      <w:szCs w:val="21"/>
                    </w:rPr>
                    <w:t>废水排放量(m</w:t>
                  </w:r>
                  <w:r>
                    <w:rPr>
                      <w:bCs/>
                      <w:color w:val="auto"/>
                      <w:kern w:val="0"/>
                      <w:szCs w:val="21"/>
                      <w:vertAlign w:val="superscript"/>
                    </w:rPr>
                    <w:t>3</w:t>
                  </w:r>
                  <w:r>
                    <w:rPr>
                      <w:bCs/>
                      <w:color w:val="auto"/>
                      <w:kern w:val="0"/>
                      <w:szCs w:val="21"/>
                    </w:rPr>
                    <w:t>/a)</w:t>
                  </w:r>
                </w:p>
              </w:tc>
              <w:tc>
                <w:tcPr>
                  <w:tcW w:w="1068" w:type="pct"/>
                  <w:noWrap w:val="0"/>
                  <w:vAlign w:val="center"/>
                </w:tcPr>
                <w:p w14:paraId="6B0A7C06">
                  <w:pPr>
                    <w:widowControl/>
                    <w:adjustRightInd w:val="0"/>
                    <w:snapToGrid w:val="0"/>
                    <w:spacing w:line="300" w:lineRule="exact"/>
                    <w:jc w:val="center"/>
                    <w:rPr>
                      <w:bCs/>
                      <w:color w:val="auto"/>
                      <w:kern w:val="0"/>
                      <w:szCs w:val="21"/>
                    </w:rPr>
                  </w:pPr>
                  <w:r>
                    <w:rPr>
                      <w:rFonts w:hint="eastAsia"/>
                      <w:bCs/>
                      <w:color w:val="auto"/>
                      <w:kern w:val="0"/>
                      <w:szCs w:val="21"/>
                    </w:rPr>
                    <w:t>排放去向</w:t>
                  </w:r>
                </w:p>
              </w:tc>
            </w:tr>
            <w:tr w14:paraId="72A08E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5" w:hRule="atLeast"/>
                <w:jc w:val="center"/>
              </w:trPr>
              <w:tc>
                <w:tcPr>
                  <w:tcW w:w="372" w:type="pct"/>
                  <w:noWrap w:val="0"/>
                  <w:vAlign w:val="center"/>
                </w:tcPr>
                <w:p w14:paraId="2F7BD1B2">
                  <w:pPr>
                    <w:widowControl/>
                    <w:adjustRightInd w:val="0"/>
                    <w:snapToGrid w:val="0"/>
                    <w:spacing w:line="300" w:lineRule="exact"/>
                    <w:jc w:val="center"/>
                    <w:rPr>
                      <w:bCs/>
                      <w:color w:val="auto"/>
                      <w:kern w:val="0"/>
                      <w:szCs w:val="21"/>
                    </w:rPr>
                  </w:pPr>
                  <w:r>
                    <w:rPr>
                      <w:bCs/>
                      <w:color w:val="auto"/>
                      <w:kern w:val="0"/>
                      <w:szCs w:val="21"/>
                    </w:rPr>
                    <w:t>1</w:t>
                  </w:r>
                </w:p>
              </w:tc>
              <w:tc>
                <w:tcPr>
                  <w:tcW w:w="1231" w:type="pct"/>
                  <w:gridSpan w:val="2"/>
                  <w:noWrap w:val="0"/>
                  <w:vAlign w:val="center"/>
                </w:tcPr>
                <w:p w14:paraId="4164F9DC">
                  <w:pPr>
                    <w:jc w:val="center"/>
                    <w:rPr>
                      <w:rFonts w:hint="default" w:eastAsia="宋体"/>
                      <w:bCs/>
                      <w:color w:val="auto"/>
                      <w:kern w:val="0"/>
                      <w:szCs w:val="21"/>
                      <w:lang w:val="en-US" w:eastAsia="zh-CN"/>
                    </w:rPr>
                  </w:pPr>
                  <w:r>
                    <w:rPr>
                      <w:rFonts w:hint="eastAsia"/>
                      <w:bCs/>
                      <w:color w:val="auto"/>
                      <w:kern w:val="0"/>
                      <w:szCs w:val="21"/>
                      <w:lang w:val="en-US" w:eastAsia="zh-CN"/>
                    </w:rPr>
                    <w:t>纯水制备</w:t>
                  </w:r>
                </w:p>
              </w:tc>
              <w:tc>
                <w:tcPr>
                  <w:tcW w:w="955" w:type="pct"/>
                  <w:noWrap w:val="0"/>
                  <w:vAlign w:val="center"/>
                </w:tcPr>
                <w:p w14:paraId="3D74BC0B">
                  <w:pPr>
                    <w:widowControl/>
                    <w:adjustRightInd w:val="0"/>
                    <w:snapToGrid w:val="0"/>
                    <w:spacing w:line="300" w:lineRule="exact"/>
                    <w:jc w:val="center"/>
                    <w:rPr>
                      <w:rFonts w:hint="default" w:eastAsia="宋体"/>
                      <w:bCs/>
                      <w:color w:val="auto"/>
                      <w:kern w:val="0"/>
                      <w:szCs w:val="21"/>
                      <w:lang w:val="en-US" w:eastAsia="zh-CN"/>
                    </w:rPr>
                  </w:pPr>
                  <w:r>
                    <w:rPr>
                      <w:rFonts w:hint="eastAsia"/>
                      <w:bCs/>
                      <w:color w:val="auto"/>
                      <w:kern w:val="0"/>
                      <w:szCs w:val="21"/>
                      <w:lang w:val="en-US" w:eastAsia="zh-CN"/>
                    </w:rPr>
                    <w:t>60</w:t>
                  </w:r>
                </w:p>
              </w:tc>
              <w:tc>
                <w:tcPr>
                  <w:tcW w:w="706" w:type="pct"/>
                  <w:noWrap w:val="0"/>
                  <w:vAlign w:val="center"/>
                </w:tcPr>
                <w:p w14:paraId="5D8A76AA">
                  <w:pPr>
                    <w:widowControl/>
                    <w:adjustRightInd w:val="0"/>
                    <w:snapToGrid w:val="0"/>
                    <w:spacing w:line="300" w:lineRule="exact"/>
                    <w:jc w:val="center"/>
                    <w:rPr>
                      <w:rFonts w:hint="default" w:eastAsia="宋体"/>
                      <w:bCs/>
                      <w:color w:val="auto"/>
                      <w:kern w:val="0"/>
                      <w:szCs w:val="21"/>
                      <w:lang w:val="en-US" w:eastAsia="zh-CN"/>
                    </w:rPr>
                  </w:pPr>
                  <w:r>
                    <w:rPr>
                      <w:rFonts w:hint="eastAsia"/>
                      <w:bCs/>
                      <w:color w:val="auto"/>
                      <w:kern w:val="0"/>
                      <w:szCs w:val="21"/>
                      <w:lang w:val="en-US" w:eastAsia="zh-CN"/>
                    </w:rPr>
                    <w:t>30（纯水）</w:t>
                  </w:r>
                </w:p>
              </w:tc>
              <w:tc>
                <w:tcPr>
                  <w:tcW w:w="665" w:type="pct"/>
                  <w:noWrap w:val="0"/>
                  <w:vAlign w:val="center"/>
                </w:tcPr>
                <w:p w14:paraId="4B27961B">
                  <w:pPr>
                    <w:widowControl/>
                    <w:adjustRightInd w:val="0"/>
                    <w:snapToGrid w:val="0"/>
                    <w:spacing w:line="300" w:lineRule="exact"/>
                    <w:jc w:val="center"/>
                    <w:rPr>
                      <w:rFonts w:hint="default" w:eastAsia="宋体"/>
                      <w:bCs/>
                      <w:color w:val="auto"/>
                      <w:kern w:val="0"/>
                      <w:szCs w:val="21"/>
                      <w:lang w:val="en-US" w:eastAsia="zh-CN"/>
                    </w:rPr>
                  </w:pPr>
                  <w:r>
                    <w:rPr>
                      <w:rFonts w:hint="eastAsia"/>
                      <w:bCs/>
                      <w:color w:val="auto"/>
                      <w:kern w:val="0"/>
                      <w:szCs w:val="21"/>
                      <w:lang w:val="en-US" w:eastAsia="zh-CN"/>
                    </w:rPr>
                    <w:t>30（浓水）</w:t>
                  </w:r>
                </w:p>
              </w:tc>
              <w:tc>
                <w:tcPr>
                  <w:tcW w:w="1068" w:type="pct"/>
                  <w:noWrap w:val="0"/>
                  <w:vAlign w:val="center"/>
                </w:tcPr>
                <w:p w14:paraId="0A2E8DA0">
                  <w:pPr>
                    <w:widowControl/>
                    <w:adjustRightInd w:val="0"/>
                    <w:snapToGrid w:val="0"/>
                    <w:spacing w:line="300" w:lineRule="exact"/>
                    <w:jc w:val="center"/>
                    <w:rPr>
                      <w:rFonts w:hint="eastAsia" w:eastAsia="宋体"/>
                      <w:bCs/>
                      <w:color w:val="auto"/>
                      <w:kern w:val="0"/>
                      <w:szCs w:val="21"/>
                      <w:lang w:val="en-US" w:eastAsia="zh-CN"/>
                    </w:rPr>
                  </w:pPr>
                  <w:r>
                    <w:rPr>
                      <w:rFonts w:hint="eastAsia"/>
                      <w:bCs/>
                      <w:color w:val="0000FF"/>
                      <w:kern w:val="0"/>
                      <w:szCs w:val="21"/>
                    </w:rPr>
                    <w:t>排入</w:t>
                  </w:r>
                  <w:r>
                    <w:rPr>
                      <w:rFonts w:hint="eastAsia"/>
                      <w:bCs/>
                      <w:color w:val="0000FF"/>
                      <w:kern w:val="0"/>
                      <w:szCs w:val="21"/>
                      <w:lang w:val="en-US" w:eastAsia="zh-CN"/>
                    </w:rPr>
                    <w:t>废水池</w:t>
                  </w:r>
                </w:p>
              </w:tc>
            </w:tr>
            <w:tr w14:paraId="65E2DE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2" w:type="pct"/>
                  <w:noWrap w:val="0"/>
                  <w:vAlign w:val="center"/>
                </w:tcPr>
                <w:p w14:paraId="251F5F78">
                  <w:pPr>
                    <w:widowControl/>
                    <w:adjustRightInd w:val="0"/>
                    <w:snapToGrid w:val="0"/>
                    <w:spacing w:line="300" w:lineRule="exact"/>
                    <w:jc w:val="center"/>
                    <w:rPr>
                      <w:bCs/>
                      <w:color w:val="auto"/>
                      <w:kern w:val="0"/>
                      <w:szCs w:val="21"/>
                    </w:rPr>
                  </w:pPr>
                  <w:r>
                    <w:rPr>
                      <w:bCs/>
                      <w:color w:val="auto"/>
                      <w:kern w:val="0"/>
                      <w:szCs w:val="21"/>
                    </w:rPr>
                    <w:t>2</w:t>
                  </w:r>
                </w:p>
              </w:tc>
              <w:tc>
                <w:tcPr>
                  <w:tcW w:w="1231" w:type="pct"/>
                  <w:gridSpan w:val="2"/>
                  <w:noWrap w:val="0"/>
                  <w:vAlign w:val="center"/>
                </w:tcPr>
                <w:p w14:paraId="0D9FE619">
                  <w:pPr>
                    <w:jc w:val="center"/>
                    <w:rPr>
                      <w:rFonts w:hint="default"/>
                      <w:bCs/>
                      <w:color w:val="auto"/>
                      <w:kern w:val="0"/>
                      <w:szCs w:val="21"/>
                      <w:lang w:val="en-US"/>
                    </w:rPr>
                  </w:pPr>
                  <w:r>
                    <w:rPr>
                      <w:rFonts w:hint="eastAsia"/>
                      <w:bCs/>
                      <w:color w:val="auto"/>
                      <w:kern w:val="0"/>
                      <w:szCs w:val="21"/>
                      <w:lang w:val="en-US" w:eastAsia="zh-CN"/>
                    </w:rPr>
                    <w:t>实验分析</w:t>
                  </w:r>
                </w:p>
              </w:tc>
              <w:tc>
                <w:tcPr>
                  <w:tcW w:w="955" w:type="pct"/>
                  <w:noWrap w:val="0"/>
                  <w:vAlign w:val="center"/>
                </w:tcPr>
                <w:p w14:paraId="30271CC9">
                  <w:pPr>
                    <w:widowControl/>
                    <w:adjustRightInd w:val="0"/>
                    <w:snapToGrid w:val="0"/>
                    <w:spacing w:line="300" w:lineRule="exact"/>
                    <w:jc w:val="center"/>
                    <w:rPr>
                      <w:rFonts w:hint="default" w:eastAsia="宋体"/>
                      <w:bCs/>
                      <w:color w:val="auto"/>
                      <w:kern w:val="0"/>
                      <w:szCs w:val="21"/>
                      <w:lang w:val="en-US" w:eastAsia="zh-CN"/>
                    </w:rPr>
                  </w:pPr>
                  <w:r>
                    <w:rPr>
                      <w:rFonts w:hint="eastAsia"/>
                      <w:bCs/>
                      <w:color w:val="auto"/>
                      <w:kern w:val="0"/>
                      <w:szCs w:val="21"/>
                      <w:lang w:val="en-US" w:eastAsia="zh-CN"/>
                    </w:rPr>
                    <w:t>7.5（纯水）</w:t>
                  </w:r>
                </w:p>
              </w:tc>
              <w:tc>
                <w:tcPr>
                  <w:tcW w:w="706" w:type="pct"/>
                  <w:noWrap w:val="0"/>
                  <w:vAlign w:val="center"/>
                </w:tcPr>
                <w:p w14:paraId="54D9ECD0">
                  <w:pPr>
                    <w:widowControl/>
                    <w:adjustRightInd w:val="0"/>
                    <w:snapToGrid w:val="0"/>
                    <w:spacing w:line="300" w:lineRule="exact"/>
                    <w:jc w:val="center"/>
                    <w:rPr>
                      <w:rFonts w:hint="default" w:eastAsia="宋体"/>
                      <w:bCs/>
                      <w:color w:val="auto"/>
                      <w:kern w:val="0"/>
                      <w:szCs w:val="21"/>
                      <w:lang w:val="en-US" w:eastAsia="zh-CN"/>
                    </w:rPr>
                  </w:pPr>
                  <w:r>
                    <w:rPr>
                      <w:rFonts w:hint="eastAsia"/>
                      <w:bCs/>
                      <w:color w:val="auto"/>
                      <w:kern w:val="0"/>
                      <w:szCs w:val="21"/>
                      <w:lang w:val="en-US" w:eastAsia="zh-CN"/>
                    </w:rPr>
                    <w:t>2.25</w:t>
                  </w:r>
                </w:p>
              </w:tc>
              <w:tc>
                <w:tcPr>
                  <w:tcW w:w="665" w:type="pct"/>
                  <w:noWrap w:val="0"/>
                  <w:vAlign w:val="center"/>
                </w:tcPr>
                <w:p w14:paraId="2943A538">
                  <w:pPr>
                    <w:widowControl/>
                    <w:adjustRightInd w:val="0"/>
                    <w:snapToGrid w:val="0"/>
                    <w:spacing w:line="300" w:lineRule="exact"/>
                    <w:jc w:val="center"/>
                    <w:rPr>
                      <w:rFonts w:hint="default" w:eastAsia="宋体"/>
                      <w:bCs/>
                      <w:color w:val="auto"/>
                      <w:kern w:val="0"/>
                      <w:szCs w:val="21"/>
                      <w:lang w:val="en-US" w:eastAsia="zh-CN"/>
                    </w:rPr>
                  </w:pPr>
                  <w:r>
                    <w:rPr>
                      <w:rFonts w:hint="eastAsia"/>
                      <w:bCs/>
                      <w:color w:val="auto"/>
                      <w:kern w:val="0"/>
                      <w:szCs w:val="21"/>
                      <w:lang w:val="en-US" w:eastAsia="zh-CN"/>
                    </w:rPr>
                    <w:t>5.25</w:t>
                  </w:r>
                </w:p>
              </w:tc>
              <w:tc>
                <w:tcPr>
                  <w:tcW w:w="1068" w:type="pct"/>
                  <w:noWrap w:val="0"/>
                  <w:vAlign w:val="center"/>
                </w:tcPr>
                <w:p w14:paraId="58D04FCF">
                  <w:pPr>
                    <w:widowControl/>
                    <w:jc w:val="center"/>
                    <w:textAlignment w:val="center"/>
                    <w:rPr>
                      <w:rFonts w:hint="default" w:eastAsia="宋体"/>
                      <w:color w:val="auto"/>
                      <w:kern w:val="0"/>
                      <w:szCs w:val="21"/>
                      <w:lang w:val="en-US" w:eastAsia="zh-CN" w:bidi="ar"/>
                    </w:rPr>
                  </w:pPr>
                  <w:r>
                    <w:rPr>
                      <w:rFonts w:hint="eastAsia"/>
                      <w:color w:val="auto"/>
                      <w:kern w:val="0"/>
                      <w:szCs w:val="21"/>
                      <w:lang w:val="en-US" w:eastAsia="zh-CN" w:bidi="ar"/>
                    </w:rPr>
                    <w:t>作为危废处置</w:t>
                  </w:r>
                </w:p>
              </w:tc>
            </w:tr>
            <w:tr w14:paraId="5715E5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372" w:type="pct"/>
                  <w:vMerge w:val="restart"/>
                  <w:noWrap w:val="0"/>
                  <w:vAlign w:val="center"/>
                </w:tcPr>
                <w:p w14:paraId="04FD14F2">
                  <w:pPr>
                    <w:widowControl/>
                    <w:adjustRightInd w:val="0"/>
                    <w:snapToGrid w:val="0"/>
                    <w:spacing w:line="300" w:lineRule="exact"/>
                    <w:jc w:val="center"/>
                    <w:rPr>
                      <w:bCs/>
                      <w:color w:val="auto"/>
                      <w:kern w:val="0"/>
                      <w:szCs w:val="21"/>
                    </w:rPr>
                  </w:pPr>
                  <w:r>
                    <w:rPr>
                      <w:bCs/>
                      <w:color w:val="auto"/>
                      <w:kern w:val="0"/>
                      <w:szCs w:val="21"/>
                    </w:rPr>
                    <w:t>3</w:t>
                  </w:r>
                </w:p>
              </w:tc>
              <w:tc>
                <w:tcPr>
                  <w:tcW w:w="519" w:type="pct"/>
                  <w:vMerge w:val="restart"/>
                  <w:noWrap w:val="0"/>
                  <w:vAlign w:val="center"/>
                </w:tcPr>
                <w:p w14:paraId="3D1F0227">
                  <w:pPr>
                    <w:jc w:val="center"/>
                    <w:rPr>
                      <w:bCs/>
                      <w:color w:val="auto"/>
                      <w:kern w:val="0"/>
                      <w:szCs w:val="21"/>
                    </w:rPr>
                  </w:pPr>
                  <w:r>
                    <w:rPr>
                      <w:rFonts w:hint="eastAsia"/>
                      <w:bCs/>
                      <w:color w:val="auto"/>
                      <w:kern w:val="0"/>
                      <w:szCs w:val="21"/>
                      <w:lang w:val="en-US" w:eastAsia="zh-CN"/>
                    </w:rPr>
                    <w:t>实验器具清洗</w:t>
                  </w:r>
                </w:p>
              </w:tc>
              <w:tc>
                <w:tcPr>
                  <w:tcW w:w="711" w:type="pct"/>
                  <w:noWrap w:val="0"/>
                  <w:vAlign w:val="center"/>
                </w:tcPr>
                <w:p w14:paraId="5A951EC5">
                  <w:pPr>
                    <w:jc w:val="center"/>
                    <w:rPr>
                      <w:rFonts w:hint="default"/>
                      <w:bCs/>
                      <w:color w:val="auto"/>
                      <w:kern w:val="0"/>
                      <w:szCs w:val="21"/>
                      <w:lang w:val="en-US" w:eastAsia="zh-CN"/>
                    </w:rPr>
                  </w:pPr>
                  <w:r>
                    <w:rPr>
                      <w:rFonts w:hint="eastAsia"/>
                      <w:bCs/>
                      <w:color w:val="auto"/>
                      <w:kern w:val="0"/>
                      <w:szCs w:val="21"/>
                      <w:lang w:val="en-US" w:eastAsia="zh-CN"/>
                    </w:rPr>
                    <w:t>初次清洗</w:t>
                  </w:r>
                </w:p>
              </w:tc>
              <w:tc>
                <w:tcPr>
                  <w:tcW w:w="955" w:type="pct"/>
                  <w:noWrap w:val="0"/>
                  <w:vAlign w:val="center"/>
                </w:tcPr>
                <w:p w14:paraId="54439688">
                  <w:pPr>
                    <w:widowControl/>
                    <w:adjustRightInd w:val="0"/>
                    <w:snapToGrid w:val="0"/>
                    <w:spacing w:line="300" w:lineRule="exact"/>
                    <w:jc w:val="center"/>
                    <w:rPr>
                      <w:rFonts w:hint="default" w:eastAsia="宋体"/>
                      <w:bCs/>
                      <w:color w:val="auto"/>
                      <w:kern w:val="0"/>
                      <w:szCs w:val="21"/>
                      <w:lang w:val="en-US" w:eastAsia="zh-CN"/>
                    </w:rPr>
                  </w:pPr>
                  <w:r>
                    <w:rPr>
                      <w:rFonts w:hint="eastAsia"/>
                      <w:bCs/>
                      <w:color w:val="auto"/>
                      <w:kern w:val="0"/>
                      <w:szCs w:val="21"/>
                      <w:lang w:val="en-US" w:eastAsia="zh-CN"/>
                    </w:rPr>
                    <w:t>3</w:t>
                  </w:r>
                </w:p>
              </w:tc>
              <w:tc>
                <w:tcPr>
                  <w:tcW w:w="706" w:type="pct"/>
                  <w:noWrap w:val="0"/>
                  <w:vAlign w:val="center"/>
                </w:tcPr>
                <w:p w14:paraId="64D3D812">
                  <w:pPr>
                    <w:widowControl/>
                    <w:adjustRightInd w:val="0"/>
                    <w:snapToGrid w:val="0"/>
                    <w:spacing w:line="300" w:lineRule="exact"/>
                    <w:jc w:val="center"/>
                    <w:rPr>
                      <w:rFonts w:hint="default" w:eastAsia="宋体"/>
                      <w:bCs/>
                      <w:color w:val="auto"/>
                      <w:kern w:val="0"/>
                      <w:szCs w:val="21"/>
                      <w:lang w:val="en-US" w:eastAsia="zh-CN"/>
                    </w:rPr>
                  </w:pPr>
                  <w:r>
                    <w:rPr>
                      <w:rFonts w:hint="eastAsia"/>
                      <w:bCs/>
                      <w:color w:val="auto"/>
                      <w:kern w:val="0"/>
                      <w:szCs w:val="21"/>
                      <w:lang w:val="en-US" w:eastAsia="zh-CN"/>
                    </w:rPr>
                    <w:t>0.3</w:t>
                  </w:r>
                </w:p>
              </w:tc>
              <w:tc>
                <w:tcPr>
                  <w:tcW w:w="665" w:type="pct"/>
                  <w:noWrap w:val="0"/>
                  <w:vAlign w:val="center"/>
                </w:tcPr>
                <w:p w14:paraId="03C5990B">
                  <w:pPr>
                    <w:widowControl/>
                    <w:jc w:val="center"/>
                    <w:textAlignment w:val="center"/>
                    <w:rPr>
                      <w:rFonts w:hint="default" w:eastAsia="宋体"/>
                      <w:color w:val="auto"/>
                      <w:kern w:val="0"/>
                      <w:szCs w:val="21"/>
                      <w:lang w:val="en-US" w:eastAsia="zh-CN" w:bidi="ar"/>
                    </w:rPr>
                  </w:pPr>
                  <w:r>
                    <w:rPr>
                      <w:rFonts w:hint="eastAsia"/>
                      <w:color w:val="auto"/>
                      <w:kern w:val="0"/>
                      <w:szCs w:val="21"/>
                      <w:lang w:val="en-US" w:eastAsia="zh-CN" w:bidi="ar"/>
                    </w:rPr>
                    <w:t>2.7</w:t>
                  </w:r>
                </w:p>
              </w:tc>
              <w:tc>
                <w:tcPr>
                  <w:tcW w:w="1068" w:type="pct"/>
                  <w:noWrap w:val="0"/>
                  <w:vAlign w:val="center"/>
                </w:tcPr>
                <w:p w14:paraId="70DF6A54">
                  <w:pPr>
                    <w:widowControl/>
                    <w:jc w:val="center"/>
                    <w:textAlignment w:val="center"/>
                    <w:rPr>
                      <w:rFonts w:hint="default" w:eastAsia="宋体"/>
                      <w:color w:val="auto"/>
                      <w:kern w:val="0"/>
                      <w:szCs w:val="21"/>
                      <w:lang w:val="en-US" w:eastAsia="zh-CN" w:bidi="ar"/>
                    </w:rPr>
                  </w:pPr>
                  <w:r>
                    <w:rPr>
                      <w:rFonts w:hint="eastAsia"/>
                      <w:color w:val="auto"/>
                      <w:kern w:val="0"/>
                      <w:szCs w:val="21"/>
                      <w:lang w:val="en-US" w:eastAsia="zh-CN" w:bidi="ar"/>
                    </w:rPr>
                    <w:t>作为危废处置</w:t>
                  </w:r>
                </w:p>
              </w:tc>
            </w:tr>
            <w:tr w14:paraId="0C42B4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372" w:type="pct"/>
                  <w:vMerge w:val="continue"/>
                  <w:noWrap w:val="0"/>
                  <w:vAlign w:val="center"/>
                </w:tcPr>
                <w:p w14:paraId="65FA05D4">
                  <w:pPr>
                    <w:widowControl/>
                    <w:adjustRightInd w:val="0"/>
                    <w:snapToGrid w:val="0"/>
                    <w:spacing w:line="300" w:lineRule="exact"/>
                    <w:jc w:val="center"/>
                    <w:rPr>
                      <w:bCs/>
                      <w:color w:val="auto"/>
                      <w:kern w:val="0"/>
                      <w:szCs w:val="21"/>
                    </w:rPr>
                  </w:pPr>
                </w:p>
              </w:tc>
              <w:tc>
                <w:tcPr>
                  <w:tcW w:w="519" w:type="pct"/>
                  <w:vMerge w:val="continue"/>
                  <w:noWrap w:val="0"/>
                  <w:vAlign w:val="center"/>
                </w:tcPr>
                <w:p w14:paraId="71856066">
                  <w:pPr>
                    <w:jc w:val="center"/>
                    <w:rPr>
                      <w:rFonts w:hint="eastAsia"/>
                      <w:bCs/>
                      <w:color w:val="auto"/>
                      <w:kern w:val="0"/>
                      <w:szCs w:val="21"/>
                      <w:lang w:val="en-US" w:eastAsia="zh-CN"/>
                    </w:rPr>
                  </w:pPr>
                </w:p>
              </w:tc>
              <w:tc>
                <w:tcPr>
                  <w:tcW w:w="711" w:type="pct"/>
                  <w:noWrap w:val="0"/>
                  <w:vAlign w:val="center"/>
                </w:tcPr>
                <w:p w14:paraId="25C3C112">
                  <w:pPr>
                    <w:jc w:val="center"/>
                    <w:rPr>
                      <w:rFonts w:hint="default"/>
                      <w:bCs/>
                      <w:color w:val="auto"/>
                      <w:kern w:val="0"/>
                      <w:szCs w:val="21"/>
                      <w:lang w:val="en-US" w:eastAsia="zh-CN"/>
                    </w:rPr>
                  </w:pPr>
                  <w:r>
                    <w:rPr>
                      <w:rFonts w:hint="eastAsia"/>
                      <w:bCs/>
                      <w:color w:val="auto"/>
                      <w:kern w:val="0"/>
                      <w:szCs w:val="21"/>
                      <w:lang w:val="en-US" w:eastAsia="zh-CN"/>
                    </w:rPr>
                    <w:t>中段清洗</w:t>
                  </w:r>
                </w:p>
              </w:tc>
              <w:tc>
                <w:tcPr>
                  <w:tcW w:w="955" w:type="pct"/>
                  <w:noWrap w:val="0"/>
                  <w:vAlign w:val="center"/>
                </w:tcPr>
                <w:p w14:paraId="6897D8BA">
                  <w:pPr>
                    <w:widowControl/>
                    <w:adjustRightInd w:val="0"/>
                    <w:snapToGrid w:val="0"/>
                    <w:spacing w:line="300" w:lineRule="exact"/>
                    <w:jc w:val="center"/>
                    <w:rPr>
                      <w:rFonts w:hint="default"/>
                      <w:bCs/>
                      <w:color w:val="auto"/>
                      <w:kern w:val="0"/>
                      <w:szCs w:val="21"/>
                      <w:lang w:val="en-US" w:eastAsia="zh-CN"/>
                    </w:rPr>
                  </w:pPr>
                  <w:r>
                    <w:rPr>
                      <w:rFonts w:hint="eastAsia"/>
                      <w:bCs/>
                      <w:color w:val="auto"/>
                      <w:kern w:val="0"/>
                      <w:szCs w:val="21"/>
                      <w:lang w:val="en-US" w:eastAsia="zh-CN"/>
                    </w:rPr>
                    <w:t>357</w:t>
                  </w:r>
                </w:p>
              </w:tc>
              <w:tc>
                <w:tcPr>
                  <w:tcW w:w="706" w:type="pct"/>
                  <w:noWrap w:val="0"/>
                  <w:vAlign w:val="center"/>
                </w:tcPr>
                <w:p w14:paraId="0179D73B">
                  <w:pPr>
                    <w:widowControl/>
                    <w:adjustRightInd w:val="0"/>
                    <w:snapToGrid w:val="0"/>
                    <w:spacing w:line="300" w:lineRule="exact"/>
                    <w:jc w:val="center"/>
                    <w:rPr>
                      <w:rFonts w:hint="default"/>
                      <w:bCs/>
                      <w:color w:val="auto"/>
                      <w:kern w:val="0"/>
                      <w:szCs w:val="21"/>
                      <w:lang w:val="en-US" w:eastAsia="zh-CN"/>
                    </w:rPr>
                  </w:pPr>
                  <w:r>
                    <w:rPr>
                      <w:rFonts w:hint="eastAsia"/>
                      <w:bCs/>
                      <w:color w:val="auto"/>
                      <w:kern w:val="0"/>
                      <w:szCs w:val="21"/>
                      <w:lang w:val="en-US" w:eastAsia="zh-CN"/>
                    </w:rPr>
                    <w:t>35.7</w:t>
                  </w:r>
                </w:p>
              </w:tc>
              <w:tc>
                <w:tcPr>
                  <w:tcW w:w="665" w:type="pct"/>
                  <w:noWrap w:val="0"/>
                  <w:vAlign w:val="center"/>
                </w:tcPr>
                <w:p w14:paraId="02285469">
                  <w:pPr>
                    <w:widowControl/>
                    <w:jc w:val="center"/>
                    <w:textAlignment w:val="center"/>
                    <w:rPr>
                      <w:rFonts w:hint="default"/>
                      <w:color w:val="auto"/>
                      <w:kern w:val="0"/>
                      <w:szCs w:val="21"/>
                      <w:lang w:val="en-US" w:eastAsia="zh-CN" w:bidi="ar"/>
                    </w:rPr>
                  </w:pPr>
                  <w:r>
                    <w:rPr>
                      <w:rFonts w:hint="eastAsia"/>
                      <w:color w:val="auto"/>
                      <w:kern w:val="0"/>
                      <w:szCs w:val="21"/>
                      <w:lang w:val="en-US" w:eastAsia="zh-CN" w:bidi="ar"/>
                    </w:rPr>
                    <w:t>321.3</w:t>
                  </w:r>
                </w:p>
              </w:tc>
              <w:tc>
                <w:tcPr>
                  <w:tcW w:w="1068" w:type="pct"/>
                  <w:vMerge w:val="restart"/>
                  <w:noWrap w:val="0"/>
                  <w:vAlign w:val="center"/>
                </w:tcPr>
                <w:p w14:paraId="6F52956A">
                  <w:pPr>
                    <w:jc w:val="center"/>
                    <w:rPr>
                      <w:rFonts w:hint="default"/>
                      <w:bCs/>
                      <w:color w:val="auto"/>
                      <w:kern w:val="0"/>
                      <w:szCs w:val="21"/>
                      <w:lang w:val="en-US" w:eastAsia="zh-CN"/>
                    </w:rPr>
                  </w:pPr>
                  <w:r>
                    <w:rPr>
                      <w:rFonts w:hint="eastAsia"/>
                      <w:bCs/>
                      <w:color w:val="0000FF"/>
                      <w:kern w:val="0"/>
                      <w:szCs w:val="21"/>
                      <w:lang w:val="en-US" w:eastAsia="zh-CN"/>
                    </w:rPr>
                    <w:t>经一体化污水处理设备处理后排入废水池</w:t>
                  </w:r>
                </w:p>
              </w:tc>
            </w:tr>
            <w:tr w14:paraId="7BF36F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372" w:type="pct"/>
                  <w:vMerge w:val="continue"/>
                  <w:noWrap w:val="0"/>
                  <w:vAlign w:val="center"/>
                </w:tcPr>
                <w:p w14:paraId="1C771637">
                  <w:pPr>
                    <w:jc w:val="center"/>
                    <w:rPr>
                      <w:color w:val="auto"/>
                    </w:rPr>
                  </w:pPr>
                </w:p>
              </w:tc>
              <w:tc>
                <w:tcPr>
                  <w:tcW w:w="519" w:type="pct"/>
                  <w:vMerge w:val="continue"/>
                  <w:noWrap w:val="0"/>
                  <w:vAlign w:val="center"/>
                </w:tcPr>
                <w:p w14:paraId="5161C58B">
                  <w:pPr>
                    <w:jc w:val="center"/>
                    <w:rPr>
                      <w:color w:val="auto"/>
                    </w:rPr>
                  </w:pPr>
                </w:p>
              </w:tc>
              <w:tc>
                <w:tcPr>
                  <w:tcW w:w="711" w:type="pct"/>
                  <w:noWrap w:val="0"/>
                  <w:vAlign w:val="center"/>
                </w:tcPr>
                <w:p w14:paraId="3D559B77">
                  <w:pPr>
                    <w:jc w:val="center"/>
                    <w:rPr>
                      <w:rFonts w:hint="default"/>
                      <w:bCs/>
                      <w:color w:val="auto"/>
                      <w:kern w:val="0"/>
                      <w:szCs w:val="21"/>
                      <w:lang w:val="en-US" w:eastAsia="zh-CN"/>
                    </w:rPr>
                  </w:pPr>
                  <w:r>
                    <w:rPr>
                      <w:rFonts w:hint="eastAsia"/>
                      <w:bCs/>
                      <w:color w:val="auto"/>
                      <w:kern w:val="0"/>
                      <w:szCs w:val="21"/>
                      <w:lang w:val="en-US" w:eastAsia="zh-CN"/>
                    </w:rPr>
                    <w:t>后段清洗</w:t>
                  </w:r>
                </w:p>
              </w:tc>
              <w:tc>
                <w:tcPr>
                  <w:tcW w:w="955" w:type="pct"/>
                  <w:noWrap w:val="0"/>
                  <w:vAlign w:val="center"/>
                </w:tcPr>
                <w:p w14:paraId="27ADD577">
                  <w:pPr>
                    <w:jc w:val="center"/>
                    <w:rPr>
                      <w:rFonts w:hint="default"/>
                      <w:bCs/>
                      <w:color w:val="auto"/>
                      <w:kern w:val="0"/>
                      <w:szCs w:val="21"/>
                      <w:lang w:val="en-US" w:eastAsia="zh-CN"/>
                    </w:rPr>
                  </w:pPr>
                  <w:r>
                    <w:rPr>
                      <w:rFonts w:hint="eastAsia"/>
                      <w:bCs/>
                      <w:color w:val="auto"/>
                      <w:kern w:val="0"/>
                      <w:szCs w:val="21"/>
                      <w:lang w:val="en-US" w:eastAsia="zh-CN"/>
                    </w:rPr>
                    <w:t>22.5（纯水）</w:t>
                  </w:r>
                </w:p>
              </w:tc>
              <w:tc>
                <w:tcPr>
                  <w:tcW w:w="706" w:type="pct"/>
                  <w:noWrap w:val="0"/>
                  <w:vAlign w:val="center"/>
                </w:tcPr>
                <w:p w14:paraId="660418DE">
                  <w:pPr>
                    <w:jc w:val="center"/>
                    <w:rPr>
                      <w:rFonts w:hint="default"/>
                      <w:bCs/>
                      <w:color w:val="auto"/>
                      <w:kern w:val="0"/>
                      <w:szCs w:val="21"/>
                      <w:lang w:val="en-US" w:eastAsia="zh-CN"/>
                    </w:rPr>
                  </w:pPr>
                  <w:r>
                    <w:rPr>
                      <w:rFonts w:hint="eastAsia"/>
                      <w:bCs/>
                      <w:color w:val="auto"/>
                      <w:kern w:val="0"/>
                      <w:szCs w:val="21"/>
                      <w:lang w:val="en-US" w:eastAsia="zh-CN"/>
                    </w:rPr>
                    <w:t>2.25</w:t>
                  </w:r>
                </w:p>
              </w:tc>
              <w:tc>
                <w:tcPr>
                  <w:tcW w:w="665" w:type="pct"/>
                  <w:noWrap w:val="0"/>
                  <w:vAlign w:val="center"/>
                </w:tcPr>
                <w:p w14:paraId="0C669962">
                  <w:pPr>
                    <w:jc w:val="center"/>
                    <w:rPr>
                      <w:rFonts w:hint="default"/>
                      <w:bCs/>
                      <w:color w:val="auto"/>
                      <w:kern w:val="0"/>
                      <w:szCs w:val="21"/>
                      <w:lang w:val="en-US" w:eastAsia="zh-CN"/>
                    </w:rPr>
                  </w:pPr>
                  <w:r>
                    <w:rPr>
                      <w:rFonts w:hint="eastAsia"/>
                      <w:bCs/>
                      <w:color w:val="auto"/>
                      <w:kern w:val="0"/>
                      <w:szCs w:val="21"/>
                      <w:lang w:val="en-US" w:eastAsia="zh-CN"/>
                    </w:rPr>
                    <w:t>20.25</w:t>
                  </w:r>
                </w:p>
              </w:tc>
              <w:tc>
                <w:tcPr>
                  <w:tcW w:w="1068" w:type="pct"/>
                  <w:vMerge w:val="continue"/>
                  <w:noWrap w:val="0"/>
                  <w:vAlign w:val="center"/>
                </w:tcPr>
                <w:p w14:paraId="6FEA49A5">
                  <w:pPr>
                    <w:jc w:val="center"/>
                    <w:rPr>
                      <w:rFonts w:hint="eastAsia"/>
                      <w:bCs/>
                      <w:color w:val="auto"/>
                      <w:kern w:val="0"/>
                      <w:szCs w:val="21"/>
                      <w:lang w:val="en-US" w:eastAsia="zh-CN"/>
                    </w:rPr>
                  </w:pPr>
                </w:p>
              </w:tc>
            </w:tr>
            <w:tr w14:paraId="63A8BB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2" w:type="pct"/>
                  <w:noWrap w:val="0"/>
                  <w:vAlign w:val="center"/>
                </w:tcPr>
                <w:p w14:paraId="4710D09C">
                  <w:pPr>
                    <w:widowControl/>
                    <w:adjustRightInd w:val="0"/>
                    <w:snapToGrid w:val="0"/>
                    <w:spacing w:line="300" w:lineRule="exact"/>
                    <w:jc w:val="center"/>
                    <w:rPr>
                      <w:bCs/>
                      <w:color w:val="auto"/>
                      <w:kern w:val="0"/>
                      <w:szCs w:val="21"/>
                    </w:rPr>
                  </w:pPr>
                  <w:r>
                    <w:rPr>
                      <w:bCs/>
                      <w:color w:val="auto"/>
                      <w:kern w:val="0"/>
                      <w:szCs w:val="21"/>
                    </w:rPr>
                    <w:t>4</w:t>
                  </w:r>
                </w:p>
              </w:tc>
              <w:tc>
                <w:tcPr>
                  <w:tcW w:w="1231" w:type="pct"/>
                  <w:gridSpan w:val="2"/>
                  <w:noWrap w:val="0"/>
                  <w:vAlign w:val="center"/>
                </w:tcPr>
                <w:p w14:paraId="73D7AAF4">
                  <w:pPr>
                    <w:jc w:val="center"/>
                    <w:rPr>
                      <w:bCs/>
                      <w:color w:val="auto"/>
                      <w:kern w:val="0"/>
                      <w:szCs w:val="21"/>
                    </w:rPr>
                  </w:pPr>
                  <w:r>
                    <w:rPr>
                      <w:rFonts w:hint="eastAsia"/>
                      <w:bCs/>
                      <w:color w:val="auto"/>
                      <w:kern w:val="0"/>
                      <w:szCs w:val="21"/>
                      <w:lang w:val="en-US" w:eastAsia="zh-CN"/>
                    </w:rPr>
                    <w:t>碱液喷淋塔</w:t>
                  </w:r>
                  <w:r>
                    <w:rPr>
                      <w:rFonts w:hint="eastAsia"/>
                      <w:bCs/>
                      <w:color w:val="auto"/>
                      <w:kern w:val="0"/>
                      <w:szCs w:val="21"/>
                    </w:rPr>
                    <w:t>喷淋</w:t>
                  </w:r>
                  <w:r>
                    <w:rPr>
                      <w:rFonts w:hint="eastAsia"/>
                      <w:bCs/>
                      <w:color w:val="auto"/>
                      <w:kern w:val="0"/>
                      <w:szCs w:val="21"/>
                      <w:lang w:val="en-US" w:eastAsia="zh-CN"/>
                    </w:rPr>
                    <w:t>废</w:t>
                  </w:r>
                  <w:r>
                    <w:rPr>
                      <w:rFonts w:hint="eastAsia"/>
                      <w:bCs/>
                      <w:color w:val="auto"/>
                      <w:kern w:val="0"/>
                      <w:szCs w:val="21"/>
                    </w:rPr>
                    <w:t>水</w:t>
                  </w:r>
                </w:p>
              </w:tc>
              <w:tc>
                <w:tcPr>
                  <w:tcW w:w="955" w:type="pct"/>
                  <w:noWrap w:val="0"/>
                  <w:vAlign w:val="center"/>
                </w:tcPr>
                <w:p w14:paraId="212D3E6E">
                  <w:pPr>
                    <w:widowControl/>
                    <w:jc w:val="center"/>
                    <w:textAlignment w:val="center"/>
                    <w:rPr>
                      <w:rFonts w:hint="eastAsia" w:eastAsia="宋体"/>
                      <w:bCs/>
                      <w:color w:val="auto"/>
                      <w:kern w:val="0"/>
                      <w:szCs w:val="21"/>
                      <w:lang w:val="en-US" w:eastAsia="zh-CN"/>
                    </w:rPr>
                  </w:pPr>
                  <w:r>
                    <w:rPr>
                      <w:rFonts w:hint="eastAsia"/>
                      <w:bCs/>
                      <w:color w:val="auto"/>
                      <w:kern w:val="0"/>
                      <w:szCs w:val="21"/>
                      <w:lang w:val="en-US" w:eastAsia="zh-CN"/>
                    </w:rPr>
                    <w:t>9</w:t>
                  </w:r>
                </w:p>
              </w:tc>
              <w:tc>
                <w:tcPr>
                  <w:tcW w:w="706" w:type="pct"/>
                  <w:noWrap w:val="0"/>
                  <w:vAlign w:val="center"/>
                </w:tcPr>
                <w:p w14:paraId="41DFD344">
                  <w:pPr>
                    <w:widowControl/>
                    <w:jc w:val="center"/>
                    <w:textAlignment w:val="center"/>
                    <w:rPr>
                      <w:rFonts w:hint="default" w:eastAsia="宋体"/>
                      <w:bCs/>
                      <w:color w:val="auto"/>
                      <w:kern w:val="0"/>
                      <w:szCs w:val="21"/>
                      <w:lang w:val="en-US" w:eastAsia="zh-CN"/>
                    </w:rPr>
                  </w:pPr>
                  <w:r>
                    <w:rPr>
                      <w:rFonts w:hint="eastAsia"/>
                      <w:bCs/>
                      <w:color w:val="auto"/>
                      <w:kern w:val="0"/>
                      <w:szCs w:val="21"/>
                      <w:lang w:val="en-US" w:eastAsia="zh-CN"/>
                    </w:rPr>
                    <w:t>0.9</w:t>
                  </w:r>
                </w:p>
              </w:tc>
              <w:tc>
                <w:tcPr>
                  <w:tcW w:w="665" w:type="pct"/>
                  <w:noWrap w:val="0"/>
                  <w:vAlign w:val="center"/>
                </w:tcPr>
                <w:p w14:paraId="28A32C1B">
                  <w:pPr>
                    <w:widowControl/>
                    <w:adjustRightInd w:val="0"/>
                    <w:snapToGrid w:val="0"/>
                    <w:spacing w:line="300" w:lineRule="exact"/>
                    <w:jc w:val="center"/>
                    <w:rPr>
                      <w:rFonts w:hint="default" w:eastAsia="宋体"/>
                      <w:bCs/>
                      <w:color w:val="auto"/>
                      <w:kern w:val="0"/>
                      <w:szCs w:val="21"/>
                      <w:lang w:val="en-US" w:eastAsia="zh-CN"/>
                    </w:rPr>
                  </w:pPr>
                  <w:r>
                    <w:rPr>
                      <w:rFonts w:hint="eastAsia"/>
                      <w:bCs/>
                      <w:color w:val="auto"/>
                      <w:kern w:val="0"/>
                      <w:szCs w:val="21"/>
                      <w:lang w:val="en-US" w:eastAsia="zh-CN"/>
                    </w:rPr>
                    <w:t>8.1</w:t>
                  </w:r>
                </w:p>
              </w:tc>
              <w:tc>
                <w:tcPr>
                  <w:tcW w:w="1068" w:type="pct"/>
                  <w:vMerge w:val="continue"/>
                  <w:noWrap w:val="0"/>
                  <w:vAlign w:val="center"/>
                </w:tcPr>
                <w:p w14:paraId="663CAA21">
                  <w:pPr>
                    <w:widowControl/>
                    <w:adjustRightInd w:val="0"/>
                    <w:snapToGrid w:val="0"/>
                    <w:spacing w:line="300" w:lineRule="exact"/>
                    <w:jc w:val="center"/>
                    <w:rPr>
                      <w:rFonts w:hint="eastAsia"/>
                      <w:bCs/>
                      <w:color w:val="auto"/>
                      <w:kern w:val="0"/>
                      <w:szCs w:val="21"/>
                    </w:rPr>
                  </w:pPr>
                </w:p>
              </w:tc>
            </w:tr>
            <w:tr w14:paraId="1E6558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5" w:hRule="atLeast"/>
                <w:jc w:val="center"/>
              </w:trPr>
              <w:tc>
                <w:tcPr>
                  <w:tcW w:w="372" w:type="pct"/>
                  <w:noWrap w:val="0"/>
                  <w:vAlign w:val="center"/>
                </w:tcPr>
                <w:p w14:paraId="45830ED6">
                  <w:pPr>
                    <w:widowControl/>
                    <w:adjustRightInd w:val="0"/>
                    <w:snapToGrid w:val="0"/>
                    <w:spacing w:line="300" w:lineRule="exact"/>
                    <w:jc w:val="center"/>
                    <w:rPr>
                      <w:rFonts w:hint="eastAsia" w:eastAsia="宋体"/>
                      <w:bCs/>
                      <w:color w:val="auto"/>
                      <w:kern w:val="0"/>
                      <w:szCs w:val="21"/>
                      <w:lang w:val="en-US" w:eastAsia="zh-CN"/>
                    </w:rPr>
                  </w:pPr>
                  <w:r>
                    <w:rPr>
                      <w:rFonts w:hint="eastAsia"/>
                      <w:bCs/>
                      <w:color w:val="auto"/>
                      <w:kern w:val="0"/>
                      <w:szCs w:val="21"/>
                      <w:lang w:val="en-US" w:eastAsia="zh-CN"/>
                    </w:rPr>
                    <w:t>5</w:t>
                  </w:r>
                </w:p>
              </w:tc>
              <w:tc>
                <w:tcPr>
                  <w:tcW w:w="1231" w:type="pct"/>
                  <w:gridSpan w:val="2"/>
                  <w:noWrap w:val="0"/>
                  <w:vAlign w:val="center"/>
                </w:tcPr>
                <w:p w14:paraId="653845EB">
                  <w:pPr>
                    <w:jc w:val="center"/>
                    <w:rPr>
                      <w:bCs/>
                      <w:color w:val="auto"/>
                      <w:kern w:val="0"/>
                      <w:szCs w:val="21"/>
                    </w:rPr>
                  </w:pPr>
                  <w:r>
                    <w:rPr>
                      <w:rFonts w:hint="eastAsia"/>
                      <w:bCs/>
                      <w:color w:val="auto"/>
                      <w:kern w:val="0"/>
                      <w:szCs w:val="21"/>
                    </w:rPr>
                    <w:t>生活用水</w:t>
                  </w:r>
                </w:p>
              </w:tc>
              <w:tc>
                <w:tcPr>
                  <w:tcW w:w="955" w:type="pct"/>
                  <w:noWrap w:val="0"/>
                  <w:vAlign w:val="center"/>
                </w:tcPr>
                <w:p w14:paraId="4CD64E0F">
                  <w:pPr>
                    <w:widowControl/>
                    <w:jc w:val="center"/>
                    <w:textAlignment w:val="center"/>
                    <w:rPr>
                      <w:rFonts w:hint="default" w:eastAsia="宋体"/>
                      <w:color w:val="auto"/>
                      <w:kern w:val="0"/>
                      <w:szCs w:val="21"/>
                      <w:lang w:val="en-US" w:eastAsia="zh-CN" w:bidi="ar"/>
                    </w:rPr>
                  </w:pPr>
                  <w:r>
                    <w:rPr>
                      <w:rFonts w:hint="eastAsia"/>
                      <w:color w:val="auto"/>
                      <w:kern w:val="0"/>
                      <w:szCs w:val="21"/>
                      <w:lang w:val="en-US" w:eastAsia="zh-CN" w:bidi="ar"/>
                    </w:rPr>
                    <w:t>180</w:t>
                  </w:r>
                </w:p>
              </w:tc>
              <w:tc>
                <w:tcPr>
                  <w:tcW w:w="706" w:type="pct"/>
                  <w:noWrap w:val="0"/>
                  <w:vAlign w:val="center"/>
                </w:tcPr>
                <w:p w14:paraId="6A0D7389">
                  <w:pPr>
                    <w:widowControl/>
                    <w:jc w:val="center"/>
                    <w:textAlignment w:val="center"/>
                    <w:rPr>
                      <w:rFonts w:hint="default" w:eastAsia="宋体"/>
                      <w:color w:val="auto"/>
                      <w:kern w:val="0"/>
                      <w:szCs w:val="21"/>
                      <w:lang w:val="en-US" w:eastAsia="zh-CN" w:bidi="ar"/>
                    </w:rPr>
                  </w:pPr>
                  <w:r>
                    <w:rPr>
                      <w:rFonts w:hint="eastAsia"/>
                      <w:color w:val="auto"/>
                      <w:kern w:val="0"/>
                      <w:szCs w:val="21"/>
                      <w:lang w:val="en-US" w:eastAsia="zh-CN" w:bidi="ar"/>
                    </w:rPr>
                    <w:t>36</w:t>
                  </w:r>
                </w:p>
              </w:tc>
              <w:tc>
                <w:tcPr>
                  <w:tcW w:w="665" w:type="pct"/>
                  <w:noWrap w:val="0"/>
                  <w:vAlign w:val="center"/>
                </w:tcPr>
                <w:p w14:paraId="4E150AD3">
                  <w:pPr>
                    <w:widowControl/>
                    <w:adjustRightInd w:val="0"/>
                    <w:snapToGrid w:val="0"/>
                    <w:spacing w:line="300" w:lineRule="exact"/>
                    <w:jc w:val="center"/>
                    <w:rPr>
                      <w:rFonts w:hint="default" w:eastAsia="宋体"/>
                      <w:bCs/>
                      <w:color w:val="auto"/>
                      <w:kern w:val="0"/>
                      <w:szCs w:val="21"/>
                      <w:lang w:val="en-US" w:eastAsia="zh-CN"/>
                    </w:rPr>
                  </w:pPr>
                  <w:r>
                    <w:rPr>
                      <w:rFonts w:hint="eastAsia"/>
                      <w:bCs/>
                      <w:color w:val="auto"/>
                      <w:kern w:val="0"/>
                      <w:szCs w:val="21"/>
                      <w:lang w:val="en-US" w:eastAsia="zh-CN"/>
                    </w:rPr>
                    <w:t>144</w:t>
                  </w:r>
                </w:p>
              </w:tc>
              <w:tc>
                <w:tcPr>
                  <w:tcW w:w="1068" w:type="pct"/>
                  <w:noWrap w:val="0"/>
                  <w:vAlign w:val="center"/>
                </w:tcPr>
                <w:p w14:paraId="66413747">
                  <w:pPr>
                    <w:widowControl/>
                    <w:adjustRightInd w:val="0"/>
                    <w:snapToGrid w:val="0"/>
                    <w:spacing w:line="300" w:lineRule="exact"/>
                    <w:jc w:val="center"/>
                    <w:rPr>
                      <w:rFonts w:hint="eastAsia" w:eastAsia="宋体"/>
                      <w:bCs/>
                      <w:color w:val="auto"/>
                      <w:kern w:val="0"/>
                      <w:szCs w:val="21"/>
                      <w:lang w:eastAsia="zh-CN"/>
                    </w:rPr>
                  </w:pPr>
                  <w:r>
                    <w:rPr>
                      <w:rFonts w:hint="eastAsia"/>
                      <w:color w:val="0000FF"/>
                      <w:kern w:val="0"/>
                      <w:szCs w:val="21"/>
                      <w:lang w:bidi="ar"/>
                    </w:rPr>
                    <w:t>排入</w:t>
                  </w:r>
                  <w:r>
                    <w:rPr>
                      <w:rFonts w:hint="eastAsia"/>
                      <w:color w:val="0000FF"/>
                      <w:kern w:val="0"/>
                      <w:szCs w:val="21"/>
                      <w:lang w:val="en-US" w:eastAsia="zh-CN" w:bidi="ar"/>
                    </w:rPr>
                    <w:t>新疆华爱康塑业科技发展有限公司已建化粪池</w:t>
                  </w:r>
                </w:p>
              </w:tc>
            </w:tr>
            <w:tr w14:paraId="210678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04" w:type="pct"/>
                  <w:gridSpan w:val="3"/>
                  <w:noWrap w:val="0"/>
                  <w:vAlign w:val="center"/>
                </w:tcPr>
                <w:p w14:paraId="74A3531D">
                  <w:pPr>
                    <w:widowControl/>
                    <w:adjustRightInd w:val="0"/>
                    <w:snapToGrid w:val="0"/>
                    <w:spacing w:line="300" w:lineRule="exact"/>
                    <w:jc w:val="center"/>
                    <w:rPr>
                      <w:bCs/>
                      <w:color w:val="auto"/>
                      <w:kern w:val="0"/>
                      <w:szCs w:val="21"/>
                    </w:rPr>
                  </w:pPr>
                  <w:r>
                    <w:rPr>
                      <w:bCs/>
                      <w:color w:val="auto"/>
                      <w:kern w:val="0"/>
                      <w:szCs w:val="21"/>
                    </w:rPr>
                    <w:t>总计</w:t>
                  </w:r>
                </w:p>
              </w:tc>
              <w:tc>
                <w:tcPr>
                  <w:tcW w:w="955" w:type="pct"/>
                  <w:noWrap w:val="0"/>
                  <w:vAlign w:val="center"/>
                </w:tcPr>
                <w:p w14:paraId="40C31B43">
                  <w:pPr>
                    <w:widowControl/>
                    <w:jc w:val="center"/>
                    <w:textAlignment w:val="center"/>
                    <w:rPr>
                      <w:rFonts w:hint="default"/>
                      <w:color w:val="auto"/>
                      <w:kern w:val="0"/>
                      <w:szCs w:val="21"/>
                      <w:lang w:val="en-US" w:eastAsia="zh-CN" w:bidi="ar"/>
                    </w:rPr>
                  </w:pPr>
                  <w:r>
                    <w:rPr>
                      <w:rFonts w:hint="eastAsia"/>
                      <w:color w:val="auto"/>
                      <w:kern w:val="0"/>
                      <w:szCs w:val="21"/>
                      <w:lang w:val="en-US" w:eastAsia="zh-CN" w:bidi="ar"/>
                    </w:rPr>
                    <w:t>639（其中609自来水、30纯水）</w:t>
                  </w:r>
                </w:p>
              </w:tc>
              <w:tc>
                <w:tcPr>
                  <w:tcW w:w="706" w:type="pct"/>
                  <w:noWrap w:val="0"/>
                  <w:vAlign w:val="center"/>
                </w:tcPr>
                <w:p w14:paraId="69B86D4A">
                  <w:pPr>
                    <w:widowControl/>
                    <w:jc w:val="center"/>
                    <w:textAlignment w:val="center"/>
                    <w:rPr>
                      <w:rFonts w:hint="default"/>
                      <w:color w:val="auto"/>
                      <w:kern w:val="0"/>
                      <w:szCs w:val="21"/>
                      <w:lang w:val="en-US" w:eastAsia="zh-CN" w:bidi="ar"/>
                    </w:rPr>
                  </w:pPr>
                  <w:r>
                    <w:rPr>
                      <w:rFonts w:hint="eastAsia"/>
                      <w:color w:val="auto"/>
                      <w:kern w:val="0"/>
                      <w:szCs w:val="21"/>
                      <w:lang w:val="en-US" w:eastAsia="zh-CN" w:bidi="ar"/>
                    </w:rPr>
                    <w:t>107.4</w:t>
                  </w:r>
                </w:p>
              </w:tc>
              <w:tc>
                <w:tcPr>
                  <w:tcW w:w="665" w:type="pct"/>
                  <w:noWrap w:val="0"/>
                  <w:vAlign w:val="center"/>
                </w:tcPr>
                <w:p w14:paraId="49F43FA6">
                  <w:pPr>
                    <w:widowControl/>
                    <w:jc w:val="center"/>
                    <w:textAlignment w:val="center"/>
                    <w:rPr>
                      <w:rFonts w:hint="default"/>
                      <w:color w:val="auto"/>
                      <w:kern w:val="0"/>
                      <w:szCs w:val="21"/>
                      <w:lang w:val="en-US" w:eastAsia="zh-CN" w:bidi="ar"/>
                    </w:rPr>
                  </w:pPr>
                  <w:r>
                    <w:rPr>
                      <w:rFonts w:hint="eastAsia"/>
                      <w:color w:val="auto"/>
                      <w:kern w:val="0"/>
                      <w:szCs w:val="21"/>
                      <w:lang w:val="en-US" w:eastAsia="zh-CN" w:bidi="ar"/>
                    </w:rPr>
                    <w:t>531.6</w:t>
                  </w:r>
                </w:p>
              </w:tc>
              <w:tc>
                <w:tcPr>
                  <w:tcW w:w="1068" w:type="pct"/>
                  <w:noWrap w:val="0"/>
                  <w:vAlign w:val="center"/>
                </w:tcPr>
                <w:p w14:paraId="5BE654A6">
                  <w:pPr>
                    <w:widowControl/>
                    <w:adjustRightInd w:val="0"/>
                    <w:snapToGrid w:val="0"/>
                    <w:spacing w:line="300" w:lineRule="exact"/>
                    <w:jc w:val="center"/>
                    <w:rPr>
                      <w:bCs/>
                      <w:color w:val="auto"/>
                      <w:kern w:val="0"/>
                      <w:szCs w:val="21"/>
                    </w:rPr>
                  </w:pPr>
                  <w:r>
                    <w:rPr>
                      <w:rFonts w:hint="eastAsia"/>
                      <w:bCs/>
                      <w:color w:val="auto"/>
                      <w:kern w:val="0"/>
                      <w:szCs w:val="21"/>
                    </w:rPr>
                    <w:t>/</w:t>
                  </w:r>
                </w:p>
              </w:tc>
            </w:tr>
          </w:tbl>
          <w:p w14:paraId="59E009CB">
            <w:pPr>
              <w:pStyle w:val="19"/>
              <w:adjustRightInd w:val="0"/>
              <w:spacing w:before="120" w:beforeLines="50"/>
              <w:jc w:val="center"/>
              <w:rPr>
                <w:rFonts w:hint="eastAsia" w:eastAsia="宋体"/>
                <w:b/>
                <w:color w:val="auto"/>
                <w:sz w:val="21"/>
                <w:szCs w:val="21"/>
                <w:lang w:eastAsia="zh-CN"/>
              </w:rPr>
            </w:pPr>
            <w:r>
              <w:drawing>
                <wp:inline distT="0" distB="0" distL="114300" distR="114300">
                  <wp:extent cx="5556885" cy="2440305"/>
                  <wp:effectExtent l="0" t="0" r="5715" b="13335"/>
                  <wp:docPr id="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pic:cNvPicPr>
                            <a:picLocks noChangeAspect="1"/>
                          </pic:cNvPicPr>
                        </pic:nvPicPr>
                        <pic:blipFill>
                          <a:blip r:embed="rId20"/>
                          <a:srcRect l="2441" t="13100" r="1773" b="3411"/>
                          <a:stretch>
                            <a:fillRect/>
                          </a:stretch>
                        </pic:blipFill>
                        <pic:spPr>
                          <a:xfrm>
                            <a:off x="0" y="0"/>
                            <a:ext cx="5556885" cy="2440305"/>
                          </a:xfrm>
                          <a:prstGeom prst="rect">
                            <a:avLst/>
                          </a:prstGeom>
                          <a:noFill/>
                          <a:ln>
                            <a:noFill/>
                          </a:ln>
                        </pic:spPr>
                      </pic:pic>
                    </a:graphicData>
                  </a:graphic>
                </wp:inline>
              </w:drawing>
            </w:r>
          </w:p>
          <w:p w14:paraId="1CF123C4">
            <w:pPr>
              <w:pStyle w:val="19"/>
              <w:adjustRightInd w:val="0"/>
              <w:spacing w:before="120" w:beforeLines="50"/>
              <w:jc w:val="center"/>
              <w:rPr>
                <w:rFonts w:hint="eastAsia"/>
                <w:b/>
                <w:color w:val="auto"/>
                <w:sz w:val="21"/>
                <w:szCs w:val="21"/>
              </w:rPr>
            </w:pPr>
            <w:r>
              <w:rPr>
                <w:rFonts w:hint="eastAsia"/>
                <w:b/>
                <w:color w:val="auto"/>
                <w:sz w:val="21"/>
                <w:szCs w:val="21"/>
              </w:rPr>
              <w:t>图2</w:t>
            </w:r>
            <w:r>
              <w:rPr>
                <w:b/>
                <w:color w:val="auto"/>
                <w:sz w:val="21"/>
                <w:szCs w:val="21"/>
              </w:rPr>
              <w:t>-</w:t>
            </w:r>
            <w:r>
              <w:rPr>
                <w:rFonts w:hint="eastAsia"/>
                <w:b/>
                <w:color w:val="auto"/>
                <w:sz w:val="21"/>
                <w:szCs w:val="21"/>
              </w:rPr>
              <w:t>1</w:t>
            </w:r>
            <w:r>
              <w:rPr>
                <w:b/>
                <w:color w:val="auto"/>
                <w:sz w:val="21"/>
                <w:szCs w:val="21"/>
              </w:rPr>
              <w:t xml:space="preserve">   </w:t>
            </w:r>
            <w:r>
              <w:rPr>
                <w:rFonts w:hint="eastAsia"/>
                <w:b/>
                <w:color w:val="auto"/>
                <w:sz w:val="21"/>
                <w:szCs w:val="21"/>
              </w:rPr>
              <w:t>本项目水平衡图（单位：m</w:t>
            </w:r>
            <w:r>
              <w:rPr>
                <w:b/>
                <w:color w:val="auto"/>
                <w:sz w:val="21"/>
                <w:szCs w:val="21"/>
                <w:vertAlign w:val="superscript"/>
              </w:rPr>
              <w:t>3</w:t>
            </w:r>
            <w:r>
              <w:rPr>
                <w:b/>
                <w:color w:val="auto"/>
                <w:sz w:val="21"/>
                <w:szCs w:val="21"/>
              </w:rPr>
              <w:t>/a</w:t>
            </w:r>
            <w:r>
              <w:rPr>
                <w:rFonts w:hint="eastAsia"/>
                <w:b/>
                <w:color w:val="auto"/>
                <w:sz w:val="21"/>
                <w:szCs w:val="21"/>
              </w:rPr>
              <w:t>）</w:t>
            </w:r>
          </w:p>
          <w:p w14:paraId="285004FE">
            <w:pPr>
              <w:adjustRightInd w:val="0"/>
              <w:snapToGrid w:val="0"/>
              <w:spacing w:line="360" w:lineRule="auto"/>
              <w:outlineLvl w:val="1"/>
              <w:rPr>
                <w:b/>
                <w:bCs/>
                <w:color w:val="auto"/>
                <w:sz w:val="24"/>
              </w:rPr>
            </w:pPr>
            <w:r>
              <w:rPr>
                <w:rFonts w:hint="eastAsia"/>
                <w:b/>
                <w:bCs/>
                <w:color w:val="auto"/>
                <w:sz w:val="24"/>
                <w:lang w:val="en-US" w:eastAsia="zh-CN"/>
              </w:rPr>
              <w:t>7</w:t>
            </w:r>
            <w:r>
              <w:rPr>
                <w:b/>
                <w:bCs/>
                <w:color w:val="auto"/>
                <w:sz w:val="24"/>
              </w:rPr>
              <w:t>.3供电</w:t>
            </w:r>
          </w:p>
          <w:p w14:paraId="51C817EE">
            <w:pPr>
              <w:adjustRightInd w:val="0"/>
              <w:snapToGrid w:val="0"/>
              <w:spacing w:line="360" w:lineRule="auto"/>
              <w:ind w:firstLine="482"/>
              <w:rPr>
                <w:color w:val="auto"/>
                <w:sz w:val="24"/>
              </w:rPr>
            </w:pPr>
            <w:r>
              <w:rPr>
                <w:color w:val="auto"/>
                <w:kern w:val="0"/>
                <w:sz w:val="24"/>
              </w:rPr>
              <w:t>本项目供电电源由园区</w:t>
            </w:r>
            <w:r>
              <w:rPr>
                <w:rFonts w:hint="eastAsia"/>
                <w:color w:val="auto"/>
                <w:kern w:val="0"/>
                <w:sz w:val="24"/>
                <w:lang w:val="en-US" w:eastAsia="zh-CN"/>
              </w:rPr>
              <w:t>市政供电</w:t>
            </w:r>
            <w:r>
              <w:rPr>
                <w:rFonts w:hint="eastAsia"/>
                <w:color w:val="auto"/>
                <w:kern w:val="0"/>
                <w:sz w:val="24"/>
              </w:rPr>
              <w:t>。</w:t>
            </w:r>
          </w:p>
          <w:p w14:paraId="50CBC6E0">
            <w:pPr>
              <w:adjustRightInd w:val="0"/>
              <w:snapToGrid w:val="0"/>
              <w:spacing w:line="360" w:lineRule="auto"/>
              <w:outlineLvl w:val="1"/>
              <w:rPr>
                <w:b/>
                <w:bCs/>
                <w:color w:val="auto"/>
                <w:sz w:val="24"/>
              </w:rPr>
            </w:pPr>
            <w:r>
              <w:rPr>
                <w:rFonts w:hint="eastAsia"/>
                <w:b/>
                <w:bCs/>
                <w:color w:val="auto"/>
                <w:sz w:val="24"/>
                <w:lang w:val="en-US" w:eastAsia="zh-CN"/>
              </w:rPr>
              <w:t>7</w:t>
            </w:r>
            <w:r>
              <w:rPr>
                <w:b/>
                <w:bCs/>
                <w:color w:val="auto"/>
                <w:sz w:val="24"/>
              </w:rPr>
              <w:t>.4供</w:t>
            </w:r>
            <w:r>
              <w:rPr>
                <w:rFonts w:hint="eastAsia"/>
                <w:b/>
                <w:bCs/>
                <w:color w:val="auto"/>
                <w:sz w:val="24"/>
              </w:rPr>
              <w:t>暖和供热</w:t>
            </w:r>
          </w:p>
          <w:p w14:paraId="7EC72FD8">
            <w:pPr>
              <w:pStyle w:val="19"/>
              <w:adjustRightInd w:val="0"/>
              <w:spacing w:line="360" w:lineRule="auto"/>
              <w:ind w:firstLine="482"/>
              <w:jc w:val="both"/>
              <w:rPr>
                <w:rFonts w:hint="eastAsia"/>
                <w:color w:val="auto"/>
                <w:sz w:val="24"/>
                <w:szCs w:val="24"/>
              </w:rPr>
            </w:pPr>
            <w:r>
              <w:rPr>
                <w:rFonts w:hint="eastAsia"/>
                <w:color w:val="auto"/>
                <w:sz w:val="24"/>
                <w:szCs w:val="24"/>
              </w:rPr>
              <w:t>本项目冬季采暖依托园区集中供暖管网。</w:t>
            </w:r>
          </w:p>
          <w:p w14:paraId="505EF4D8">
            <w:pPr>
              <w:adjustRightInd w:val="0"/>
              <w:snapToGrid w:val="0"/>
              <w:spacing w:line="360" w:lineRule="auto"/>
              <w:rPr>
                <w:b/>
                <w:bCs/>
                <w:color w:val="auto"/>
                <w:sz w:val="24"/>
              </w:rPr>
            </w:pPr>
            <w:r>
              <w:rPr>
                <w:rFonts w:hint="eastAsia"/>
                <w:b/>
                <w:bCs/>
                <w:color w:val="auto"/>
                <w:sz w:val="24"/>
                <w:lang w:val="en-US" w:eastAsia="zh-CN"/>
              </w:rPr>
              <w:t>8</w:t>
            </w:r>
            <w:r>
              <w:rPr>
                <w:rFonts w:hint="eastAsia"/>
                <w:b/>
                <w:bCs/>
                <w:color w:val="auto"/>
                <w:sz w:val="24"/>
              </w:rPr>
              <w:t>生产制度与劳动定员</w:t>
            </w:r>
          </w:p>
          <w:p w14:paraId="6ABD8384">
            <w:pPr>
              <w:adjustRightInd w:val="0"/>
              <w:snapToGrid w:val="0"/>
              <w:spacing w:line="360" w:lineRule="auto"/>
              <w:ind w:firstLine="482"/>
              <w:rPr>
                <w:rFonts w:hint="eastAsia"/>
                <w:color w:val="auto"/>
                <w:kern w:val="0"/>
                <w:sz w:val="24"/>
              </w:rPr>
            </w:pPr>
            <w:r>
              <w:rPr>
                <w:rFonts w:hint="eastAsia"/>
                <w:color w:val="auto"/>
                <w:kern w:val="0"/>
                <w:sz w:val="24"/>
              </w:rPr>
              <w:t>拟建项目劳动定员为</w:t>
            </w:r>
            <w:r>
              <w:rPr>
                <w:rFonts w:hint="eastAsia"/>
                <w:color w:val="auto"/>
                <w:kern w:val="0"/>
                <w:sz w:val="24"/>
                <w:lang w:val="en-US" w:eastAsia="zh-CN"/>
              </w:rPr>
              <w:t>12</w:t>
            </w:r>
            <w:r>
              <w:rPr>
                <w:rFonts w:hint="eastAsia"/>
                <w:color w:val="auto"/>
                <w:kern w:val="0"/>
                <w:sz w:val="24"/>
              </w:rPr>
              <w:t>人，全年工作时间</w:t>
            </w:r>
            <w:r>
              <w:rPr>
                <w:color w:val="auto"/>
                <w:kern w:val="0"/>
                <w:sz w:val="24"/>
              </w:rPr>
              <w:t>3</w:t>
            </w:r>
            <w:r>
              <w:rPr>
                <w:rFonts w:hint="eastAsia"/>
                <w:color w:val="auto"/>
                <w:kern w:val="0"/>
                <w:sz w:val="24"/>
              </w:rPr>
              <w:t>00天，</w:t>
            </w:r>
            <w:r>
              <w:rPr>
                <w:rFonts w:hint="eastAsia"/>
                <w:color w:val="auto"/>
                <w:kern w:val="0"/>
                <w:sz w:val="24"/>
                <w:lang w:val="en-US" w:eastAsia="zh-CN"/>
              </w:rPr>
              <w:t>8小时工作制</w:t>
            </w:r>
            <w:r>
              <w:rPr>
                <w:rFonts w:hint="eastAsia"/>
                <w:color w:val="auto"/>
                <w:kern w:val="0"/>
                <w:sz w:val="24"/>
              </w:rPr>
              <w:t>，年运行时间</w:t>
            </w:r>
            <w:r>
              <w:rPr>
                <w:rFonts w:hint="eastAsia"/>
                <w:color w:val="auto"/>
                <w:kern w:val="0"/>
                <w:sz w:val="24"/>
                <w:lang w:val="en-US" w:eastAsia="zh-CN"/>
              </w:rPr>
              <w:t>24</w:t>
            </w:r>
            <w:r>
              <w:rPr>
                <w:rFonts w:hint="eastAsia"/>
                <w:color w:val="auto"/>
                <w:kern w:val="0"/>
                <w:sz w:val="24"/>
              </w:rPr>
              <w:t>0</w:t>
            </w:r>
            <w:r>
              <w:rPr>
                <w:color w:val="auto"/>
                <w:kern w:val="0"/>
                <w:sz w:val="24"/>
              </w:rPr>
              <w:t>0h</w:t>
            </w:r>
            <w:r>
              <w:rPr>
                <w:rFonts w:hint="eastAsia"/>
                <w:color w:val="auto"/>
                <w:kern w:val="0"/>
                <w:sz w:val="24"/>
              </w:rPr>
              <w:t>。项目计划建设期为3个月，施工人员为</w:t>
            </w:r>
            <w:r>
              <w:rPr>
                <w:rFonts w:hint="eastAsia"/>
                <w:color w:val="auto"/>
                <w:kern w:val="0"/>
                <w:sz w:val="24"/>
                <w:lang w:val="en-US" w:eastAsia="zh-CN"/>
              </w:rPr>
              <w:t>5</w:t>
            </w:r>
            <w:r>
              <w:rPr>
                <w:rFonts w:hint="eastAsia"/>
                <w:color w:val="auto"/>
                <w:kern w:val="0"/>
                <w:sz w:val="24"/>
              </w:rPr>
              <w:t>人。</w:t>
            </w:r>
          </w:p>
          <w:p w14:paraId="73C18F2C">
            <w:pPr>
              <w:pStyle w:val="2"/>
              <w:rPr>
                <w:rFonts w:hint="eastAsia"/>
              </w:rPr>
            </w:pPr>
          </w:p>
        </w:tc>
      </w:tr>
      <w:tr w14:paraId="2136B83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232" w:type="pct"/>
            <w:noWrap w:val="0"/>
            <w:vAlign w:val="center"/>
          </w:tcPr>
          <w:p w14:paraId="6F754957">
            <w:pPr>
              <w:pStyle w:val="23"/>
              <w:adjustRightInd w:val="0"/>
              <w:snapToGrid w:val="0"/>
              <w:spacing w:before="0" w:beforeAutospacing="0" w:after="0" w:afterAutospacing="0" w:line="520" w:lineRule="exact"/>
              <w:jc w:val="center"/>
              <w:rPr>
                <w:rFonts w:cs="宋体"/>
                <w:color w:val="auto"/>
                <w:sz w:val="21"/>
                <w:szCs w:val="21"/>
              </w:rPr>
            </w:pPr>
            <w:r>
              <w:rPr>
                <w:rFonts w:hint="eastAsia" w:cs="宋体"/>
                <w:color w:val="auto"/>
                <w:szCs w:val="24"/>
              </w:rPr>
              <w:t>工艺流程和产排污环节</w:t>
            </w:r>
          </w:p>
        </w:tc>
        <w:tc>
          <w:tcPr>
            <w:tcW w:w="4767" w:type="pct"/>
            <w:noWrap w:val="0"/>
            <w:vAlign w:val="top"/>
          </w:tcPr>
          <w:p w14:paraId="272378D1">
            <w:pPr>
              <w:pStyle w:val="71"/>
              <w:snapToGrid w:val="0"/>
              <w:spacing w:line="360" w:lineRule="auto"/>
              <w:rPr>
                <w:b/>
                <w:color w:val="auto"/>
                <w:sz w:val="24"/>
                <w:szCs w:val="24"/>
              </w:rPr>
            </w:pPr>
            <w:r>
              <w:rPr>
                <w:rFonts w:hint="eastAsia"/>
                <w:b/>
                <w:color w:val="auto"/>
                <w:sz w:val="24"/>
                <w:szCs w:val="24"/>
              </w:rPr>
              <w:t>1施工期</w:t>
            </w:r>
          </w:p>
          <w:p w14:paraId="610AEBD2">
            <w:pPr>
              <w:pStyle w:val="90"/>
              <w:spacing w:line="360" w:lineRule="auto"/>
              <w:rPr>
                <w:rFonts w:hint="eastAsia"/>
                <w:color w:val="auto"/>
                <w:sz w:val="24"/>
                <w:lang w:val="en-US"/>
              </w:rPr>
            </w:pPr>
            <w:bookmarkStart w:id="2" w:name="_Toc24131"/>
            <w:r>
              <w:rPr>
                <w:color w:val="auto"/>
                <w:sz w:val="24"/>
              </w:rPr>
              <w:t>项目</w:t>
            </w:r>
            <w:r>
              <w:rPr>
                <w:rFonts w:hint="eastAsia"/>
                <w:color w:val="auto"/>
                <w:sz w:val="24"/>
              </w:rPr>
              <w:t>租赁位于昌吉高新技术产业开发区</w:t>
            </w:r>
            <w:r>
              <w:rPr>
                <w:rFonts w:hint="eastAsia"/>
                <w:color w:val="auto"/>
                <w:sz w:val="24"/>
                <w:lang w:val="en-US" w:eastAsia="zh-CN"/>
              </w:rPr>
              <w:t>新疆华爱康塑业科技发展有限公司1号厂房、库房及办公室</w:t>
            </w:r>
            <w:r>
              <w:rPr>
                <w:rFonts w:hint="eastAsia"/>
                <w:color w:val="auto"/>
                <w:sz w:val="24"/>
              </w:rPr>
              <w:t>新建</w:t>
            </w:r>
            <w:r>
              <w:rPr>
                <w:rFonts w:hint="eastAsia"/>
                <w:color w:val="auto"/>
                <w:sz w:val="24"/>
                <w:lang w:val="en-US" w:eastAsia="zh-CN"/>
              </w:rPr>
              <w:t>地质矿产分析实验室</w:t>
            </w:r>
            <w:r>
              <w:rPr>
                <w:rFonts w:hint="eastAsia"/>
                <w:color w:val="auto"/>
                <w:sz w:val="24"/>
                <w:lang w:eastAsia="zh-CN"/>
              </w:rPr>
              <w:t>，</w:t>
            </w:r>
            <w:r>
              <w:rPr>
                <w:rFonts w:hint="eastAsia"/>
                <w:color w:val="auto"/>
                <w:sz w:val="24"/>
                <w:lang w:val="en-US" w:eastAsia="zh-CN"/>
              </w:rPr>
              <w:t>项目施工期无土建工程，主要为设备安装调试，项目施工期较短，且对环境影响较小，本次评价不做重点分析。项目施工期工艺流程及污染物产生环节见下图：</w:t>
            </w:r>
          </w:p>
          <w:p w14:paraId="72A8A955">
            <w:pPr>
              <w:pStyle w:val="90"/>
              <w:ind w:left="0" w:leftChars="0" w:firstLine="0" w:firstLineChars="0"/>
              <w:jc w:val="center"/>
              <w:rPr>
                <w:rFonts w:hint="eastAsia"/>
                <w:b/>
                <w:bCs/>
                <w:color w:val="auto"/>
                <w:szCs w:val="21"/>
                <w:lang w:val="en-US"/>
              </w:rPr>
            </w:pPr>
            <w:r>
              <w:rPr>
                <w:color w:val="auto"/>
              </w:rPr>
              <w:drawing>
                <wp:inline distT="0" distB="0" distL="114300" distR="114300">
                  <wp:extent cx="2602865" cy="878205"/>
                  <wp:effectExtent l="0" t="0" r="3175" b="5080"/>
                  <wp:docPr id="5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
                          <pic:cNvPicPr>
                            <a:picLocks noChangeAspect="1"/>
                          </pic:cNvPicPr>
                        </pic:nvPicPr>
                        <pic:blipFill>
                          <a:blip r:embed="rId21"/>
                          <a:stretch>
                            <a:fillRect/>
                          </a:stretch>
                        </pic:blipFill>
                        <pic:spPr>
                          <a:xfrm>
                            <a:off x="0" y="0"/>
                            <a:ext cx="2602865" cy="878205"/>
                          </a:xfrm>
                          <a:prstGeom prst="rect">
                            <a:avLst/>
                          </a:prstGeom>
                          <a:noFill/>
                          <a:ln>
                            <a:noFill/>
                          </a:ln>
                        </pic:spPr>
                      </pic:pic>
                    </a:graphicData>
                  </a:graphic>
                </wp:inline>
              </w:drawing>
            </w:r>
          </w:p>
          <w:p w14:paraId="15E3D803">
            <w:pPr>
              <w:pStyle w:val="90"/>
              <w:keepNext w:val="0"/>
              <w:keepLines w:val="0"/>
              <w:pageBreakBefore w:val="0"/>
              <w:widowControl w:val="0"/>
              <w:kinsoku/>
              <w:wordWrap/>
              <w:overflowPunct/>
              <w:topLinePunct w:val="0"/>
              <w:autoSpaceDE/>
              <w:autoSpaceDN/>
              <w:bidi w:val="0"/>
              <w:adjustRightInd/>
              <w:snapToGrid/>
              <w:spacing w:before="157" w:beforeLines="50" w:line="360" w:lineRule="auto"/>
              <w:ind w:firstLine="0" w:firstLineChars="0"/>
              <w:jc w:val="center"/>
              <w:textAlignment w:val="auto"/>
              <w:rPr>
                <w:rFonts w:hint="eastAsia"/>
                <w:b/>
                <w:bCs/>
                <w:color w:val="auto"/>
                <w:szCs w:val="21"/>
                <w:lang w:val="en-US"/>
              </w:rPr>
            </w:pPr>
            <w:r>
              <w:rPr>
                <w:rFonts w:hint="eastAsia"/>
                <w:b/>
                <w:bCs/>
                <w:color w:val="auto"/>
                <w:szCs w:val="21"/>
                <w:lang w:val="en-US"/>
              </w:rPr>
              <w:t>图2-2  施工期工艺流程及产污环节图</w:t>
            </w:r>
          </w:p>
          <w:bookmarkEnd w:id="2"/>
          <w:p w14:paraId="092DE1F5">
            <w:pPr>
              <w:pStyle w:val="71"/>
              <w:snapToGrid w:val="0"/>
              <w:spacing w:line="360" w:lineRule="auto"/>
              <w:rPr>
                <w:b/>
                <w:color w:val="auto"/>
                <w:sz w:val="24"/>
                <w:szCs w:val="24"/>
              </w:rPr>
            </w:pPr>
            <w:r>
              <w:rPr>
                <w:b/>
                <w:color w:val="auto"/>
                <w:sz w:val="24"/>
                <w:szCs w:val="24"/>
              </w:rPr>
              <w:t>2</w:t>
            </w:r>
            <w:r>
              <w:rPr>
                <w:rFonts w:hint="eastAsia"/>
                <w:b/>
                <w:color w:val="auto"/>
                <w:sz w:val="24"/>
                <w:szCs w:val="24"/>
              </w:rPr>
              <w:t xml:space="preserve"> 运营期</w:t>
            </w:r>
          </w:p>
          <w:p w14:paraId="19BA8FA7">
            <w:pPr>
              <w:pStyle w:val="71"/>
              <w:snapToGrid w:val="0"/>
              <w:spacing w:line="360" w:lineRule="auto"/>
              <w:rPr>
                <w:rFonts w:ascii="宋体" w:hAnsi="宋体"/>
                <w:b/>
                <w:color w:val="auto"/>
                <w:sz w:val="24"/>
                <w:szCs w:val="24"/>
              </w:rPr>
            </w:pPr>
            <w:r>
              <w:rPr>
                <w:b/>
                <w:color w:val="auto"/>
                <w:sz w:val="24"/>
                <w:szCs w:val="24"/>
              </w:rPr>
              <w:t>2.1</w:t>
            </w:r>
            <w:r>
              <w:rPr>
                <w:rFonts w:ascii="宋体" w:hAnsi="宋体"/>
                <w:b/>
                <w:color w:val="auto"/>
                <w:sz w:val="24"/>
                <w:szCs w:val="24"/>
              </w:rPr>
              <w:t xml:space="preserve"> </w:t>
            </w:r>
            <w:r>
              <w:rPr>
                <w:rFonts w:hint="eastAsia" w:ascii="宋体" w:hAnsi="宋体"/>
                <w:b/>
                <w:color w:val="auto"/>
                <w:sz w:val="24"/>
                <w:szCs w:val="24"/>
              </w:rPr>
              <w:t>运营期工艺流程</w:t>
            </w:r>
          </w:p>
          <w:p w14:paraId="2F00F212">
            <w:pPr>
              <w:pStyle w:val="71"/>
              <w:snapToGrid w:val="0"/>
              <w:spacing w:line="360" w:lineRule="auto"/>
              <w:ind w:firstLine="480" w:firstLineChars="200"/>
              <w:rPr>
                <w:rFonts w:hint="eastAsia"/>
                <w:color w:val="auto"/>
                <w:sz w:val="24"/>
                <w:szCs w:val="24"/>
              </w:rPr>
            </w:pPr>
            <w:r>
              <w:rPr>
                <w:rFonts w:hint="eastAsia"/>
                <w:color w:val="auto"/>
                <w:sz w:val="24"/>
                <w:szCs w:val="24"/>
                <w:lang w:val="en-US" w:eastAsia="zh-CN"/>
              </w:rPr>
              <w:t>本项目建设</w:t>
            </w:r>
            <w:r>
              <w:rPr>
                <w:rFonts w:hint="eastAsia"/>
                <w:color w:val="auto"/>
                <w:sz w:val="24"/>
                <w:lang w:val="en-US" w:eastAsia="zh-CN"/>
              </w:rPr>
              <w:t>地质矿产分析实验室，主要提供矿石</w:t>
            </w:r>
            <w:r>
              <w:rPr>
                <w:rFonts w:hint="eastAsia"/>
                <w:color w:val="auto"/>
                <w:sz w:val="24"/>
                <w:szCs w:val="24"/>
                <w:lang w:val="en-US" w:eastAsia="zh-CN"/>
              </w:rPr>
              <w:t>检测服务项目，</w:t>
            </w:r>
            <w:r>
              <w:rPr>
                <w:rFonts w:hint="eastAsia"/>
                <w:color w:val="auto"/>
                <w:sz w:val="24"/>
                <w:szCs w:val="24"/>
              </w:rPr>
              <w:t>根据客户提供的</w:t>
            </w:r>
            <w:r>
              <w:rPr>
                <w:rFonts w:hint="eastAsia"/>
                <w:color w:val="auto"/>
                <w:sz w:val="24"/>
                <w:szCs w:val="24"/>
                <w:lang w:val="en-US" w:eastAsia="zh-CN"/>
              </w:rPr>
              <w:t>矿石样品或</w:t>
            </w:r>
            <w:r>
              <w:rPr>
                <w:rFonts w:hint="eastAsia"/>
                <w:color w:val="auto"/>
                <w:sz w:val="24"/>
                <w:szCs w:val="24"/>
              </w:rPr>
              <w:t>安排采样人员到项目所在地进行现场采样。样品带回实验室后，先与实验分析人员进行交接，并通过专用设备按照相关要求进行保存，确保样品有效性。实验分析时，</w:t>
            </w:r>
            <w:r>
              <w:rPr>
                <w:rFonts w:hint="eastAsia"/>
                <w:color w:val="auto"/>
                <w:sz w:val="24"/>
                <w:szCs w:val="24"/>
                <w:lang w:val="en-US" w:eastAsia="zh-CN"/>
              </w:rPr>
              <w:t>先对矿石样品进行加工，</w:t>
            </w:r>
            <w:r>
              <w:rPr>
                <w:rFonts w:hint="eastAsia"/>
                <w:color w:val="auto"/>
                <w:sz w:val="24"/>
                <w:szCs w:val="24"/>
              </w:rPr>
              <w:t>对样品进行相应的预处理，再由专业技术人员，通过专用试剂及专用设备进行实验分析，得出检测结果后由质检人员根据数据分析结果，编制检测报告。最后检测报告经相关负责人签字发送，交付客户。</w:t>
            </w:r>
          </w:p>
          <w:p w14:paraId="70369A8B">
            <w:pPr>
              <w:pStyle w:val="71"/>
              <w:snapToGrid w:val="0"/>
              <w:spacing w:line="360" w:lineRule="auto"/>
              <w:ind w:firstLine="480" w:firstLineChars="200"/>
              <w:rPr>
                <w:rFonts w:hint="eastAsia"/>
                <w:color w:val="auto"/>
                <w:sz w:val="24"/>
                <w:szCs w:val="24"/>
                <w:lang w:val="en-US" w:eastAsia="zh-CN"/>
              </w:rPr>
            </w:pPr>
            <w:r>
              <w:rPr>
                <w:rFonts w:hint="eastAsia"/>
                <w:color w:val="auto"/>
                <w:sz w:val="24"/>
                <w:szCs w:val="24"/>
                <w:lang w:eastAsia="zh-CN"/>
              </w:rPr>
              <w:t>（</w:t>
            </w:r>
            <w:r>
              <w:rPr>
                <w:rFonts w:hint="eastAsia"/>
                <w:color w:val="auto"/>
                <w:sz w:val="24"/>
                <w:szCs w:val="24"/>
                <w:lang w:val="en-US" w:eastAsia="zh-CN"/>
              </w:rPr>
              <w:t>1</w:t>
            </w:r>
            <w:r>
              <w:rPr>
                <w:rFonts w:hint="eastAsia"/>
                <w:color w:val="auto"/>
                <w:sz w:val="24"/>
                <w:szCs w:val="24"/>
                <w:lang w:eastAsia="zh-CN"/>
              </w:rPr>
              <w:t>）</w:t>
            </w:r>
            <w:r>
              <w:rPr>
                <w:rFonts w:hint="eastAsia"/>
                <w:color w:val="auto"/>
                <w:sz w:val="24"/>
                <w:szCs w:val="24"/>
                <w:lang w:val="en-US" w:eastAsia="zh-CN"/>
              </w:rPr>
              <w:t>样品加工</w:t>
            </w:r>
          </w:p>
          <w:p w14:paraId="33EC3EDC">
            <w:pPr>
              <w:pStyle w:val="71"/>
              <w:snapToGrid w:val="0"/>
              <w:spacing w:line="360" w:lineRule="auto"/>
              <w:ind w:firstLine="480" w:firstLineChars="200"/>
              <w:rPr>
                <w:rFonts w:hint="default"/>
                <w:color w:val="auto"/>
                <w:sz w:val="24"/>
                <w:szCs w:val="24"/>
                <w:lang w:val="en-US" w:eastAsia="zh-CN"/>
              </w:rPr>
            </w:pPr>
            <w:r>
              <w:rPr>
                <w:rFonts w:hint="eastAsia"/>
                <w:color w:val="auto"/>
                <w:sz w:val="24"/>
                <w:szCs w:val="24"/>
                <w:lang w:val="en-US" w:eastAsia="zh-CN"/>
              </w:rPr>
              <w:t>矿石试样经颚式破碎机、圆盘粉碎机及棒磨机进行粗破、中破、细破及研磨，将试样粉碎至200目，使样品颗粒度满足检测条件。</w:t>
            </w:r>
            <w:r>
              <w:rPr>
                <w:rFonts w:hint="eastAsia"/>
                <w:color w:val="FF0000"/>
                <w:sz w:val="24"/>
                <w:szCs w:val="24"/>
                <w:lang w:val="en-US" w:eastAsia="zh-CN"/>
              </w:rPr>
              <w:t>项目颚式破碎机、圆盘粉碎机及棒磨机均为全封闭式作业，无废气排放，每份样品经棒磨机磨细后，需对棒磨筒进行吹气清理，此过程会产生废气。</w:t>
            </w:r>
          </w:p>
          <w:p w14:paraId="54720877">
            <w:pPr>
              <w:pStyle w:val="71"/>
              <w:snapToGrid w:val="0"/>
              <w:spacing w:line="360" w:lineRule="auto"/>
              <w:ind w:firstLine="480" w:firstLineChars="200"/>
              <w:rPr>
                <w:rFonts w:hint="eastAsia"/>
                <w:color w:val="auto"/>
                <w:sz w:val="24"/>
                <w:szCs w:val="24"/>
                <w:lang w:val="en-US" w:eastAsia="zh-CN"/>
              </w:rPr>
            </w:pPr>
            <w:r>
              <w:rPr>
                <w:rFonts w:hint="eastAsia"/>
                <w:color w:val="auto"/>
                <w:sz w:val="24"/>
                <w:szCs w:val="24"/>
                <w:lang w:val="en-US" w:eastAsia="zh-CN"/>
              </w:rPr>
              <w:t>（2）样品预处理</w:t>
            </w:r>
          </w:p>
          <w:p w14:paraId="75461A1E">
            <w:pPr>
              <w:pStyle w:val="71"/>
              <w:snapToGrid w:val="0"/>
              <w:spacing w:line="360" w:lineRule="auto"/>
              <w:ind w:firstLine="480" w:firstLineChars="200"/>
              <w:rPr>
                <w:rFonts w:hint="eastAsia"/>
                <w:color w:val="auto"/>
                <w:sz w:val="24"/>
                <w:szCs w:val="24"/>
                <w:lang w:val="en-US" w:eastAsia="zh-CN"/>
              </w:rPr>
            </w:pPr>
            <w:r>
              <w:rPr>
                <w:rFonts w:hint="eastAsia"/>
                <w:color w:val="auto"/>
                <w:sz w:val="24"/>
                <w:szCs w:val="24"/>
                <w:lang w:val="en-US" w:eastAsia="zh-CN"/>
              </w:rPr>
              <w:t>对磨矿样品进行无机前处理，在检测室中进行，采用酸、碱对样品进行消解。消解过程在通风橱中进行。</w:t>
            </w:r>
          </w:p>
          <w:p w14:paraId="0EE496FE">
            <w:pPr>
              <w:pStyle w:val="71"/>
              <w:snapToGrid w:val="0"/>
              <w:spacing w:line="360" w:lineRule="auto"/>
              <w:ind w:firstLine="480" w:firstLineChars="200"/>
              <w:rPr>
                <w:rFonts w:hint="eastAsia"/>
                <w:color w:val="auto"/>
                <w:sz w:val="24"/>
                <w:szCs w:val="24"/>
                <w:lang w:val="en-US" w:eastAsia="zh-CN"/>
              </w:rPr>
            </w:pPr>
            <w:r>
              <w:rPr>
                <w:rFonts w:hint="eastAsia"/>
                <w:color w:val="auto"/>
                <w:sz w:val="24"/>
                <w:szCs w:val="24"/>
                <w:lang w:val="en-US" w:eastAsia="zh-CN"/>
              </w:rPr>
              <w:t>（3）样品检测</w:t>
            </w:r>
          </w:p>
          <w:p w14:paraId="4E9DCFDC">
            <w:pPr>
              <w:pStyle w:val="71"/>
              <w:snapToGrid w:val="0"/>
              <w:spacing w:line="360" w:lineRule="auto"/>
              <w:ind w:firstLine="480" w:firstLineChars="200"/>
              <w:rPr>
                <w:rFonts w:hint="default"/>
                <w:color w:val="auto"/>
                <w:sz w:val="24"/>
                <w:szCs w:val="24"/>
                <w:lang w:val="en-US" w:eastAsia="zh-CN"/>
              </w:rPr>
            </w:pPr>
            <w:r>
              <w:rPr>
                <w:rFonts w:hint="default"/>
                <w:color w:val="auto"/>
                <w:sz w:val="24"/>
                <w:szCs w:val="24"/>
                <w:lang w:val="en-US" w:eastAsia="zh-CN"/>
              </w:rPr>
              <w:t>样品分析</w:t>
            </w:r>
            <w:r>
              <w:rPr>
                <w:rFonts w:hint="eastAsia"/>
                <w:color w:val="auto"/>
                <w:sz w:val="24"/>
                <w:szCs w:val="24"/>
                <w:lang w:val="en-US" w:eastAsia="zh-CN"/>
              </w:rPr>
              <w:t>检测使用</w:t>
            </w:r>
            <w:r>
              <w:rPr>
                <w:rFonts w:hint="default"/>
                <w:color w:val="auto"/>
                <w:sz w:val="24"/>
                <w:szCs w:val="24"/>
                <w:lang w:val="en-US" w:eastAsia="zh-CN"/>
              </w:rPr>
              <w:t>分光光度计，分光光度计法在</w:t>
            </w:r>
            <w:r>
              <w:rPr>
                <w:rFonts w:hint="eastAsia"/>
                <w:color w:val="auto"/>
                <w:sz w:val="24"/>
                <w:szCs w:val="24"/>
                <w:lang w:val="en-US" w:eastAsia="zh-CN"/>
              </w:rPr>
              <w:t>测试室</w:t>
            </w:r>
            <w:r>
              <w:rPr>
                <w:rFonts w:hint="default"/>
                <w:color w:val="auto"/>
                <w:sz w:val="24"/>
                <w:szCs w:val="24"/>
                <w:lang w:val="en-US" w:eastAsia="zh-CN"/>
              </w:rPr>
              <w:t>中完成。</w:t>
            </w:r>
          </w:p>
          <w:p w14:paraId="626B7122">
            <w:pPr>
              <w:pStyle w:val="71"/>
              <w:snapToGrid w:val="0"/>
              <w:spacing w:line="360" w:lineRule="auto"/>
              <w:ind w:firstLine="480" w:firstLineChars="200"/>
              <w:rPr>
                <w:rFonts w:hint="eastAsia"/>
                <w:color w:val="auto"/>
                <w:sz w:val="24"/>
                <w:szCs w:val="24"/>
                <w:lang w:val="en-US" w:eastAsia="zh-CN"/>
              </w:rPr>
            </w:pPr>
            <w:r>
              <w:rPr>
                <w:rFonts w:hint="eastAsia"/>
                <w:color w:val="auto"/>
                <w:sz w:val="24"/>
                <w:szCs w:val="24"/>
                <w:lang w:val="en-US" w:eastAsia="zh-CN"/>
              </w:rPr>
              <w:t>（4）分析结果、编制报告</w:t>
            </w:r>
          </w:p>
          <w:p w14:paraId="125B584F">
            <w:pPr>
              <w:pStyle w:val="71"/>
              <w:snapToGrid w:val="0"/>
              <w:spacing w:line="360" w:lineRule="auto"/>
              <w:ind w:firstLine="480" w:firstLineChars="200"/>
              <w:rPr>
                <w:rFonts w:hint="eastAsia"/>
                <w:color w:val="auto"/>
                <w:sz w:val="24"/>
                <w:szCs w:val="24"/>
              </w:rPr>
            </w:pPr>
            <w:r>
              <w:rPr>
                <w:rFonts w:hint="eastAsia"/>
                <w:color w:val="auto"/>
                <w:sz w:val="24"/>
                <w:szCs w:val="24"/>
              </w:rPr>
              <w:t>由质检人员根据数据分析结果，编制检测报告。</w:t>
            </w:r>
            <w:r>
              <w:rPr>
                <w:rFonts w:hint="eastAsia"/>
                <w:color w:val="auto"/>
                <w:sz w:val="24"/>
                <w:szCs w:val="24"/>
                <w:lang w:val="en-US" w:eastAsia="zh-CN"/>
              </w:rPr>
              <w:t>项目</w:t>
            </w:r>
            <w:r>
              <w:rPr>
                <w:rFonts w:hint="eastAsia"/>
                <w:color w:val="auto"/>
                <w:sz w:val="24"/>
                <w:szCs w:val="24"/>
              </w:rPr>
              <w:t>工艺流程及产污环节见下图：</w:t>
            </w:r>
          </w:p>
          <w:p w14:paraId="73A8C942">
            <w:pPr>
              <w:pStyle w:val="71"/>
              <w:snapToGrid w:val="0"/>
              <w:spacing w:line="240" w:lineRule="auto"/>
              <w:jc w:val="center"/>
              <w:rPr>
                <w:rFonts w:hint="eastAsia" w:eastAsia="宋体"/>
                <w:color w:val="auto"/>
                <w:lang w:eastAsia="zh-CN"/>
              </w:rPr>
            </w:pPr>
            <w:r>
              <w:rPr>
                <w:rFonts w:hint="eastAsia" w:eastAsia="宋体"/>
                <w:color w:val="auto"/>
                <w:szCs w:val="21"/>
                <w:lang w:val="en-US" w:eastAsia="zh-CN"/>
              </w:rPr>
              <w:drawing>
                <wp:inline distT="0" distB="0" distL="114300" distR="114300">
                  <wp:extent cx="5411470" cy="1374775"/>
                  <wp:effectExtent l="0" t="0" r="13970" b="12065"/>
                  <wp:docPr id="49" name="F360BE8B-6686-4F3D-AEAF-501FE73E4058-1" descr="绘图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F360BE8B-6686-4F3D-AEAF-501FE73E4058-1" descr="绘图1"/>
                          <pic:cNvPicPr>
                            <a:picLocks noChangeAspect="1"/>
                          </pic:cNvPicPr>
                        </pic:nvPicPr>
                        <pic:blipFill>
                          <a:blip r:embed="rId22"/>
                          <a:stretch>
                            <a:fillRect/>
                          </a:stretch>
                        </pic:blipFill>
                        <pic:spPr>
                          <a:xfrm>
                            <a:off x="0" y="0"/>
                            <a:ext cx="5411470" cy="1374775"/>
                          </a:xfrm>
                          <a:prstGeom prst="rect">
                            <a:avLst/>
                          </a:prstGeom>
                          <a:noFill/>
                          <a:ln>
                            <a:noFill/>
                          </a:ln>
                        </pic:spPr>
                      </pic:pic>
                    </a:graphicData>
                  </a:graphic>
                </wp:inline>
              </w:drawing>
            </w:r>
          </w:p>
          <w:p w14:paraId="7BCFA93B">
            <w:pPr>
              <w:pStyle w:val="71"/>
              <w:snapToGrid w:val="0"/>
              <w:spacing w:line="360" w:lineRule="auto"/>
              <w:jc w:val="center"/>
              <w:rPr>
                <w:rFonts w:hint="eastAsia"/>
                <w:b/>
                <w:color w:val="auto"/>
                <w:szCs w:val="21"/>
              </w:rPr>
            </w:pPr>
            <w:r>
              <w:rPr>
                <w:rFonts w:hint="eastAsia"/>
                <w:b/>
                <w:color w:val="auto"/>
                <w:szCs w:val="21"/>
              </w:rPr>
              <w:t>图2</w:t>
            </w:r>
            <w:r>
              <w:rPr>
                <w:b/>
                <w:color w:val="auto"/>
                <w:szCs w:val="21"/>
              </w:rPr>
              <w:t>-</w:t>
            </w:r>
            <w:r>
              <w:rPr>
                <w:rFonts w:hint="eastAsia"/>
                <w:b/>
                <w:color w:val="auto"/>
                <w:szCs w:val="21"/>
                <w:lang w:val="en-US" w:eastAsia="zh-CN"/>
              </w:rPr>
              <w:t>3</w:t>
            </w:r>
            <w:r>
              <w:rPr>
                <w:b/>
                <w:color w:val="auto"/>
                <w:szCs w:val="21"/>
              </w:rPr>
              <w:t xml:space="preserve">   </w:t>
            </w:r>
            <w:r>
              <w:rPr>
                <w:rFonts w:hint="eastAsia"/>
                <w:b/>
                <w:color w:val="auto"/>
                <w:szCs w:val="21"/>
              </w:rPr>
              <w:t>运营期工艺流程及产排污环节图</w:t>
            </w:r>
          </w:p>
          <w:p w14:paraId="4BA55986">
            <w:pPr>
              <w:pStyle w:val="10"/>
              <w:adjustRightInd w:val="0"/>
              <w:snapToGrid w:val="0"/>
              <w:spacing w:line="360" w:lineRule="auto"/>
              <w:jc w:val="both"/>
              <w:rPr>
                <w:color w:val="auto"/>
                <w:szCs w:val="24"/>
              </w:rPr>
            </w:pPr>
            <w:r>
              <w:rPr>
                <w:b/>
                <w:color w:val="auto"/>
                <w:szCs w:val="24"/>
              </w:rPr>
              <w:t xml:space="preserve">2.2 </w:t>
            </w:r>
            <w:r>
              <w:rPr>
                <w:rFonts w:hint="eastAsia"/>
                <w:b/>
                <w:color w:val="auto"/>
                <w:szCs w:val="24"/>
              </w:rPr>
              <w:t>产污环节分析</w:t>
            </w:r>
          </w:p>
          <w:p w14:paraId="17648C4D">
            <w:pPr>
              <w:pStyle w:val="10"/>
              <w:snapToGrid w:val="0"/>
              <w:spacing w:line="360" w:lineRule="auto"/>
              <w:ind w:firstLine="480" w:firstLineChars="200"/>
              <w:jc w:val="both"/>
              <w:rPr>
                <w:rFonts w:hint="eastAsia"/>
                <w:color w:val="auto"/>
                <w:szCs w:val="24"/>
              </w:rPr>
            </w:pPr>
            <w:r>
              <w:rPr>
                <w:rFonts w:hint="eastAsia"/>
                <w:color w:val="auto"/>
                <w:szCs w:val="24"/>
              </w:rPr>
              <w:t>通过分析本项目生产工艺及其辅助设施，本项目产污环节分析汇总如下</w:t>
            </w:r>
            <w:r>
              <w:rPr>
                <w:rFonts w:hint="eastAsia"/>
                <w:color w:val="auto"/>
                <w:szCs w:val="24"/>
                <w:lang w:val="en-US" w:eastAsia="zh-CN"/>
              </w:rPr>
              <w:t>表所示</w:t>
            </w:r>
            <w:r>
              <w:rPr>
                <w:rFonts w:hint="eastAsia"/>
                <w:color w:val="auto"/>
                <w:szCs w:val="24"/>
              </w:rPr>
              <w:t>：</w:t>
            </w:r>
          </w:p>
          <w:p w14:paraId="2678CB65">
            <w:pPr>
              <w:pStyle w:val="90"/>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b/>
                <w:bCs/>
                <w:color w:val="auto"/>
                <w:sz w:val="21"/>
                <w:szCs w:val="21"/>
                <w:shd w:val="clear" w:color="auto" w:fill="auto"/>
                <w:lang w:val="en-US" w:eastAsia="zh-CN"/>
              </w:rPr>
              <w:t>表2-</w:t>
            </w:r>
            <w:r>
              <w:rPr>
                <w:rFonts w:hint="eastAsia" w:cs="Times New Roman"/>
                <w:b/>
                <w:bCs/>
                <w:color w:val="auto"/>
                <w:sz w:val="21"/>
                <w:szCs w:val="21"/>
                <w:shd w:val="clear" w:color="auto" w:fill="auto"/>
                <w:lang w:val="en-US" w:eastAsia="zh-CN"/>
              </w:rPr>
              <w:t>7</w:t>
            </w:r>
            <w:r>
              <w:rPr>
                <w:rFonts w:hint="eastAsia" w:ascii="Times New Roman" w:hAnsi="Times New Roman" w:eastAsia="宋体" w:cs="Times New Roman"/>
                <w:b/>
                <w:bCs/>
                <w:color w:val="auto"/>
                <w:sz w:val="21"/>
                <w:szCs w:val="21"/>
                <w:shd w:val="clear" w:color="auto" w:fill="auto"/>
                <w:lang w:val="en-US" w:eastAsia="zh-CN"/>
              </w:rPr>
              <w:t xml:space="preserve">  </w:t>
            </w:r>
            <w:r>
              <w:rPr>
                <w:rFonts w:hint="eastAsia" w:cs="Times New Roman"/>
                <w:b/>
                <w:bCs/>
                <w:color w:val="auto"/>
                <w:sz w:val="21"/>
                <w:szCs w:val="21"/>
                <w:shd w:val="clear" w:color="auto" w:fill="auto"/>
                <w:lang w:val="en-US" w:eastAsia="zh-CN"/>
              </w:rPr>
              <w:t>运营</w:t>
            </w:r>
            <w:r>
              <w:rPr>
                <w:rFonts w:hint="eastAsia" w:ascii="Times New Roman" w:hAnsi="Times New Roman" w:eastAsia="宋体" w:cs="Times New Roman"/>
                <w:b/>
                <w:bCs/>
                <w:color w:val="auto"/>
                <w:sz w:val="21"/>
                <w:szCs w:val="21"/>
                <w:shd w:val="clear" w:color="auto" w:fill="auto"/>
                <w:lang w:val="en-US" w:eastAsia="zh-CN"/>
              </w:rPr>
              <w:t>期主要污染工序一览表</w:t>
            </w:r>
          </w:p>
          <w:tbl>
            <w:tblPr>
              <w:tblStyle w:val="28"/>
              <w:tblW w:w="92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31"/>
              <w:gridCol w:w="1069"/>
              <w:gridCol w:w="1872"/>
              <w:gridCol w:w="2970"/>
              <w:gridCol w:w="2282"/>
            </w:tblGrid>
            <w:tr w14:paraId="602BD1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558" w:type="pct"/>
                  <w:noWrap w:val="0"/>
                  <w:vAlign w:val="center"/>
                </w:tcPr>
                <w:p w14:paraId="083259C0">
                  <w:pPr>
                    <w:pStyle w:val="21"/>
                    <w:keepNext w:val="0"/>
                    <w:keepLines w:val="0"/>
                    <w:suppressLineNumbers w:val="0"/>
                    <w:spacing w:before="0" w:beforeAutospacing="0" w:after="0" w:afterAutospacing="0"/>
                    <w:ind w:left="0" w:leftChars="0" w:right="0" w:firstLine="0" w:firstLineChars="0"/>
                    <w:jc w:val="center"/>
                    <w:rPr>
                      <w:rFonts w:hint="eastAsia"/>
                      <w:b w:val="0"/>
                      <w:bCs w:val="0"/>
                      <w:color w:val="auto"/>
                      <w:szCs w:val="21"/>
                    </w:rPr>
                  </w:pPr>
                  <w:r>
                    <w:rPr>
                      <w:rFonts w:hint="eastAsia"/>
                      <w:b w:val="0"/>
                      <w:bCs w:val="0"/>
                      <w:color w:val="auto"/>
                      <w:szCs w:val="21"/>
                    </w:rPr>
                    <w:t>类别</w:t>
                  </w:r>
                </w:p>
              </w:tc>
              <w:tc>
                <w:tcPr>
                  <w:tcW w:w="1594" w:type="pct"/>
                  <w:gridSpan w:val="2"/>
                  <w:noWrap w:val="0"/>
                  <w:vAlign w:val="center"/>
                </w:tcPr>
                <w:p w14:paraId="4A439129">
                  <w:pPr>
                    <w:pStyle w:val="21"/>
                    <w:keepNext w:val="0"/>
                    <w:keepLines w:val="0"/>
                    <w:suppressLineNumbers w:val="0"/>
                    <w:spacing w:before="0" w:beforeAutospacing="0" w:after="0" w:afterAutospacing="0"/>
                    <w:ind w:left="0" w:leftChars="0" w:right="0" w:firstLine="0" w:firstLineChars="0"/>
                    <w:jc w:val="center"/>
                    <w:rPr>
                      <w:rFonts w:hint="eastAsia"/>
                      <w:b w:val="0"/>
                      <w:bCs w:val="0"/>
                      <w:color w:val="auto"/>
                      <w:szCs w:val="21"/>
                    </w:rPr>
                  </w:pPr>
                  <w:r>
                    <w:rPr>
                      <w:rFonts w:hint="eastAsia"/>
                      <w:b w:val="0"/>
                      <w:bCs w:val="0"/>
                      <w:color w:val="auto"/>
                      <w:szCs w:val="21"/>
                    </w:rPr>
                    <w:t>污染源</w:t>
                  </w:r>
                </w:p>
              </w:tc>
              <w:tc>
                <w:tcPr>
                  <w:tcW w:w="1609" w:type="pct"/>
                  <w:noWrap w:val="0"/>
                  <w:vAlign w:val="center"/>
                </w:tcPr>
                <w:p w14:paraId="1321A113">
                  <w:pPr>
                    <w:pStyle w:val="21"/>
                    <w:keepNext w:val="0"/>
                    <w:keepLines w:val="0"/>
                    <w:suppressLineNumbers w:val="0"/>
                    <w:spacing w:before="0" w:beforeAutospacing="0" w:after="0" w:afterAutospacing="0"/>
                    <w:ind w:left="0" w:leftChars="0" w:right="0" w:firstLine="0" w:firstLineChars="0"/>
                    <w:jc w:val="center"/>
                    <w:rPr>
                      <w:rFonts w:hint="eastAsia"/>
                      <w:b w:val="0"/>
                      <w:bCs w:val="0"/>
                      <w:color w:val="auto"/>
                      <w:szCs w:val="21"/>
                    </w:rPr>
                  </w:pPr>
                  <w:r>
                    <w:rPr>
                      <w:rFonts w:hint="eastAsia"/>
                      <w:b w:val="0"/>
                      <w:bCs w:val="0"/>
                      <w:color w:val="auto"/>
                      <w:szCs w:val="21"/>
                    </w:rPr>
                    <w:t>污染因子</w:t>
                  </w:r>
                </w:p>
              </w:tc>
              <w:tc>
                <w:tcPr>
                  <w:tcW w:w="1236" w:type="pct"/>
                  <w:noWrap w:val="0"/>
                  <w:vAlign w:val="center"/>
                </w:tcPr>
                <w:p w14:paraId="72B11FD5">
                  <w:pPr>
                    <w:pStyle w:val="21"/>
                    <w:keepNext w:val="0"/>
                    <w:keepLines w:val="0"/>
                    <w:suppressLineNumbers w:val="0"/>
                    <w:spacing w:before="0" w:beforeAutospacing="0" w:after="0" w:afterAutospacing="0"/>
                    <w:ind w:left="0" w:leftChars="0" w:right="0" w:firstLine="0" w:firstLineChars="0"/>
                    <w:jc w:val="center"/>
                    <w:rPr>
                      <w:rFonts w:hint="eastAsia" w:eastAsia="宋体"/>
                      <w:b w:val="0"/>
                      <w:bCs w:val="0"/>
                      <w:color w:val="auto"/>
                      <w:szCs w:val="21"/>
                      <w:lang w:eastAsia="zh-CN"/>
                    </w:rPr>
                  </w:pPr>
                  <w:r>
                    <w:rPr>
                      <w:rFonts w:hint="eastAsia"/>
                      <w:b w:val="0"/>
                      <w:bCs w:val="0"/>
                      <w:color w:val="auto"/>
                      <w:szCs w:val="21"/>
                      <w:lang w:val="en-US" w:eastAsia="zh-CN"/>
                    </w:rPr>
                    <w:t>备注</w:t>
                  </w:r>
                </w:p>
              </w:tc>
            </w:tr>
            <w:tr w14:paraId="62A42E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558" w:type="pct"/>
                  <w:vMerge w:val="restart"/>
                  <w:noWrap w:val="0"/>
                  <w:vAlign w:val="center"/>
                </w:tcPr>
                <w:p w14:paraId="6759397A">
                  <w:pPr>
                    <w:pStyle w:val="21"/>
                    <w:keepNext w:val="0"/>
                    <w:keepLines w:val="0"/>
                    <w:suppressLineNumbers w:val="0"/>
                    <w:spacing w:before="0" w:beforeAutospacing="0" w:after="0" w:afterAutospacing="0"/>
                    <w:ind w:left="0" w:leftChars="0" w:right="0" w:firstLine="0" w:firstLineChars="0"/>
                    <w:jc w:val="center"/>
                    <w:rPr>
                      <w:rFonts w:hint="eastAsia"/>
                      <w:color w:val="auto"/>
                      <w:szCs w:val="21"/>
                    </w:rPr>
                  </w:pPr>
                  <w:r>
                    <w:rPr>
                      <w:rFonts w:hint="eastAsia"/>
                      <w:color w:val="auto"/>
                      <w:szCs w:val="21"/>
                    </w:rPr>
                    <w:t>废气</w:t>
                  </w:r>
                </w:p>
              </w:tc>
              <w:tc>
                <w:tcPr>
                  <w:tcW w:w="1594" w:type="pct"/>
                  <w:gridSpan w:val="2"/>
                  <w:noWrap w:val="0"/>
                  <w:vAlign w:val="center"/>
                </w:tcPr>
                <w:p w14:paraId="497768DD">
                  <w:pPr>
                    <w:pStyle w:val="21"/>
                    <w:keepNext w:val="0"/>
                    <w:keepLines w:val="0"/>
                    <w:suppressLineNumbers w:val="0"/>
                    <w:spacing w:before="0" w:beforeAutospacing="0" w:after="0" w:afterAutospacing="0"/>
                    <w:ind w:left="0" w:leftChars="0" w:right="0" w:firstLine="0" w:firstLineChars="0"/>
                    <w:jc w:val="center"/>
                    <w:rPr>
                      <w:rFonts w:hint="default" w:eastAsia="宋体"/>
                      <w:color w:val="auto"/>
                      <w:szCs w:val="21"/>
                      <w:lang w:val="en-US" w:eastAsia="zh-CN"/>
                    </w:rPr>
                  </w:pPr>
                  <w:r>
                    <w:rPr>
                      <w:rFonts w:hint="eastAsia" w:eastAsia="宋体"/>
                      <w:color w:val="auto"/>
                      <w:szCs w:val="21"/>
                      <w:lang w:val="en-US" w:eastAsia="zh-CN"/>
                    </w:rPr>
                    <w:t>样品加工</w:t>
                  </w:r>
                  <w:r>
                    <w:rPr>
                      <w:rFonts w:hint="eastAsia" w:eastAsia="宋体"/>
                      <w:color w:val="FF0000"/>
                      <w:szCs w:val="21"/>
                      <w:lang w:val="en-US" w:eastAsia="zh-CN"/>
                    </w:rPr>
                    <w:t>（棒磨筒</w:t>
                  </w:r>
                  <w:r>
                    <w:rPr>
                      <w:rFonts w:hint="eastAsia"/>
                      <w:color w:val="FF0000"/>
                      <w:szCs w:val="21"/>
                      <w:lang w:val="en-US" w:eastAsia="zh-CN"/>
                    </w:rPr>
                    <w:t>吹气清理</w:t>
                  </w:r>
                  <w:r>
                    <w:rPr>
                      <w:rFonts w:hint="eastAsia" w:eastAsia="宋体"/>
                      <w:color w:val="FF0000"/>
                      <w:szCs w:val="21"/>
                      <w:lang w:val="en-US" w:eastAsia="zh-CN"/>
                    </w:rPr>
                    <w:t>）</w:t>
                  </w:r>
                </w:p>
              </w:tc>
              <w:tc>
                <w:tcPr>
                  <w:tcW w:w="1609" w:type="pct"/>
                  <w:noWrap w:val="0"/>
                  <w:vAlign w:val="center"/>
                </w:tcPr>
                <w:p w14:paraId="6CFFC24C">
                  <w:pPr>
                    <w:pStyle w:val="21"/>
                    <w:keepNext w:val="0"/>
                    <w:keepLines w:val="0"/>
                    <w:suppressLineNumbers w:val="0"/>
                    <w:spacing w:before="0" w:beforeAutospacing="0" w:after="0" w:afterAutospacing="0"/>
                    <w:ind w:left="0" w:leftChars="0" w:right="0" w:firstLine="0" w:firstLineChars="0"/>
                    <w:jc w:val="center"/>
                    <w:rPr>
                      <w:rFonts w:hint="default" w:eastAsia="宋体"/>
                      <w:color w:val="auto"/>
                      <w:szCs w:val="21"/>
                      <w:lang w:val="en-US" w:eastAsia="zh-CN"/>
                    </w:rPr>
                  </w:pPr>
                  <w:r>
                    <w:rPr>
                      <w:rFonts w:hint="eastAsia"/>
                      <w:color w:val="auto"/>
                      <w:szCs w:val="21"/>
                      <w:lang w:val="en-US" w:eastAsia="zh-CN"/>
                    </w:rPr>
                    <w:t>颗粒物</w:t>
                  </w:r>
                </w:p>
              </w:tc>
              <w:tc>
                <w:tcPr>
                  <w:tcW w:w="1236" w:type="pct"/>
                  <w:noWrap w:val="0"/>
                  <w:vAlign w:val="center"/>
                </w:tcPr>
                <w:p w14:paraId="6078A566">
                  <w:pPr>
                    <w:pStyle w:val="21"/>
                    <w:keepNext w:val="0"/>
                    <w:keepLines w:val="0"/>
                    <w:suppressLineNumbers w:val="0"/>
                    <w:spacing w:before="0" w:beforeAutospacing="0" w:after="0" w:afterAutospacing="0"/>
                    <w:ind w:left="0" w:leftChars="0" w:right="0" w:firstLine="0" w:firstLineChars="0"/>
                    <w:jc w:val="center"/>
                    <w:rPr>
                      <w:rFonts w:hint="default" w:eastAsia="宋体"/>
                      <w:color w:val="auto"/>
                      <w:szCs w:val="21"/>
                      <w:lang w:val="en-US" w:eastAsia="zh-CN"/>
                    </w:rPr>
                  </w:pPr>
                  <w:r>
                    <w:rPr>
                      <w:rFonts w:hint="eastAsia"/>
                      <w:color w:val="FF0000"/>
                      <w:szCs w:val="21"/>
                      <w:lang w:val="en-US" w:eastAsia="zh-CN"/>
                    </w:rPr>
                    <w:t>通风橱+布袋除尘器处理后回用于吹气清理</w:t>
                  </w:r>
                </w:p>
              </w:tc>
            </w:tr>
            <w:tr w14:paraId="2415AA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558" w:type="pct"/>
                  <w:vMerge w:val="continue"/>
                  <w:noWrap w:val="0"/>
                  <w:vAlign w:val="center"/>
                </w:tcPr>
                <w:p w14:paraId="0A617085">
                  <w:pPr>
                    <w:pStyle w:val="21"/>
                    <w:keepNext w:val="0"/>
                    <w:keepLines w:val="0"/>
                    <w:suppressLineNumbers w:val="0"/>
                    <w:spacing w:before="0" w:beforeAutospacing="0" w:after="0" w:afterAutospacing="0"/>
                    <w:ind w:left="0" w:leftChars="0" w:right="0" w:firstLine="0" w:firstLineChars="0"/>
                    <w:jc w:val="center"/>
                    <w:rPr>
                      <w:rFonts w:hint="eastAsia"/>
                      <w:color w:val="auto"/>
                      <w:szCs w:val="21"/>
                    </w:rPr>
                  </w:pPr>
                </w:p>
              </w:tc>
              <w:tc>
                <w:tcPr>
                  <w:tcW w:w="1594" w:type="pct"/>
                  <w:gridSpan w:val="2"/>
                  <w:noWrap w:val="0"/>
                  <w:vAlign w:val="center"/>
                </w:tcPr>
                <w:p w14:paraId="3282FCCD">
                  <w:pPr>
                    <w:pStyle w:val="21"/>
                    <w:keepNext w:val="0"/>
                    <w:keepLines w:val="0"/>
                    <w:suppressLineNumbers w:val="0"/>
                    <w:spacing w:before="0" w:beforeAutospacing="0" w:after="0" w:afterAutospacing="0"/>
                    <w:ind w:left="0" w:leftChars="0" w:right="0" w:firstLine="0" w:firstLineChars="0"/>
                    <w:jc w:val="center"/>
                    <w:rPr>
                      <w:rFonts w:hint="default" w:eastAsia="宋体"/>
                      <w:color w:val="auto"/>
                      <w:szCs w:val="21"/>
                      <w:lang w:val="en-US" w:eastAsia="zh-CN"/>
                    </w:rPr>
                  </w:pPr>
                  <w:r>
                    <w:rPr>
                      <w:rFonts w:hint="eastAsia" w:eastAsia="宋体"/>
                      <w:color w:val="auto"/>
                      <w:szCs w:val="21"/>
                      <w:lang w:val="en-US" w:eastAsia="zh-CN"/>
                    </w:rPr>
                    <w:t>检测实验（无机处理、样品检测）</w:t>
                  </w:r>
                </w:p>
              </w:tc>
              <w:tc>
                <w:tcPr>
                  <w:tcW w:w="1609" w:type="pct"/>
                  <w:noWrap w:val="0"/>
                  <w:vAlign w:val="center"/>
                </w:tcPr>
                <w:p w14:paraId="7A7B65AA">
                  <w:pPr>
                    <w:pStyle w:val="21"/>
                    <w:keepNext w:val="0"/>
                    <w:keepLines w:val="0"/>
                    <w:suppressLineNumbers w:val="0"/>
                    <w:spacing w:before="0" w:beforeAutospacing="0" w:after="0" w:afterAutospacing="0"/>
                    <w:ind w:left="0" w:leftChars="0" w:right="0" w:firstLine="0" w:firstLineChars="0"/>
                    <w:jc w:val="center"/>
                    <w:rPr>
                      <w:rFonts w:hint="eastAsia" w:eastAsia="宋体"/>
                      <w:color w:val="auto"/>
                      <w:szCs w:val="21"/>
                      <w:lang w:val="en-US" w:eastAsia="zh-CN"/>
                    </w:rPr>
                  </w:pPr>
                  <w:r>
                    <w:rPr>
                      <w:rFonts w:hint="eastAsia" w:eastAsia="宋体"/>
                      <w:color w:val="auto"/>
                      <w:szCs w:val="21"/>
                      <w:lang w:val="en-US" w:eastAsia="zh-CN"/>
                    </w:rPr>
                    <w:t>酸雾（HCl、硫酸雾、硝酸雾、氢氟酸等）；氨</w:t>
                  </w:r>
                </w:p>
              </w:tc>
              <w:tc>
                <w:tcPr>
                  <w:tcW w:w="1236" w:type="pct"/>
                  <w:noWrap w:val="0"/>
                  <w:vAlign w:val="center"/>
                </w:tcPr>
                <w:p w14:paraId="5B7A3ADC">
                  <w:pPr>
                    <w:keepNext w:val="0"/>
                    <w:keepLines w:val="0"/>
                    <w:suppressLineNumbers w:val="0"/>
                    <w:spacing w:before="0" w:beforeAutospacing="0" w:after="0" w:afterAutospacing="0"/>
                    <w:ind w:left="0" w:leftChars="0" w:right="0" w:firstLine="0" w:firstLineChars="0"/>
                    <w:jc w:val="center"/>
                    <w:rPr>
                      <w:rFonts w:hint="eastAsia"/>
                      <w:color w:val="auto"/>
                      <w:szCs w:val="21"/>
                    </w:rPr>
                  </w:pPr>
                  <w:r>
                    <w:rPr>
                      <w:rFonts w:hint="eastAsia"/>
                      <w:color w:val="auto"/>
                      <w:szCs w:val="21"/>
                      <w:lang w:val="en-US" w:eastAsia="zh-CN"/>
                    </w:rPr>
                    <w:t>通风橱+废气管道+碱喷淋塔+15m排气筒</w:t>
                  </w:r>
                </w:p>
              </w:tc>
            </w:tr>
            <w:tr w14:paraId="02134A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558" w:type="pct"/>
                  <w:vMerge w:val="restart"/>
                  <w:noWrap w:val="0"/>
                  <w:vAlign w:val="center"/>
                </w:tcPr>
                <w:p w14:paraId="1FACA47A">
                  <w:pPr>
                    <w:pStyle w:val="21"/>
                    <w:keepNext w:val="0"/>
                    <w:keepLines w:val="0"/>
                    <w:suppressLineNumbers w:val="0"/>
                    <w:spacing w:before="0" w:beforeAutospacing="0" w:after="0" w:afterAutospacing="0"/>
                    <w:ind w:left="0" w:leftChars="0" w:right="0" w:firstLine="0" w:firstLineChars="0"/>
                    <w:jc w:val="center"/>
                    <w:rPr>
                      <w:rFonts w:hint="eastAsia" w:eastAsia="宋体"/>
                      <w:color w:val="auto"/>
                      <w:szCs w:val="21"/>
                      <w:lang w:val="en-US" w:eastAsia="zh-CN"/>
                    </w:rPr>
                  </w:pPr>
                  <w:r>
                    <w:rPr>
                      <w:rFonts w:hint="eastAsia"/>
                      <w:color w:val="auto"/>
                      <w:szCs w:val="21"/>
                      <w:lang w:val="en-US" w:eastAsia="zh-CN"/>
                    </w:rPr>
                    <w:t>废水</w:t>
                  </w:r>
                </w:p>
              </w:tc>
              <w:tc>
                <w:tcPr>
                  <w:tcW w:w="1594" w:type="pct"/>
                  <w:gridSpan w:val="2"/>
                  <w:noWrap w:val="0"/>
                  <w:vAlign w:val="center"/>
                </w:tcPr>
                <w:p w14:paraId="09DCC753">
                  <w:pPr>
                    <w:keepNext w:val="0"/>
                    <w:keepLines w:val="0"/>
                    <w:widowControl/>
                    <w:suppressLineNumbers w:val="0"/>
                    <w:snapToGrid w:val="0"/>
                    <w:spacing w:before="0" w:beforeAutospacing="0" w:after="0" w:afterAutospacing="0"/>
                    <w:ind w:left="0" w:leftChars="0" w:right="0" w:rightChars="0"/>
                    <w:jc w:val="center"/>
                    <w:rPr>
                      <w:rFonts w:hint="default"/>
                      <w:color w:val="auto"/>
                      <w:kern w:val="2"/>
                      <w:sz w:val="21"/>
                      <w:szCs w:val="24"/>
                      <w:lang w:val="en-US" w:eastAsia="zh-CN" w:bidi="ar-SA"/>
                    </w:rPr>
                  </w:pPr>
                  <w:r>
                    <w:rPr>
                      <w:rFonts w:hint="eastAsia"/>
                      <w:color w:val="auto"/>
                      <w:kern w:val="2"/>
                      <w:sz w:val="21"/>
                      <w:szCs w:val="24"/>
                      <w:lang w:val="en-US" w:eastAsia="zh-CN" w:bidi="ar-SA"/>
                    </w:rPr>
                    <w:t>生活污水</w:t>
                  </w:r>
                </w:p>
              </w:tc>
              <w:tc>
                <w:tcPr>
                  <w:tcW w:w="1609" w:type="pct"/>
                  <w:noWrap w:val="0"/>
                  <w:vAlign w:val="center"/>
                </w:tcPr>
                <w:p w14:paraId="5509B587">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kern w:val="2"/>
                      <w:sz w:val="21"/>
                      <w:szCs w:val="21"/>
                      <w:lang w:val="en-US" w:eastAsia="zh-CN" w:bidi="ar-SA"/>
                    </w:rPr>
                  </w:pPr>
                  <w:r>
                    <w:rPr>
                      <w:rFonts w:hint="default"/>
                      <w:color w:val="auto"/>
                      <w:kern w:val="2"/>
                      <w:sz w:val="21"/>
                      <w:szCs w:val="21"/>
                      <w:lang w:val="en-US" w:eastAsia="zh-CN" w:bidi="ar-SA"/>
                    </w:rPr>
                    <w:t>COD、BOD</w:t>
                  </w:r>
                  <w:r>
                    <w:rPr>
                      <w:rFonts w:hint="default"/>
                      <w:color w:val="auto"/>
                      <w:kern w:val="2"/>
                      <w:sz w:val="21"/>
                      <w:szCs w:val="21"/>
                      <w:vertAlign w:val="subscript"/>
                      <w:lang w:val="en-US" w:eastAsia="zh-CN" w:bidi="ar-SA"/>
                    </w:rPr>
                    <w:t>5</w:t>
                  </w:r>
                  <w:r>
                    <w:rPr>
                      <w:rFonts w:hint="default"/>
                      <w:color w:val="auto"/>
                      <w:kern w:val="2"/>
                      <w:sz w:val="21"/>
                      <w:szCs w:val="21"/>
                      <w:lang w:val="en-US" w:eastAsia="zh-CN" w:bidi="ar-SA"/>
                    </w:rPr>
                    <w:t>、SS、NH</w:t>
                  </w:r>
                  <w:r>
                    <w:rPr>
                      <w:rFonts w:hint="default"/>
                      <w:color w:val="auto"/>
                      <w:kern w:val="2"/>
                      <w:sz w:val="21"/>
                      <w:szCs w:val="21"/>
                      <w:vertAlign w:val="subscript"/>
                      <w:lang w:val="en-US" w:eastAsia="zh-CN" w:bidi="ar-SA"/>
                    </w:rPr>
                    <w:t>3</w:t>
                  </w:r>
                  <w:r>
                    <w:rPr>
                      <w:rFonts w:hint="default"/>
                      <w:color w:val="auto"/>
                      <w:kern w:val="2"/>
                      <w:sz w:val="21"/>
                      <w:szCs w:val="21"/>
                      <w:lang w:val="en-US" w:eastAsia="zh-CN" w:bidi="ar-SA"/>
                    </w:rPr>
                    <w:t>-N</w:t>
                  </w:r>
                </w:p>
              </w:tc>
              <w:tc>
                <w:tcPr>
                  <w:tcW w:w="1236" w:type="pct"/>
                  <w:noWrap w:val="0"/>
                  <w:vAlign w:val="center"/>
                </w:tcPr>
                <w:p w14:paraId="5E55747C">
                  <w:pPr>
                    <w:keepNext w:val="0"/>
                    <w:keepLines w:val="0"/>
                    <w:suppressLineNumbers w:val="0"/>
                    <w:spacing w:before="0" w:beforeAutospacing="0" w:after="0" w:afterAutospacing="0"/>
                    <w:ind w:left="0" w:leftChars="0" w:right="0" w:rightChars="0" w:firstLine="0" w:firstLineChars="0"/>
                    <w:jc w:val="center"/>
                    <w:rPr>
                      <w:rFonts w:hint="default"/>
                      <w:color w:val="auto"/>
                      <w:kern w:val="2"/>
                      <w:sz w:val="21"/>
                      <w:szCs w:val="21"/>
                      <w:lang w:val="en-US" w:eastAsia="zh-CN" w:bidi="ar-SA"/>
                    </w:rPr>
                  </w:pPr>
                  <w:r>
                    <w:rPr>
                      <w:rFonts w:hint="eastAsia"/>
                      <w:color w:val="0000FF"/>
                      <w:szCs w:val="21"/>
                      <w:lang w:val="en-US" w:eastAsia="zh-CN"/>
                    </w:rPr>
                    <w:t>排入租用厂房已建化粪池</w:t>
                  </w:r>
                </w:p>
              </w:tc>
            </w:tr>
            <w:tr w14:paraId="326218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558" w:type="pct"/>
                  <w:vMerge w:val="continue"/>
                  <w:noWrap w:val="0"/>
                  <w:vAlign w:val="center"/>
                </w:tcPr>
                <w:p w14:paraId="3B93668D">
                  <w:pPr>
                    <w:pStyle w:val="21"/>
                    <w:keepNext w:val="0"/>
                    <w:keepLines w:val="0"/>
                    <w:suppressLineNumbers w:val="0"/>
                    <w:spacing w:before="0" w:beforeAutospacing="0" w:after="0" w:afterAutospacing="0"/>
                    <w:ind w:left="0" w:leftChars="0" w:right="0" w:firstLine="0" w:firstLineChars="0"/>
                    <w:jc w:val="center"/>
                    <w:rPr>
                      <w:rFonts w:hint="eastAsia"/>
                      <w:color w:val="auto"/>
                      <w:szCs w:val="21"/>
                      <w:lang w:val="en-US" w:eastAsia="zh-CN"/>
                    </w:rPr>
                  </w:pPr>
                </w:p>
              </w:tc>
              <w:tc>
                <w:tcPr>
                  <w:tcW w:w="1594" w:type="pct"/>
                  <w:gridSpan w:val="2"/>
                  <w:shd w:val="clear" w:color="auto" w:fill="auto"/>
                  <w:noWrap w:val="0"/>
                  <w:vAlign w:val="center"/>
                </w:tcPr>
                <w:p w14:paraId="34A2F8C4">
                  <w:pPr>
                    <w:keepNext w:val="0"/>
                    <w:keepLines w:val="0"/>
                    <w:widowControl/>
                    <w:suppressLineNumbers w:val="0"/>
                    <w:snapToGrid w:val="0"/>
                    <w:spacing w:before="0" w:beforeAutospacing="0" w:after="0" w:afterAutospacing="0"/>
                    <w:ind w:left="0" w:leftChars="0" w:right="0" w:rightChars="0"/>
                    <w:jc w:val="center"/>
                    <w:rPr>
                      <w:rFonts w:hint="default"/>
                      <w:color w:val="auto"/>
                      <w:kern w:val="2"/>
                      <w:sz w:val="21"/>
                      <w:szCs w:val="24"/>
                      <w:lang w:val="en-US" w:eastAsia="zh-CN" w:bidi="ar-SA"/>
                    </w:rPr>
                  </w:pPr>
                  <w:r>
                    <w:rPr>
                      <w:rFonts w:hint="eastAsia"/>
                      <w:color w:val="auto"/>
                      <w:kern w:val="2"/>
                      <w:sz w:val="21"/>
                      <w:szCs w:val="24"/>
                      <w:lang w:val="en-US" w:eastAsia="zh-CN" w:bidi="ar-SA"/>
                    </w:rPr>
                    <w:t>纯水制备浓水</w:t>
                  </w:r>
                </w:p>
              </w:tc>
              <w:tc>
                <w:tcPr>
                  <w:tcW w:w="1609" w:type="pct"/>
                  <w:shd w:val="clear" w:color="auto" w:fill="auto"/>
                  <w:noWrap w:val="0"/>
                  <w:vAlign w:val="center"/>
                </w:tcPr>
                <w:p w14:paraId="1909B079">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eastAsia"/>
                      <w:color w:val="auto"/>
                      <w:kern w:val="2"/>
                      <w:sz w:val="21"/>
                      <w:szCs w:val="21"/>
                      <w:lang w:val="en-US" w:eastAsia="zh-CN" w:bidi="ar-SA"/>
                    </w:rPr>
                  </w:pPr>
                  <w:r>
                    <w:rPr>
                      <w:rFonts w:hint="eastAsia"/>
                      <w:color w:val="auto"/>
                      <w:kern w:val="2"/>
                      <w:sz w:val="21"/>
                      <w:szCs w:val="21"/>
                      <w:lang w:val="en-US" w:eastAsia="zh-CN" w:bidi="ar-SA"/>
                    </w:rPr>
                    <w:t>COD、SS</w:t>
                  </w:r>
                </w:p>
              </w:tc>
              <w:tc>
                <w:tcPr>
                  <w:tcW w:w="1236" w:type="pct"/>
                  <w:noWrap w:val="0"/>
                  <w:vAlign w:val="center"/>
                </w:tcPr>
                <w:p w14:paraId="50A7AC93">
                  <w:pPr>
                    <w:keepNext w:val="0"/>
                    <w:keepLines w:val="0"/>
                    <w:suppressLineNumbers w:val="0"/>
                    <w:spacing w:before="0" w:beforeAutospacing="0" w:after="0" w:afterAutospacing="0"/>
                    <w:ind w:left="0" w:leftChars="0" w:right="0" w:rightChars="0" w:firstLine="0" w:firstLineChars="0"/>
                    <w:jc w:val="center"/>
                    <w:rPr>
                      <w:rFonts w:hint="eastAsia"/>
                      <w:color w:val="auto"/>
                      <w:kern w:val="2"/>
                      <w:sz w:val="21"/>
                      <w:szCs w:val="21"/>
                      <w:lang w:val="en-US" w:eastAsia="zh-CN" w:bidi="ar-SA"/>
                    </w:rPr>
                  </w:pPr>
                  <w:r>
                    <w:rPr>
                      <w:rFonts w:hint="eastAsia"/>
                      <w:color w:val="0000FF"/>
                      <w:szCs w:val="21"/>
                      <w:lang w:val="en-US" w:eastAsia="zh-CN"/>
                    </w:rPr>
                    <w:t>排入废水池</w:t>
                  </w:r>
                </w:p>
              </w:tc>
            </w:tr>
            <w:tr w14:paraId="5A3636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558" w:type="pct"/>
                  <w:vMerge w:val="continue"/>
                  <w:noWrap w:val="0"/>
                  <w:vAlign w:val="center"/>
                </w:tcPr>
                <w:p w14:paraId="02D09E34">
                  <w:pPr>
                    <w:pStyle w:val="21"/>
                    <w:keepNext w:val="0"/>
                    <w:keepLines w:val="0"/>
                    <w:suppressLineNumbers w:val="0"/>
                    <w:spacing w:before="0" w:beforeAutospacing="0" w:after="0" w:afterAutospacing="0"/>
                    <w:ind w:left="0" w:leftChars="0" w:right="0" w:firstLine="0" w:firstLineChars="0"/>
                    <w:jc w:val="center"/>
                    <w:rPr>
                      <w:rFonts w:hint="eastAsia"/>
                      <w:color w:val="auto"/>
                      <w:szCs w:val="21"/>
                      <w:lang w:val="en-US" w:eastAsia="zh-CN"/>
                    </w:rPr>
                  </w:pPr>
                </w:p>
              </w:tc>
              <w:tc>
                <w:tcPr>
                  <w:tcW w:w="1594" w:type="pct"/>
                  <w:gridSpan w:val="2"/>
                  <w:noWrap w:val="0"/>
                  <w:vAlign w:val="center"/>
                </w:tcPr>
                <w:p w14:paraId="66EA8FF3">
                  <w:pPr>
                    <w:keepNext w:val="0"/>
                    <w:keepLines w:val="0"/>
                    <w:widowControl/>
                    <w:suppressLineNumbers w:val="0"/>
                    <w:snapToGrid w:val="0"/>
                    <w:spacing w:before="0" w:beforeAutospacing="0" w:after="0" w:afterAutospacing="0"/>
                    <w:ind w:left="0" w:right="0"/>
                    <w:jc w:val="center"/>
                    <w:rPr>
                      <w:rFonts w:hint="default"/>
                      <w:color w:val="FF0000"/>
                      <w:lang w:val="en-US" w:eastAsia="zh-CN"/>
                    </w:rPr>
                  </w:pPr>
                  <w:r>
                    <w:rPr>
                      <w:rFonts w:hint="eastAsia"/>
                      <w:color w:val="FF0000"/>
                      <w:lang w:val="en-US" w:eastAsia="zh-CN"/>
                    </w:rPr>
                    <w:t>实验分析废液</w:t>
                  </w:r>
                </w:p>
              </w:tc>
              <w:tc>
                <w:tcPr>
                  <w:tcW w:w="1609" w:type="pct"/>
                  <w:noWrap w:val="0"/>
                  <w:vAlign w:val="center"/>
                </w:tcPr>
                <w:p w14:paraId="0F26E847">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outlineLvl w:val="9"/>
                    <w:rPr>
                      <w:rFonts w:hint="eastAsia"/>
                      <w:color w:val="FF0000"/>
                      <w:kern w:val="2"/>
                      <w:sz w:val="21"/>
                      <w:szCs w:val="21"/>
                      <w:lang w:val="en-US" w:eastAsia="zh-CN" w:bidi="ar-SA"/>
                    </w:rPr>
                  </w:pPr>
                  <w:r>
                    <w:rPr>
                      <w:rFonts w:hint="default"/>
                      <w:color w:val="FF0000"/>
                      <w:kern w:val="2"/>
                      <w:sz w:val="21"/>
                      <w:szCs w:val="21"/>
                      <w:lang w:val="en-US" w:eastAsia="zh-CN" w:bidi="ar-SA"/>
                    </w:rPr>
                    <w:t>COD、BOD</w:t>
                  </w:r>
                  <w:r>
                    <w:rPr>
                      <w:rFonts w:hint="default"/>
                      <w:color w:val="FF0000"/>
                      <w:kern w:val="2"/>
                      <w:sz w:val="21"/>
                      <w:szCs w:val="21"/>
                      <w:vertAlign w:val="subscript"/>
                      <w:lang w:val="en-US" w:eastAsia="zh-CN" w:bidi="ar-SA"/>
                    </w:rPr>
                    <w:t>5</w:t>
                  </w:r>
                  <w:r>
                    <w:rPr>
                      <w:rFonts w:hint="default"/>
                      <w:color w:val="FF0000"/>
                      <w:kern w:val="2"/>
                      <w:sz w:val="21"/>
                      <w:szCs w:val="21"/>
                      <w:lang w:val="en-US" w:eastAsia="zh-CN" w:bidi="ar-SA"/>
                    </w:rPr>
                    <w:t>、SS、NH</w:t>
                  </w:r>
                  <w:r>
                    <w:rPr>
                      <w:rFonts w:hint="default"/>
                      <w:color w:val="FF0000"/>
                      <w:kern w:val="2"/>
                      <w:sz w:val="21"/>
                      <w:szCs w:val="21"/>
                      <w:vertAlign w:val="subscript"/>
                      <w:lang w:val="en-US" w:eastAsia="zh-CN" w:bidi="ar-SA"/>
                    </w:rPr>
                    <w:t>3</w:t>
                  </w:r>
                  <w:r>
                    <w:rPr>
                      <w:rFonts w:hint="default"/>
                      <w:color w:val="FF0000"/>
                      <w:kern w:val="2"/>
                      <w:sz w:val="21"/>
                      <w:szCs w:val="21"/>
                      <w:lang w:val="en-US" w:eastAsia="zh-CN" w:bidi="ar-SA"/>
                    </w:rPr>
                    <w:t>-N</w:t>
                  </w:r>
                </w:p>
              </w:tc>
              <w:tc>
                <w:tcPr>
                  <w:tcW w:w="1236" w:type="pct"/>
                  <w:noWrap w:val="0"/>
                  <w:vAlign w:val="center"/>
                </w:tcPr>
                <w:p w14:paraId="57F69472">
                  <w:pPr>
                    <w:keepNext w:val="0"/>
                    <w:keepLines w:val="0"/>
                    <w:suppressLineNumbers w:val="0"/>
                    <w:spacing w:before="0" w:beforeAutospacing="0" w:after="0" w:afterAutospacing="0"/>
                    <w:ind w:left="0" w:leftChars="0" w:right="0" w:firstLine="0" w:firstLineChars="0"/>
                    <w:jc w:val="center"/>
                    <w:rPr>
                      <w:rFonts w:hint="default" w:eastAsia="宋体"/>
                      <w:color w:val="FF0000"/>
                      <w:szCs w:val="21"/>
                      <w:lang w:val="en-US" w:eastAsia="zh-CN"/>
                    </w:rPr>
                  </w:pPr>
                  <w:r>
                    <w:rPr>
                      <w:rFonts w:hint="eastAsia"/>
                      <w:color w:val="FF0000"/>
                      <w:szCs w:val="21"/>
                      <w:lang w:val="en-US" w:eastAsia="zh-CN"/>
                    </w:rPr>
                    <w:t>作为危废处置</w:t>
                  </w:r>
                </w:p>
              </w:tc>
            </w:tr>
            <w:tr w14:paraId="4A07A4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558" w:type="pct"/>
                  <w:vMerge w:val="continue"/>
                  <w:noWrap w:val="0"/>
                  <w:vAlign w:val="center"/>
                </w:tcPr>
                <w:p w14:paraId="0FEC4BB5">
                  <w:pPr>
                    <w:pStyle w:val="21"/>
                    <w:keepNext w:val="0"/>
                    <w:keepLines w:val="0"/>
                    <w:suppressLineNumbers w:val="0"/>
                    <w:spacing w:before="0" w:beforeAutospacing="0" w:after="0" w:afterAutospacing="0"/>
                    <w:ind w:left="0" w:leftChars="0" w:right="0" w:firstLine="0" w:firstLineChars="0"/>
                    <w:jc w:val="center"/>
                    <w:rPr>
                      <w:rFonts w:hint="eastAsia"/>
                      <w:color w:val="auto"/>
                      <w:szCs w:val="21"/>
                      <w:lang w:val="en-US" w:eastAsia="zh-CN"/>
                    </w:rPr>
                  </w:pPr>
                </w:p>
              </w:tc>
              <w:tc>
                <w:tcPr>
                  <w:tcW w:w="579" w:type="pct"/>
                  <w:vMerge w:val="restart"/>
                  <w:noWrap w:val="0"/>
                  <w:vAlign w:val="center"/>
                </w:tcPr>
                <w:p w14:paraId="536EC9BA">
                  <w:pPr>
                    <w:keepNext w:val="0"/>
                    <w:keepLines w:val="0"/>
                    <w:widowControl/>
                    <w:suppressLineNumbers w:val="0"/>
                    <w:snapToGrid w:val="0"/>
                    <w:spacing w:before="0" w:beforeAutospacing="0" w:after="0" w:afterAutospacing="0"/>
                    <w:ind w:left="0" w:right="0"/>
                    <w:jc w:val="center"/>
                    <w:rPr>
                      <w:rFonts w:hint="default"/>
                      <w:color w:val="FF0000"/>
                      <w:lang w:val="en-US" w:eastAsia="zh-CN"/>
                    </w:rPr>
                  </w:pPr>
                  <w:r>
                    <w:rPr>
                      <w:rFonts w:hint="eastAsia"/>
                      <w:color w:val="FF0000"/>
                      <w:lang w:val="en-US" w:eastAsia="zh-CN"/>
                    </w:rPr>
                    <w:t>实验器具清洗废水</w:t>
                  </w:r>
                </w:p>
              </w:tc>
              <w:tc>
                <w:tcPr>
                  <w:tcW w:w="1014" w:type="pct"/>
                  <w:noWrap w:val="0"/>
                  <w:vAlign w:val="center"/>
                </w:tcPr>
                <w:p w14:paraId="6A3750EA">
                  <w:pPr>
                    <w:keepNext w:val="0"/>
                    <w:keepLines w:val="0"/>
                    <w:widowControl/>
                    <w:suppressLineNumbers w:val="0"/>
                    <w:snapToGrid w:val="0"/>
                    <w:spacing w:before="0" w:beforeAutospacing="0" w:after="0" w:afterAutospacing="0"/>
                    <w:ind w:left="0" w:right="0"/>
                    <w:jc w:val="center"/>
                    <w:rPr>
                      <w:rFonts w:hint="default"/>
                      <w:color w:val="FF0000"/>
                      <w:lang w:val="en-US" w:eastAsia="zh-CN"/>
                    </w:rPr>
                  </w:pPr>
                  <w:r>
                    <w:rPr>
                      <w:rFonts w:hint="eastAsia"/>
                      <w:color w:val="FF0000"/>
                      <w:lang w:val="en-US" w:eastAsia="zh-CN"/>
                    </w:rPr>
                    <w:t>初段清洗废水</w:t>
                  </w:r>
                </w:p>
              </w:tc>
              <w:tc>
                <w:tcPr>
                  <w:tcW w:w="1609" w:type="pct"/>
                  <w:noWrap w:val="0"/>
                  <w:vAlign w:val="center"/>
                </w:tcPr>
                <w:p w14:paraId="677FED8D">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outlineLvl w:val="9"/>
                    <w:rPr>
                      <w:rFonts w:hint="default"/>
                      <w:color w:val="FF0000"/>
                      <w:kern w:val="2"/>
                      <w:sz w:val="21"/>
                      <w:szCs w:val="21"/>
                      <w:lang w:val="en-US" w:eastAsia="zh-CN" w:bidi="ar-SA"/>
                    </w:rPr>
                  </w:pPr>
                  <w:r>
                    <w:rPr>
                      <w:rFonts w:hint="default"/>
                      <w:color w:val="FF0000"/>
                      <w:kern w:val="2"/>
                      <w:sz w:val="21"/>
                      <w:szCs w:val="21"/>
                      <w:lang w:val="en-US" w:eastAsia="zh-CN" w:bidi="ar-SA"/>
                    </w:rPr>
                    <w:t>COD、BOD</w:t>
                  </w:r>
                  <w:r>
                    <w:rPr>
                      <w:rFonts w:hint="default"/>
                      <w:color w:val="FF0000"/>
                      <w:kern w:val="2"/>
                      <w:sz w:val="21"/>
                      <w:szCs w:val="21"/>
                      <w:vertAlign w:val="subscript"/>
                      <w:lang w:val="en-US" w:eastAsia="zh-CN" w:bidi="ar-SA"/>
                    </w:rPr>
                    <w:t>5</w:t>
                  </w:r>
                  <w:r>
                    <w:rPr>
                      <w:rFonts w:hint="default"/>
                      <w:color w:val="FF0000"/>
                      <w:kern w:val="2"/>
                      <w:sz w:val="21"/>
                      <w:szCs w:val="21"/>
                      <w:lang w:val="en-US" w:eastAsia="zh-CN" w:bidi="ar-SA"/>
                    </w:rPr>
                    <w:t>、SS、NH</w:t>
                  </w:r>
                  <w:r>
                    <w:rPr>
                      <w:rFonts w:hint="default"/>
                      <w:color w:val="FF0000"/>
                      <w:kern w:val="2"/>
                      <w:sz w:val="21"/>
                      <w:szCs w:val="21"/>
                      <w:vertAlign w:val="subscript"/>
                      <w:lang w:val="en-US" w:eastAsia="zh-CN" w:bidi="ar-SA"/>
                    </w:rPr>
                    <w:t>3</w:t>
                  </w:r>
                  <w:r>
                    <w:rPr>
                      <w:rFonts w:hint="default"/>
                      <w:color w:val="FF0000"/>
                      <w:kern w:val="2"/>
                      <w:sz w:val="21"/>
                      <w:szCs w:val="21"/>
                      <w:lang w:val="en-US" w:eastAsia="zh-CN" w:bidi="ar-SA"/>
                    </w:rPr>
                    <w:t>-N</w:t>
                  </w:r>
                </w:p>
              </w:tc>
              <w:tc>
                <w:tcPr>
                  <w:tcW w:w="1236" w:type="pct"/>
                  <w:noWrap w:val="0"/>
                  <w:vAlign w:val="center"/>
                </w:tcPr>
                <w:p w14:paraId="14807908">
                  <w:pPr>
                    <w:keepNext w:val="0"/>
                    <w:keepLines w:val="0"/>
                    <w:suppressLineNumbers w:val="0"/>
                    <w:spacing w:before="0" w:beforeAutospacing="0" w:after="0" w:afterAutospacing="0"/>
                    <w:ind w:left="0" w:leftChars="0" w:right="0" w:firstLine="0" w:firstLineChars="0"/>
                    <w:jc w:val="center"/>
                    <w:rPr>
                      <w:rFonts w:hint="eastAsia"/>
                      <w:color w:val="FF0000"/>
                      <w:szCs w:val="21"/>
                      <w:lang w:val="en-US" w:eastAsia="zh-CN"/>
                    </w:rPr>
                  </w:pPr>
                  <w:r>
                    <w:rPr>
                      <w:rFonts w:hint="eastAsia"/>
                      <w:color w:val="FF0000"/>
                      <w:szCs w:val="21"/>
                      <w:lang w:val="en-US" w:eastAsia="zh-CN"/>
                    </w:rPr>
                    <w:t>作为危废处置</w:t>
                  </w:r>
                </w:p>
              </w:tc>
            </w:tr>
            <w:tr w14:paraId="359C53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558" w:type="pct"/>
                  <w:vMerge w:val="continue"/>
                  <w:noWrap w:val="0"/>
                  <w:vAlign w:val="center"/>
                </w:tcPr>
                <w:p w14:paraId="61F58B2C">
                  <w:pPr>
                    <w:pStyle w:val="21"/>
                    <w:keepNext w:val="0"/>
                    <w:keepLines w:val="0"/>
                    <w:suppressLineNumbers w:val="0"/>
                    <w:spacing w:before="0" w:beforeAutospacing="0" w:after="0" w:afterAutospacing="0"/>
                    <w:ind w:left="0" w:leftChars="0" w:right="0" w:firstLine="0" w:firstLineChars="0"/>
                    <w:jc w:val="center"/>
                    <w:rPr>
                      <w:rFonts w:hint="eastAsia"/>
                      <w:color w:val="auto"/>
                      <w:szCs w:val="21"/>
                      <w:lang w:val="en-US" w:eastAsia="zh-CN"/>
                    </w:rPr>
                  </w:pPr>
                </w:p>
              </w:tc>
              <w:tc>
                <w:tcPr>
                  <w:tcW w:w="579" w:type="pct"/>
                  <w:vMerge w:val="continue"/>
                  <w:noWrap w:val="0"/>
                  <w:vAlign w:val="center"/>
                </w:tcPr>
                <w:p w14:paraId="5E4FA28E">
                  <w:pPr>
                    <w:keepNext w:val="0"/>
                    <w:keepLines w:val="0"/>
                    <w:widowControl/>
                    <w:suppressLineNumbers w:val="0"/>
                    <w:snapToGrid w:val="0"/>
                    <w:spacing w:before="0" w:beforeAutospacing="0" w:after="0" w:afterAutospacing="0"/>
                    <w:ind w:left="0" w:right="0"/>
                    <w:jc w:val="center"/>
                    <w:rPr>
                      <w:rFonts w:hint="default"/>
                      <w:color w:val="auto"/>
                      <w:kern w:val="2"/>
                      <w:sz w:val="21"/>
                      <w:szCs w:val="24"/>
                      <w:lang w:val="en-US" w:eastAsia="zh-CN" w:bidi="ar-SA"/>
                    </w:rPr>
                  </w:pPr>
                </w:p>
              </w:tc>
              <w:tc>
                <w:tcPr>
                  <w:tcW w:w="1014" w:type="pct"/>
                  <w:noWrap w:val="0"/>
                  <w:vAlign w:val="center"/>
                </w:tcPr>
                <w:p w14:paraId="014A72AB">
                  <w:pPr>
                    <w:keepNext w:val="0"/>
                    <w:keepLines w:val="0"/>
                    <w:widowControl/>
                    <w:suppressLineNumbers w:val="0"/>
                    <w:snapToGrid w:val="0"/>
                    <w:spacing w:before="0" w:beforeAutospacing="0" w:after="0" w:afterAutospacing="0"/>
                    <w:ind w:left="0" w:right="0"/>
                    <w:jc w:val="center"/>
                    <w:rPr>
                      <w:rFonts w:hint="default"/>
                      <w:color w:val="auto"/>
                      <w:kern w:val="2"/>
                      <w:sz w:val="21"/>
                      <w:szCs w:val="24"/>
                      <w:lang w:val="en-US" w:eastAsia="zh-CN" w:bidi="ar-SA"/>
                    </w:rPr>
                  </w:pPr>
                  <w:r>
                    <w:rPr>
                      <w:rFonts w:hint="eastAsia"/>
                      <w:color w:val="auto"/>
                      <w:kern w:val="2"/>
                      <w:sz w:val="21"/>
                      <w:szCs w:val="24"/>
                      <w:lang w:val="en-US" w:eastAsia="zh-CN" w:bidi="ar-SA"/>
                    </w:rPr>
                    <w:t>中段清洗废水</w:t>
                  </w:r>
                </w:p>
              </w:tc>
              <w:tc>
                <w:tcPr>
                  <w:tcW w:w="1609" w:type="pct"/>
                  <w:noWrap w:val="0"/>
                  <w:vAlign w:val="center"/>
                </w:tcPr>
                <w:p w14:paraId="577C7DEE">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outlineLvl w:val="9"/>
                    <w:rPr>
                      <w:rFonts w:hint="default"/>
                      <w:color w:val="auto"/>
                      <w:kern w:val="2"/>
                      <w:sz w:val="21"/>
                      <w:szCs w:val="21"/>
                      <w:lang w:val="en-US" w:eastAsia="zh-CN" w:bidi="ar-SA"/>
                    </w:rPr>
                  </w:pPr>
                  <w:r>
                    <w:rPr>
                      <w:rFonts w:hint="default"/>
                      <w:color w:val="auto"/>
                      <w:kern w:val="2"/>
                      <w:sz w:val="21"/>
                      <w:szCs w:val="21"/>
                      <w:lang w:val="en-US" w:eastAsia="zh-CN" w:bidi="ar-SA"/>
                    </w:rPr>
                    <w:t>COD、BOD</w:t>
                  </w:r>
                  <w:r>
                    <w:rPr>
                      <w:rFonts w:hint="default"/>
                      <w:color w:val="auto"/>
                      <w:kern w:val="2"/>
                      <w:sz w:val="21"/>
                      <w:szCs w:val="21"/>
                      <w:vertAlign w:val="subscript"/>
                      <w:lang w:val="en-US" w:eastAsia="zh-CN" w:bidi="ar-SA"/>
                    </w:rPr>
                    <w:t>5</w:t>
                  </w:r>
                  <w:r>
                    <w:rPr>
                      <w:rFonts w:hint="default"/>
                      <w:color w:val="auto"/>
                      <w:kern w:val="2"/>
                      <w:sz w:val="21"/>
                      <w:szCs w:val="21"/>
                      <w:lang w:val="en-US" w:eastAsia="zh-CN" w:bidi="ar-SA"/>
                    </w:rPr>
                    <w:t>、SS、NH</w:t>
                  </w:r>
                  <w:r>
                    <w:rPr>
                      <w:rFonts w:hint="default"/>
                      <w:color w:val="auto"/>
                      <w:kern w:val="2"/>
                      <w:sz w:val="21"/>
                      <w:szCs w:val="21"/>
                      <w:vertAlign w:val="subscript"/>
                      <w:lang w:val="en-US" w:eastAsia="zh-CN" w:bidi="ar-SA"/>
                    </w:rPr>
                    <w:t>3</w:t>
                  </w:r>
                  <w:r>
                    <w:rPr>
                      <w:rFonts w:hint="default"/>
                      <w:color w:val="auto"/>
                      <w:kern w:val="2"/>
                      <w:sz w:val="21"/>
                      <w:szCs w:val="21"/>
                      <w:lang w:val="en-US" w:eastAsia="zh-CN" w:bidi="ar-SA"/>
                    </w:rPr>
                    <w:t>-N</w:t>
                  </w:r>
                </w:p>
              </w:tc>
              <w:tc>
                <w:tcPr>
                  <w:tcW w:w="1236" w:type="pct"/>
                  <w:vMerge w:val="restart"/>
                  <w:noWrap w:val="0"/>
                  <w:vAlign w:val="center"/>
                </w:tcPr>
                <w:p w14:paraId="783247F4">
                  <w:pPr>
                    <w:keepNext w:val="0"/>
                    <w:keepLines w:val="0"/>
                    <w:suppressLineNumbers w:val="0"/>
                    <w:spacing w:before="0" w:beforeAutospacing="0" w:after="0" w:afterAutospacing="0"/>
                    <w:ind w:left="0" w:leftChars="0" w:right="0" w:firstLine="0" w:firstLineChars="0"/>
                    <w:jc w:val="center"/>
                    <w:rPr>
                      <w:rFonts w:hint="default"/>
                      <w:color w:val="auto"/>
                      <w:szCs w:val="21"/>
                      <w:lang w:val="en-US"/>
                    </w:rPr>
                  </w:pPr>
                  <w:r>
                    <w:rPr>
                      <w:rFonts w:hint="eastAsia"/>
                      <w:color w:val="0000FF"/>
                      <w:szCs w:val="21"/>
                      <w:lang w:val="en-US" w:eastAsia="zh-CN"/>
                    </w:rPr>
                    <w:t>经一体化污水处理设备处理后排入废水池</w:t>
                  </w:r>
                </w:p>
              </w:tc>
            </w:tr>
            <w:tr w14:paraId="42DDED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558" w:type="pct"/>
                  <w:vMerge w:val="continue"/>
                  <w:noWrap w:val="0"/>
                  <w:vAlign w:val="center"/>
                </w:tcPr>
                <w:p w14:paraId="5F55B09A">
                  <w:pPr>
                    <w:pStyle w:val="21"/>
                    <w:keepNext w:val="0"/>
                    <w:keepLines w:val="0"/>
                    <w:suppressLineNumbers w:val="0"/>
                    <w:spacing w:before="0" w:beforeAutospacing="0" w:after="0" w:afterAutospacing="0"/>
                    <w:ind w:left="0" w:leftChars="0" w:right="0" w:firstLine="0" w:firstLineChars="0"/>
                    <w:jc w:val="center"/>
                    <w:rPr>
                      <w:rFonts w:hint="eastAsia"/>
                      <w:color w:val="auto"/>
                      <w:szCs w:val="21"/>
                      <w:lang w:val="en-US" w:eastAsia="zh-CN"/>
                    </w:rPr>
                  </w:pPr>
                </w:p>
              </w:tc>
              <w:tc>
                <w:tcPr>
                  <w:tcW w:w="579" w:type="pct"/>
                  <w:vMerge w:val="continue"/>
                  <w:noWrap w:val="0"/>
                  <w:vAlign w:val="center"/>
                </w:tcPr>
                <w:p w14:paraId="3579AE0A">
                  <w:pPr>
                    <w:keepNext w:val="0"/>
                    <w:keepLines w:val="0"/>
                    <w:widowControl/>
                    <w:suppressLineNumbers w:val="0"/>
                    <w:snapToGrid w:val="0"/>
                    <w:spacing w:before="0" w:beforeAutospacing="0" w:after="0" w:afterAutospacing="0"/>
                    <w:ind w:left="0" w:right="0"/>
                    <w:jc w:val="center"/>
                    <w:rPr>
                      <w:rFonts w:hint="eastAsia"/>
                      <w:color w:val="auto"/>
                      <w:lang w:val="en-US" w:eastAsia="zh-CN"/>
                    </w:rPr>
                  </w:pPr>
                </w:p>
              </w:tc>
              <w:tc>
                <w:tcPr>
                  <w:tcW w:w="1014" w:type="pct"/>
                  <w:noWrap w:val="0"/>
                  <w:vAlign w:val="center"/>
                </w:tcPr>
                <w:p w14:paraId="5CF11BFC">
                  <w:pPr>
                    <w:keepNext w:val="0"/>
                    <w:keepLines w:val="0"/>
                    <w:widowControl/>
                    <w:suppressLineNumbers w:val="0"/>
                    <w:snapToGrid w:val="0"/>
                    <w:spacing w:before="0" w:beforeAutospacing="0" w:after="0" w:afterAutospacing="0"/>
                    <w:ind w:left="0" w:right="0"/>
                    <w:jc w:val="center"/>
                    <w:rPr>
                      <w:rFonts w:hint="eastAsia"/>
                      <w:color w:val="auto"/>
                      <w:kern w:val="2"/>
                      <w:sz w:val="21"/>
                      <w:szCs w:val="24"/>
                      <w:lang w:val="en-US" w:eastAsia="zh-CN" w:bidi="ar-SA"/>
                    </w:rPr>
                  </w:pPr>
                  <w:r>
                    <w:rPr>
                      <w:rFonts w:hint="eastAsia"/>
                      <w:color w:val="auto"/>
                      <w:kern w:val="2"/>
                      <w:sz w:val="21"/>
                      <w:szCs w:val="24"/>
                      <w:lang w:val="en-US" w:eastAsia="zh-CN" w:bidi="ar-SA"/>
                    </w:rPr>
                    <w:t>后段清洗废水</w:t>
                  </w:r>
                </w:p>
              </w:tc>
              <w:tc>
                <w:tcPr>
                  <w:tcW w:w="1609" w:type="pct"/>
                  <w:noWrap w:val="0"/>
                  <w:vAlign w:val="center"/>
                </w:tcPr>
                <w:p w14:paraId="0169045B">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outlineLvl w:val="9"/>
                    <w:rPr>
                      <w:rFonts w:hint="eastAsia"/>
                      <w:color w:val="auto"/>
                      <w:kern w:val="2"/>
                      <w:sz w:val="21"/>
                      <w:szCs w:val="21"/>
                      <w:lang w:val="en-US" w:eastAsia="zh-CN" w:bidi="ar-SA"/>
                    </w:rPr>
                  </w:pPr>
                  <w:r>
                    <w:rPr>
                      <w:rFonts w:hint="default"/>
                      <w:color w:val="auto"/>
                      <w:kern w:val="2"/>
                      <w:sz w:val="21"/>
                      <w:szCs w:val="21"/>
                      <w:lang w:val="en-US" w:eastAsia="zh-CN" w:bidi="ar-SA"/>
                    </w:rPr>
                    <w:t>COD、BOD</w:t>
                  </w:r>
                  <w:r>
                    <w:rPr>
                      <w:rFonts w:hint="default"/>
                      <w:color w:val="auto"/>
                      <w:kern w:val="2"/>
                      <w:sz w:val="21"/>
                      <w:szCs w:val="21"/>
                      <w:vertAlign w:val="subscript"/>
                      <w:lang w:val="en-US" w:eastAsia="zh-CN" w:bidi="ar-SA"/>
                    </w:rPr>
                    <w:t>5</w:t>
                  </w:r>
                  <w:r>
                    <w:rPr>
                      <w:rFonts w:hint="default"/>
                      <w:color w:val="auto"/>
                      <w:kern w:val="2"/>
                      <w:sz w:val="21"/>
                      <w:szCs w:val="21"/>
                      <w:lang w:val="en-US" w:eastAsia="zh-CN" w:bidi="ar-SA"/>
                    </w:rPr>
                    <w:t>、SS、NH</w:t>
                  </w:r>
                  <w:r>
                    <w:rPr>
                      <w:rFonts w:hint="default"/>
                      <w:color w:val="auto"/>
                      <w:kern w:val="2"/>
                      <w:sz w:val="21"/>
                      <w:szCs w:val="21"/>
                      <w:vertAlign w:val="subscript"/>
                      <w:lang w:val="en-US" w:eastAsia="zh-CN" w:bidi="ar-SA"/>
                    </w:rPr>
                    <w:t>3</w:t>
                  </w:r>
                  <w:r>
                    <w:rPr>
                      <w:rFonts w:hint="default"/>
                      <w:color w:val="auto"/>
                      <w:kern w:val="2"/>
                      <w:sz w:val="21"/>
                      <w:szCs w:val="21"/>
                      <w:lang w:val="en-US" w:eastAsia="zh-CN" w:bidi="ar-SA"/>
                    </w:rPr>
                    <w:t>-N</w:t>
                  </w:r>
                </w:p>
              </w:tc>
              <w:tc>
                <w:tcPr>
                  <w:tcW w:w="1236" w:type="pct"/>
                  <w:vMerge w:val="continue"/>
                  <w:noWrap w:val="0"/>
                  <w:vAlign w:val="center"/>
                </w:tcPr>
                <w:p w14:paraId="4B297CFA">
                  <w:pPr>
                    <w:keepNext w:val="0"/>
                    <w:keepLines w:val="0"/>
                    <w:suppressLineNumbers w:val="0"/>
                    <w:spacing w:before="0" w:beforeAutospacing="0" w:after="0" w:afterAutospacing="0"/>
                    <w:ind w:left="0" w:leftChars="0" w:right="0" w:firstLine="0" w:firstLineChars="0"/>
                    <w:jc w:val="center"/>
                    <w:rPr>
                      <w:rFonts w:hint="eastAsia"/>
                      <w:color w:val="auto"/>
                      <w:szCs w:val="21"/>
                    </w:rPr>
                  </w:pPr>
                </w:p>
              </w:tc>
            </w:tr>
            <w:tr w14:paraId="6901C3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558" w:type="pct"/>
                  <w:vMerge w:val="continue"/>
                  <w:noWrap w:val="0"/>
                  <w:vAlign w:val="center"/>
                </w:tcPr>
                <w:p w14:paraId="1EE0935D">
                  <w:pPr>
                    <w:pStyle w:val="21"/>
                    <w:keepNext w:val="0"/>
                    <w:keepLines w:val="0"/>
                    <w:suppressLineNumbers w:val="0"/>
                    <w:spacing w:before="0" w:beforeAutospacing="0" w:after="0" w:afterAutospacing="0"/>
                    <w:ind w:left="0" w:leftChars="0" w:right="0" w:firstLine="0" w:firstLineChars="0"/>
                    <w:jc w:val="center"/>
                    <w:rPr>
                      <w:rFonts w:hint="eastAsia"/>
                      <w:color w:val="auto"/>
                      <w:szCs w:val="21"/>
                      <w:lang w:val="en-US" w:eastAsia="zh-CN"/>
                    </w:rPr>
                  </w:pPr>
                </w:p>
              </w:tc>
              <w:tc>
                <w:tcPr>
                  <w:tcW w:w="1594" w:type="pct"/>
                  <w:gridSpan w:val="2"/>
                  <w:noWrap w:val="0"/>
                  <w:vAlign w:val="center"/>
                </w:tcPr>
                <w:p w14:paraId="2746FE58">
                  <w:pPr>
                    <w:keepNext w:val="0"/>
                    <w:keepLines w:val="0"/>
                    <w:widowControl/>
                    <w:suppressLineNumbers w:val="0"/>
                    <w:snapToGrid w:val="0"/>
                    <w:spacing w:before="0" w:beforeAutospacing="0" w:after="0" w:afterAutospacing="0"/>
                    <w:ind w:left="0" w:leftChars="0" w:right="0" w:rightChars="0"/>
                    <w:jc w:val="center"/>
                    <w:rPr>
                      <w:rFonts w:hint="default"/>
                      <w:color w:val="auto"/>
                      <w:kern w:val="2"/>
                      <w:sz w:val="21"/>
                      <w:szCs w:val="24"/>
                      <w:lang w:val="en-US" w:eastAsia="zh-CN" w:bidi="ar-SA"/>
                    </w:rPr>
                  </w:pPr>
                  <w:r>
                    <w:rPr>
                      <w:rFonts w:hint="eastAsia"/>
                      <w:color w:val="auto"/>
                      <w:kern w:val="2"/>
                      <w:sz w:val="21"/>
                      <w:szCs w:val="24"/>
                      <w:lang w:val="en-US" w:eastAsia="zh-CN" w:bidi="ar-SA"/>
                    </w:rPr>
                    <w:t>喷淋塔废水</w:t>
                  </w:r>
                </w:p>
              </w:tc>
              <w:tc>
                <w:tcPr>
                  <w:tcW w:w="1609" w:type="pct"/>
                  <w:noWrap w:val="0"/>
                  <w:vAlign w:val="center"/>
                </w:tcPr>
                <w:p w14:paraId="3F4119FD">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color w:val="auto"/>
                      <w:kern w:val="2"/>
                      <w:sz w:val="21"/>
                      <w:szCs w:val="21"/>
                      <w:lang w:val="en-US" w:eastAsia="zh-CN" w:bidi="ar-SA"/>
                    </w:rPr>
                  </w:pPr>
                  <w:r>
                    <w:rPr>
                      <w:rFonts w:hint="default"/>
                      <w:color w:val="auto"/>
                      <w:kern w:val="2"/>
                      <w:sz w:val="21"/>
                      <w:szCs w:val="21"/>
                      <w:lang w:val="en-US" w:eastAsia="zh-CN" w:bidi="ar-SA"/>
                    </w:rPr>
                    <w:t>COD、SS、NH</w:t>
                  </w:r>
                  <w:r>
                    <w:rPr>
                      <w:rFonts w:hint="default"/>
                      <w:color w:val="auto"/>
                      <w:kern w:val="2"/>
                      <w:sz w:val="21"/>
                      <w:szCs w:val="21"/>
                      <w:vertAlign w:val="subscript"/>
                      <w:lang w:val="en-US" w:eastAsia="zh-CN" w:bidi="ar-SA"/>
                    </w:rPr>
                    <w:t>3</w:t>
                  </w:r>
                  <w:r>
                    <w:rPr>
                      <w:rFonts w:hint="default"/>
                      <w:color w:val="auto"/>
                      <w:kern w:val="2"/>
                      <w:sz w:val="21"/>
                      <w:szCs w:val="21"/>
                      <w:lang w:val="en-US" w:eastAsia="zh-CN" w:bidi="ar-SA"/>
                    </w:rPr>
                    <w:t>-N</w:t>
                  </w:r>
                </w:p>
              </w:tc>
              <w:tc>
                <w:tcPr>
                  <w:tcW w:w="1236" w:type="pct"/>
                  <w:vMerge w:val="continue"/>
                  <w:noWrap w:val="0"/>
                  <w:vAlign w:val="center"/>
                </w:tcPr>
                <w:p w14:paraId="371181B5">
                  <w:pPr>
                    <w:keepNext w:val="0"/>
                    <w:keepLines w:val="0"/>
                    <w:suppressLineNumbers w:val="0"/>
                    <w:spacing w:before="0" w:beforeAutospacing="0" w:after="0" w:afterAutospacing="0"/>
                    <w:ind w:left="0" w:leftChars="0" w:right="0" w:firstLine="0" w:firstLineChars="0"/>
                    <w:jc w:val="center"/>
                    <w:rPr>
                      <w:rFonts w:hint="eastAsia" w:eastAsia="宋体"/>
                      <w:color w:val="auto"/>
                      <w:szCs w:val="21"/>
                      <w:lang w:val="en-US" w:eastAsia="zh-CN"/>
                    </w:rPr>
                  </w:pPr>
                </w:p>
              </w:tc>
            </w:tr>
            <w:tr w14:paraId="0140D7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558" w:type="pct"/>
                  <w:noWrap w:val="0"/>
                  <w:vAlign w:val="center"/>
                </w:tcPr>
                <w:p w14:paraId="40593676">
                  <w:pPr>
                    <w:pStyle w:val="21"/>
                    <w:keepNext w:val="0"/>
                    <w:keepLines w:val="0"/>
                    <w:suppressLineNumbers w:val="0"/>
                    <w:spacing w:before="0" w:beforeAutospacing="0" w:after="0" w:afterAutospacing="0"/>
                    <w:ind w:left="0" w:leftChars="0" w:right="0" w:firstLine="0" w:firstLineChars="0"/>
                    <w:jc w:val="center"/>
                    <w:rPr>
                      <w:rFonts w:hint="eastAsia"/>
                      <w:color w:val="auto"/>
                      <w:szCs w:val="21"/>
                    </w:rPr>
                  </w:pPr>
                  <w:r>
                    <w:rPr>
                      <w:rFonts w:hint="eastAsia"/>
                      <w:color w:val="auto"/>
                      <w:szCs w:val="21"/>
                    </w:rPr>
                    <w:t>噪声</w:t>
                  </w:r>
                </w:p>
              </w:tc>
              <w:tc>
                <w:tcPr>
                  <w:tcW w:w="1594" w:type="pct"/>
                  <w:gridSpan w:val="2"/>
                  <w:noWrap w:val="0"/>
                  <w:vAlign w:val="center"/>
                </w:tcPr>
                <w:p w14:paraId="59FFB4F5">
                  <w:pPr>
                    <w:keepNext w:val="0"/>
                    <w:keepLines w:val="0"/>
                    <w:suppressLineNumbers w:val="0"/>
                    <w:spacing w:before="0" w:beforeAutospacing="0" w:after="0" w:afterAutospacing="0"/>
                    <w:ind w:left="0" w:right="0"/>
                    <w:jc w:val="center"/>
                    <w:rPr>
                      <w:rFonts w:hint="default" w:eastAsia="宋体"/>
                      <w:color w:val="auto"/>
                      <w:szCs w:val="21"/>
                      <w:highlight w:val="yellow"/>
                      <w:lang w:val="en-US" w:eastAsia="zh-CN"/>
                    </w:rPr>
                  </w:pPr>
                  <w:r>
                    <w:rPr>
                      <w:rFonts w:hint="eastAsia"/>
                      <w:color w:val="auto"/>
                      <w:szCs w:val="21"/>
                      <w:highlight w:val="none"/>
                      <w:lang w:val="en-US" w:eastAsia="zh-CN"/>
                    </w:rPr>
                    <w:t>破碎机、粉碎机、棒磨机等</w:t>
                  </w:r>
                </w:p>
              </w:tc>
              <w:tc>
                <w:tcPr>
                  <w:tcW w:w="1609" w:type="pct"/>
                  <w:noWrap w:val="0"/>
                  <w:vAlign w:val="center"/>
                </w:tcPr>
                <w:p w14:paraId="4243F77E">
                  <w:pPr>
                    <w:pStyle w:val="21"/>
                    <w:keepNext w:val="0"/>
                    <w:keepLines w:val="0"/>
                    <w:suppressLineNumbers w:val="0"/>
                    <w:spacing w:before="0" w:beforeAutospacing="0" w:after="0" w:afterAutospacing="0"/>
                    <w:ind w:left="0" w:leftChars="0" w:right="0" w:firstLine="0" w:firstLineChars="0"/>
                    <w:jc w:val="center"/>
                    <w:rPr>
                      <w:rFonts w:hint="eastAsia"/>
                      <w:color w:val="auto"/>
                      <w:szCs w:val="21"/>
                    </w:rPr>
                  </w:pPr>
                  <w:r>
                    <w:rPr>
                      <w:rFonts w:hint="eastAsia"/>
                      <w:color w:val="auto"/>
                      <w:szCs w:val="21"/>
                    </w:rPr>
                    <w:t>噪声</w:t>
                  </w:r>
                </w:p>
              </w:tc>
              <w:tc>
                <w:tcPr>
                  <w:tcW w:w="1236" w:type="pct"/>
                  <w:noWrap w:val="0"/>
                  <w:vAlign w:val="center"/>
                </w:tcPr>
                <w:p w14:paraId="4289A022">
                  <w:pPr>
                    <w:pStyle w:val="21"/>
                    <w:keepNext w:val="0"/>
                    <w:keepLines w:val="0"/>
                    <w:suppressLineNumbers w:val="0"/>
                    <w:spacing w:before="0" w:beforeAutospacing="0" w:after="0" w:afterAutospacing="0"/>
                    <w:ind w:left="0" w:leftChars="0" w:right="0" w:firstLine="0" w:firstLineChars="0"/>
                    <w:jc w:val="center"/>
                    <w:rPr>
                      <w:rFonts w:hint="eastAsia"/>
                      <w:color w:val="auto"/>
                      <w:szCs w:val="21"/>
                    </w:rPr>
                  </w:pPr>
                  <w:r>
                    <w:rPr>
                      <w:rFonts w:hint="eastAsia"/>
                      <w:color w:val="auto"/>
                      <w:szCs w:val="21"/>
                    </w:rPr>
                    <w:t>机械噪声</w:t>
                  </w:r>
                </w:p>
              </w:tc>
            </w:tr>
            <w:tr w14:paraId="7471D5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558" w:type="pct"/>
                  <w:vMerge w:val="restart"/>
                  <w:noWrap w:val="0"/>
                  <w:vAlign w:val="center"/>
                </w:tcPr>
                <w:p w14:paraId="4C5C2F0D">
                  <w:pPr>
                    <w:pStyle w:val="21"/>
                    <w:keepNext w:val="0"/>
                    <w:keepLines w:val="0"/>
                    <w:suppressLineNumbers w:val="0"/>
                    <w:spacing w:before="240" w:beforeLines="100" w:beforeAutospacing="0" w:after="0" w:afterAutospacing="0"/>
                    <w:ind w:left="0" w:leftChars="0" w:right="0" w:firstLine="0" w:firstLineChars="0"/>
                    <w:jc w:val="center"/>
                    <w:rPr>
                      <w:rFonts w:hint="eastAsia" w:eastAsia="宋体"/>
                      <w:color w:val="auto"/>
                      <w:szCs w:val="21"/>
                      <w:lang w:val="en-US" w:eastAsia="zh-CN"/>
                    </w:rPr>
                  </w:pPr>
                  <w:r>
                    <w:rPr>
                      <w:rFonts w:hint="eastAsia"/>
                      <w:color w:val="auto"/>
                      <w:szCs w:val="21"/>
                      <w:lang w:val="en-US" w:eastAsia="zh-CN"/>
                    </w:rPr>
                    <w:t>固废</w:t>
                  </w:r>
                </w:p>
              </w:tc>
              <w:tc>
                <w:tcPr>
                  <w:tcW w:w="1594" w:type="pct"/>
                  <w:gridSpan w:val="2"/>
                  <w:noWrap w:val="0"/>
                  <w:vAlign w:val="center"/>
                </w:tcPr>
                <w:p w14:paraId="3F03AB84">
                  <w:pPr>
                    <w:pStyle w:val="21"/>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eastAsia="宋体"/>
                      <w:color w:val="auto"/>
                      <w:szCs w:val="21"/>
                      <w:lang w:val="en-US" w:eastAsia="zh-CN"/>
                    </w:rPr>
                    <w:t>样品加工（破碎、粉碎、磨矿）</w:t>
                  </w:r>
                </w:p>
              </w:tc>
              <w:tc>
                <w:tcPr>
                  <w:tcW w:w="1609" w:type="pct"/>
                  <w:noWrap w:val="0"/>
                  <w:vAlign w:val="center"/>
                </w:tcPr>
                <w:p w14:paraId="716AEB20">
                  <w:pPr>
                    <w:pStyle w:val="21"/>
                    <w:keepNext w:val="0"/>
                    <w:keepLines w:val="0"/>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样品边角料废石</w:t>
                  </w:r>
                </w:p>
              </w:tc>
              <w:tc>
                <w:tcPr>
                  <w:tcW w:w="1236" w:type="pct"/>
                  <w:vMerge w:val="restart"/>
                  <w:noWrap w:val="0"/>
                  <w:vAlign w:val="center"/>
                </w:tcPr>
                <w:p w14:paraId="00FDE784">
                  <w:pPr>
                    <w:pStyle w:val="21"/>
                    <w:keepNext w:val="0"/>
                    <w:keepLines w:val="0"/>
                    <w:suppressLineNumbers w:val="0"/>
                    <w:spacing w:before="0" w:beforeAutospacing="0" w:after="0" w:afterAutospacing="0"/>
                    <w:ind w:left="0" w:leftChars="0" w:right="0" w:firstLine="0" w:firstLineChars="0"/>
                    <w:jc w:val="center"/>
                    <w:rPr>
                      <w:rFonts w:hint="eastAsia" w:eastAsia="宋体"/>
                      <w:color w:val="auto"/>
                      <w:szCs w:val="21"/>
                      <w:lang w:val="en-US" w:eastAsia="zh-CN"/>
                    </w:rPr>
                  </w:pPr>
                  <w:r>
                    <w:rPr>
                      <w:rFonts w:hint="eastAsia"/>
                      <w:color w:val="auto"/>
                      <w:szCs w:val="21"/>
                      <w:lang w:val="en-US" w:eastAsia="zh-CN"/>
                    </w:rPr>
                    <w:t>一般固废</w:t>
                  </w:r>
                </w:p>
              </w:tc>
            </w:tr>
            <w:tr w14:paraId="034436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558" w:type="pct"/>
                  <w:vMerge w:val="continue"/>
                  <w:noWrap w:val="0"/>
                  <w:vAlign w:val="center"/>
                </w:tcPr>
                <w:p w14:paraId="240D54CA">
                  <w:pPr>
                    <w:pStyle w:val="21"/>
                    <w:keepNext w:val="0"/>
                    <w:keepLines w:val="0"/>
                    <w:suppressLineNumbers w:val="0"/>
                    <w:spacing w:before="240" w:beforeLines="100" w:beforeAutospacing="0" w:after="0" w:afterAutospacing="0"/>
                    <w:ind w:left="0" w:leftChars="0" w:right="0" w:firstLine="0" w:firstLineChars="0"/>
                    <w:jc w:val="center"/>
                    <w:rPr>
                      <w:rFonts w:hint="eastAsia"/>
                      <w:color w:val="auto"/>
                      <w:szCs w:val="21"/>
                    </w:rPr>
                  </w:pPr>
                </w:p>
              </w:tc>
              <w:tc>
                <w:tcPr>
                  <w:tcW w:w="1594" w:type="pct"/>
                  <w:gridSpan w:val="2"/>
                  <w:shd w:val="clear" w:color="auto" w:fill="auto"/>
                  <w:noWrap w:val="0"/>
                  <w:vAlign w:val="center"/>
                </w:tcPr>
                <w:p w14:paraId="59751893">
                  <w:pPr>
                    <w:pStyle w:val="21"/>
                    <w:keepNext w:val="0"/>
                    <w:keepLines w:val="0"/>
                    <w:suppressLineNumbers w:val="0"/>
                    <w:spacing w:before="0" w:beforeAutospacing="0" w:after="0" w:afterAutospacing="0"/>
                    <w:ind w:left="0" w:leftChars="0" w:right="0" w:rightChars="0" w:firstLine="0" w:firstLineChars="0"/>
                    <w:jc w:val="center"/>
                    <w:rPr>
                      <w:rFonts w:hint="eastAsia"/>
                      <w:color w:val="auto"/>
                      <w:kern w:val="2"/>
                      <w:sz w:val="21"/>
                      <w:szCs w:val="21"/>
                      <w:lang w:val="en-US" w:eastAsia="zh-CN" w:bidi="ar-SA"/>
                    </w:rPr>
                  </w:pPr>
                  <w:r>
                    <w:rPr>
                      <w:rFonts w:hint="eastAsia"/>
                      <w:color w:val="auto"/>
                      <w:szCs w:val="21"/>
                    </w:rPr>
                    <w:t>布袋除尘器</w:t>
                  </w:r>
                </w:p>
              </w:tc>
              <w:tc>
                <w:tcPr>
                  <w:tcW w:w="1609" w:type="pct"/>
                  <w:shd w:val="clear" w:color="auto" w:fill="auto"/>
                  <w:noWrap w:val="0"/>
                  <w:vAlign w:val="center"/>
                </w:tcPr>
                <w:p w14:paraId="36A9D0EB">
                  <w:pPr>
                    <w:pStyle w:val="21"/>
                    <w:keepNext w:val="0"/>
                    <w:keepLines w:val="0"/>
                    <w:suppressLineNumbers w:val="0"/>
                    <w:spacing w:before="0" w:beforeAutospacing="0" w:after="0" w:afterAutospacing="0"/>
                    <w:ind w:left="0" w:leftChars="0" w:right="0" w:rightChars="0" w:firstLine="0" w:firstLineChars="0"/>
                    <w:jc w:val="center"/>
                    <w:rPr>
                      <w:rFonts w:hint="default"/>
                      <w:color w:val="auto"/>
                      <w:kern w:val="2"/>
                      <w:sz w:val="21"/>
                      <w:szCs w:val="21"/>
                      <w:lang w:val="en-US" w:eastAsia="zh-CN" w:bidi="ar-SA"/>
                    </w:rPr>
                  </w:pPr>
                  <w:r>
                    <w:rPr>
                      <w:rFonts w:hint="eastAsia"/>
                      <w:color w:val="auto"/>
                      <w:szCs w:val="21"/>
                    </w:rPr>
                    <w:t>布袋除尘器</w:t>
                  </w:r>
                  <w:r>
                    <w:rPr>
                      <w:rFonts w:hint="eastAsia"/>
                      <w:color w:val="auto"/>
                      <w:szCs w:val="21"/>
                      <w:lang w:val="en-US" w:eastAsia="zh-CN"/>
                    </w:rPr>
                    <w:t>收灰</w:t>
                  </w:r>
                </w:p>
              </w:tc>
              <w:tc>
                <w:tcPr>
                  <w:tcW w:w="1236" w:type="pct"/>
                  <w:vMerge w:val="continue"/>
                  <w:shd w:val="clear" w:color="auto" w:fill="auto"/>
                  <w:noWrap w:val="0"/>
                  <w:vAlign w:val="center"/>
                </w:tcPr>
                <w:p w14:paraId="1A063A26">
                  <w:pPr>
                    <w:keepNext w:val="0"/>
                    <w:keepLines w:val="0"/>
                    <w:suppressLineNumbers w:val="0"/>
                    <w:spacing w:before="0" w:beforeAutospacing="0" w:after="0" w:afterAutospacing="0"/>
                    <w:ind w:left="0" w:leftChars="0" w:right="0" w:rightChars="0" w:firstLine="0" w:firstLineChars="0"/>
                    <w:jc w:val="center"/>
                    <w:rPr>
                      <w:rFonts w:hint="eastAsia"/>
                      <w:color w:val="auto"/>
                      <w:kern w:val="2"/>
                      <w:sz w:val="21"/>
                      <w:szCs w:val="21"/>
                      <w:lang w:val="en-US" w:eastAsia="zh-CN" w:bidi="ar-SA"/>
                    </w:rPr>
                  </w:pPr>
                </w:p>
              </w:tc>
            </w:tr>
            <w:tr w14:paraId="69E717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558" w:type="pct"/>
                  <w:vMerge w:val="continue"/>
                  <w:noWrap w:val="0"/>
                  <w:vAlign w:val="center"/>
                </w:tcPr>
                <w:p w14:paraId="2CE84EF5">
                  <w:pPr>
                    <w:pStyle w:val="21"/>
                    <w:keepNext w:val="0"/>
                    <w:keepLines w:val="0"/>
                    <w:suppressLineNumbers w:val="0"/>
                    <w:spacing w:before="240" w:beforeLines="100" w:beforeAutospacing="0" w:after="0" w:afterAutospacing="0"/>
                    <w:ind w:left="0" w:leftChars="0" w:right="0" w:firstLine="0" w:firstLineChars="0"/>
                    <w:jc w:val="center"/>
                    <w:rPr>
                      <w:rFonts w:hint="eastAsia"/>
                      <w:color w:val="auto"/>
                      <w:szCs w:val="21"/>
                    </w:rPr>
                  </w:pPr>
                </w:p>
              </w:tc>
              <w:tc>
                <w:tcPr>
                  <w:tcW w:w="1594" w:type="pct"/>
                  <w:gridSpan w:val="2"/>
                  <w:shd w:val="clear" w:color="auto" w:fill="auto"/>
                  <w:noWrap w:val="0"/>
                  <w:vAlign w:val="center"/>
                </w:tcPr>
                <w:p w14:paraId="4C6397C2">
                  <w:pPr>
                    <w:pStyle w:val="21"/>
                    <w:keepNext w:val="0"/>
                    <w:keepLines w:val="0"/>
                    <w:suppressLineNumbers w:val="0"/>
                    <w:spacing w:before="0" w:beforeAutospacing="0" w:after="0" w:afterAutospacing="0"/>
                    <w:ind w:left="0" w:leftChars="0" w:right="0" w:rightChars="0" w:firstLine="0" w:firstLineChars="0"/>
                    <w:jc w:val="center"/>
                    <w:rPr>
                      <w:rFonts w:hint="default" w:eastAsia="宋体"/>
                      <w:color w:val="auto"/>
                      <w:szCs w:val="21"/>
                      <w:lang w:val="en-US" w:eastAsia="zh-CN"/>
                    </w:rPr>
                  </w:pPr>
                  <w:r>
                    <w:rPr>
                      <w:rFonts w:hint="eastAsia"/>
                      <w:color w:val="auto"/>
                      <w:szCs w:val="21"/>
                      <w:lang w:val="en-US" w:eastAsia="zh-CN"/>
                    </w:rPr>
                    <w:t>废实验室用品</w:t>
                  </w:r>
                </w:p>
              </w:tc>
              <w:tc>
                <w:tcPr>
                  <w:tcW w:w="1609" w:type="pct"/>
                  <w:shd w:val="clear" w:color="auto" w:fill="auto"/>
                  <w:noWrap w:val="0"/>
                  <w:vAlign w:val="center"/>
                </w:tcPr>
                <w:p w14:paraId="6DC13BEB">
                  <w:pPr>
                    <w:pStyle w:val="21"/>
                    <w:keepNext w:val="0"/>
                    <w:keepLines w:val="0"/>
                    <w:suppressLineNumbers w:val="0"/>
                    <w:spacing w:before="0" w:beforeAutospacing="0" w:after="0" w:afterAutospacing="0"/>
                    <w:ind w:left="0" w:leftChars="0" w:right="0" w:rightChars="0" w:firstLine="0" w:firstLineChars="0"/>
                    <w:jc w:val="center"/>
                    <w:rPr>
                      <w:rFonts w:hint="default" w:eastAsia="宋体"/>
                      <w:color w:val="auto"/>
                      <w:szCs w:val="21"/>
                      <w:lang w:val="en-US" w:eastAsia="zh-CN"/>
                    </w:rPr>
                  </w:pPr>
                  <w:r>
                    <w:rPr>
                      <w:rFonts w:hint="eastAsia"/>
                      <w:color w:val="auto"/>
                      <w:szCs w:val="21"/>
                      <w:lang w:val="en-US" w:eastAsia="zh-CN"/>
                    </w:rPr>
                    <w:t>未沾染危险特性的实验室器具</w:t>
                  </w:r>
                </w:p>
              </w:tc>
              <w:tc>
                <w:tcPr>
                  <w:tcW w:w="1236" w:type="pct"/>
                  <w:vMerge w:val="continue"/>
                  <w:shd w:val="clear" w:color="auto" w:fill="auto"/>
                  <w:noWrap w:val="0"/>
                  <w:vAlign w:val="center"/>
                </w:tcPr>
                <w:p w14:paraId="502E9FEB">
                  <w:pPr>
                    <w:keepNext w:val="0"/>
                    <w:keepLines w:val="0"/>
                    <w:suppressLineNumbers w:val="0"/>
                    <w:spacing w:before="0" w:beforeAutospacing="0" w:after="0" w:afterAutospacing="0"/>
                    <w:ind w:left="0" w:leftChars="0" w:right="0" w:rightChars="0" w:firstLine="0" w:firstLineChars="0"/>
                    <w:jc w:val="center"/>
                    <w:rPr>
                      <w:rFonts w:hint="eastAsia"/>
                      <w:color w:val="auto"/>
                      <w:kern w:val="2"/>
                      <w:sz w:val="21"/>
                      <w:szCs w:val="21"/>
                      <w:lang w:val="en-US" w:eastAsia="zh-CN" w:bidi="ar-SA"/>
                    </w:rPr>
                  </w:pPr>
                </w:p>
              </w:tc>
            </w:tr>
            <w:tr w14:paraId="75AE66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558" w:type="pct"/>
                  <w:vMerge w:val="continue"/>
                  <w:noWrap w:val="0"/>
                  <w:vAlign w:val="center"/>
                </w:tcPr>
                <w:p w14:paraId="1BDBC4FD">
                  <w:pPr>
                    <w:pStyle w:val="21"/>
                    <w:keepNext w:val="0"/>
                    <w:keepLines w:val="0"/>
                    <w:suppressLineNumbers w:val="0"/>
                    <w:spacing w:before="240" w:beforeLines="100" w:beforeAutospacing="0" w:after="0" w:afterAutospacing="0"/>
                    <w:ind w:left="0" w:leftChars="0" w:right="0" w:firstLine="0" w:firstLineChars="0"/>
                    <w:jc w:val="center"/>
                    <w:rPr>
                      <w:rFonts w:hint="eastAsia"/>
                      <w:color w:val="auto"/>
                      <w:szCs w:val="21"/>
                    </w:rPr>
                  </w:pPr>
                </w:p>
              </w:tc>
              <w:tc>
                <w:tcPr>
                  <w:tcW w:w="1594" w:type="pct"/>
                  <w:gridSpan w:val="2"/>
                  <w:shd w:val="clear" w:color="auto" w:fill="auto"/>
                  <w:noWrap w:val="0"/>
                  <w:vAlign w:val="center"/>
                </w:tcPr>
                <w:p w14:paraId="41C83578">
                  <w:pPr>
                    <w:pStyle w:val="21"/>
                    <w:keepNext w:val="0"/>
                    <w:keepLines w:val="0"/>
                    <w:suppressLineNumbers w:val="0"/>
                    <w:spacing w:before="0" w:beforeAutospacing="0" w:after="0" w:afterAutospacing="0"/>
                    <w:ind w:left="0" w:leftChars="0" w:right="0" w:rightChars="0" w:firstLine="0" w:firstLineChars="0"/>
                    <w:jc w:val="center"/>
                    <w:rPr>
                      <w:rFonts w:hint="default" w:eastAsia="宋体"/>
                      <w:color w:val="auto"/>
                      <w:kern w:val="2"/>
                      <w:sz w:val="21"/>
                      <w:szCs w:val="24"/>
                      <w:lang w:val="en-US" w:eastAsia="zh-CN" w:bidi="ar-SA"/>
                    </w:rPr>
                  </w:pPr>
                  <w:r>
                    <w:rPr>
                      <w:rFonts w:hint="eastAsia" w:eastAsia="宋体"/>
                      <w:color w:val="auto"/>
                      <w:szCs w:val="24"/>
                      <w:lang w:val="en-US" w:eastAsia="zh-CN"/>
                    </w:rPr>
                    <w:t>纯水制备</w:t>
                  </w:r>
                </w:p>
              </w:tc>
              <w:tc>
                <w:tcPr>
                  <w:tcW w:w="1609" w:type="pct"/>
                  <w:shd w:val="clear" w:color="auto" w:fill="auto"/>
                  <w:noWrap w:val="0"/>
                  <w:vAlign w:val="center"/>
                </w:tcPr>
                <w:p w14:paraId="4101C6D6">
                  <w:pPr>
                    <w:pStyle w:val="21"/>
                    <w:keepNext w:val="0"/>
                    <w:keepLines w:val="0"/>
                    <w:suppressLineNumbers w:val="0"/>
                    <w:spacing w:before="0" w:beforeAutospacing="0" w:after="0" w:afterAutospacing="0"/>
                    <w:ind w:left="0" w:leftChars="0" w:right="0" w:rightChars="0" w:firstLine="0" w:firstLineChars="0"/>
                    <w:jc w:val="center"/>
                    <w:rPr>
                      <w:rFonts w:hint="eastAsia" w:eastAsia="宋体"/>
                      <w:color w:val="auto"/>
                      <w:kern w:val="2"/>
                      <w:sz w:val="21"/>
                      <w:szCs w:val="21"/>
                      <w:lang w:val="en-US" w:eastAsia="zh-CN" w:bidi="ar-SA"/>
                    </w:rPr>
                  </w:pPr>
                  <w:r>
                    <w:rPr>
                      <w:rFonts w:hint="eastAsia" w:eastAsia="宋体"/>
                      <w:color w:val="auto"/>
                      <w:szCs w:val="21"/>
                      <w:lang w:val="en-US" w:eastAsia="zh-CN"/>
                    </w:rPr>
                    <w:t>废离子交换树脂</w:t>
                  </w:r>
                </w:p>
              </w:tc>
              <w:tc>
                <w:tcPr>
                  <w:tcW w:w="1236" w:type="pct"/>
                  <w:vMerge w:val="continue"/>
                  <w:shd w:val="clear" w:color="auto" w:fill="auto"/>
                  <w:noWrap w:val="0"/>
                  <w:vAlign w:val="center"/>
                </w:tcPr>
                <w:p w14:paraId="5768A9E9">
                  <w:pPr>
                    <w:pStyle w:val="21"/>
                    <w:keepNext w:val="0"/>
                    <w:keepLines w:val="0"/>
                    <w:suppressLineNumbers w:val="0"/>
                    <w:spacing w:before="0" w:beforeAutospacing="0" w:after="0" w:afterAutospacing="0"/>
                    <w:ind w:left="0" w:leftChars="0" w:right="0" w:rightChars="0" w:firstLine="0" w:firstLineChars="0"/>
                    <w:jc w:val="center"/>
                    <w:rPr>
                      <w:rFonts w:hint="default" w:eastAsia="宋体"/>
                      <w:color w:val="auto"/>
                      <w:kern w:val="2"/>
                      <w:sz w:val="21"/>
                      <w:szCs w:val="21"/>
                      <w:lang w:val="en-US" w:eastAsia="zh-CN" w:bidi="ar-SA"/>
                    </w:rPr>
                  </w:pPr>
                </w:p>
              </w:tc>
            </w:tr>
            <w:tr w14:paraId="789408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558" w:type="pct"/>
                  <w:vMerge w:val="continue"/>
                  <w:noWrap w:val="0"/>
                  <w:vAlign w:val="center"/>
                </w:tcPr>
                <w:p w14:paraId="26A5F8D6">
                  <w:pPr>
                    <w:pStyle w:val="21"/>
                    <w:keepNext w:val="0"/>
                    <w:keepLines w:val="0"/>
                    <w:suppressLineNumbers w:val="0"/>
                    <w:spacing w:before="240" w:beforeLines="100" w:beforeAutospacing="0" w:after="0" w:afterAutospacing="0"/>
                    <w:ind w:left="0" w:leftChars="0" w:right="0" w:firstLine="0" w:firstLineChars="0"/>
                    <w:jc w:val="center"/>
                    <w:rPr>
                      <w:rFonts w:hint="eastAsia"/>
                      <w:color w:val="auto"/>
                      <w:szCs w:val="21"/>
                    </w:rPr>
                  </w:pPr>
                </w:p>
              </w:tc>
              <w:tc>
                <w:tcPr>
                  <w:tcW w:w="1594" w:type="pct"/>
                  <w:gridSpan w:val="2"/>
                  <w:shd w:val="clear" w:color="auto" w:fill="auto"/>
                  <w:noWrap w:val="0"/>
                  <w:vAlign w:val="center"/>
                </w:tcPr>
                <w:p w14:paraId="04EE994D">
                  <w:pPr>
                    <w:pStyle w:val="21"/>
                    <w:keepNext w:val="0"/>
                    <w:keepLines w:val="0"/>
                    <w:suppressLineNumbers w:val="0"/>
                    <w:spacing w:before="0" w:beforeAutospacing="0" w:after="0" w:afterAutospacing="0"/>
                    <w:ind w:left="0" w:leftChars="0" w:right="0" w:rightChars="0" w:firstLine="0" w:firstLineChars="0"/>
                    <w:jc w:val="center"/>
                    <w:rPr>
                      <w:rFonts w:hint="eastAsia" w:eastAsia="宋体"/>
                      <w:color w:val="auto"/>
                      <w:kern w:val="2"/>
                      <w:sz w:val="21"/>
                      <w:szCs w:val="24"/>
                      <w:lang w:val="en-US" w:eastAsia="zh-CN" w:bidi="ar-SA"/>
                    </w:rPr>
                  </w:pPr>
                  <w:r>
                    <w:rPr>
                      <w:rFonts w:hint="eastAsia"/>
                      <w:color w:val="auto"/>
                      <w:szCs w:val="21"/>
                      <w:lang w:val="en-US" w:eastAsia="zh-CN"/>
                    </w:rPr>
                    <w:t>实验废液</w:t>
                  </w:r>
                </w:p>
              </w:tc>
              <w:tc>
                <w:tcPr>
                  <w:tcW w:w="1609" w:type="pct"/>
                  <w:shd w:val="clear" w:color="auto" w:fill="auto"/>
                  <w:noWrap w:val="0"/>
                  <w:vAlign w:val="center"/>
                </w:tcPr>
                <w:p w14:paraId="3334C1ED">
                  <w:pPr>
                    <w:pStyle w:val="21"/>
                    <w:keepNext w:val="0"/>
                    <w:keepLines w:val="0"/>
                    <w:suppressLineNumbers w:val="0"/>
                    <w:spacing w:before="0" w:beforeAutospacing="0" w:after="0" w:afterAutospacing="0"/>
                    <w:ind w:left="0" w:leftChars="0" w:right="0" w:rightChars="0" w:firstLine="0" w:firstLineChars="0"/>
                    <w:jc w:val="center"/>
                    <w:rPr>
                      <w:rFonts w:hint="eastAsia" w:eastAsia="宋体"/>
                      <w:color w:val="auto"/>
                      <w:kern w:val="2"/>
                      <w:sz w:val="21"/>
                      <w:szCs w:val="21"/>
                      <w:lang w:val="en-US" w:eastAsia="zh-CN" w:bidi="ar-SA"/>
                    </w:rPr>
                  </w:pPr>
                  <w:r>
                    <w:rPr>
                      <w:rFonts w:hint="eastAsia"/>
                      <w:color w:val="auto"/>
                      <w:szCs w:val="21"/>
                      <w:lang w:val="en-US" w:eastAsia="zh-CN"/>
                    </w:rPr>
                    <w:t>腐蚀性、毒性化学物质</w:t>
                  </w:r>
                </w:p>
              </w:tc>
              <w:tc>
                <w:tcPr>
                  <w:tcW w:w="1236" w:type="pct"/>
                  <w:vMerge w:val="restart"/>
                  <w:noWrap w:val="0"/>
                  <w:vAlign w:val="center"/>
                </w:tcPr>
                <w:p w14:paraId="313F96D0">
                  <w:pPr>
                    <w:keepNext w:val="0"/>
                    <w:keepLines w:val="0"/>
                    <w:suppressLineNumbers w:val="0"/>
                    <w:spacing w:before="0" w:beforeAutospacing="0" w:after="0" w:afterAutospacing="0"/>
                    <w:ind w:left="0" w:leftChars="0" w:right="0" w:firstLine="0" w:firstLineChars="0"/>
                    <w:jc w:val="center"/>
                    <w:rPr>
                      <w:rFonts w:hint="eastAsia"/>
                      <w:color w:val="auto"/>
                      <w:szCs w:val="21"/>
                      <w:lang w:val="en-US" w:eastAsia="zh-CN"/>
                    </w:rPr>
                  </w:pPr>
                  <w:r>
                    <w:rPr>
                      <w:rFonts w:hint="eastAsia"/>
                      <w:color w:val="auto"/>
                      <w:szCs w:val="21"/>
                      <w:lang w:val="en-US" w:eastAsia="zh-CN"/>
                    </w:rPr>
                    <w:t>危险废物</w:t>
                  </w:r>
                </w:p>
              </w:tc>
            </w:tr>
            <w:tr w14:paraId="2EE960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558" w:type="pct"/>
                  <w:vMerge w:val="continue"/>
                  <w:noWrap w:val="0"/>
                  <w:vAlign w:val="center"/>
                </w:tcPr>
                <w:p w14:paraId="4C2E7256">
                  <w:pPr>
                    <w:pStyle w:val="21"/>
                    <w:keepNext w:val="0"/>
                    <w:keepLines w:val="0"/>
                    <w:suppressLineNumbers w:val="0"/>
                    <w:spacing w:before="240" w:beforeLines="100" w:beforeAutospacing="0" w:after="0" w:afterAutospacing="0"/>
                    <w:ind w:left="0" w:leftChars="0" w:right="0" w:firstLine="0" w:firstLineChars="0"/>
                    <w:jc w:val="center"/>
                    <w:rPr>
                      <w:rFonts w:hint="eastAsia"/>
                      <w:color w:val="auto"/>
                      <w:szCs w:val="21"/>
                    </w:rPr>
                  </w:pPr>
                </w:p>
              </w:tc>
              <w:tc>
                <w:tcPr>
                  <w:tcW w:w="1594" w:type="pct"/>
                  <w:gridSpan w:val="2"/>
                  <w:noWrap w:val="0"/>
                  <w:vAlign w:val="center"/>
                </w:tcPr>
                <w:p w14:paraId="76BBDB99">
                  <w:pPr>
                    <w:pStyle w:val="21"/>
                    <w:keepNext w:val="0"/>
                    <w:keepLines w:val="0"/>
                    <w:suppressLineNumbers w:val="0"/>
                    <w:spacing w:before="0" w:beforeAutospacing="0" w:after="0" w:afterAutospacing="0"/>
                    <w:ind w:left="0" w:leftChars="0" w:right="0" w:rightChars="0" w:firstLine="0" w:firstLineChars="0"/>
                    <w:jc w:val="center"/>
                    <w:rPr>
                      <w:rFonts w:hint="default"/>
                      <w:color w:val="auto"/>
                      <w:szCs w:val="21"/>
                      <w:lang w:val="en-US"/>
                    </w:rPr>
                  </w:pPr>
                  <w:r>
                    <w:rPr>
                      <w:rFonts w:hint="eastAsia"/>
                      <w:color w:val="auto"/>
                      <w:szCs w:val="21"/>
                      <w:lang w:val="en-US" w:eastAsia="zh-CN"/>
                    </w:rPr>
                    <w:t>废实验用品</w:t>
                  </w:r>
                </w:p>
              </w:tc>
              <w:tc>
                <w:tcPr>
                  <w:tcW w:w="1609" w:type="pct"/>
                  <w:noWrap w:val="0"/>
                  <w:vAlign w:val="center"/>
                </w:tcPr>
                <w:p w14:paraId="0EB784C3">
                  <w:pPr>
                    <w:pStyle w:val="21"/>
                    <w:keepNext w:val="0"/>
                    <w:keepLines w:val="0"/>
                    <w:suppressLineNumbers w:val="0"/>
                    <w:spacing w:before="0" w:beforeAutospacing="0" w:after="0" w:afterAutospacing="0"/>
                    <w:ind w:left="0" w:leftChars="0" w:right="0" w:rightChars="0" w:firstLine="0" w:firstLineChars="0"/>
                    <w:jc w:val="center"/>
                    <w:rPr>
                      <w:rFonts w:hint="eastAsia"/>
                      <w:color w:val="auto"/>
                      <w:szCs w:val="21"/>
                    </w:rPr>
                  </w:pPr>
                  <w:r>
                    <w:rPr>
                      <w:rFonts w:hint="eastAsia"/>
                      <w:color w:val="auto"/>
                      <w:szCs w:val="21"/>
                      <w:lang w:val="en-US" w:eastAsia="zh-CN"/>
                    </w:rPr>
                    <w:t>沾染化学品试剂</w:t>
                  </w:r>
                </w:p>
              </w:tc>
              <w:tc>
                <w:tcPr>
                  <w:tcW w:w="1236" w:type="pct"/>
                  <w:vMerge w:val="continue"/>
                  <w:noWrap w:val="0"/>
                  <w:vAlign w:val="center"/>
                </w:tcPr>
                <w:p w14:paraId="7C1CAFB4">
                  <w:pPr>
                    <w:keepNext w:val="0"/>
                    <w:keepLines w:val="0"/>
                    <w:suppressLineNumbers w:val="0"/>
                    <w:spacing w:before="0" w:beforeAutospacing="0" w:after="0" w:afterAutospacing="0"/>
                    <w:ind w:left="0" w:leftChars="0" w:right="0" w:firstLine="0" w:firstLineChars="0"/>
                    <w:jc w:val="center"/>
                    <w:rPr>
                      <w:rFonts w:hint="eastAsia"/>
                      <w:color w:val="auto"/>
                      <w:szCs w:val="21"/>
                      <w:lang w:val="en-US" w:eastAsia="zh-CN"/>
                    </w:rPr>
                  </w:pPr>
                </w:p>
              </w:tc>
            </w:tr>
            <w:tr w14:paraId="7364FE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558" w:type="pct"/>
                  <w:vMerge w:val="continue"/>
                  <w:noWrap w:val="0"/>
                  <w:vAlign w:val="center"/>
                </w:tcPr>
                <w:p w14:paraId="223B1D45">
                  <w:pPr>
                    <w:pStyle w:val="21"/>
                    <w:keepNext w:val="0"/>
                    <w:keepLines w:val="0"/>
                    <w:suppressLineNumbers w:val="0"/>
                    <w:spacing w:before="240" w:beforeLines="100" w:beforeAutospacing="0" w:after="0" w:afterAutospacing="0"/>
                    <w:ind w:left="0" w:leftChars="0" w:right="0" w:firstLine="0" w:firstLineChars="0"/>
                    <w:jc w:val="center"/>
                    <w:rPr>
                      <w:rFonts w:hint="eastAsia"/>
                      <w:color w:val="auto"/>
                      <w:szCs w:val="21"/>
                    </w:rPr>
                  </w:pPr>
                </w:p>
              </w:tc>
              <w:tc>
                <w:tcPr>
                  <w:tcW w:w="1594" w:type="pct"/>
                  <w:gridSpan w:val="2"/>
                  <w:noWrap w:val="0"/>
                  <w:vAlign w:val="center"/>
                </w:tcPr>
                <w:p w14:paraId="4D68149C">
                  <w:pPr>
                    <w:pStyle w:val="21"/>
                    <w:keepNext w:val="0"/>
                    <w:keepLines w:val="0"/>
                    <w:suppressLineNumbers w:val="0"/>
                    <w:spacing w:before="0" w:beforeAutospacing="0" w:after="0" w:afterAutospacing="0"/>
                    <w:ind w:left="0" w:leftChars="0" w:right="0" w:rightChars="0" w:firstLine="0" w:firstLineChars="0"/>
                    <w:jc w:val="center"/>
                    <w:rPr>
                      <w:rFonts w:hint="eastAsia"/>
                      <w:color w:val="auto"/>
                      <w:szCs w:val="21"/>
                    </w:rPr>
                  </w:pPr>
                  <w:r>
                    <w:rPr>
                      <w:rFonts w:hint="eastAsia"/>
                      <w:color w:val="auto"/>
                      <w:szCs w:val="21"/>
                      <w:lang w:val="en-US" w:eastAsia="zh-CN"/>
                    </w:rPr>
                    <w:t>废试剂瓶</w:t>
                  </w:r>
                </w:p>
              </w:tc>
              <w:tc>
                <w:tcPr>
                  <w:tcW w:w="1609" w:type="pct"/>
                  <w:noWrap w:val="0"/>
                  <w:vAlign w:val="center"/>
                </w:tcPr>
                <w:p w14:paraId="0E4BB405">
                  <w:pPr>
                    <w:pStyle w:val="21"/>
                    <w:keepNext w:val="0"/>
                    <w:keepLines w:val="0"/>
                    <w:suppressLineNumbers w:val="0"/>
                    <w:spacing w:before="0" w:beforeAutospacing="0" w:after="0" w:afterAutospacing="0"/>
                    <w:ind w:left="0" w:leftChars="0" w:right="0" w:rightChars="0" w:firstLine="0" w:firstLineChars="0"/>
                    <w:jc w:val="center"/>
                    <w:rPr>
                      <w:rFonts w:hint="eastAsia"/>
                      <w:color w:val="auto"/>
                      <w:szCs w:val="21"/>
                    </w:rPr>
                  </w:pPr>
                  <w:r>
                    <w:rPr>
                      <w:rFonts w:hint="eastAsia"/>
                      <w:color w:val="auto"/>
                      <w:szCs w:val="21"/>
                      <w:lang w:val="en-US" w:eastAsia="zh-CN"/>
                    </w:rPr>
                    <w:t>实验试剂包装</w:t>
                  </w:r>
                </w:p>
              </w:tc>
              <w:tc>
                <w:tcPr>
                  <w:tcW w:w="1236" w:type="pct"/>
                  <w:vMerge w:val="continue"/>
                  <w:noWrap w:val="0"/>
                  <w:vAlign w:val="center"/>
                </w:tcPr>
                <w:p w14:paraId="1DC385E3">
                  <w:pPr>
                    <w:keepNext w:val="0"/>
                    <w:keepLines w:val="0"/>
                    <w:suppressLineNumbers w:val="0"/>
                    <w:spacing w:before="0" w:beforeAutospacing="0" w:after="0" w:afterAutospacing="0"/>
                    <w:ind w:left="0" w:leftChars="0" w:right="0" w:firstLine="0" w:firstLineChars="0"/>
                    <w:jc w:val="center"/>
                    <w:rPr>
                      <w:rFonts w:hint="eastAsia"/>
                      <w:color w:val="auto"/>
                      <w:szCs w:val="21"/>
                      <w:lang w:val="en-US" w:eastAsia="zh-CN"/>
                    </w:rPr>
                  </w:pPr>
                </w:p>
              </w:tc>
            </w:tr>
            <w:tr w14:paraId="7F204C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558" w:type="pct"/>
                  <w:vMerge w:val="continue"/>
                  <w:noWrap w:val="0"/>
                  <w:vAlign w:val="center"/>
                </w:tcPr>
                <w:p w14:paraId="70314A66">
                  <w:pPr>
                    <w:pStyle w:val="21"/>
                    <w:keepNext w:val="0"/>
                    <w:keepLines w:val="0"/>
                    <w:suppressLineNumbers w:val="0"/>
                    <w:spacing w:before="240" w:beforeLines="100" w:beforeAutospacing="0" w:after="0" w:afterAutospacing="0"/>
                    <w:ind w:left="0" w:leftChars="0" w:right="0" w:firstLine="0" w:firstLineChars="0"/>
                    <w:jc w:val="center"/>
                    <w:rPr>
                      <w:rFonts w:hint="eastAsia"/>
                      <w:color w:val="auto"/>
                      <w:szCs w:val="21"/>
                    </w:rPr>
                  </w:pPr>
                </w:p>
              </w:tc>
              <w:tc>
                <w:tcPr>
                  <w:tcW w:w="1594" w:type="pct"/>
                  <w:gridSpan w:val="2"/>
                  <w:noWrap w:val="0"/>
                  <w:vAlign w:val="center"/>
                </w:tcPr>
                <w:p w14:paraId="4453AB13">
                  <w:pPr>
                    <w:pStyle w:val="21"/>
                    <w:keepNext w:val="0"/>
                    <w:keepLines w:val="0"/>
                    <w:suppressLineNumbers w:val="0"/>
                    <w:spacing w:before="0" w:beforeAutospacing="0" w:after="0" w:afterAutospacing="0"/>
                    <w:ind w:left="0" w:leftChars="0" w:right="0" w:firstLine="0" w:firstLineChars="0"/>
                    <w:jc w:val="center"/>
                    <w:rPr>
                      <w:rFonts w:hint="default" w:eastAsia="宋体"/>
                      <w:color w:val="auto"/>
                      <w:szCs w:val="21"/>
                      <w:lang w:val="en-US" w:eastAsia="zh-CN"/>
                    </w:rPr>
                  </w:pPr>
                  <w:r>
                    <w:rPr>
                      <w:rFonts w:hint="eastAsia" w:eastAsia="宋体"/>
                      <w:color w:val="auto"/>
                      <w:szCs w:val="21"/>
                      <w:lang w:val="en-US" w:eastAsia="zh-CN"/>
                    </w:rPr>
                    <w:t>污水处理设备污泥</w:t>
                  </w:r>
                </w:p>
              </w:tc>
              <w:tc>
                <w:tcPr>
                  <w:tcW w:w="1609" w:type="pct"/>
                  <w:noWrap w:val="0"/>
                  <w:vAlign w:val="center"/>
                </w:tcPr>
                <w:p w14:paraId="4016D5D3">
                  <w:pPr>
                    <w:pStyle w:val="21"/>
                    <w:keepNext w:val="0"/>
                    <w:keepLines w:val="0"/>
                    <w:suppressLineNumbers w:val="0"/>
                    <w:spacing w:before="0" w:beforeAutospacing="0" w:after="0" w:afterAutospacing="0"/>
                    <w:ind w:left="0" w:leftChars="0" w:right="0" w:rightChars="0" w:firstLine="0" w:firstLineChars="0"/>
                    <w:jc w:val="center"/>
                    <w:rPr>
                      <w:rFonts w:hint="default" w:eastAsia="宋体"/>
                      <w:color w:val="auto"/>
                      <w:szCs w:val="21"/>
                      <w:lang w:val="en-US" w:eastAsia="zh-CN"/>
                    </w:rPr>
                  </w:pPr>
                  <w:r>
                    <w:rPr>
                      <w:rFonts w:hint="eastAsia" w:eastAsia="宋体"/>
                      <w:color w:val="auto"/>
                      <w:szCs w:val="21"/>
                      <w:lang w:val="en-US" w:eastAsia="zh-CN"/>
                    </w:rPr>
                    <w:t>污泥</w:t>
                  </w:r>
                </w:p>
              </w:tc>
              <w:tc>
                <w:tcPr>
                  <w:tcW w:w="1236" w:type="pct"/>
                  <w:vMerge w:val="continue"/>
                  <w:noWrap w:val="0"/>
                  <w:vAlign w:val="center"/>
                </w:tcPr>
                <w:p w14:paraId="432235BD">
                  <w:pPr>
                    <w:keepNext w:val="0"/>
                    <w:keepLines w:val="0"/>
                    <w:suppressLineNumbers w:val="0"/>
                    <w:spacing w:before="0" w:beforeAutospacing="0" w:after="0" w:afterAutospacing="0"/>
                    <w:ind w:left="0" w:leftChars="0" w:right="0" w:firstLine="0" w:firstLineChars="0"/>
                    <w:jc w:val="center"/>
                    <w:rPr>
                      <w:rFonts w:hint="default"/>
                      <w:color w:val="auto"/>
                      <w:szCs w:val="21"/>
                      <w:lang w:val="en-US" w:eastAsia="zh-CN"/>
                    </w:rPr>
                  </w:pPr>
                </w:p>
              </w:tc>
            </w:tr>
            <w:tr w14:paraId="46914D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558" w:type="pct"/>
                  <w:vMerge w:val="continue"/>
                  <w:noWrap w:val="0"/>
                  <w:vAlign w:val="center"/>
                </w:tcPr>
                <w:p w14:paraId="5A231EE2">
                  <w:pPr>
                    <w:pStyle w:val="21"/>
                    <w:keepNext w:val="0"/>
                    <w:keepLines w:val="0"/>
                    <w:suppressLineNumbers w:val="0"/>
                    <w:spacing w:before="240" w:beforeLines="100" w:beforeAutospacing="0" w:after="0" w:afterAutospacing="0"/>
                    <w:ind w:left="0" w:leftChars="0" w:right="0" w:firstLine="0" w:firstLineChars="0"/>
                    <w:jc w:val="center"/>
                    <w:rPr>
                      <w:rFonts w:hint="eastAsia"/>
                      <w:color w:val="auto"/>
                      <w:szCs w:val="21"/>
                    </w:rPr>
                  </w:pPr>
                </w:p>
              </w:tc>
              <w:tc>
                <w:tcPr>
                  <w:tcW w:w="1594" w:type="pct"/>
                  <w:gridSpan w:val="2"/>
                  <w:noWrap w:val="0"/>
                  <w:vAlign w:val="center"/>
                </w:tcPr>
                <w:p w14:paraId="57E188D7">
                  <w:pPr>
                    <w:pStyle w:val="21"/>
                    <w:keepNext w:val="0"/>
                    <w:keepLines w:val="0"/>
                    <w:suppressLineNumbers w:val="0"/>
                    <w:spacing w:before="0" w:beforeAutospacing="0" w:after="0" w:afterAutospacing="0"/>
                    <w:ind w:left="0" w:leftChars="0" w:right="0" w:firstLine="0" w:firstLineChars="0"/>
                    <w:jc w:val="center"/>
                    <w:rPr>
                      <w:rFonts w:hint="default"/>
                      <w:color w:val="auto"/>
                      <w:szCs w:val="21"/>
                      <w:lang w:val="en-US" w:eastAsia="zh-CN"/>
                    </w:rPr>
                  </w:pPr>
                  <w:r>
                    <w:rPr>
                      <w:rFonts w:hint="eastAsia"/>
                      <w:color w:val="auto"/>
                      <w:szCs w:val="21"/>
                      <w:lang w:val="en-US" w:eastAsia="zh-CN"/>
                    </w:rPr>
                    <w:t>职工生活</w:t>
                  </w:r>
                </w:p>
              </w:tc>
              <w:tc>
                <w:tcPr>
                  <w:tcW w:w="1609" w:type="pct"/>
                  <w:noWrap w:val="0"/>
                  <w:vAlign w:val="center"/>
                </w:tcPr>
                <w:p w14:paraId="179A5FAE">
                  <w:pPr>
                    <w:pStyle w:val="21"/>
                    <w:keepNext w:val="0"/>
                    <w:keepLines w:val="0"/>
                    <w:suppressLineNumbers w:val="0"/>
                    <w:spacing w:before="0" w:beforeAutospacing="0" w:after="0" w:afterAutospacing="0"/>
                    <w:ind w:left="0" w:leftChars="0" w:right="0" w:firstLine="0" w:firstLineChars="0"/>
                    <w:jc w:val="center"/>
                    <w:rPr>
                      <w:rFonts w:hint="default" w:eastAsia="宋体"/>
                      <w:color w:val="auto"/>
                      <w:szCs w:val="21"/>
                      <w:lang w:val="en-US" w:eastAsia="zh-CN"/>
                    </w:rPr>
                  </w:pPr>
                  <w:r>
                    <w:rPr>
                      <w:rFonts w:hint="eastAsia" w:eastAsia="宋体"/>
                      <w:color w:val="auto"/>
                      <w:szCs w:val="21"/>
                      <w:lang w:val="en-US" w:eastAsia="zh-CN"/>
                    </w:rPr>
                    <w:t>生活垃圾</w:t>
                  </w:r>
                </w:p>
              </w:tc>
              <w:tc>
                <w:tcPr>
                  <w:tcW w:w="1236" w:type="pct"/>
                  <w:noWrap w:val="0"/>
                  <w:vAlign w:val="center"/>
                </w:tcPr>
                <w:p w14:paraId="126A65DC">
                  <w:pPr>
                    <w:pStyle w:val="21"/>
                    <w:keepNext w:val="0"/>
                    <w:keepLines w:val="0"/>
                    <w:suppressLineNumbers w:val="0"/>
                    <w:spacing w:before="0" w:beforeAutospacing="0" w:after="0" w:afterAutospacing="0"/>
                    <w:ind w:left="0" w:leftChars="0" w:right="0" w:firstLine="0" w:firstLineChars="0"/>
                    <w:jc w:val="center"/>
                    <w:rPr>
                      <w:rFonts w:hint="eastAsia" w:eastAsia="宋体"/>
                      <w:color w:val="auto"/>
                      <w:szCs w:val="21"/>
                      <w:lang w:val="en-US" w:eastAsia="zh-CN"/>
                    </w:rPr>
                  </w:pPr>
                  <w:r>
                    <w:rPr>
                      <w:rFonts w:hint="eastAsia" w:eastAsia="宋体"/>
                      <w:color w:val="auto"/>
                      <w:szCs w:val="21"/>
                      <w:lang w:val="en-US" w:eastAsia="zh-CN"/>
                    </w:rPr>
                    <w:t>生活垃圾</w:t>
                  </w:r>
                </w:p>
              </w:tc>
            </w:tr>
          </w:tbl>
          <w:p w14:paraId="5F6F6C4F">
            <w:pPr>
              <w:pStyle w:val="71"/>
              <w:snapToGrid w:val="0"/>
              <w:spacing w:line="240" w:lineRule="auto"/>
              <w:jc w:val="center"/>
              <w:rPr>
                <w:rFonts w:hint="eastAsia" w:eastAsia="宋体"/>
                <w:color w:val="auto"/>
                <w:szCs w:val="21"/>
                <w:lang w:val="en-US" w:eastAsia="zh-CN"/>
              </w:rPr>
            </w:pPr>
          </w:p>
          <w:p w14:paraId="030411FC">
            <w:pPr>
              <w:pStyle w:val="71"/>
              <w:snapToGrid w:val="0"/>
              <w:spacing w:line="360" w:lineRule="auto"/>
              <w:jc w:val="center"/>
              <w:rPr>
                <w:rFonts w:hint="eastAsia"/>
                <w:color w:val="auto"/>
                <w:szCs w:val="21"/>
              </w:rPr>
            </w:pPr>
          </w:p>
        </w:tc>
      </w:tr>
      <w:tr w14:paraId="0DFCEFA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403" w:hRule="atLeast"/>
          <w:jc w:val="center"/>
        </w:trPr>
        <w:tc>
          <w:tcPr>
            <w:tcW w:w="232" w:type="pct"/>
            <w:noWrap w:val="0"/>
            <w:vAlign w:val="center"/>
          </w:tcPr>
          <w:p w14:paraId="5893E5A3">
            <w:pPr>
              <w:pStyle w:val="23"/>
              <w:keepNext w:val="0"/>
              <w:keepLines w:val="0"/>
              <w:pageBreakBefore w:val="0"/>
              <w:widowControl/>
              <w:kinsoku/>
              <w:wordWrap/>
              <w:overflowPunct/>
              <w:topLinePunct w:val="0"/>
              <w:autoSpaceDE/>
              <w:autoSpaceDN/>
              <w:bidi w:val="0"/>
              <w:adjustRightInd w:val="0"/>
              <w:snapToGrid w:val="0"/>
              <w:spacing w:before="0" w:beforeAutospacing="0" w:after="0" w:afterAutospacing="0"/>
              <w:ind w:left="-105" w:leftChars="-50" w:right="-105" w:rightChars="-50"/>
              <w:jc w:val="center"/>
              <w:textAlignment w:val="auto"/>
              <w:rPr>
                <w:rFonts w:hint="eastAsia"/>
                <w:color w:val="auto"/>
              </w:rPr>
            </w:pPr>
            <w:r>
              <w:rPr>
                <w:rFonts w:hint="eastAsia" w:cs="宋体"/>
                <w:bCs/>
                <w:color w:val="auto"/>
                <w:kern w:val="2"/>
                <w:sz w:val="21"/>
                <w:szCs w:val="21"/>
              </w:rPr>
              <w:t>与项目有关的原有环境污染问题</w:t>
            </w:r>
          </w:p>
        </w:tc>
        <w:tc>
          <w:tcPr>
            <w:tcW w:w="4767" w:type="pct"/>
            <w:noWrap w:val="0"/>
            <w:vAlign w:val="center"/>
          </w:tcPr>
          <w:p w14:paraId="62990E5A">
            <w:pPr>
              <w:pBdr>
                <w:top w:val="none" w:color="auto" w:sz="0" w:space="1"/>
                <w:left w:val="none" w:color="auto" w:sz="0" w:space="4"/>
                <w:bottom w:val="none" w:color="auto" w:sz="0" w:space="1"/>
                <w:right w:val="none" w:color="auto" w:sz="0" w:space="4"/>
              </w:pBdr>
              <w:adjustRightInd w:val="0"/>
              <w:snapToGrid w:val="0"/>
              <w:spacing w:line="360" w:lineRule="auto"/>
              <w:ind w:firstLine="480" w:firstLineChars="200"/>
              <w:rPr>
                <w:rFonts w:hint="eastAsia"/>
                <w:b/>
                <w:color w:val="auto"/>
                <w:szCs w:val="21"/>
              </w:rPr>
            </w:pPr>
            <w:r>
              <w:rPr>
                <w:rFonts w:hint="eastAsia"/>
                <w:color w:val="auto"/>
                <w:sz w:val="24"/>
              </w:rPr>
              <w:t>本项目为新建项目，租赁</w:t>
            </w:r>
            <w:r>
              <w:rPr>
                <w:rFonts w:hint="eastAsia"/>
                <w:color w:val="auto"/>
                <w:kern w:val="0"/>
                <w:sz w:val="24"/>
                <w:lang w:val="en-US" w:eastAsia="zh-CN"/>
              </w:rPr>
              <w:t>新疆华爱康塑业科技发展有限公司厂房及库房</w:t>
            </w:r>
            <w:r>
              <w:rPr>
                <w:rFonts w:hint="eastAsia"/>
                <w:color w:val="auto"/>
                <w:sz w:val="24"/>
              </w:rPr>
              <w:t>进行建设，</w:t>
            </w:r>
            <w:r>
              <w:rPr>
                <w:rFonts w:hint="eastAsia"/>
                <w:color w:val="auto"/>
                <w:sz w:val="24"/>
                <w:lang w:val="en-US" w:eastAsia="zh-CN"/>
              </w:rPr>
              <w:t>厂房及库房均为空置状态，</w:t>
            </w:r>
            <w:r>
              <w:rPr>
                <w:rFonts w:hint="eastAsia"/>
                <w:color w:val="auto"/>
                <w:sz w:val="24"/>
              </w:rPr>
              <w:t>无与项目有关的原有环境污染问题。</w:t>
            </w:r>
          </w:p>
        </w:tc>
      </w:tr>
    </w:tbl>
    <w:p w14:paraId="30F019EE">
      <w:pPr>
        <w:rPr>
          <w:color w:val="auto"/>
        </w:rPr>
        <w:sectPr>
          <w:pgSz w:w="11907" w:h="16840"/>
          <w:pgMar w:top="1418" w:right="1134" w:bottom="1418" w:left="1134" w:header="851" w:footer="851" w:gutter="0"/>
          <w:pgBorders>
            <w:top w:val="none" w:sz="0" w:space="0"/>
            <w:left w:val="none" w:sz="0" w:space="0"/>
            <w:bottom w:val="none" w:sz="0" w:space="0"/>
            <w:right w:val="none" w:sz="0" w:space="0"/>
          </w:pgBorders>
          <w:cols w:space="720" w:num="1"/>
          <w:docGrid w:linePitch="312" w:charSpace="0"/>
        </w:sectPr>
      </w:pPr>
    </w:p>
    <w:p w14:paraId="6A423244">
      <w:pPr>
        <w:pStyle w:val="23"/>
        <w:jc w:val="center"/>
        <w:outlineLvl w:val="0"/>
        <w:rPr>
          <w:rFonts w:ascii="黑体" w:hAnsi="黑体" w:eastAsia="黑体"/>
          <w:snapToGrid w:val="0"/>
          <w:color w:val="auto"/>
          <w:sz w:val="30"/>
          <w:szCs w:val="30"/>
        </w:rPr>
      </w:pPr>
      <w:r>
        <w:rPr>
          <w:rFonts w:hint="eastAsia" w:ascii="黑体" w:hAnsi="黑体" w:eastAsia="黑体"/>
          <w:snapToGrid w:val="0"/>
          <w:color w:val="auto"/>
          <w:sz w:val="30"/>
          <w:szCs w:val="30"/>
        </w:rPr>
        <w:t>三、区域环境质量现状、环境保护目标及评价标准</w:t>
      </w:r>
    </w:p>
    <w:tbl>
      <w:tblPr>
        <w:tblStyle w:val="28"/>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94"/>
        <w:gridCol w:w="8793"/>
      </w:tblGrid>
      <w:tr w14:paraId="77E2DC2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50" w:hRule="atLeast"/>
          <w:jc w:val="center"/>
        </w:trPr>
        <w:tc>
          <w:tcPr>
            <w:tcW w:w="265" w:type="pct"/>
            <w:noWrap w:val="0"/>
            <w:vAlign w:val="center"/>
          </w:tcPr>
          <w:p w14:paraId="07D23D35">
            <w:pPr>
              <w:adjustRightInd w:val="0"/>
              <w:snapToGrid w:val="0"/>
              <w:spacing w:line="520" w:lineRule="exact"/>
              <w:jc w:val="center"/>
              <w:rPr>
                <w:rFonts w:hint="eastAsia" w:ascii="宋体" w:hAnsi="宋体" w:cs="宋体"/>
                <w:color w:val="auto"/>
                <w:kern w:val="0"/>
                <w:szCs w:val="21"/>
              </w:rPr>
            </w:pPr>
            <w:r>
              <w:rPr>
                <w:rFonts w:hint="eastAsia" w:ascii="宋体" w:hAnsi="宋体" w:cs="宋体"/>
                <w:color w:val="auto"/>
                <w:kern w:val="0"/>
                <w:szCs w:val="21"/>
              </w:rPr>
              <w:t>区域</w:t>
            </w:r>
          </w:p>
          <w:p w14:paraId="0830955C">
            <w:pPr>
              <w:adjustRightInd w:val="0"/>
              <w:snapToGrid w:val="0"/>
              <w:spacing w:line="520" w:lineRule="exact"/>
              <w:jc w:val="center"/>
              <w:rPr>
                <w:rFonts w:hint="eastAsia" w:ascii="宋体" w:hAnsi="宋体" w:cs="宋体"/>
                <w:color w:val="auto"/>
                <w:kern w:val="0"/>
                <w:szCs w:val="21"/>
              </w:rPr>
            </w:pPr>
            <w:r>
              <w:rPr>
                <w:rFonts w:hint="eastAsia" w:ascii="宋体" w:hAnsi="宋体" w:cs="宋体"/>
                <w:color w:val="auto"/>
                <w:kern w:val="0"/>
                <w:szCs w:val="21"/>
              </w:rPr>
              <w:t>环境</w:t>
            </w:r>
          </w:p>
          <w:p w14:paraId="3508B9C0">
            <w:pPr>
              <w:adjustRightInd w:val="0"/>
              <w:snapToGrid w:val="0"/>
              <w:spacing w:line="520" w:lineRule="exact"/>
              <w:jc w:val="center"/>
              <w:rPr>
                <w:rFonts w:hint="eastAsia" w:ascii="宋体" w:hAnsi="宋体" w:cs="宋体"/>
                <w:color w:val="auto"/>
                <w:kern w:val="0"/>
                <w:szCs w:val="21"/>
              </w:rPr>
            </w:pPr>
            <w:r>
              <w:rPr>
                <w:rFonts w:hint="eastAsia" w:ascii="宋体" w:hAnsi="宋体" w:cs="宋体"/>
                <w:color w:val="auto"/>
                <w:kern w:val="0"/>
                <w:szCs w:val="21"/>
              </w:rPr>
              <w:t>质量</w:t>
            </w:r>
          </w:p>
          <w:p w14:paraId="4E6CE4E5">
            <w:pPr>
              <w:adjustRightInd w:val="0"/>
              <w:snapToGrid w:val="0"/>
              <w:spacing w:line="520" w:lineRule="exact"/>
              <w:jc w:val="center"/>
              <w:rPr>
                <w:rFonts w:ascii="宋体" w:hAnsi="宋体" w:cs="宋体"/>
                <w:color w:val="auto"/>
                <w:kern w:val="0"/>
                <w:szCs w:val="21"/>
              </w:rPr>
            </w:pPr>
            <w:r>
              <w:rPr>
                <w:rFonts w:hint="eastAsia" w:ascii="宋体" w:hAnsi="宋体" w:cs="宋体"/>
                <w:color w:val="auto"/>
                <w:kern w:val="0"/>
                <w:szCs w:val="21"/>
              </w:rPr>
              <w:t>现状</w:t>
            </w:r>
          </w:p>
        </w:tc>
        <w:tc>
          <w:tcPr>
            <w:tcW w:w="4734" w:type="pct"/>
            <w:noWrap w:val="0"/>
            <w:vAlign w:val="center"/>
          </w:tcPr>
          <w:p w14:paraId="14828EC3">
            <w:pPr>
              <w:pBdr>
                <w:top w:val="none" w:color="auto" w:sz="0" w:space="1"/>
                <w:left w:val="none" w:color="auto" w:sz="0" w:space="4"/>
                <w:bottom w:val="none" w:color="auto" w:sz="0" w:space="1"/>
                <w:right w:val="none" w:color="auto" w:sz="0" w:space="4"/>
              </w:pBdr>
              <w:adjustRightInd w:val="0"/>
              <w:snapToGrid w:val="0"/>
              <w:spacing w:line="360" w:lineRule="auto"/>
              <w:rPr>
                <w:b/>
                <w:bCs/>
                <w:color w:val="auto"/>
                <w:sz w:val="24"/>
              </w:rPr>
            </w:pPr>
            <w:r>
              <w:rPr>
                <w:rFonts w:hint="eastAsia"/>
                <w:b/>
                <w:bCs/>
                <w:color w:val="auto"/>
                <w:sz w:val="24"/>
              </w:rPr>
              <w:t xml:space="preserve">1 </w:t>
            </w:r>
            <w:r>
              <w:rPr>
                <w:b/>
                <w:bCs/>
                <w:color w:val="auto"/>
                <w:sz w:val="24"/>
              </w:rPr>
              <w:t>环境空气</w:t>
            </w:r>
            <w:r>
              <w:rPr>
                <w:rFonts w:hint="eastAsia"/>
                <w:b/>
                <w:bCs/>
                <w:color w:val="auto"/>
                <w:sz w:val="24"/>
              </w:rPr>
              <w:t>质量现状监测与评价</w:t>
            </w:r>
          </w:p>
          <w:p w14:paraId="1F7381CC">
            <w:pPr>
              <w:pBdr>
                <w:top w:val="none" w:color="auto" w:sz="0" w:space="1"/>
                <w:left w:val="none" w:color="auto" w:sz="0" w:space="4"/>
                <w:bottom w:val="none" w:color="auto" w:sz="0" w:space="1"/>
                <w:right w:val="none" w:color="auto" w:sz="0" w:space="4"/>
              </w:pBdr>
              <w:adjustRightInd w:val="0"/>
              <w:snapToGrid w:val="0"/>
              <w:spacing w:line="360" w:lineRule="auto"/>
              <w:rPr>
                <w:rFonts w:hint="eastAsia"/>
                <w:b/>
                <w:bCs/>
                <w:color w:val="auto"/>
                <w:sz w:val="24"/>
              </w:rPr>
            </w:pPr>
            <w:r>
              <w:rPr>
                <w:rFonts w:hint="eastAsia"/>
                <w:b/>
                <w:bCs/>
                <w:color w:val="auto"/>
                <w:sz w:val="24"/>
              </w:rPr>
              <w:t>1.1 基本污染物</w:t>
            </w:r>
          </w:p>
          <w:p w14:paraId="5E99E415">
            <w:pPr>
              <w:wordWrap w:val="0"/>
              <w:spacing w:line="360" w:lineRule="auto"/>
              <w:ind w:firstLine="480" w:firstLineChars="200"/>
              <w:rPr>
                <w:rFonts w:hint="eastAsia"/>
                <w:color w:val="auto"/>
                <w:sz w:val="24"/>
              </w:rPr>
            </w:pPr>
            <w:r>
              <w:rPr>
                <w:rFonts w:hint="eastAsia"/>
                <w:snapToGrid w:val="0"/>
                <w:color w:val="auto"/>
                <w:sz w:val="24"/>
                <w:lang w:eastAsia="zh-CN"/>
              </w:rPr>
              <w:t>（</w:t>
            </w:r>
            <w:r>
              <w:rPr>
                <w:rFonts w:hint="eastAsia"/>
                <w:snapToGrid w:val="0"/>
                <w:color w:val="auto"/>
                <w:sz w:val="24"/>
                <w:lang w:val="en-US" w:eastAsia="zh-CN"/>
              </w:rPr>
              <w:t>1</w:t>
            </w:r>
            <w:r>
              <w:rPr>
                <w:rFonts w:hint="eastAsia"/>
                <w:snapToGrid w:val="0"/>
                <w:color w:val="auto"/>
                <w:sz w:val="24"/>
                <w:lang w:eastAsia="zh-CN"/>
              </w:rPr>
              <w:t>）</w:t>
            </w:r>
            <w:r>
              <w:rPr>
                <w:snapToGrid w:val="0"/>
                <w:color w:val="auto"/>
                <w:sz w:val="24"/>
              </w:rPr>
              <w:t>区域</w:t>
            </w:r>
            <w:r>
              <w:rPr>
                <w:rFonts w:hint="eastAsia"/>
                <w:snapToGrid w:val="0"/>
                <w:color w:val="auto"/>
                <w:sz w:val="24"/>
              </w:rPr>
              <w:t>大气</w:t>
            </w:r>
            <w:r>
              <w:rPr>
                <w:snapToGrid w:val="0"/>
                <w:color w:val="auto"/>
                <w:sz w:val="24"/>
              </w:rPr>
              <w:t>达标判定</w:t>
            </w:r>
          </w:p>
          <w:p w14:paraId="5F3BEBC8">
            <w:pPr>
              <w:wordWrap w:val="0"/>
              <w:spacing w:line="360" w:lineRule="auto"/>
              <w:ind w:firstLine="480" w:firstLineChars="200"/>
              <w:rPr>
                <w:rFonts w:hint="eastAsia"/>
                <w:color w:val="auto"/>
                <w:sz w:val="24"/>
                <w:lang w:val="en-US" w:eastAsia="zh-CN"/>
              </w:rPr>
            </w:pPr>
            <w:r>
              <w:rPr>
                <w:rFonts w:hint="eastAsia"/>
                <w:color w:val="auto"/>
                <w:sz w:val="24"/>
              </w:rPr>
              <w:t>本次评价基本污染物环境质量现状</w:t>
            </w:r>
            <w:r>
              <w:rPr>
                <w:rFonts w:hint="eastAsia"/>
                <w:color w:val="auto"/>
                <w:sz w:val="24"/>
                <w:lang w:val="en-US" w:eastAsia="zh-CN"/>
              </w:rPr>
              <w:t>采用环境空气质量模型技术支持服务系统（http://data.lem.org.cn/eamds/apply/tostepone.html）发布的昌吉市新区政务中心空气监测站点2024年的监测数据，</w:t>
            </w:r>
            <w:r>
              <w:rPr>
                <w:color w:val="auto"/>
                <w:spacing w:val="0"/>
                <w:w w:val="100"/>
                <w:sz w:val="24"/>
                <w:szCs w:val="24"/>
                <w:highlight w:val="none"/>
              </w:rPr>
              <w:t>作为本项目环境空气现状评价基本污染物SO</w:t>
            </w:r>
            <w:r>
              <w:rPr>
                <w:color w:val="auto"/>
                <w:spacing w:val="0"/>
                <w:w w:val="100"/>
                <w:sz w:val="24"/>
                <w:szCs w:val="24"/>
                <w:highlight w:val="none"/>
                <w:vertAlign w:val="subscript"/>
              </w:rPr>
              <w:t>2</w:t>
            </w:r>
            <w:r>
              <w:rPr>
                <w:color w:val="auto"/>
                <w:spacing w:val="0"/>
                <w:w w:val="100"/>
                <w:sz w:val="24"/>
                <w:szCs w:val="24"/>
                <w:highlight w:val="none"/>
              </w:rPr>
              <w:t>、NO</w:t>
            </w:r>
            <w:r>
              <w:rPr>
                <w:color w:val="auto"/>
                <w:spacing w:val="0"/>
                <w:w w:val="100"/>
                <w:sz w:val="24"/>
                <w:szCs w:val="24"/>
                <w:highlight w:val="none"/>
                <w:vertAlign w:val="subscript"/>
              </w:rPr>
              <w:t>2</w:t>
            </w:r>
            <w:r>
              <w:rPr>
                <w:color w:val="auto"/>
                <w:spacing w:val="0"/>
                <w:w w:val="100"/>
                <w:sz w:val="24"/>
                <w:szCs w:val="24"/>
                <w:highlight w:val="none"/>
              </w:rPr>
              <w:t>、PM</w:t>
            </w:r>
            <w:r>
              <w:rPr>
                <w:color w:val="auto"/>
                <w:spacing w:val="0"/>
                <w:w w:val="100"/>
                <w:sz w:val="24"/>
                <w:szCs w:val="24"/>
                <w:highlight w:val="none"/>
                <w:vertAlign w:val="subscript"/>
              </w:rPr>
              <w:t>10</w:t>
            </w:r>
            <w:r>
              <w:rPr>
                <w:color w:val="auto"/>
                <w:spacing w:val="0"/>
                <w:w w:val="100"/>
                <w:sz w:val="24"/>
                <w:szCs w:val="24"/>
                <w:highlight w:val="none"/>
              </w:rPr>
              <w:t>、PM</w:t>
            </w:r>
            <w:r>
              <w:rPr>
                <w:color w:val="auto"/>
                <w:spacing w:val="0"/>
                <w:w w:val="100"/>
                <w:sz w:val="24"/>
                <w:szCs w:val="24"/>
                <w:highlight w:val="none"/>
                <w:vertAlign w:val="subscript"/>
              </w:rPr>
              <w:t>2.5</w:t>
            </w:r>
            <w:r>
              <w:rPr>
                <w:color w:val="auto"/>
                <w:spacing w:val="0"/>
                <w:w w:val="100"/>
                <w:sz w:val="24"/>
                <w:szCs w:val="24"/>
                <w:highlight w:val="none"/>
              </w:rPr>
              <w:t>、CO和O</w:t>
            </w:r>
            <w:r>
              <w:rPr>
                <w:color w:val="auto"/>
                <w:spacing w:val="0"/>
                <w:w w:val="100"/>
                <w:sz w:val="24"/>
                <w:szCs w:val="24"/>
                <w:highlight w:val="none"/>
                <w:vertAlign w:val="subscript"/>
              </w:rPr>
              <w:t>3</w:t>
            </w:r>
            <w:r>
              <w:rPr>
                <w:color w:val="auto"/>
                <w:spacing w:val="0"/>
                <w:w w:val="100"/>
                <w:sz w:val="24"/>
                <w:szCs w:val="24"/>
                <w:highlight w:val="none"/>
              </w:rPr>
              <w:t>的数据来源。</w:t>
            </w:r>
            <w:r>
              <w:rPr>
                <w:rFonts w:hint="eastAsia"/>
                <w:color w:val="auto"/>
                <w:sz w:val="24"/>
                <w:lang w:val="en-US" w:eastAsia="zh-CN"/>
              </w:rPr>
              <w:t>昌吉市环境空气现状如下表所示。</w:t>
            </w:r>
          </w:p>
          <w:p w14:paraId="6A911DE1">
            <w:pPr>
              <w:adjustRightInd w:val="0"/>
              <w:snapToGrid w:val="0"/>
              <w:ind w:firstLine="422" w:firstLineChars="200"/>
              <w:jc w:val="center"/>
              <w:rPr>
                <w:b/>
                <w:bCs/>
                <w:color w:val="auto"/>
                <w:szCs w:val="21"/>
              </w:rPr>
            </w:pPr>
            <w:r>
              <w:rPr>
                <w:b/>
                <w:bCs/>
                <w:color w:val="auto"/>
                <w:szCs w:val="21"/>
              </w:rPr>
              <w:t>表</w:t>
            </w:r>
            <w:r>
              <w:rPr>
                <w:rFonts w:hint="eastAsia"/>
                <w:b/>
                <w:bCs/>
                <w:color w:val="auto"/>
                <w:szCs w:val="21"/>
              </w:rPr>
              <w:t>3</w:t>
            </w:r>
            <w:r>
              <w:rPr>
                <w:b/>
                <w:bCs/>
                <w:color w:val="auto"/>
                <w:szCs w:val="21"/>
              </w:rPr>
              <w:t>-</w:t>
            </w:r>
            <w:r>
              <w:rPr>
                <w:rFonts w:hint="eastAsia"/>
                <w:b/>
                <w:bCs/>
                <w:color w:val="auto"/>
                <w:szCs w:val="21"/>
              </w:rPr>
              <w:t>1</w:t>
            </w:r>
            <w:r>
              <w:rPr>
                <w:b/>
                <w:bCs/>
                <w:color w:val="auto"/>
                <w:szCs w:val="21"/>
              </w:rPr>
              <w:t xml:space="preserve">  基本污染物环境质量现状</w:t>
            </w:r>
          </w:p>
          <w:tbl>
            <w:tblPr>
              <w:tblStyle w:val="28"/>
              <w:tblW w:w="4998" w:type="pct"/>
              <w:tblInd w:w="1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1"/>
              <w:gridCol w:w="2985"/>
              <w:gridCol w:w="1177"/>
              <w:gridCol w:w="1243"/>
              <w:gridCol w:w="936"/>
              <w:gridCol w:w="1292"/>
            </w:tblGrid>
            <w:tr w14:paraId="200691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9" w:hRule="atLeast"/>
              </w:trPr>
              <w:tc>
                <w:tcPr>
                  <w:tcW w:w="543" w:type="pct"/>
                  <w:noWrap w:val="0"/>
                  <w:vAlign w:val="center"/>
                </w:tcPr>
                <w:p w14:paraId="2C4AF44D">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污染物</w:t>
                  </w:r>
                </w:p>
              </w:tc>
              <w:tc>
                <w:tcPr>
                  <w:tcW w:w="1742" w:type="pct"/>
                  <w:noWrap w:val="0"/>
                  <w:vAlign w:val="center"/>
                </w:tcPr>
                <w:p w14:paraId="50432E25">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年评价指标</w:t>
                  </w:r>
                </w:p>
              </w:tc>
              <w:tc>
                <w:tcPr>
                  <w:tcW w:w="687" w:type="pct"/>
                  <w:noWrap w:val="0"/>
                  <w:vAlign w:val="center"/>
                </w:tcPr>
                <w:p w14:paraId="48E8C557">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现状浓度（</w:t>
                  </w:r>
                  <w:r>
                    <w:rPr>
                      <w:rFonts w:hint="default" w:ascii="Times New Roman" w:hAnsi="Times New Roman" w:eastAsia="宋体" w:cs="Times New Roman"/>
                      <w:color w:val="auto"/>
                      <w:sz w:val="21"/>
                      <w:szCs w:val="21"/>
                      <w:highlight w:val="none"/>
                      <w:shd w:val="clear" w:color="auto" w:fill="FFFFFF"/>
                    </w:rPr>
                    <w:t>μg/m</w:t>
                  </w:r>
                  <w:r>
                    <w:rPr>
                      <w:rFonts w:hint="default" w:ascii="Times New Roman" w:hAnsi="Times New Roman" w:eastAsia="宋体" w:cs="Times New Roman"/>
                      <w:color w:val="auto"/>
                      <w:sz w:val="21"/>
                      <w:szCs w:val="21"/>
                      <w:highlight w:val="none"/>
                      <w:shd w:val="clear" w:color="auto" w:fill="FFFFFF"/>
                      <w:vertAlign w:val="superscript"/>
                    </w:rPr>
                    <w:t>3</w:t>
                  </w:r>
                  <w:r>
                    <w:rPr>
                      <w:rFonts w:hint="default" w:ascii="Times New Roman" w:hAnsi="Times New Roman" w:eastAsia="宋体" w:cs="Times New Roman"/>
                      <w:color w:val="auto"/>
                      <w:sz w:val="21"/>
                      <w:szCs w:val="21"/>
                      <w:highlight w:val="none"/>
                    </w:rPr>
                    <w:t>）</w:t>
                  </w:r>
                </w:p>
              </w:tc>
              <w:tc>
                <w:tcPr>
                  <w:tcW w:w="725" w:type="pct"/>
                  <w:noWrap w:val="0"/>
                  <w:vAlign w:val="center"/>
                </w:tcPr>
                <w:p w14:paraId="2C3976EC">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标准值（</w:t>
                  </w:r>
                  <w:r>
                    <w:rPr>
                      <w:rFonts w:hint="default" w:ascii="Times New Roman" w:hAnsi="Times New Roman" w:eastAsia="宋体" w:cs="Times New Roman"/>
                      <w:color w:val="auto"/>
                      <w:sz w:val="21"/>
                      <w:szCs w:val="21"/>
                      <w:highlight w:val="none"/>
                      <w:shd w:val="clear" w:color="auto" w:fill="FFFFFF"/>
                    </w:rPr>
                    <w:t>μg/m</w:t>
                  </w:r>
                  <w:r>
                    <w:rPr>
                      <w:rFonts w:hint="default" w:ascii="Times New Roman" w:hAnsi="Times New Roman" w:eastAsia="宋体" w:cs="Times New Roman"/>
                      <w:color w:val="auto"/>
                      <w:sz w:val="21"/>
                      <w:szCs w:val="21"/>
                      <w:highlight w:val="none"/>
                      <w:shd w:val="clear" w:color="auto" w:fill="FFFFFF"/>
                      <w:vertAlign w:val="superscript"/>
                    </w:rPr>
                    <w:t>3</w:t>
                  </w:r>
                  <w:r>
                    <w:rPr>
                      <w:rFonts w:hint="default" w:ascii="Times New Roman" w:hAnsi="Times New Roman" w:eastAsia="宋体" w:cs="Times New Roman"/>
                      <w:color w:val="auto"/>
                      <w:sz w:val="21"/>
                      <w:szCs w:val="21"/>
                      <w:highlight w:val="none"/>
                    </w:rPr>
                    <w:t>）</w:t>
                  </w:r>
                </w:p>
              </w:tc>
              <w:tc>
                <w:tcPr>
                  <w:tcW w:w="546" w:type="pct"/>
                  <w:noWrap w:val="0"/>
                  <w:vAlign w:val="center"/>
                </w:tcPr>
                <w:p w14:paraId="54F00B62">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占标率</w:t>
                  </w:r>
                </w:p>
                <w:p w14:paraId="75B72CCA">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754" w:type="pct"/>
                  <w:noWrap w:val="0"/>
                  <w:vAlign w:val="center"/>
                </w:tcPr>
                <w:p w14:paraId="1A370778">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达标情况</w:t>
                  </w:r>
                </w:p>
              </w:tc>
            </w:tr>
            <w:tr w14:paraId="31A060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3" w:type="pct"/>
                  <w:noWrap w:val="0"/>
                  <w:vAlign w:val="center"/>
                </w:tcPr>
                <w:p w14:paraId="3E6E1294">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SO</w:t>
                  </w:r>
                  <w:r>
                    <w:rPr>
                      <w:rFonts w:hint="default" w:ascii="Times New Roman" w:hAnsi="Times New Roman" w:eastAsia="宋体" w:cs="Times New Roman"/>
                      <w:color w:val="auto"/>
                      <w:sz w:val="21"/>
                      <w:szCs w:val="21"/>
                      <w:highlight w:val="none"/>
                      <w:vertAlign w:val="subscript"/>
                    </w:rPr>
                    <w:t>2</w:t>
                  </w:r>
                </w:p>
              </w:tc>
              <w:tc>
                <w:tcPr>
                  <w:tcW w:w="1742" w:type="pct"/>
                  <w:noWrap w:val="0"/>
                  <w:vAlign w:val="center"/>
                </w:tcPr>
                <w:p w14:paraId="30EA44D6">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年平均质量浓度</w:t>
                  </w:r>
                </w:p>
              </w:tc>
              <w:tc>
                <w:tcPr>
                  <w:tcW w:w="1177" w:type="dxa"/>
                  <w:noWrap w:val="0"/>
                  <w:vAlign w:val="center"/>
                </w:tcPr>
                <w:p w14:paraId="1BF695E0">
                  <w:pPr>
                    <w:pStyle w:val="54"/>
                    <w:keepNext w:val="0"/>
                    <w:keepLines w:val="0"/>
                    <w:pageBreakBefore w:val="0"/>
                    <w:widowControl w:val="0"/>
                    <w:kinsoku/>
                    <w:wordWrap/>
                    <w:overflowPunct/>
                    <w:topLinePunct w:val="0"/>
                    <w:autoSpaceDE/>
                    <w:autoSpaceDN/>
                    <w:bidi w:val="0"/>
                    <w:adjustRightInd w:val="0"/>
                    <w:snapToGrid w:val="0"/>
                    <w:spacing w:before="24" w:after="24"/>
                    <w:ind w:left="420" w:leftChars="0" w:right="0" w:rightChars="0"/>
                    <w:rPr>
                      <w:rFonts w:hint="default" w:ascii="Times New Roman" w:hAnsi="Times New Roman" w:eastAsia="宋体" w:cs="Times New Roman"/>
                      <w:color w:val="auto"/>
                      <w:sz w:val="21"/>
                      <w:szCs w:val="21"/>
                      <w:highlight w:val="none"/>
                      <w:lang w:val="en-US" w:eastAsia="zh-CN"/>
                    </w:rPr>
                  </w:pPr>
                  <w:r>
                    <w:rPr>
                      <w:rFonts w:hint="eastAsia" w:ascii="Times New Roman"/>
                      <w:color w:val="auto"/>
                      <w:spacing w:val="0"/>
                      <w:w w:val="100"/>
                      <w:sz w:val="21"/>
                      <w:szCs w:val="21"/>
                      <w:highlight w:val="none"/>
                    </w:rPr>
                    <w:t>7</w:t>
                  </w:r>
                </w:p>
              </w:tc>
              <w:tc>
                <w:tcPr>
                  <w:tcW w:w="725" w:type="pct"/>
                  <w:noWrap w:val="0"/>
                  <w:vAlign w:val="center"/>
                </w:tcPr>
                <w:p w14:paraId="04DF507F">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60</w:t>
                  </w:r>
                </w:p>
              </w:tc>
              <w:tc>
                <w:tcPr>
                  <w:tcW w:w="936" w:type="dxa"/>
                  <w:noWrap w:val="0"/>
                  <w:vAlign w:val="center"/>
                </w:tcPr>
                <w:p w14:paraId="799A4A24">
                  <w:pPr>
                    <w:pStyle w:val="54"/>
                    <w:keepNext w:val="0"/>
                    <w:keepLines w:val="0"/>
                    <w:pageBreakBefore w:val="0"/>
                    <w:widowControl w:val="0"/>
                    <w:kinsoku/>
                    <w:wordWrap/>
                    <w:overflowPunct/>
                    <w:topLinePunct w:val="0"/>
                    <w:autoSpaceDE/>
                    <w:autoSpaceDN/>
                    <w:bidi w:val="0"/>
                    <w:adjustRightInd w:val="0"/>
                    <w:snapToGrid w:val="0"/>
                    <w:spacing w:before="24" w:after="24"/>
                    <w:ind w:left="420" w:leftChars="0" w:right="0" w:rightChars="0"/>
                    <w:rPr>
                      <w:rFonts w:hint="default" w:ascii="Times New Roman" w:hAnsi="Times New Roman" w:eastAsia="宋体" w:cs="Times New Roman"/>
                      <w:color w:val="auto"/>
                      <w:sz w:val="21"/>
                      <w:szCs w:val="21"/>
                      <w:highlight w:val="none"/>
                      <w:lang w:val="en-US" w:eastAsia="zh-CN"/>
                    </w:rPr>
                  </w:pPr>
                  <w:r>
                    <w:rPr>
                      <w:rFonts w:hint="eastAsia" w:ascii="Times New Roman"/>
                      <w:color w:val="auto"/>
                      <w:spacing w:val="0"/>
                      <w:w w:val="100"/>
                      <w:sz w:val="21"/>
                      <w:szCs w:val="21"/>
                      <w:highlight w:val="none"/>
                    </w:rPr>
                    <w:t>11.</w:t>
                  </w:r>
                  <w:r>
                    <w:rPr>
                      <w:rFonts w:hint="eastAsia" w:ascii="Times New Roman"/>
                      <w:color w:val="auto"/>
                      <w:spacing w:val="0"/>
                      <w:w w:val="100"/>
                      <w:sz w:val="21"/>
                      <w:szCs w:val="21"/>
                      <w:highlight w:val="none"/>
                      <w:lang w:val="en-US" w:eastAsia="zh-CN"/>
                    </w:rPr>
                    <w:t>7</w:t>
                  </w:r>
                </w:p>
              </w:tc>
              <w:tc>
                <w:tcPr>
                  <w:tcW w:w="1292" w:type="dxa"/>
                  <w:noWrap w:val="0"/>
                  <w:vAlign w:val="center"/>
                </w:tcPr>
                <w:p w14:paraId="56F6AC23">
                  <w:pPr>
                    <w:pStyle w:val="54"/>
                    <w:keepNext w:val="0"/>
                    <w:keepLines w:val="0"/>
                    <w:pageBreakBefore w:val="0"/>
                    <w:widowControl w:val="0"/>
                    <w:kinsoku/>
                    <w:wordWrap/>
                    <w:overflowPunct/>
                    <w:topLinePunct w:val="0"/>
                    <w:autoSpaceDE/>
                    <w:autoSpaceDN/>
                    <w:bidi w:val="0"/>
                    <w:adjustRightInd w:val="0"/>
                    <w:snapToGrid w:val="0"/>
                    <w:spacing w:before="24" w:after="24"/>
                    <w:ind w:left="420" w:leftChars="0" w:right="0" w:rightChars="0"/>
                    <w:rPr>
                      <w:rFonts w:hint="default" w:ascii="Times New Roman" w:hAnsi="Times New Roman" w:eastAsia="宋体" w:cs="Times New Roman"/>
                      <w:color w:val="auto"/>
                      <w:sz w:val="21"/>
                      <w:szCs w:val="21"/>
                      <w:highlight w:val="none"/>
                    </w:rPr>
                  </w:pPr>
                  <w:r>
                    <w:rPr>
                      <w:rFonts w:ascii="Times New Roman"/>
                      <w:color w:val="auto"/>
                      <w:spacing w:val="0"/>
                      <w:w w:val="100"/>
                      <w:sz w:val="21"/>
                      <w:szCs w:val="21"/>
                      <w:highlight w:val="none"/>
                    </w:rPr>
                    <w:t>达标</w:t>
                  </w:r>
                </w:p>
              </w:tc>
            </w:tr>
            <w:tr w14:paraId="7E3EE2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 w:hRule="atLeast"/>
              </w:trPr>
              <w:tc>
                <w:tcPr>
                  <w:tcW w:w="543" w:type="pct"/>
                  <w:noWrap w:val="0"/>
                  <w:vAlign w:val="center"/>
                </w:tcPr>
                <w:p w14:paraId="7A207660">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NO</w:t>
                  </w:r>
                  <w:r>
                    <w:rPr>
                      <w:rFonts w:hint="default" w:ascii="Times New Roman" w:hAnsi="Times New Roman" w:eastAsia="宋体" w:cs="Times New Roman"/>
                      <w:color w:val="auto"/>
                      <w:sz w:val="21"/>
                      <w:szCs w:val="21"/>
                      <w:highlight w:val="none"/>
                      <w:vertAlign w:val="subscript"/>
                    </w:rPr>
                    <w:t>2</w:t>
                  </w:r>
                </w:p>
              </w:tc>
              <w:tc>
                <w:tcPr>
                  <w:tcW w:w="1742" w:type="pct"/>
                  <w:noWrap w:val="0"/>
                  <w:vAlign w:val="center"/>
                </w:tcPr>
                <w:p w14:paraId="3BAA501B">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年平均质量浓度</w:t>
                  </w:r>
                </w:p>
              </w:tc>
              <w:tc>
                <w:tcPr>
                  <w:tcW w:w="1177" w:type="dxa"/>
                  <w:noWrap w:val="0"/>
                  <w:vAlign w:val="center"/>
                </w:tcPr>
                <w:p w14:paraId="21C18313">
                  <w:pPr>
                    <w:pStyle w:val="54"/>
                    <w:keepNext w:val="0"/>
                    <w:keepLines w:val="0"/>
                    <w:pageBreakBefore w:val="0"/>
                    <w:widowControl w:val="0"/>
                    <w:kinsoku/>
                    <w:wordWrap/>
                    <w:overflowPunct/>
                    <w:topLinePunct w:val="0"/>
                    <w:autoSpaceDE/>
                    <w:autoSpaceDN/>
                    <w:bidi w:val="0"/>
                    <w:adjustRightInd w:val="0"/>
                    <w:snapToGrid w:val="0"/>
                    <w:spacing w:before="24" w:after="24"/>
                    <w:ind w:left="420" w:leftChars="0" w:right="0" w:rightChars="0"/>
                    <w:rPr>
                      <w:rFonts w:hint="default" w:ascii="Times New Roman" w:hAnsi="Times New Roman" w:eastAsia="宋体" w:cs="Times New Roman"/>
                      <w:color w:val="auto"/>
                      <w:sz w:val="21"/>
                      <w:szCs w:val="21"/>
                      <w:highlight w:val="none"/>
                      <w:lang w:val="en-US" w:eastAsia="zh-CN"/>
                    </w:rPr>
                  </w:pPr>
                  <w:r>
                    <w:rPr>
                      <w:rFonts w:hint="eastAsia" w:ascii="Times New Roman"/>
                      <w:color w:val="auto"/>
                      <w:spacing w:val="0"/>
                      <w:w w:val="100"/>
                      <w:sz w:val="21"/>
                      <w:szCs w:val="21"/>
                      <w:highlight w:val="none"/>
                    </w:rPr>
                    <w:t>3</w:t>
                  </w:r>
                  <w:r>
                    <w:rPr>
                      <w:rFonts w:hint="eastAsia" w:ascii="Times New Roman"/>
                      <w:color w:val="auto"/>
                      <w:spacing w:val="0"/>
                      <w:w w:val="100"/>
                      <w:sz w:val="21"/>
                      <w:szCs w:val="21"/>
                      <w:highlight w:val="none"/>
                      <w:lang w:val="en-US" w:eastAsia="zh-CN"/>
                    </w:rPr>
                    <w:t>0</w:t>
                  </w:r>
                </w:p>
              </w:tc>
              <w:tc>
                <w:tcPr>
                  <w:tcW w:w="725" w:type="pct"/>
                  <w:noWrap w:val="0"/>
                  <w:vAlign w:val="center"/>
                </w:tcPr>
                <w:p w14:paraId="69F27372">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40</w:t>
                  </w:r>
                </w:p>
              </w:tc>
              <w:tc>
                <w:tcPr>
                  <w:tcW w:w="936" w:type="dxa"/>
                  <w:noWrap w:val="0"/>
                  <w:vAlign w:val="center"/>
                </w:tcPr>
                <w:p w14:paraId="046AA596">
                  <w:pPr>
                    <w:pStyle w:val="54"/>
                    <w:keepNext w:val="0"/>
                    <w:keepLines w:val="0"/>
                    <w:pageBreakBefore w:val="0"/>
                    <w:widowControl w:val="0"/>
                    <w:kinsoku/>
                    <w:wordWrap/>
                    <w:overflowPunct/>
                    <w:topLinePunct w:val="0"/>
                    <w:autoSpaceDE/>
                    <w:autoSpaceDN/>
                    <w:bidi w:val="0"/>
                    <w:adjustRightInd w:val="0"/>
                    <w:snapToGrid w:val="0"/>
                    <w:spacing w:before="24" w:after="24"/>
                    <w:ind w:left="420" w:leftChars="0" w:right="0" w:rightChars="0"/>
                    <w:rPr>
                      <w:rFonts w:hint="default" w:ascii="Times New Roman" w:hAnsi="Times New Roman" w:eastAsia="宋体" w:cs="Times New Roman"/>
                      <w:color w:val="auto"/>
                      <w:sz w:val="21"/>
                      <w:szCs w:val="21"/>
                      <w:highlight w:val="none"/>
                      <w:lang w:val="en-US" w:eastAsia="zh-CN"/>
                    </w:rPr>
                  </w:pPr>
                  <w:r>
                    <w:rPr>
                      <w:rFonts w:hint="eastAsia" w:ascii="Times New Roman"/>
                      <w:color w:val="auto"/>
                      <w:spacing w:val="0"/>
                      <w:w w:val="100"/>
                      <w:sz w:val="21"/>
                      <w:szCs w:val="21"/>
                      <w:highlight w:val="none"/>
                      <w:lang w:val="en-US" w:eastAsia="zh-CN"/>
                    </w:rPr>
                    <w:t>75</w:t>
                  </w:r>
                </w:p>
              </w:tc>
              <w:tc>
                <w:tcPr>
                  <w:tcW w:w="1292" w:type="dxa"/>
                  <w:noWrap w:val="0"/>
                  <w:vAlign w:val="center"/>
                </w:tcPr>
                <w:p w14:paraId="344832EC">
                  <w:pPr>
                    <w:pStyle w:val="54"/>
                    <w:keepNext w:val="0"/>
                    <w:keepLines w:val="0"/>
                    <w:pageBreakBefore w:val="0"/>
                    <w:widowControl w:val="0"/>
                    <w:kinsoku/>
                    <w:wordWrap/>
                    <w:overflowPunct/>
                    <w:topLinePunct w:val="0"/>
                    <w:autoSpaceDE/>
                    <w:autoSpaceDN/>
                    <w:bidi w:val="0"/>
                    <w:adjustRightInd w:val="0"/>
                    <w:snapToGrid w:val="0"/>
                    <w:spacing w:before="24" w:after="24"/>
                    <w:ind w:left="420" w:leftChars="0" w:right="0" w:rightChars="0"/>
                    <w:rPr>
                      <w:rFonts w:hint="default" w:ascii="Times New Roman" w:hAnsi="Times New Roman" w:eastAsia="宋体" w:cs="Times New Roman"/>
                      <w:color w:val="auto"/>
                      <w:sz w:val="21"/>
                      <w:szCs w:val="21"/>
                      <w:highlight w:val="none"/>
                    </w:rPr>
                  </w:pPr>
                  <w:r>
                    <w:rPr>
                      <w:rFonts w:ascii="Times New Roman"/>
                      <w:color w:val="auto"/>
                      <w:spacing w:val="0"/>
                      <w:w w:val="100"/>
                      <w:sz w:val="21"/>
                      <w:szCs w:val="21"/>
                      <w:highlight w:val="none"/>
                    </w:rPr>
                    <w:t>达标</w:t>
                  </w:r>
                </w:p>
              </w:tc>
            </w:tr>
            <w:tr w14:paraId="6E3DF5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3" w:type="pct"/>
                  <w:noWrap w:val="0"/>
                  <w:vAlign w:val="center"/>
                </w:tcPr>
                <w:p w14:paraId="6DC1B993">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PM</w:t>
                  </w:r>
                  <w:r>
                    <w:rPr>
                      <w:rFonts w:hint="default" w:ascii="Times New Roman" w:hAnsi="Times New Roman" w:eastAsia="宋体" w:cs="Times New Roman"/>
                      <w:color w:val="auto"/>
                      <w:sz w:val="21"/>
                      <w:szCs w:val="21"/>
                      <w:highlight w:val="none"/>
                      <w:vertAlign w:val="subscript"/>
                    </w:rPr>
                    <w:t>10</w:t>
                  </w:r>
                </w:p>
              </w:tc>
              <w:tc>
                <w:tcPr>
                  <w:tcW w:w="1742" w:type="pct"/>
                  <w:noWrap w:val="0"/>
                  <w:vAlign w:val="center"/>
                </w:tcPr>
                <w:p w14:paraId="41EC7D44">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年平均质量浓度</w:t>
                  </w:r>
                </w:p>
              </w:tc>
              <w:tc>
                <w:tcPr>
                  <w:tcW w:w="1177" w:type="dxa"/>
                  <w:noWrap w:val="0"/>
                  <w:vAlign w:val="center"/>
                </w:tcPr>
                <w:p w14:paraId="659B9C86">
                  <w:pPr>
                    <w:pStyle w:val="54"/>
                    <w:keepNext w:val="0"/>
                    <w:keepLines w:val="0"/>
                    <w:pageBreakBefore w:val="0"/>
                    <w:widowControl w:val="0"/>
                    <w:kinsoku/>
                    <w:wordWrap/>
                    <w:overflowPunct/>
                    <w:topLinePunct w:val="0"/>
                    <w:autoSpaceDE/>
                    <w:autoSpaceDN/>
                    <w:bidi w:val="0"/>
                    <w:adjustRightInd w:val="0"/>
                    <w:snapToGrid w:val="0"/>
                    <w:spacing w:before="24" w:after="24"/>
                    <w:ind w:left="420" w:leftChars="0" w:right="0" w:rightChars="0"/>
                    <w:rPr>
                      <w:rFonts w:hint="default" w:ascii="Times New Roman" w:hAnsi="Times New Roman" w:eastAsia="宋体" w:cs="Times New Roman"/>
                      <w:color w:val="auto"/>
                      <w:sz w:val="21"/>
                      <w:szCs w:val="21"/>
                      <w:highlight w:val="none"/>
                      <w:lang w:val="en-US" w:eastAsia="zh-CN"/>
                    </w:rPr>
                  </w:pPr>
                  <w:r>
                    <w:rPr>
                      <w:rFonts w:hint="eastAsia" w:ascii="Times New Roman"/>
                      <w:color w:val="auto"/>
                      <w:spacing w:val="0"/>
                      <w:w w:val="100"/>
                      <w:sz w:val="21"/>
                      <w:szCs w:val="21"/>
                      <w:highlight w:val="none"/>
                      <w:lang w:val="en-US" w:eastAsia="zh-CN"/>
                    </w:rPr>
                    <w:t>75</w:t>
                  </w:r>
                </w:p>
              </w:tc>
              <w:tc>
                <w:tcPr>
                  <w:tcW w:w="725" w:type="pct"/>
                  <w:noWrap w:val="0"/>
                  <w:vAlign w:val="center"/>
                </w:tcPr>
                <w:p w14:paraId="21CFDF1A">
                  <w:pPr>
                    <w:spacing w:line="240" w:lineRule="auto"/>
                    <w:jc w:val="center"/>
                    <w:rPr>
                      <w:rFonts w:hint="default" w:ascii="Times New Roman" w:hAnsi="Times New Roman" w:eastAsia="宋体" w:cs="Times New Roman"/>
                      <w:color w:val="0000FF"/>
                      <w:sz w:val="21"/>
                      <w:szCs w:val="21"/>
                      <w:highlight w:val="none"/>
                      <w:lang w:val="en-US" w:eastAsia="zh-CN"/>
                    </w:rPr>
                  </w:pPr>
                  <w:r>
                    <w:rPr>
                      <w:rFonts w:hint="eastAsia" w:cs="Times New Roman"/>
                      <w:color w:val="0000FF"/>
                      <w:sz w:val="21"/>
                      <w:szCs w:val="21"/>
                      <w:highlight w:val="none"/>
                      <w:lang w:val="en-US" w:eastAsia="zh-CN"/>
                    </w:rPr>
                    <w:t>60</w:t>
                  </w:r>
                </w:p>
              </w:tc>
              <w:tc>
                <w:tcPr>
                  <w:tcW w:w="936" w:type="dxa"/>
                  <w:noWrap w:val="0"/>
                  <w:vAlign w:val="center"/>
                </w:tcPr>
                <w:p w14:paraId="31462F64">
                  <w:pPr>
                    <w:pStyle w:val="54"/>
                    <w:keepNext w:val="0"/>
                    <w:keepLines w:val="0"/>
                    <w:pageBreakBefore w:val="0"/>
                    <w:widowControl w:val="0"/>
                    <w:kinsoku/>
                    <w:wordWrap/>
                    <w:overflowPunct/>
                    <w:topLinePunct w:val="0"/>
                    <w:autoSpaceDE/>
                    <w:autoSpaceDN/>
                    <w:bidi w:val="0"/>
                    <w:adjustRightInd w:val="0"/>
                    <w:snapToGrid w:val="0"/>
                    <w:spacing w:before="24" w:after="24"/>
                    <w:ind w:left="420" w:leftChars="0" w:right="0" w:rightChars="0"/>
                    <w:rPr>
                      <w:rFonts w:hint="default" w:ascii="Times New Roman" w:hAnsi="Times New Roman" w:eastAsia="宋体" w:cs="Times New Roman"/>
                      <w:color w:val="0000FF"/>
                      <w:sz w:val="21"/>
                      <w:szCs w:val="21"/>
                      <w:highlight w:val="none"/>
                      <w:lang w:val="en-US" w:eastAsia="zh-CN"/>
                    </w:rPr>
                  </w:pPr>
                  <w:r>
                    <w:rPr>
                      <w:rFonts w:hint="eastAsia" w:ascii="Times New Roman"/>
                      <w:color w:val="0000FF"/>
                      <w:spacing w:val="0"/>
                      <w:w w:val="100"/>
                      <w:sz w:val="21"/>
                      <w:szCs w:val="21"/>
                      <w:highlight w:val="none"/>
                      <w:lang w:val="en-US" w:eastAsia="zh-CN"/>
                    </w:rPr>
                    <w:t>125</w:t>
                  </w:r>
                </w:p>
              </w:tc>
              <w:tc>
                <w:tcPr>
                  <w:tcW w:w="1292" w:type="dxa"/>
                  <w:noWrap w:val="0"/>
                  <w:vAlign w:val="center"/>
                </w:tcPr>
                <w:p w14:paraId="7467A6D7">
                  <w:pPr>
                    <w:pStyle w:val="54"/>
                    <w:keepNext w:val="0"/>
                    <w:keepLines w:val="0"/>
                    <w:pageBreakBefore w:val="0"/>
                    <w:widowControl w:val="0"/>
                    <w:kinsoku/>
                    <w:wordWrap/>
                    <w:overflowPunct/>
                    <w:topLinePunct w:val="0"/>
                    <w:autoSpaceDE/>
                    <w:autoSpaceDN/>
                    <w:bidi w:val="0"/>
                    <w:adjustRightInd w:val="0"/>
                    <w:snapToGrid w:val="0"/>
                    <w:spacing w:before="24" w:after="24"/>
                    <w:ind w:left="420" w:leftChars="0" w:right="0" w:rightChars="0"/>
                    <w:rPr>
                      <w:rFonts w:hint="default" w:ascii="Times New Roman" w:hAnsi="Times New Roman" w:eastAsia="宋体" w:cs="Times New Roman"/>
                      <w:color w:val="0000FF"/>
                      <w:sz w:val="21"/>
                      <w:szCs w:val="21"/>
                      <w:highlight w:val="none"/>
                    </w:rPr>
                  </w:pPr>
                  <w:r>
                    <w:rPr>
                      <w:rFonts w:hint="eastAsia" w:ascii="Times New Roman"/>
                      <w:color w:val="0000FF"/>
                      <w:spacing w:val="0"/>
                      <w:w w:val="100"/>
                      <w:sz w:val="21"/>
                      <w:szCs w:val="21"/>
                      <w:highlight w:val="none"/>
                    </w:rPr>
                    <w:t>不</w:t>
                  </w:r>
                  <w:r>
                    <w:rPr>
                      <w:rFonts w:ascii="Times New Roman"/>
                      <w:color w:val="0000FF"/>
                      <w:spacing w:val="0"/>
                      <w:w w:val="100"/>
                      <w:sz w:val="21"/>
                      <w:szCs w:val="21"/>
                      <w:highlight w:val="none"/>
                    </w:rPr>
                    <w:t>达标</w:t>
                  </w:r>
                </w:p>
              </w:tc>
            </w:tr>
            <w:tr w14:paraId="4CAD10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3" w:type="pct"/>
                  <w:noWrap w:val="0"/>
                  <w:vAlign w:val="center"/>
                </w:tcPr>
                <w:p w14:paraId="632E6E96">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PM</w:t>
                  </w:r>
                  <w:r>
                    <w:rPr>
                      <w:rFonts w:hint="default" w:ascii="Times New Roman" w:hAnsi="Times New Roman" w:eastAsia="宋体" w:cs="Times New Roman"/>
                      <w:color w:val="auto"/>
                      <w:sz w:val="21"/>
                      <w:szCs w:val="21"/>
                      <w:highlight w:val="none"/>
                      <w:vertAlign w:val="subscript"/>
                    </w:rPr>
                    <w:t>2.5</w:t>
                  </w:r>
                </w:p>
              </w:tc>
              <w:tc>
                <w:tcPr>
                  <w:tcW w:w="1742" w:type="pct"/>
                  <w:noWrap w:val="0"/>
                  <w:vAlign w:val="center"/>
                </w:tcPr>
                <w:p w14:paraId="1B4411B6">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年平均质量浓度</w:t>
                  </w:r>
                </w:p>
              </w:tc>
              <w:tc>
                <w:tcPr>
                  <w:tcW w:w="1177" w:type="dxa"/>
                  <w:noWrap w:val="0"/>
                  <w:vAlign w:val="center"/>
                </w:tcPr>
                <w:p w14:paraId="406F622B">
                  <w:pPr>
                    <w:pStyle w:val="54"/>
                    <w:keepNext w:val="0"/>
                    <w:keepLines w:val="0"/>
                    <w:pageBreakBefore w:val="0"/>
                    <w:widowControl w:val="0"/>
                    <w:kinsoku/>
                    <w:wordWrap/>
                    <w:overflowPunct/>
                    <w:topLinePunct w:val="0"/>
                    <w:autoSpaceDE/>
                    <w:autoSpaceDN/>
                    <w:bidi w:val="0"/>
                    <w:adjustRightInd w:val="0"/>
                    <w:snapToGrid w:val="0"/>
                    <w:spacing w:before="24" w:after="24"/>
                    <w:ind w:left="420" w:leftChars="0" w:right="0" w:rightChars="0"/>
                    <w:rPr>
                      <w:rFonts w:hint="default" w:ascii="Times New Roman" w:hAnsi="Times New Roman" w:eastAsia="宋体" w:cs="Times New Roman"/>
                      <w:color w:val="auto"/>
                      <w:sz w:val="21"/>
                      <w:szCs w:val="21"/>
                      <w:highlight w:val="none"/>
                      <w:lang w:val="en-US" w:eastAsia="zh-CN"/>
                    </w:rPr>
                  </w:pPr>
                  <w:r>
                    <w:rPr>
                      <w:rFonts w:hint="eastAsia" w:ascii="Times New Roman"/>
                      <w:color w:val="auto"/>
                      <w:spacing w:val="0"/>
                      <w:w w:val="100"/>
                      <w:sz w:val="21"/>
                      <w:szCs w:val="21"/>
                      <w:highlight w:val="none"/>
                    </w:rPr>
                    <w:t>4</w:t>
                  </w:r>
                  <w:r>
                    <w:rPr>
                      <w:rFonts w:hint="eastAsia" w:ascii="Times New Roman"/>
                      <w:color w:val="auto"/>
                      <w:spacing w:val="0"/>
                      <w:w w:val="100"/>
                      <w:sz w:val="21"/>
                      <w:szCs w:val="21"/>
                      <w:highlight w:val="none"/>
                      <w:lang w:val="en-US" w:eastAsia="zh-CN"/>
                    </w:rPr>
                    <w:t>0</w:t>
                  </w:r>
                </w:p>
              </w:tc>
              <w:tc>
                <w:tcPr>
                  <w:tcW w:w="725" w:type="pct"/>
                  <w:noWrap w:val="0"/>
                  <w:vAlign w:val="center"/>
                </w:tcPr>
                <w:p w14:paraId="31F73696">
                  <w:pPr>
                    <w:spacing w:line="240" w:lineRule="auto"/>
                    <w:jc w:val="center"/>
                    <w:rPr>
                      <w:rFonts w:hint="default" w:ascii="Times New Roman" w:hAnsi="Times New Roman" w:eastAsia="宋体" w:cs="Times New Roman"/>
                      <w:color w:val="0000FF"/>
                      <w:sz w:val="21"/>
                      <w:szCs w:val="21"/>
                      <w:highlight w:val="none"/>
                      <w:lang w:val="en-US" w:eastAsia="zh-CN"/>
                    </w:rPr>
                  </w:pPr>
                  <w:r>
                    <w:rPr>
                      <w:rFonts w:hint="eastAsia" w:cs="Times New Roman"/>
                      <w:color w:val="0000FF"/>
                      <w:sz w:val="21"/>
                      <w:szCs w:val="21"/>
                      <w:highlight w:val="none"/>
                      <w:lang w:val="en-US" w:eastAsia="zh-CN"/>
                    </w:rPr>
                    <w:t>30</w:t>
                  </w:r>
                </w:p>
              </w:tc>
              <w:tc>
                <w:tcPr>
                  <w:tcW w:w="936" w:type="dxa"/>
                  <w:noWrap w:val="0"/>
                  <w:vAlign w:val="center"/>
                </w:tcPr>
                <w:p w14:paraId="20969D8C">
                  <w:pPr>
                    <w:pStyle w:val="54"/>
                    <w:keepNext w:val="0"/>
                    <w:keepLines w:val="0"/>
                    <w:pageBreakBefore w:val="0"/>
                    <w:widowControl w:val="0"/>
                    <w:kinsoku/>
                    <w:wordWrap/>
                    <w:overflowPunct/>
                    <w:topLinePunct w:val="0"/>
                    <w:autoSpaceDE/>
                    <w:autoSpaceDN/>
                    <w:bidi w:val="0"/>
                    <w:adjustRightInd w:val="0"/>
                    <w:snapToGrid w:val="0"/>
                    <w:spacing w:before="24" w:after="24"/>
                    <w:ind w:left="420" w:leftChars="0" w:right="0" w:rightChars="0"/>
                    <w:rPr>
                      <w:rFonts w:hint="default" w:ascii="Times New Roman" w:hAnsi="Times New Roman" w:eastAsia="宋体" w:cs="Times New Roman"/>
                      <w:color w:val="0000FF"/>
                      <w:sz w:val="21"/>
                      <w:szCs w:val="21"/>
                      <w:highlight w:val="none"/>
                      <w:lang w:val="en-US" w:eastAsia="zh-CN"/>
                    </w:rPr>
                  </w:pPr>
                  <w:r>
                    <w:rPr>
                      <w:rFonts w:hint="eastAsia" w:ascii="Times New Roman"/>
                      <w:color w:val="0000FF"/>
                      <w:spacing w:val="0"/>
                      <w:w w:val="100"/>
                      <w:sz w:val="21"/>
                      <w:szCs w:val="21"/>
                      <w:highlight w:val="none"/>
                      <w:lang w:val="en-US" w:eastAsia="zh-CN"/>
                    </w:rPr>
                    <w:t>133.3</w:t>
                  </w:r>
                </w:p>
              </w:tc>
              <w:tc>
                <w:tcPr>
                  <w:tcW w:w="1292" w:type="dxa"/>
                  <w:noWrap w:val="0"/>
                  <w:vAlign w:val="center"/>
                </w:tcPr>
                <w:p w14:paraId="3DD473FD">
                  <w:pPr>
                    <w:pStyle w:val="54"/>
                    <w:keepNext w:val="0"/>
                    <w:keepLines w:val="0"/>
                    <w:pageBreakBefore w:val="0"/>
                    <w:widowControl w:val="0"/>
                    <w:tabs>
                      <w:tab w:val="left" w:pos="630"/>
                    </w:tabs>
                    <w:kinsoku/>
                    <w:wordWrap/>
                    <w:overflowPunct/>
                    <w:topLinePunct w:val="0"/>
                    <w:autoSpaceDE/>
                    <w:autoSpaceDN/>
                    <w:bidi w:val="0"/>
                    <w:adjustRightInd w:val="0"/>
                    <w:snapToGrid w:val="0"/>
                    <w:spacing w:before="24" w:after="24"/>
                    <w:ind w:left="420" w:leftChars="0" w:right="0" w:rightChars="0"/>
                    <w:rPr>
                      <w:rFonts w:hint="default" w:ascii="Times New Roman" w:hAnsi="Times New Roman" w:eastAsia="宋体" w:cs="Times New Roman"/>
                      <w:color w:val="0000FF"/>
                      <w:sz w:val="21"/>
                      <w:szCs w:val="21"/>
                      <w:highlight w:val="none"/>
                    </w:rPr>
                  </w:pPr>
                  <w:r>
                    <w:rPr>
                      <w:rFonts w:hint="eastAsia" w:ascii="Times New Roman"/>
                      <w:color w:val="0000FF"/>
                      <w:spacing w:val="0"/>
                      <w:w w:val="100"/>
                      <w:sz w:val="21"/>
                      <w:szCs w:val="21"/>
                      <w:highlight w:val="none"/>
                    </w:rPr>
                    <w:t>不</w:t>
                  </w:r>
                  <w:r>
                    <w:rPr>
                      <w:rFonts w:ascii="Times New Roman"/>
                      <w:color w:val="0000FF"/>
                      <w:spacing w:val="0"/>
                      <w:w w:val="100"/>
                      <w:sz w:val="21"/>
                      <w:szCs w:val="21"/>
                      <w:highlight w:val="none"/>
                    </w:rPr>
                    <w:t>达标</w:t>
                  </w:r>
                </w:p>
              </w:tc>
            </w:tr>
            <w:tr w14:paraId="2AA38C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3" w:type="pct"/>
                  <w:noWrap w:val="0"/>
                  <w:vAlign w:val="center"/>
                </w:tcPr>
                <w:p w14:paraId="6B91CA31">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CO</w:t>
                  </w:r>
                </w:p>
              </w:tc>
              <w:tc>
                <w:tcPr>
                  <w:tcW w:w="1742" w:type="pct"/>
                  <w:noWrap w:val="0"/>
                  <w:vAlign w:val="center"/>
                </w:tcPr>
                <w:p w14:paraId="203C2DBC">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24小时平均第95百分位数</w:t>
                  </w:r>
                </w:p>
              </w:tc>
              <w:tc>
                <w:tcPr>
                  <w:tcW w:w="1177" w:type="dxa"/>
                  <w:noWrap w:val="0"/>
                  <w:vAlign w:val="center"/>
                </w:tcPr>
                <w:p w14:paraId="456EF358">
                  <w:pPr>
                    <w:pStyle w:val="54"/>
                    <w:keepNext w:val="0"/>
                    <w:keepLines w:val="0"/>
                    <w:pageBreakBefore w:val="0"/>
                    <w:widowControl w:val="0"/>
                    <w:kinsoku/>
                    <w:wordWrap/>
                    <w:overflowPunct/>
                    <w:topLinePunct w:val="0"/>
                    <w:autoSpaceDE/>
                    <w:autoSpaceDN/>
                    <w:bidi w:val="0"/>
                    <w:adjustRightInd w:val="0"/>
                    <w:snapToGrid w:val="0"/>
                    <w:spacing w:before="24" w:after="24"/>
                    <w:ind w:left="420" w:leftChars="0" w:right="0" w:rightChars="0"/>
                    <w:rPr>
                      <w:rFonts w:hint="default" w:ascii="Times New Roman" w:hAnsi="Times New Roman" w:eastAsia="宋体" w:cs="Times New Roman"/>
                      <w:color w:val="auto"/>
                      <w:sz w:val="21"/>
                      <w:szCs w:val="21"/>
                      <w:highlight w:val="none"/>
                      <w:lang w:val="en-US" w:eastAsia="zh-CN"/>
                    </w:rPr>
                  </w:pPr>
                  <w:r>
                    <w:rPr>
                      <w:rFonts w:hint="eastAsia" w:ascii="Times New Roman"/>
                      <w:color w:val="auto"/>
                      <w:spacing w:val="0"/>
                      <w:w w:val="100"/>
                      <w:sz w:val="21"/>
                      <w:szCs w:val="21"/>
                      <w:highlight w:val="none"/>
                    </w:rPr>
                    <w:t>800</w:t>
                  </w:r>
                </w:p>
              </w:tc>
              <w:tc>
                <w:tcPr>
                  <w:tcW w:w="725" w:type="pct"/>
                  <w:noWrap w:val="0"/>
                  <w:vAlign w:val="center"/>
                </w:tcPr>
                <w:p w14:paraId="22107667">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4</w:t>
                  </w:r>
                  <w:r>
                    <w:rPr>
                      <w:rFonts w:hint="eastAsia" w:ascii="Times New Roman" w:hAnsi="Times New Roman" w:eastAsia="宋体" w:cs="Times New Roman"/>
                      <w:color w:val="auto"/>
                      <w:sz w:val="21"/>
                      <w:szCs w:val="21"/>
                      <w:highlight w:val="none"/>
                      <w:lang w:val="en-US" w:eastAsia="zh-CN"/>
                    </w:rPr>
                    <w:t>000</w:t>
                  </w:r>
                </w:p>
              </w:tc>
              <w:tc>
                <w:tcPr>
                  <w:tcW w:w="936" w:type="dxa"/>
                  <w:noWrap w:val="0"/>
                  <w:vAlign w:val="center"/>
                </w:tcPr>
                <w:p w14:paraId="50694B80">
                  <w:pPr>
                    <w:pStyle w:val="54"/>
                    <w:keepNext w:val="0"/>
                    <w:keepLines w:val="0"/>
                    <w:pageBreakBefore w:val="0"/>
                    <w:widowControl w:val="0"/>
                    <w:kinsoku/>
                    <w:wordWrap/>
                    <w:overflowPunct/>
                    <w:topLinePunct w:val="0"/>
                    <w:autoSpaceDE/>
                    <w:autoSpaceDN/>
                    <w:bidi w:val="0"/>
                    <w:adjustRightInd w:val="0"/>
                    <w:snapToGrid w:val="0"/>
                    <w:spacing w:before="24" w:after="24"/>
                    <w:ind w:left="420" w:leftChars="0" w:right="0" w:rightChars="0"/>
                    <w:rPr>
                      <w:rFonts w:hint="default" w:ascii="Times New Roman" w:hAnsi="Times New Roman" w:eastAsia="宋体" w:cs="Times New Roman"/>
                      <w:color w:val="auto"/>
                      <w:sz w:val="21"/>
                      <w:szCs w:val="21"/>
                      <w:highlight w:val="none"/>
                      <w:lang w:val="en-US" w:eastAsia="zh-CN"/>
                    </w:rPr>
                  </w:pPr>
                  <w:r>
                    <w:rPr>
                      <w:rFonts w:hint="eastAsia" w:ascii="Times New Roman"/>
                      <w:color w:val="auto"/>
                      <w:spacing w:val="0"/>
                      <w:w w:val="100"/>
                      <w:sz w:val="21"/>
                      <w:szCs w:val="21"/>
                      <w:highlight w:val="none"/>
                    </w:rPr>
                    <w:t>20</w:t>
                  </w:r>
                </w:p>
              </w:tc>
              <w:tc>
                <w:tcPr>
                  <w:tcW w:w="1292" w:type="dxa"/>
                  <w:noWrap w:val="0"/>
                  <w:vAlign w:val="center"/>
                </w:tcPr>
                <w:p w14:paraId="3D9F7439">
                  <w:pPr>
                    <w:pStyle w:val="54"/>
                    <w:keepNext w:val="0"/>
                    <w:keepLines w:val="0"/>
                    <w:pageBreakBefore w:val="0"/>
                    <w:widowControl w:val="0"/>
                    <w:kinsoku/>
                    <w:wordWrap/>
                    <w:overflowPunct/>
                    <w:topLinePunct w:val="0"/>
                    <w:autoSpaceDE/>
                    <w:autoSpaceDN/>
                    <w:bidi w:val="0"/>
                    <w:adjustRightInd w:val="0"/>
                    <w:snapToGrid w:val="0"/>
                    <w:spacing w:before="24" w:after="24"/>
                    <w:ind w:left="420" w:leftChars="0" w:right="0" w:rightChars="0"/>
                    <w:rPr>
                      <w:rFonts w:hint="default" w:ascii="Times New Roman" w:hAnsi="Times New Roman" w:eastAsia="宋体" w:cs="Times New Roman"/>
                      <w:color w:val="auto"/>
                      <w:sz w:val="21"/>
                      <w:szCs w:val="21"/>
                      <w:highlight w:val="none"/>
                    </w:rPr>
                  </w:pPr>
                  <w:r>
                    <w:rPr>
                      <w:rFonts w:ascii="Times New Roman"/>
                      <w:color w:val="auto"/>
                      <w:spacing w:val="0"/>
                      <w:w w:val="100"/>
                      <w:sz w:val="21"/>
                      <w:szCs w:val="21"/>
                      <w:highlight w:val="none"/>
                    </w:rPr>
                    <w:t>达标</w:t>
                  </w:r>
                </w:p>
              </w:tc>
            </w:tr>
            <w:tr w14:paraId="00CFC5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3" w:type="pct"/>
                  <w:noWrap w:val="0"/>
                  <w:vAlign w:val="center"/>
                </w:tcPr>
                <w:p w14:paraId="4CCF9179">
                  <w:pPr>
                    <w:spacing w:line="240" w:lineRule="auto"/>
                    <w:jc w:val="center"/>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O</w:t>
                  </w:r>
                  <w:r>
                    <w:rPr>
                      <w:rFonts w:hint="default" w:ascii="Times New Roman" w:hAnsi="Times New Roman" w:eastAsia="宋体" w:cs="Times New Roman"/>
                      <w:color w:val="auto"/>
                      <w:sz w:val="21"/>
                      <w:szCs w:val="21"/>
                      <w:highlight w:val="none"/>
                      <w:vertAlign w:val="subscript"/>
                    </w:rPr>
                    <w:t>3</w:t>
                  </w:r>
                </w:p>
              </w:tc>
              <w:tc>
                <w:tcPr>
                  <w:tcW w:w="1742" w:type="pct"/>
                  <w:noWrap w:val="0"/>
                  <w:vAlign w:val="center"/>
                </w:tcPr>
                <w:p w14:paraId="1FCF914E">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日最大8小时平均第90百分位数</w:t>
                  </w:r>
                </w:p>
              </w:tc>
              <w:tc>
                <w:tcPr>
                  <w:tcW w:w="1177" w:type="dxa"/>
                  <w:noWrap w:val="0"/>
                  <w:vAlign w:val="center"/>
                </w:tcPr>
                <w:p w14:paraId="0FED633C">
                  <w:pPr>
                    <w:pStyle w:val="54"/>
                    <w:keepNext w:val="0"/>
                    <w:keepLines w:val="0"/>
                    <w:pageBreakBefore w:val="0"/>
                    <w:widowControl w:val="0"/>
                    <w:kinsoku/>
                    <w:wordWrap/>
                    <w:overflowPunct/>
                    <w:topLinePunct w:val="0"/>
                    <w:autoSpaceDE/>
                    <w:autoSpaceDN/>
                    <w:bidi w:val="0"/>
                    <w:adjustRightInd w:val="0"/>
                    <w:snapToGrid w:val="0"/>
                    <w:spacing w:before="24" w:after="24"/>
                    <w:ind w:left="420" w:leftChars="0" w:right="0" w:rightChars="0"/>
                    <w:rPr>
                      <w:rFonts w:hint="default" w:ascii="Times New Roman" w:hAnsi="Times New Roman" w:eastAsia="宋体" w:cs="Times New Roman"/>
                      <w:color w:val="auto"/>
                      <w:sz w:val="21"/>
                      <w:szCs w:val="21"/>
                      <w:highlight w:val="none"/>
                      <w:lang w:val="en-US" w:eastAsia="zh-CN"/>
                    </w:rPr>
                  </w:pPr>
                  <w:r>
                    <w:rPr>
                      <w:rFonts w:hint="eastAsia" w:ascii="Times New Roman"/>
                      <w:color w:val="auto"/>
                      <w:spacing w:val="0"/>
                      <w:w w:val="100"/>
                      <w:sz w:val="21"/>
                      <w:szCs w:val="21"/>
                      <w:highlight w:val="none"/>
                    </w:rPr>
                    <w:t>9</w:t>
                  </w:r>
                  <w:r>
                    <w:rPr>
                      <w:rFonts w:hint="eastAsia" w:ascii="Times New Roman"/>
                      <w:color w:val="auto"/>
                      <w:spacing w:val="0"/>
                      <w:w w:val="100"/>
                      <w:sz w:val="21"/>
                      <w:szCs w:val="21"/>
                      <w:highlight w:val="none"/>
                      <w:lang w:val="en-US" w:eastAsia="zh-CN"/>
                    </w:rPr>
                    <w:t>2</w:t>
                  </w:r>
                </w:p>
              </w:tc>
              <w:tc>
                <w:tcPr>
                  <w:tcW w:w="725" w:type="pct"/>
                  <w:noWrap w:val="0"/>
                  <w:vAlign w:val="center"/>
                </w:tcPr>
                <w:p w14:paraId="5EE290AD">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160</w:t>
                  </w:r>
                </w:p>
              </w:tc>
              <w:tc>
                <w:tcPr>
                  <w:tcW w:w="936" w:type="dxa"/>
                  <w:noWrap w:val="0"/>
                  <w:vAlign w:val="center"/>
                </w:tcPr>
                <w:p w14:paraId="0D70A524">
                  <w:pPr>
                    <w:pStyle w:val="54"/>
                    <w:keepNext w:val="0"/>
                    <w:keepLines w:val="0"/>
                    <w:pageBreakBefore w:val="0"/>
                    <w:widowControl w:val="0"/>
                    <w:kinsoku/>
                    <w:wordWrap/>
                    <w:overflowPunct/>
                    <w:topLinePunct w:val="0"/>
                    <w:autoSpaceDE/>
                    <w:autoSpaceDN/>
                    <w:bidi w:val="0"/>
                    <w:adjustRightInd w:val="0"/>
                    <w:snapToGrid w:val="0"/>
                    <w:spacing w:before="24" w:after="24"/>
                    <w:ind w:left="420" w:leftChars="0" w:right="0" w:rightChars="0"/>
                    <w:rPr>
                      <w:rFonts w:hint="default" w:ascii="Times New Roman" w:hAnsi="Times New Roman" w:eastAsia="宋体" w:cs="Times New Roman"/>
                      <w:color w:val="auto"/>
                      <w:sz w:val="21"/>
                      <w:szCs w:val="21"/>
                      <w:highlight w:val="none"/>
                      <w:lang w:val="en-US" w:eastAsia="zh-CN"/>
                    </w:rPr>
                  </w:pPr>
                  <w:r>
                    <w:rPr>
                      <w:rFonts w:hint="eastAsia" w:ascii="Times New Roman"/>
                      <w:color w:val="auto"/>
                      <w:spacing w:val="0"/>
                      <w:w w:val="100"/>
                      <w:sz w:val="21"/>
                      <w:szCs w:val="21"/>
                      <w:highlight w:val="none"/>
                      <w:lang w:val="en-US" w:eastAsia="zh-CN"/>
                    </w:rPr>
                    <w:t>57.5</w:t>
                  </w:r>
                </w:p>
              </w:tc>
              <w:tc>
                <w:tcPr>
                  <w:tcW w:w="1292" w:type="dxa"/>
                  <w:noWrap w:val="0"/>
                  <w:vAlign w:val="center"/>
                </w:tcPr>
                <w:p w14:paraId="3CA3DCFF">
                  <w:pPr>
                    <w:pStyle w:val="54"/>
                    <w:keepNext w:val="0"/>
                    <w:keepLines w:val="0"/>
                    <w:pageBreakBefore w:val="0"/>
                    <w:widowControl w:val="0"/>
                    <w:kinsoku/>
                    <w:wordWrap/>
                    <w:overflowPunct/>
                    <w:topLinePunct w:val="0"/>
                    <w:autoSpaceDE/>
                    <w:autoSpaceDN/>
                    <w:bidi w:val="0"/>
                    <w:adjustRightInd w:val="0"/>
                    <w:snapToGrid w:val="0"/>
                    <w:spacing w:before="24" w:after="24"/>
                    <w:ind w:left="420" w:leftChars="0" w:right="0" w:rightChars="0"/>
                    <w:rPr>
                      <w:rFonts w:hint="default" w:ascii="Times New Roman" w:hAnsi="Times New Roman" w:eastAsia="宋体" w:cs="Times New Roman"/>
                      <w:color w:val="auto"/>
                      <w:sz w:val="21"/>
                      <w:szCs w:val="21"/>
                      <w:highlight w:val="none"/>
                    </w:rPr>
                  </w:pPr>
                  <w:r>
                    <w:rPr>
                      <w:rFonts w:ascii="Times New Roman"/>
                      <w:color w:val="auto"/>
                      <w:spacing w:val="0"/>
                      <w:w w:val="100"/>
                      <w:sz w:val="21"/>
                      <w:szCs w:val="21"/>
                      <w:highlight w:val="none"/>
                    </w:rPr>
                    <w:t>达标</w:t>
                  </w:r>
                </w:p>
              </w:tc>
            </w:tr>
          </w:tbl>
          <w:p w14:paraId="08060C78">
            <w:pPr>
              <w:widowControl/>
              <w:spacing w:line="360" w:lineRule="auto"/>
              <w:ind w:firstLine="480" w:firstLineChars="200"/>
              <w:jc w:val="left"/>
              <w:rPr>
                <w:rFonts w:ascii="Times New Roman" w:hAnsi="Times New Roman" w:eastAsia="宋体" w:cs="Times New Roman"/>
                <w:color w:val="auto"/>
                <w:kern w:val="0"/>
                <w:sz w:val="24"/>
                <w:lang w:bidi="ar"/>
              </w:rPr>
            </w:pPr>
            <w:r>
              <w:rPr>
                <w:rFonts w:ascii="Times New Roman" w:hAnsi="Times New Roman" w:eastAsia="宋体" w:cs="Times New Roman"/>
                <w:color w:val="auto"/>
                <w:kern w:val="0"/>
                <w:sz w:val="24"/>
                <w:lang w:bidi="ar"/>
              </w:rPr>
              <w:t>从表3-</w:t>
            </w:r>
            <w:r>
              <w:rPr>
                <w:rFonts w:hint="eastAsia" w:ascii="Times New Roman" w:hAnsi="Times New Roman" w:eastAsia="宋体" w:cs="Times New Roman"/>
                <w:color w:val="auto"/>
                <w:kern w:val="0"/>
                <w:sz w:val="24"/>
                <w:lang w:bidi="ar"/>
              </w:rPr>
              <w:t>1</w:t>
            </w:r>
            <w:r>
              <w:rPr>
                <w:rFonts w:ascii="Times New Roman" w:hAnsi="Times New Roman" w:eastAsia="宋体" w:cs="Times New Roman"/>
                <w:color w:val="auto"/>
                <w:kern w:val="0"/>
                <w:sz w:val="24"/>
                <w:lang w:bidi="ar"/>
              </w:rPr>
              <w:t>可以看出，项目所在区域PM10、PM2.5不满足《环境空气质量标准》</w:t>
            </w:r>
            <w:r>
              <w:rPr>
                <w:rFonts w:ascii="Times New Roman" w:hAnsi="Times New Roman" w:eastAsia="宋体" w:cs="Times New Roman"/>
                <w:color w:val="0000FF"/>
                <w:kern w:val="0"/>
                <w:sz w:val="24"/>
                <w:lang w:bidi="ar"/>
              </w:rPr>
              <w:t>（GB3095-20</w:t>
            </w:r>
            <w:r>
              <w:rPr>
                <w:rFonts w:hint="eastAsia" w:cs="Times New Roman"/>
                <w:color w:val="0000FF"/>
                <w:kern w:val="0"/>
                <w:sz w:val="24"/>
                <w:lang w:val="en-US" w:eastAsia="zh-CN" w:bidi="ar"/>
              </w:rPr>
              <w:t>26</w:t>
            </w:r>
            <w:r>
              <w:rPr>
                <w:rFonts w:ascii="Times New Roman" w:hAnsi="Times New Roman" w:eastAsia="宋体" w:cs="Times New Roman"/>
                <w:color w:val="0000FF"/>
                <w:kern w:val="0"/>
                <w:sz w:val="24"/>
                <w:lang w:bidi="ar"/>
              </w:rPr>
              <w:t>）</w:t>
            </w:r>
            <w:r>
              <w:rPr>
                <w:rFonts w:hint="eastAsia" w:cs="Times New Roman"/>
                <w:color w:val="0000FF"/>
                <w:kern w:val="0"/>
                <w:sz w:val="24"/>
                <w:lang w:val="en-US" w:eastAsia="zh-CN" w:bidi="ar"/>
              </w:rPr>
              <w:t>过渡阶段</w:t>
            </w:r>
            <w:r>
              <w:rPr>
                <w:rFonts w:ascii="Times New Roman" w:hAnsi="Times New Roman" w:eastAsia="宋体" w:cs="Times New Roman"/>
                <w:color w:val="0000FF"/>
                <w:kern w:val="0"/>
                <w:sz w:val="24"/>
                <w:lang w:bidi="ar"/>
              </w:rPr>
              <w:t>二类区标准要求，</w:t>
            </w:r>
            <w:r>
              <w:rPr>
                <w:rFonts w:ascii="Times New Roman" w:hAnsi="Times New Roman" w:eastAsia="宋体" w:cs="Times New Roman"/>
                <w:color w:val="auto"/>
                <w:kern w:val="0"/>
                <w:sz w:val="24"/>
                <w:lang w:bidi="ar"/>
              </w:rPr>
              <w:t>属于</w:t>
            </w:r>
            <w:r>
              <w:rPr>
                <w:rFonts w:hint="eastAsia" w:ascii="Times New Roman" w:hAnsi="Times New Roman" w:eastAsia="宋体" w:cs="Times New Roman"/>
                <w:color w:val="auto"/>
                <w:kern w:val="0"/>
                <w:sz w:val="24"/>
                <w:lang w:val="en-US" w:eastAsia="zh-CN" w:bidi="ar"/>
              </w:rPr>
              <w:t>环境空气质量</w:t>
            </w:r>
            <w:r>
              <w:rPr>
                <w:rFonts w:ascii="Times New Roman" w:hAnsi="Times New Roman" w:eastAsia="宋体" w:cs="Times New Roman"/>
                <w:color w:val="auto"/>
                <w:kern w:val="0"/>
                <w:sz w:val="24"/>
                <w:lang w:bidi="ar"/>
              </w:rPr>
              <w:t>不达标区。</w:t>
            </w:r>
          </w:p>
          <w:p w14:paraId="6CC1210A">
            <w:pPr>
              <w:widowControl/>
              <w:spacing w:line="360" w:lineRule="auto"/>
              <w:ind w:firstLine="480" w:firstLineChars="200"/>
              <w:jc w:val="left"/>
              <w:rPr>
                <w:rFonts w:hint="default" w:ascii="Times New Roman" w:hAnsi="Times New Roman" w:eastAsia="宋体" w:cs="Times New Roman"/>
                <w:color w:val="auto"/>
                <w:kern w:val="0"/>
                <w:sz w:val="24"/>
                <w:lang w:val="en-US" w:eastAsia="zh-CN" w:bidi="ar"/>
              </w:rPr>
            </w:pPr>
            <w:r>
              <w:rPr>
                <w:rFonts w:hint="eastAsia" w:ascii="Times New Roman" w:hAnsi="Times New Roman" w:eastAsia="宋体" w:cs="Times New Roman"/>
                <w:color w:val="auto"/>
                <w:kern w:val="0"/>
                <w:sz w:val="24"/>
                <w:lang w:eastAsia="zh-CN" w:bidi="ar"/>
              </w:rPr>
              <w:t>（</w:t>
            </w:r>
            <w:r>
              <w:rPr>
                <w:rFonts w:hint="eastAsia" w:ascii="Times New Roman" w:hAnsi="Times New Roman" w:eastAsia="宋体" w:cs="Times New Roman"/>
                <w:color w:val="auto"/>
                <w:kern w:val="0"/>
                <w:sz w:val="24"/>
                <w:lang w:val="en-US" w:eastAsia="zh-CN" w:bidi="ar"/>
              </w:rPr>
              <w:t>2</w:t>
            </w:r>
            <w:r>
              <w:rPr>
                <w:rFonts w:hint="eastAsia" w:ascii="Times New Roman" w:hAnsi="Times New Roman" w:eastAsia="宋体" w:cs="Times New Roman"/>
                <w:color w:val="auto"/>
                <w:kern w:val="0"/>
                <w:sz w:val="24"/>
                <w:lang w:eastAsia="zh-CN" w:bidi="ar"/>
              </w:rPr>
              <w:t>）</w:t>
            </w:r>
            <w:r>
              <w:rPr>
                <w:rFonts w:hint="eastAsia" w:ascii="Times New Roman" w:hAnsi="Times New Roman" w:eastAsia="宋体" w:cs="Times New Roman"/>
                <w:color w:val="auto"/>
                <w:kern w:val="0"/>
                <w:sz w:val="24"/>
                <w:lang w:val="en-US" w:eastAsia="zh-CN" w:bidi="ar"/>
              </w:rPr>
              <w:t>其</w:t>
            </w:r>
            <w:r>
              <w:rPr>
                <w:rFonts w:hint="eastAsia" w:ascii="Times New Roman" w:hAnsi="Times New Roman" w:eastAsia="宋体" w:cs="Times New Roman"/>
                <w:color w:val="auto"/>
                <w:kern w:val="0"/>
                <w:sz w:val="24"/>
                <w:lang w:eastAsia="zh-CN" w:bidi="ar"/>
              </w:rPr>
              <w:t>他污染物</w:t>
            </w:r>
            <w:r>
              <w:rPr>
                <w:rFonts w:hint="eastAsia" w:ascii="Times New Roman" w:hAnsi="Times New Roman" w:eastAsia="宋体" w:cs="Times New Roman"/>
                <w:color w:val="auto"/>
                <w:kern w:val="0"/>
                <w:sz w:val="24"/>
                <w:lang w:val="en-US" w:eastAsia="zh-CN" w:bidi="ar"/>
              </w:rPr>
              <w:t>补充监测</w:t>
            </w:r>
          </w:p>
          <w:p w14:paraId="0F720C9A">
            <w:pPr>
              <w:keepNext/>
              <w:keepLines/>
              <w:widowControl w:val="0"/>
              <w:suppressLineNumbers w:val="0"/>
              <w:kinsoku/>
              <w:wordWrap/>
              <w:bidi w:val="0"/>
              <w:adjustRightInd/>
              <w:snapToGrid/>
              <w:spacing w:before="0" w:beforeAutospacing="0" w:after="0" w:afterAutospacing="0" w:line="360" w:lineRule="auto"/>
              <w:ind w:left="0" w:right="0" w:firstLine="480" w:firstLineChars="200"/>
              <w:jc w:val="left"/>
              <w:outlineLvl w:val="2"/>
              <w:rPr>
                <w:rFonts w:hint="eastAsia" w:ascii="Times New Roman" w:hAnsi="Times New Roman" w:eastAsia="宋体" w:cs="Times New Roman"/>
                <w:bCs/>
                <w:color w:val="auto"/>
                <w:kern w:val="2"/>
                <w:sz w:val="24"/>
                <w:szCs w:val="24"/>
                <w:lang w:val="en-US" w:eastAsia="zh-CN" w:bidi="ar"/>
              </w:rPr>
            </w:pPr>
            <w:r>
              <w:rPr>
                <w:rFonts w:hint="eastAsia" w:ascii="Times New Roman" w:hAnsi="Times New Roman" w:eastAsia="宋体" w:cs="Times New Roman"/>
                <w:bCs/>
                <w:color w:val="auto"/>
                <w:kern w:val="2"/>
                <w:sz w:val="24"/>
                <w:szCs w:val="24"/>
                <w:lang w:val="en-US" w:eastAsia="zh-CN" w:bidi="ar"/>
              </w:rPr>
              <w:t>根据《建设项目环境影响报告表编制技术指南（污染影响类）（试行）》中规定要求，为了进一步了解项目所在区域大气环境质量现状，本次评价TSP数据引用新疆国泰民康职业环境检测评价有限责任公司于2024年8月26日至2024年9月2日对《新疆云展再生资源利用有限公司年处理6万辆机动车项目环境影响后评价报告书》下风向环境空气质量进行监测的数据，监测点位于本项目东北侧约200m处。根据《建设项目环境影响报告表编制技术指南（污染影响类）（试行）》中规定，排放国家、地方环境空气质量标准中有标准限值要求的特征污染物时，引用建</w:t>
            </w:r>
            <w:r>
              <w:rPr>
                <w:rFonts w:hint="eastAsia" w:cs="Times New Roman"/>
                <w:bCs/>
                <w:color w:val="auto"/>
                <w:kern w:val="2"/>
                <w:sz w:val="24"/>
                <w:szCs w:val="24"/>
                <w:lang w:val="en-US" w:eastAsia="zh-CN" w:bidi="ar"/>
              </w:rPr>
              <w:t>设项</w:t>
            </w:r>
            <w:r>
              <w:rPr>
                <w:rFonts w:hint="eastAsia" w:ascii="Times New Roman" w:hAnsi="Times New Roman" w:eastAsia="宋体" w:cs="Times New Roman"/>
                <w:bCs/>
                <w:color w:val="auto"/>
                <w:kern w:val="2"/>
                <w:sz w:val="24"/>
                <w:szCs w:val="24"/>
                <w:lang w:val="en-US" w:eastAsia="zh-CN" w:bidi="ar"/>
              </w:rPr>
              <w:t>目周边5千米范围内近3年的现有监测数据，本项目数据引用有效。</w:t>
            </w:r>
          </w:p>
          <w:p w14:paraId="078FCBC9">
            <w:pPr>
              <w:keepNext/>
              <w:keepLines/>
              <w:widowControl w:val="0"/>
              <w:suppressLineNumbers w:val="0"/>
              <w:kinsoku/>
              <w:wordWrap/>
              <w:bidi w:val="0"/>
              <w:adjustRightInd/>
              <w:snapToGrid/>
              <w:spacing w:before="0" w:beforeAutospacing="0" w:after="0" w:afterAutospacing="0" w:line="360" w:lineRule="auto"/>
              <w:ind w:left="0" w:right="0" w:firstLine="480" w:firstLineChars="200"/>
              <w:jc w:val="left"/>
              <w:outlineLvl w:val="2"/>
              <w:rPr>
                <w:rFonts w:hint="eastAsia" w:ascii="Times New Roman" w:hAnsi="Times New Roman" w:eastAsia="宋体" w:cs="Times New Roman"/>
                <w:bCs/>
                <w:color w:val="auto"/>
                <w:kern w:val="2"/>
                <w:sz w:val="24"/>
                <w:szCs w:val="24"/>
                <w:lang w:val="en-US" w:eastAsia="zh-CN" w:bidi="ar"/>
              </w:rPr>
            </w:pPr>
            <w:r>
              <w:rPr>
                <w:rFonts w:hint="eastAsia" w:ascii="Times New Roman" w:hAnsi="Times New Roman" w:eastAsia="宋体" w:cs="Times New Roman"/>
                <w:bCs/>
                <w:color w:val="auto"/>
                <w:kern w:val="2"/>
                <w:sz w:val="24"/>
                <w:szCs w:val="24"/>
                <w:lang w:val="en-US" w:eastAsia="zh-CN" w:bidi="ar"/>
              </w:rPr>
              <w:t>1）监测点位布置</w:t>
            </w:r>
          </w:p>
          <w:p w14:paraId="628950E2">
            <w:pPr>
              <w:keepNext/>
              <w:keepLines/>
              <w:widowControl w:val="0"/>
              <w:suppressLineNumbers w:val="0"/>
              <w:kinsoku/>
              <w:wordWrap/>
              <w:bidi w:val="0"/>
              <w:adjustRightInd/>
              <w:snapToGrid/>
              <w:spacing w:before="0" w:beforeAutospacing="0" w:after="0" w:afterAutospacing="0" w:line="360" w:lineRule="auto"/>
              <w:ind w:left="0" w:right="0" w:firstLine="480" w:firstLineChars="200"/>
              <w:jc w:val="left"/>
              <w:outlineLvl w:val="2"/>
              <w:rPr>
                <w:rFonts w:hint="eastAsia" w:ascii="Times New Roman" w:hAnsi="Times New Roman" w:eastAsia="宋体" w:cs="Times New Roman"/>
                <w:bCs/>
                <w:color w:val="auto"/>
                <w:kern w:val="2"/>
                <w:sz w:val="24"/>
                <w:szCs w:val="24"/>
                <w:lang w:val="en-US" w:eastAsia="zh-CN" w:bidi="ar"/>
              </w:rPr>
            </w:pPr>
            <w:r>
              <w:rPr>
                <w:rFonts w:hint="eastAsia" w:ascii="Times New Roman" w:hAnsi="Times New Roman" w:eastAsia="宋体" w:cs="Times New Roman"/>
                <w:bCs/>
                <w:color w:val="auto"/>
                <w:kern w:val="2"/>
                <w:sz w:val="24"/>
                <w:szCs w:val="24"/>
                <w:lang w:val="en-US" w:eastAsia="zh-CN" w:bidi="ar"/>
              </w:rPr>
              <w:t>本次评价环境空气现状监测点位置详见表3-2及附图6。</w:t>
            </w:r>
          </w:p>
          <w:p w14:paraId="5F521C5F">
            <w:pPr>
              <w:adjustRightInd w:val="0"/>
              <w:snapToGrid w:val="0"/>
              <w:ind w:firstLine="422" w:firstLineChars="200"/>
              <w:jc w:val="center"/>
              <w:rPr>
                <w:rFonts w:hint="eastAsia" w:ascii="Times New Roman" w:hAnsi="Times New Roman" w:eastAsia="宋体" w:cs="Times New Roman"/>
                <w:b/>
                <w:bCs/>
                <w:color w:val="auto"/>
                <w:szCs w:val="21"/>
                <w:lang w:val="en-US" w:eastAsia="zh-CN"/>
              </w:rPr>
            </w:pPr>
          </w:p>
          <w:p w14:paraId="6E0B3385">
            <w:pPr>
              <w:adjustRightInd w:val="0"/>
              <w:snapToGrid w:val="0"/>
              <w:ind w:firstLine="422" w:firstLineChars="200"/>
              <w:jc w:val="center"/>
              <w:rPr>
                <w:rFonts w:hint="eastAsia" w:ascii="Times New Roman" w:hAnsi="Times New Roman" w:eastAsia="宋体" w:cs="Times New Roman"/>
                <w:b/>
                <w:bCs/>
                <w:color w:val="auto"/>
                <w:szCs w:val="21"/>
                <w:lang w:val="en-US" w:eastAsia="zh-CN"/>
              </w:rPr>
            </w:pPr>
            <w:r>
              <w:rPr>
                <w:rFonts w:hint="eastAsia" w:ascii="Times New Roman" w:hAnsi="Times New Roman" w:eastAsia="宋体" w:cs="Times New Roman"/>
                <w:b/>
                <w:bCs/>
                <w:color w:val="auto"/>
                <w:szCs w:val="21"/>
                <w:lang w:val="en-US" w:eastAsia="zh-CN"/>
              </w:rPr>
              <w:t>表3-2  环境空气质量现状监测点位置</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6"/>
              <w:gridCol w:w="2754"/>
              <w:gridCol w:w="2700"/>
              <w:gridCol w:w="1485"/>
              <w:gridCol w:w="802"/>
            </w:tblGrid>
            <w:tr w14:paraId="3CDE7C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2" w:type="pct"/>
                  <w:noWrap w:val="0"/>
                  <w:vAlign w:val="center"/>
                </w:tcPr>
                <w:p w14:paraId="69420EBF">
                  <w:pPr>
                    <w:keepNext/>
                    <w:keepLines/>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right="0"/>
                    <w:jc w:val="center"/>
                    <w:textAlignment w:val="auto"/>
                    <w:outlineLvl w:val="2"/>
                    <w:rPr>
                      <w:rFonts w:hint="default" w:ascii="Times New Roman" w:hAnsi="Times New Roman" w:eastAsia="宋体" w:cs="Times New Roman"/>
                      <w:bCs/>
                      <w:color w:val="auto"/>
                      <w:kern w:val="2"/>
                      <w:sz w:val="21"/>
                      <w:szCs w:val="21"/>
                      <w:vertAlign w:val="baseline"/>
                      <w:lang w:val="en-US" w:eastAsia="zh-CN" w:bidi="ar"/>
                    </w:rPr>
                  </w:pPr>
                  <w:r>
                    <w:rPr>
                      <w:rFonts w:hint="default" w:ascii="Times New Roman" w:hAnsi="Times New Roman" w:eastAsia="宋体" w:cs="Times New Roman"/>
                      <w:bCs/>
                      <w:color w:val="auto"/>
                      <w:kern w:val="2"/>
                      <w:sz w:val="21"/>
                      <w:szCs w:val="21"/>
                      <w:vertAlign w:val="baseline"/>
                      <w:lang w:val="en-US" w:eastAsia="zh-CN" w:bidi="ar"/>
                    </w:rPr>
                    <w:t>编号</w:t>
                  </w:r>
                </w:p>
              </w:tc>
              <w:tc>
                <w:tcPr>
                  <w:tcW w:w="1607" w:type="pct"/>
                  <w:noWrap w:val="0"/>
                  <w:vAlign w:val="center"/>
                </w:tcPr>
                <w:p w14:paraId="333C1DB1">
                  <w:pPr>
                    <w:keepNext/>
                    <w:keepLines/>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right="0"/>
                    <w:jc w:val="center"/>
                    <w:textAlignment w:val="auto"/>
                    <w:outlineLvl w:val="2"/>
                    <w:rPr>
                      <w:rFonts w:hint="default" w:ascii="Times New Roman" w:hAnsi="Times New Roman" w:eastAsia="宋体" w:cs="Times New Roman"/>
                      <w:bCs/>
                      <w:color w:val="auto"/>
                      <w:kern w:val="2"/>
                      <w:sz w:val="21"/>
                      <w:szCs w:val="21"/>
                      <w:vertAlign w:val="baseline"/>
                      <w:lang w:val="en-US" w:eastAsia="zh-CN" w:bidi="ar"/>
                    </w:rPr>
                  </w:pPr>
                  <w:r>
                    <w:rPr>
                      <w:rFonts w:hint="default" w:ascii="Times New Roman" w:hAnsi="Times New Roman" w:eastAsia="宋体" w:cs="Times New Roman"/>
                      <w:bCs/>
                      <w:color w:val="auto"/>
                      <w:kern w:val="2"/>
                      <w:sz w:val="21"/>
                      <w:szCs w:val="21"/>
                      <w:vertAlign w:val="baseline"/>
                      <w:lang w:val="en-US" w:eastAsia="zh-CN" w:bidi="ar"/>
                    </w:rPr>
                    <w:t>监测点名称</w:t>
                  </w:r>
                </w:p>
              </w:tc>
              <w:tc>
                <w:tcPr>
                  <w:tcW w:w="1575" w:type="pct"/>
                  <w:noWrap w:val="0"/>
                  <w:vAlign w:val="center"/>
                </w:tcPr>
                <w:p w14:paraId="230C92F8">
                  <w:pPr>
                    <w:keepNext/>
                    <w:keepLines/>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right="0"/>
                    <w:jc w:val="center"/>
                    <w:textAlignment w:val="auto"/>
                    <w:outlineLvl w:val="2"/>
                    <w:rPr>
                      <w:rFonts w:hint="default" w:ascii="Times New Roman" w:hAnsi="Times New Roman" w:eastAsia="宋体" w:cs="Times New Roman"/>
                      <w:bCs/>
                      <w:color w:val="auto"/>
                      <w:kern w:val="2"/>
                      <w:sz w:val="21"/>
                      <w:szCs w:val="21"/>
                      <w:vertAlign w:val="baseline"/>
                      <w:lang w:val="en-US" w:eastAsia="zh-CN" w:bidi="ar"/>
                    </w:rPr>
                  </w:pPr>
                  <w:r>
                    <w:rPr>
                      <w:rFonts w:hint="default" w:ascii="Times New Roman" w:hAnsi="Times New Roman" w:eastAsia="宋体" w:cs="Times New Roman"/>
                      <w:bCs/>
                      <w:color w:val="auto"/>
                      <w:kern w:val="2"/>
                      <w:sz w:val="21"/>
                      <w:szCs w:val="21"/>
                      <w:vertAlign w:val="baseline"/>
                      <w:lang w:val="en-US" w:eastAsia="zh-CN" w:bidi="ar"/>
                    </w:rPr>
                    <w:t>监测点坐标</w:t>
                  </w:r>
                </w:p>
              </w:tc>
              <w:tc>
                <w:tcPr>
                  <w:tcW w:w="866" w:type="pct"/>
                  <w:noWrap w:val="0"/>
                  <w:vAlign w:val="center"/>
                </w:tcPr>
                <w:p w14:paraId="1802056A">
                  <w:pPr>
                    <w:keepNext/>
                    <w:keepLines/>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right="0"/>
                    <w:jc w:val="center"/>
                    <w:textAlignment w:val="auto"/>
                    <w:outlineLvl w:val="2"/>
                    <w:rPr>
                      <w:rFonts w:hint="default" w:ascii="Times New Roman" w:hAnsi="Times New Roman" w:eastAsia="宋体" w:cs="Times New Roman"/>
                      <w:bCs/>
                      <w:color w:val="auto"/>
                      <w:kern w:val="2"/>
                      <w:sz w:val="21"/>
                      <w:szCs w:val="21"/>
                      <w:vertAlign w:val="baseline"/>
                      <w:lang w:val="en-US" w:eastAsia="zh-CN" w:bidi="ar"/>
                    </w:rPr>
                  </w:pPr>
                  <w:r>
                    <w:rPr>
                      <w:rFonts w:hint="default" w:ascii="Times New Roman" w:hAnsi="Times New Roman" w:eastAsia="宋体" w:cs="Times New Roman"/>
                      <w:bCs/>
                      <w:color w:val="auto"/>
                      <w:kern w:val="2"/>
                      <w:sz w:val="21"/>
                      <w:szCs w:val="21"/>
                      <w:vertAlign w:val="baseline"/>
                      <w:lang w:val="en-US" w:eastAsia="zh-CN" w:bidi="ar"/>
                    </w:rPr>
                    <w:t>与本项目位置</w:t>
                  </w:r>
                </w:p>
              </w:tc>
              <w:tc>
                <w:tcPr>
                  <w:tcW w:w="468" w:type="pct"/>
                  <w:noWrap w:val="0"/>
                  <w:vAlign w:val="center"/>
                </w:tcPr>
                <w:p w14:paraId="30BACDC3">
                  <w:pPr>
                    <w:keepNext/>
                    <w:keepLines/>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right="0"/>
                    <w:jc w:val="center"/>
                    <w:textAlignment w:val="auto"/>
                    <w:outlineLvl w:val="2"/>
                    <w:rPr>
                      <w:rFonts w:hint="default" w:ascii="Times New Roman" w:hAnsi="Times New Roman" w:eastAsia="宋体" w:cs="Times New Roman"/>
                      <w:bCs/>
                      <w:color w:val="auto"/>
                      <w:kern w:val="2"/>
                      <w:sz w:val="21"/>
                      <w:szCs w:val="21"/>
                      <w:vertAlign w:val="baseline"/>
                      <w:lang w:val="en-US" w:eastAsia="zh-CN" w:bidi="ar"/>
                    </w:rPr>
                  </w:pPr>
                  <w:r>
                    <w:rPr>
                      <w:rFonts w:hint="default" w:ascii="Times New Roman" w:hAnsi="Times New Roman" w:eastAsia="宋体" w:cs="Times New Roman"/>
                      <w:bCs/>
                      <w:color w:val="auto"/>
                      <w:kern w:val="2"/>
                      <w:sz w:val="21"/>
                      <w:szCs w:val="21"/>
                      <w:vertAlign w:val="baseline"/>
                      <w:lang w:val="en-US" w:eastAsia="zh-CN" w:bidi="ar"/>
                    </w:rPr>
                    <w:t>备注</w:t>
                  </w:r>
                </w:p>
              </w:tc>
            </w:tr>
            <w:tr w14:paraId="76D65A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2" w:type="pct"/>
                  <w:noWrap w:val="0"/>
                  <w:vAlign w:val="center"/>
                </w:tcPr>
                <w:p w14:paraId="64B75E0E">
                  <w:pPr>
                    <w:keepNext/>
                    <w:keepLines/>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right="0"/>
                    <w:jc w:val="center"/>
                    <w:textAlignment w:val="auto"/>
                    <w:outlineLvl w:val="2"/>
                    <w:rPr>
                      <w:rFonts w:hint="default" w:ascii="Times New Roman" w:hAnsi="Times New Roman" w:eastAsia="宋体" w:cs="Times New Roman"/>
                      <w:bCs/>
                      <w:color w:val="auto"/>
                      <w:kern w:val="2"/>
                      <w:sz w:val="21"/>
                      <w:szCs w:val="21"/>
                      <w:vertAlign w:val="baseline"/>
                      <w:lang w:val="en-US" w:eastAsia="zh-CN" w:bidi="ar"/>
                    </w:rPr>
                  </w:pPr>
                  <w:r>
                    <w:rPr>
                      <w:rFonts w:hint="eastAsia" w:ascii="Times New Roman" w:hAnsi="Times New Roman" w:eastAsia="宋体" w:cs="Times New Roman"/>
                      <w:bCs/>
                      <w:color w:val="auto"/>
                      <w:kern w:val="2"/>
                      <w:sz w:val="21"/>
                      <w:szCs w:val="21"/>
                      <w:vertAlign w:val="baseline"/>
                      <w:lang w:val="en-US" w:eastAsia="zh-CN" w:bidi="ar"/>
                    </w:rPr>
                    <w:t>G1</w:t>
                  </w:r>
                </w:p>
              </w:tc>
              <w:tc>
                <w:tcPr>
                  <w:tcW w:w="1607" w:type="pct"/>
                  <w:noWrap w:val="0"/>
                  <w:vAlign w:val="center"/>
                </w:tcPr>
                <w:p w14:paraId="6FD360A9">
                  <w:pPr>
                    <w:keepNext/>
                    <w:keepLines/>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right="0"/>
                    <w:jc w:val="center"/>
                    <w:textAlignment w:val="auto"/>
                    <w:outlineLvl w:val="2"/>
                    <w:rPr>
                      <w:rFonts w:hint="default" w:ascii="Times New Roman" w:hAnsi="Times New Roman" w:eastAsia="宋体" w:cs="Times New Roman"/>
                      <w:bCs/>
                      <w:color w:val="auto"/>
                      <w:kern w:val="2"/>
                      <w:sz w:val="21"/>
                      <w:szCs w:val="21"/>
                      <w:vertAlign w:val="baseline"/>
                      <w:lang w:val="en-US" w:eastAsia="zh-CN" w:bidi="ar"/>
                    </w:rPr>
                  </w:pPr>
                  <w:r>
                    <w:rPr>
                      <w:rFonts w:hint="default" w:ascii="Times New Roman" w:hAnsi="Times New Roman" w:eastAsia="宋体" w:cs="Times New Roman"/>
                      <w:bCs/>
                      <w:color w:val="auto"/>
                      <w:kern w:val="2"/>
                      <w:sz w:val="21"/>
                      <w:szCs w:val="21"/>
                      <w:vertAlign w:val="baseline"/>
                      <w:lang w:val="en-US" w:eastAsia="zh-CN" w:bidi="ar"/>
                    </w:rPr>
                    <w:t>新疆云展再生资源利用有限公司下风向5m处</w:t>
                  </w:r>
                </w:p>
              </w:tc>
              <w:tc>
                <w:tcPr>
                  <w:tcW w:w="1575" w:type="pct"/>
                  <w:noWrap w:val="0"/>
                  <w:vAlign w:val="center"/>
                </w:tcPr>
                <w:p w14:paraId="55B711A4">
                  <w:pPr>
                    <w:keepNext/>
                    <w:keepLines/>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right="0"/>
                    <w:jc w:val="center"/>
                    <w:textAlignment w:val="auto"/>
                    <w:outlineLvl w:val="2"/>
                    <w:rPr>
                      <w:rFonts w:hint="default" w:ascii="Times New Roman" w:hAnsi="Times New Roman" w:eastAsia="宋体" w:cs="Times New Roman"/>
                      <w:bCs/>
                      <w:color w:val="auto"/>
                      <w:kern w:val="2"/>
                      <w:sz w:val="21"/>
                      <w:szCs w:val="21"/>
                      <w:vertAlign w:val="baseline"/>
                      <w:lang w:val="en-US" w:eastAsia="zh-CN" w:bidi="ar"/>
                    </w:rPr>
                  </w:pPr>
                  <w:r>
                    <w:rPr>
                      <w:rFonts w:hint="default" w:ascii="Times New Roman" w:hAnsi="Times New Roman" w:eastAsia="宋体" w:cs="Times New Roman"/>
                      <w:bCs/>
                      <w:color w:val="auto"/>
                      <w:kern w:val="2"/>
                      <w:sz w:val="21"/>
                      <w:szCs w:val="21"/>
                      <w:vertAlign w:val="baseline"/>
                      <w:lang w:val="en-US" w:eastAsia="zh-CN" w:bidi="ar"/>
                    </w:rPr>
                    <w:t>87°0′13.99″</w:t>
                  </w:r>
                  <w:r>
                    <w:rPr>
                      <w:rFonts w:hint="eastAsia" w:ascii="Times New Roman" w:hAnsi="Times New Roman" w:eastAsia="宋体" w:cs="Times New Roman"/>
                      <w:bCs/>
                      <w:color w:val="auto"/>
                      <w:kern w:val="2"/>
                      <w:sz w:val="21"/>
                      <w:szCs w:val="21"/>
                      <w:vertAlign w:val="baseline"/>
                      <w:lang w:val="en-US" w:eastAsia="zh-CN" w:bidi="ar"/>
                    </w:rPr>
                    <w:t>E</w:t>
                  </w:r>
                  <w:r>
                    <w:rPr>
                      <w:rFonts w:hint="default" w:ascii="Times New Roman" w:hAnsi="Times New Roman" w:eastAsia="宋体" w:cs="Times New Roman"/>
                      <w:bCs/>
                      <w:color w:val="auto"/>
                      <w:kern w:val="2"/>
                      <w:sz w:val="21"/>
                      <w:szCs w:val="21"/>
                      <w:vertAlign w:val="baseline"/>
                      <w:lang w:val="en-US" w:eastAsia="zh-CN" w:bidi="ar"/>
                    </w:rPr>
                    <w:t>,44°6′32.19″</w:t>
                  </w:r>
                  <w:r>
                    <w:rPr>
                      <w:rFonts w:hint="eastAsia" w:ascii="Times New Roman" w:hAnsi="Times New Roman" w:eastAsia="宋体" w:cs="Times New Roman"/>
                      <w:bCs/>
                      <w:color w:val="auto"/>
                      <w:kern w:val="2"/>
                      <w:sz w:val="21"/>
                      <w:szCs w:val="21"/>
                      <w:vertAlign w:val="baseline"/>
                      <w:lang w:val="en-US" w:eastAsia="zh-CN" w:bidi="ar"/>
                    </w:rPr>
                    <w:t>N</w:t>
                  </w:r>
                </w:p>
              </w:tc>
              <w:tc>
                <w:tcPr>
                  <w:tcW w:w="866" w:type="pct"/>
                  <w:noWrap w:val="0"/>
                  <w:vAlign w:val="center"/>
                </w:tcPr>
                <w:p w14:paraId="0C7C9360">
                  <w:pPr>
                    <w:keepNext/>
                    <w:keepLines/>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right="0"/>
                    <w:jc w:val="center"/>
                    <w:textAlignment w:val="auto"/>
                    <w:outlineLvl w:val="2"/>
                    <w:rPr>
                      <w:rFonts w:hint="default" w:ascii="Times New Roman" w:hAnsi="Times New Roman" w:eastAsia="宋体" w:cs="Times New Roman"/>
                      <w:bCs/>
                      <w:color w:val="auto"/>
                      <w:kern w:val="2"/>
                      <w:sz w:val="21"/>
                      <w:szCs w:val="21"/>
                      <w:vertAlign w:val="baseline"/>
                      <w:lang w:val="en-US" w:eastAsia="zh-CN" w:bidi="ar"/>
                    </w:rPr>
                  </w:pPr>
                  <w:r>
                    <w:rPr>
                      <w:rFonts w:hint="eastAsia" w:ascii="Times New Roman" w:hAnsi="Times New Roman" w:eastAsia="宋体" w:cs="Times New Roman"/>
                      <w:bCs/>
                      <w:color w:val="auto"/>
                      <w:kern w:val="2"/>
                      <w:sz w:val="21"/>
                      <w:szCs w:val="21"/>
                      <w:vertAlign w:val="baseline"/>
                      <w:lang w:val="en-US" w:eastAsia="zh-CN" w:bidi="ar"/>
                    </w:rPr>
                    <w:t>东北侧200m</w:t>
                  </w:r>
                </w:p>
              </w:tc>
              <w:tc>
                <w:tcPr>
                  <w:tcW w:w="468" w:type="pct"/>
                  <w:noWrap w:val="0"/>
                  <w:vAlign w:val="center"/>
                </w:tcPr>
                <w:p w14:paraId="12AC8A22">
                  <w:pPr>
                    <w:keepNext/>
                    <w:keepLines/>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right="0"/>
                    <w:jc w:val="center"/>
                    <w:textAlignment w:val="auto"/>
                    <w:outlineLvl w:val="2"/>
                    <w:rPr>
                      <w:rFonts w:hint="default" w:ascii="Times New Roman" w:hAnsi="Times New Roman" w:eastAsia="宋体" w:cs="Times New Roman"/>
                      <w:bCs/>
                      <w:color w:val="auto"/>
                      <w:kern w:val="2"/>
                      <w:sz w:val="21"/>
                      <w:szCs w:val="21"/>
                      <w:vertAlign w:val="baseline"/>
                      <w:lang w:val="en-US" w:eastAsia="zh-CN" w:bidi="ar"/>
                    </w:rPr>
                  </w:pPr>
                  <w:r>
                    <w:rPr>
                      <w:rFonts w:hint="eastAsia" w:ascii="Times New Roman" w:hAnsi="Times New Roman" w:eastAsia="宋体" w:cs="Times New Roman"/>
                      <w:bCs/>
                      <w:color w:val="auto"/>
                      <w:kern w:val="2"/>
                      <w:sz w:val="21"/>
                      <w:szCs w:val="21"/>
                      <w:vertAlign w:val="baseline"/>
                      <w:lang w:val="en-US" w:eastAsia="zh-CN" w:bidi="ar"/>
                    </w:rPr>
                    <w:t>引用</w:t>
                  </w:r>
                </w:p>
              </w:tc>
            </w:tr>
          </w:tbl>
          <w:p w14:paraId="6076234C">
            <w:pPr>
              <w:keepNext/>
              <w:keepLines/>
              <w:widowControl w:val="0"/>
              <w:suppressLineNumbers w:val="0"/>
              <w:kinsoku/>
              <w:wordWrap/>
              <w:bidi w:val="0"/>
              <w:adjustRightInd/>
              <w:snapToGrid/>
              <w:spacing w:before="0" w:beforeAutospacing="0" w:after="0" w:afterAutospacing="0" w:line="360" w:lineRule="auto"/>
              <w:ind w:left="0" w:right="0" w:firstLine="480" w:firstLineChars="200"/>
              <w:jc w:val="left"/>
              <w:outlineLvl w:val="2"/>
              <w:rPr>
                <w:rFonts w:hint="eastAsia" w:ascii="Times New Roman" w:hAnsi="Times New Roman" w:eastAsia="宋体" w:cs="Times New Roman"/>
                <w:bCs/>
                <w:color w:val="auto"/>
                <w:kern w:val="2"/>
                <w:sz w:val="24"/>
                <w:szCs w:val="24"/>
                <w:lang w:val="en-US" w:eastAsia="zh-CN" w:bidi="ar"/>
              </w:rPr>
            </w:pPr>
            <w:r>
              <w:rPr>
                <w:rFonts w:hint="eastAsia" w:ascii="Times New Roman" w:hAnsi="Times New Roman" w:eastAsia="宋体" w:cs="Times New Roman"/>
                <w:bCs/>
                <w:color w:val="auto"/>
                <w:kern w:val="2"/>
                <w:sz w:val="24"/>
                <w:szCs w:val="24"/>
                <w:lang w:val="en-US" w:eastAsia="zh-CN" w:bidi="ar"/>
              </w:rPr>
              <w:t>2）监测项目及监测频次</w:t>
            </w:r>
          </w:p>
          <w:p w14:paraId="7B35E832">
            <w:pPr>
              <w:keepNext w:val="0"/>
              <w:keepLines w:val="0"/>
              <w:widowControl w:val="0"/>
              <w:suppressLineNumbers w:val="0"/>
              <w:kinsoku/>
              <w:wordWrap/>
              <w:topLinePunct/>
              <w:bidi w:val="0"/>
              <w:adjustRightInd/>
              <w:snapToGrid/>
              <w:spacing w:before="0" w:beforeAutospacing="0" w:after="0" w:afterAutospacing="0" w:line="360" w:lineRule="auto"/>
              <w:ind w:left="0" w:right="0" w:firstLine="480" w:firstLineChars="200"/>
              <w:jc w:val="both"/>
              <w:rPr>
                <w:rFonts w:hint="default" w:ascii="Times New Roman" w:hAnsi="Times New Roman" w:eastAsia="宋体" w:cs="Times New Roman"/>
                <w:color w:val="auto"/>
                <w:kern w:val="2"/>
                <w:sz w:val="24"/>
                <w:szCs w:val="24"/>
                <w:lang w:val="en-US" w:eastAsia="zh-CN" w:bidi="ar"/>
              </w:rPr>
            </w:pPr>
            <w:r>
              <w:rPr>
                <w:rFonts w:hint="default" w:ascii="Times New Roman" w:hAnsi="Times New Roman" w:eastAsia="宋体" w:cs="Times New Roman"/>
                <w:color w:val="auto"/>
                <w:kern w:val="2"/>
                <w:sz w:val="24"/>
                <w:szCs w:val="24"/>
                <w:lang w:val="en-US" w:eastAsia="zh-CN" w:bidi="ar"/>
              </w:rPr>
              <w:t>监测项目：TSP。</w:t>
            </w:r>
          </w:p>
          <w:p w14:paraId="44B4D6E6">
            <w:pPr>
              <w:keepNext w:val="0"/>
              <w:keepLines w:val="0"/>
              <w:suppressLineNumbers w:val="0"/>
              <w:kinsoku/>
              <w:wordWrap/>
              <w:bidi w:val="0"/>
              <w:adjustRightInd/>
              <w:snapToGrid/>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监测频率：连续采样</w:t>
            </w:r>
            <w:r>
              <w:rPr>
                <w:rFonts w:hint="eastAsia" w:ascii="Times New Roman" w:hAnsi="Times New Roman" w:eastAsia="宋体" w:cs="Times New Roman"/>
                <w:color w:val="auto"/>
                <w:sz w:val="24"/>
                <w:szCs w:val="24"/>
                <w:lang w:val="en-US" w:eastAsia="zh-CN"/>
              </w:rPr>
              <w:t>7</w:t>
            </w:r>
            <w:r>
              <w:rPr>
                <w:rFonts w:hint="default" w:ascii="Times New Roman" w:hAnsi="Times New Roman" w:eastAsia="宋体" w:cs="Times New Roman"/>
                <w:color w:val="auto"/>
                <w:sz w:val="24"/>
                <w:szCs w:val="24"/>
              </w:rPr>
              <w:t>天。</w:t>
            </w:r>
          </w:p>
          <w:p w14:paraId="12DFC981">
            <w:pPr>
              <w:keepNext/>
              <w:keepLines/>
              <w:widowControl w:val="0"/>
              <w:suppressLineNumbers w:val="0"/>
              <w:kinsoku/>
              <w:wordWrap/>
              <w:bidi w:val="0"/>
              <w:adjustRightInd/>
              <w:snapToGrid/>
              <w:spacing w:before="0" w:beforeAutospacing="0" w:after="0" w:afterAutospacing="0" w:line="360" w:lineRule="auto"/>
              <w:ind w:left="0" w:right="0" w:firstLine="480" w:firstLineChars="200"/>
              <w:jc w:val="left"/>
              <w:outlineLvl w:val="2"/>
              <w:rPr>
                <w:rFonts w:hint="default" w:ascii="Times New Roman" w:hAnsi="Times New Roman" w:eastAsia="宋体" w:cs="Times New Roman"/>
                <w:bCs/>
                <w:color w:val="auto"/>
                <w:kern w:val="2"/>
                <w:sz w:val="24"/>
                <w:szCs w:val="24"/>
                <w:lang w:val="en-US" w:eastAsia="zh-CN" w:bidi="ar"/>
              </w:rPr>
            </w:pPr>
            <w:r>
              <w:rPr>
                <w:rFonts w:hint="eastAsia" w:ascii="Times New Roman" w:hAnsi="Times New Roman" w:eastAsia="宋体" w:cs="Times New Roman"/>
                <w:bCs/>
                <w:color w:val="auto"/>
                <w:kern w:val="2"/>
                <w:sz w:val="24"/>
                <w:szCs w:val="24"/>
                <w:lang w:val="en-US" w:eastAsia="zh-CN" w:bidi="ar"/>
              </w:rPr>
              <w:t>3）</w:t>
            </w:r>
            <w:r>
              <w:rPr>
                <w:rFonts w:hint="default" w:ascii="Times New Roman" w:hAnsi="Times New Roman" w:eastAsia="宋体" w:cs="Times New Roman"/>
                <w:bCs/>
                <w:color w:val="auto"/>
                <w:kern w:val="2"/>
                <w:sz w:val="24"/>
                <w:szCs w:val="24"/>
                <w:lang w:val="en-US" w:eastAsia="zh-CN" w:bidi="ar"/>
              </w:rPr>
              <w:t>采样分析方法</w:t>
            </w:r>
          </w:p>
          <w:p w14:paraId="4BD8BCBA">
            <w:pPr>
              <w:keepNext/>
              <w:keepLines/>
              <w:widowControl w:val="0"/>
              <w:suppressLineNumbers w:val="0"/>
              <w:kinsoku/>
              <w:wordWrap/>
              <w:bidi w:val="0"/>
              <w:adjustRightInd/>
              <w:snapToGrid/>
              <w:spacing w:before="0" w:beforeAutospacing="0" w:after="0" w:afterAutospacing="0" w:line="360" w:lineRule="auto"/>
              <w:ind w:left="0" w:right="0" w:firstLine="480" w:firstLineChars="200"/>
              <w:jc w:val="left"/>
              <w:outlineLvl w:val="2"/>
              <w:rPr>
                <w:rFonts w:hint="default" w:ascii="Times New Roman" w:hAnsi="Times New Roman" w:eastAsia="宋体" w:cs="Times New Roman"/>
                <w:bCs/>
                <w:color w:val="auto"/>
                <w:kern w:val="2"/>
                <w:sz w:val="24"/>
                <w:szCs w:val="24"/>
                <w:lang w:val="en-US" w:eastAsia="zh-CN" w:bidi="ar"/>
              </w:rPr>
            </w:pPr>
            <w:r>
              <w:rPr>
                <w:rFonts w:hint="default" w:ascii="Times New Roman" w:hAnsi="Times New Roman" w:eastAsia="宋体" w:cs="Times New Roman"/>
                <w:bCs/>
                <w:color w:val="auto"/>
                <w:kern w:val="2"/>
                <w:sz w:val="24"/>
                <w:szCs w:val="24"/>
                <w:lang w:val="en-US" w:eastAsia="zh-CN" w:bidi="ar"/>
              </w:rPr>
              <w:t>环境空气采样及分析方法均根据原国家环保总局颁布的《空气和废气监测分析方法》、《环境监测技术规范》中的有关规定执行。环境空气监测项目分析方法见表3-3。</w:t>
            </w:r>
          </w:p>
          <w:p w14:paraId="38571774">
            <w:pPr>
              <w:adjustRightInd w:val="0"/>
              <w:snapToGrid w:val="0"/>
              <w:ind w:firstLine="422" w:firstLineChars="200"/>
              <w:jc w:val="center"/>
              <w:rPr>
                <w:rFonts w:hint="default" w:ascii="Times New Roman" w:hAnsi="Times New Roman" w:eastAsia="宋体" w:cs="Times New Roman"/>
                <w:b/>
                <w:bCs/>
                <w:color w:val="auto"/>
                <w:szCs w:val="21"/>
                <w:lang w:val="en-US" w:eastAsia="zh-CN"/>
              </w:rPr>
            </w:pPr>
            <w:r>
              <w:rPr>
                <w:rFonts w:hint="eastAsia" w:ascii="Times New Roman" w:hAnsi="Times New Roman" w:eastAsia="宋体" w:cs="Times New Roman"/>
                <w:b/>
                <w:bCs/>
                <w:color w:val="auto"/>
                <w:szCs w:val="21"/>
                <w:lang w:val="en-US" w:eastAsia="zh-CN"/>
              </w:rPr>
              <w:t>表3-3  环境空气监测项目分析方法</w:t>
            </w:r>
          </w:p>
          <w:tbl>
            <w:tblPr>
              <w:tblStyle w:val="28"/>
              <w:tblW w:w="8553"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625"/>
              <w:gridCol w:w="4982"/>
              <w:gridCol w:w="1946"/>
            </w:tblGrid>
            <w:tr w14:paraId="0473F4E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9" w:hRule="atLeast"/>
                <w:jc w:val="center"/>
              </w:trPr>
              <w:tc>
                <w:tcPr>
                  <w:tcW w:w="1625" w:type="dxa"/>
                  <w:tcBorders>
                    <w:top w:val="single" w:color="000000" w:sz="4" w:space="0"/>
                    <w:left w:val="single" w:color="000000" w:sz="4" w:space="0"/>
                    <w:bottom w:val="single" w:color="000000" w:sz="4" w:space="0"/>
                    <w:right w:val="single" w:color="000000" w:sz="4" w:space="0"/>
                  </w:tcBorders>
                  <w:noWrap w:val="0"/>
                  <w:vAlign w:val="center"/>
                </w:tcPr>
                <w:p w14:paraId="4F9FE8CE">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default" w:ascii="Times New Roman" w:hAnsi="Times New Roman" w:eastAsia="宋体" w:cs="Times New Roman"/>
                      <w:i w:val="0"/>
                      <w:iCs w:val="0"/>
                      <w:color w:val="auto"/>
                      <w:sz w:val="21"/>
                      <w:szCs w:val="21"/>
                      <w:u w:val="none"/>
                    </w:rPr>
                  </w:pPr>
                  <w:r>
                    <w:rPr>
                      <w:rStyle w:val="100"/>
                      <w:rFonts w:hint="default" w:ascii="Times New Roman" w:hAnsi="Times New Roman" w:cs="Times New Roman"/>
                      <w:color w:val="auto"/>
                      <w:sz w:val="21"/>
                      <w:szCs w:val="21"/>
                      <w:lang w:val="en-US" w:eastAsia="zh-CN" w:bidi="ar"/>
                    </w:rPr>
                    <w:t>监测项目</w:t>
                  </w:r>
                </w:p>
              </w:tc>
              <w:tc>
                <w:tcPr>
                  <w:tcW w:w="4982" w:type="dxa"/>
                  <w:tcBorders>
                    <w:top w:val="single" w:color="000000" w:sz="4" w:space="0"/>
                    <w:left w:val="single" w:color="000000" w:sz="4" w:space="0"/>
                    <w:bottom w:val="single" w:color="000000" w:sz="4" w:space="0"/>
                    <w:right w:val="single" w:color="000000" w:sz="4" w:space="0"/>
                  </w:tcBorders>
                  <w:noWrap w:val="0"/>
                  <w:vAlign w:val="center"/>
                </w:tcPr>
                <w:p w14:paraId="5578E017">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监测方法及依据</w:t>
                  </w:r>
                </w:p>
              </w:tc>
              <w:tc>
                <w:tcPr>
                  <w:tcW w:w="1946" w:type="dxa"/>
                  <w:tcBorders>
                    <w:top w:val="single" w:color="000000" w:sz="4" w:space="0"/>
                    <w:left w:val="single" w:color="000000" w:sz="4" w:space="0"/>
                    <w:bottom w:val="single" w:color="000000" w:sz="4" w:space="0"/>
                    <w:right w:val="single" w:color="000000" w:sz="4" w:space="0"/>
                  </w:tcBorders>
                  <w:noWrap w:val="0"/>
                  <w:vAlign w:val="center"/>
                </w:tcPr>
                <w:p w14:paraId="72FAB42F">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检出限</w:t>
                  </w:r>
                </w:p>
              </w:tc>
            </w:tr>
            <w:tr w14:paraId="5F51CFE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5" w:hRule="atLeast"/>
                <w:jc w:val="center"/>
              </w:trPr>
              <w:tc>
                <w:tcPr>
                  <w:tcW w:w="1625" w:type="dxa"/>
                  <w:tcBorders>
                    <w:top w:val="single" w:color="000000" w:sz="4" w:space="0"/>
                    <w:left w:val="single" w:color="000000" w:sz="4" w:space="0"/>
                    <w:bottom w:val="single" w:color="000000" w:sz="4" w:space="0"/>
                    <w:right w:val="single" w:color="000000" w:sz="4" w:space="0"/>
                  </w:tcBorders>
                  <w:noWrap w:val="0"/>
                  <w:vAlign w:val="center"/>
                </w:tcPr>
                <w:p w14:paraId="494189F7">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TSP</w:t>
                  </w:r>
                </w:p>
              </w:tc>
              <w:tc>
                <w:tcPr>
                  <w:tcW w:w="4982" w:type="dxa"/>
                  <w:tcBorders>
                    <w:top w:val="single" w:color="000000" w:sz="4" w:space="0"/>
                    <w:left w:val="single" w:color="000000" w:sz="4" w:space="0"/>
                    <w:bottom w:val="single" w:color="000000" w:sz="4" w:space="0"/>
                    <w:right w:val="single" w:color="000000" w:sz="4" w:space="0"/>
                  </w:tcBorders>
                  <w:noWrap w:val="0"/>
                  <w:vAlign w:val="center"/>
                </w:tcPr>
                <w:p w14:paraId="6199A42E">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环境空气总悬浮颗粒物的测定重量法HJ1263-2022</w:t>
                  </w:r>
                </w:p>
              </w:tc>
              <w:tc>
                <w:tcPr>
                  <w:tcW w:w="1946" w:type="dxa"/>
                  <w:tcBorders>
                    <w:top w:val="single" w:color="000000" w:sz="4" w:space="0"/>
                    <w:left w:val="single" w:color="000000" w:sz="4" w:space="0"/>
                    <w:bottom w:val="single" w:color="000000" w:sz="4" w:space="0"/>
                    <w:right w:val="single" w:color="000000" w:sz="4" w:space="0"/>
                  </w:tcBorders>
                  <w:noWrap w:val="0"/>
                  <w:vAlign w:val="center"/>
                </w:tcPr>
                <w:p w14:paraId="64AD0A7C">
                  <w:pPr>
                    <w:keepNext w:val="0"/>
                    <w:keepLines w:val="0"/>
                    <w:pageBreakBefore w:val="0"/>
                    <w:widowControl/>
                    <w:suppressLineNumbers w:val="0"/>
                    <w:kinsoku/>
                    <w:wordWrap/>
                    <w:overflowPunct/>
                    <w:topLinePunct w:val="0"/>
                    <w:autoSpaceDE/>
                    <w:autoSpaceDN/>
                    <w:bidi w:val="0"/>
                    <w:adjustRightInd/>
                    <w:snapToGrid/>
                    <w:ind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0.007mg/m³</w:t>
                  </w:r>
                </w:p>
              </w:tc>
            </w:tr>
          </w:tbl>
          <w:p w14:paraId="45A525E8">
            <w:pPr>
              <w:keepNext/>
              <w:keepLines/>
              <w:widowControl w:val="0"/>
              <w:suppressLineNumbers w:val="0"/>
              <w:kinsoku/>
              <w:wordWrap/>
              <w:bidi w:val="0"/>
              <w:adjustRightInd/>
              <w:snapToGrid/>
              <w:spacing w:before="0" w:beforeAutospacing="0" w:after="0" w:afterAutospacing="0" w:line="360" w:lineRule="auto"/>
              <w:ind w:left="0" w:right="0" w:firstLine="480" w:firstLineChars="200"/>
              <w:jc w:val="left"/>
              <w:outlineLvl w:val="2"/>
              <w:rPr>
                <w:rFonts w:hint="default" w:ascii="Times New Roman" w:hAnsi="Times New Roman" w:eastAsia="宋体" w:cs="Times New Roman"/>
                <w:bCs/>
                <w:color w:val="auto"/>
                <w:kern w:val="2"/>
                <w:sz w:val="24"/>
                <w:szCs w:val="24"/>
                <w:lang w:val="en-US" w:eastAsia="zh-CN" w:bidi="ar"/>
              </w:rPr>
            </w:pPr>
            <w:r>
              <w:rPr>
                <w:rFonts w:hint="eastAsia" w:ascii="Times New Roman" w:hAnsi="Times New Roman" w:eastAsia="宋体" w:cs="Times New Roman"/>
                <w:bCs/>
                <w:color w:val="auto"/>
                <w:kern w:val="2"/>
                <w:sz w:val="24"/>
                <w:szCs w:val="24"/>
                <w:lang w:val="en-US" w:eastAsia="zh-CN" w:bidi="ar"/>
              </w:rPr>
              <w:t>4）</w:t>
            </w:r>
            <w:r>
              <w:rPr>
                <w:rFonts w:hint="default" w:ascii="Times New Roman" w:hAnsi="Times New Roman" w:eastAsia="宋体" w:cs="Times New Roman"/>
                <w:bCs/>
                <w:color w:val="auto"/>
                <w:kern w:val="2"/>
                <w:sz w:val="24"/>
                <w:szCs w:val="24"/>
                <w:lang w:val="en-US" w:eastAsia="zh-CN" w:bidi="ar"/>
              </w:rPr>
              <w:t>评价标准及方法</w:t>
            </w:r>
          </w:p>
          <w:p w14:paraId="0B9237F3">
            <w:pPr>
              <w:keepNext w:val="0"/>
              <w:keepLines w:val="0"/>
              <w:widowControl w:val="0"/>
              <w:suppressLineNumbers w:val="0"/>
              <w:kinsoku/>
              <w:wordWrap/>
              <w:topLinePunct/>
              <w:bidi w:val="0"/>
              <w:adjustRightInd/>
              <w:snapToGrid/>
              <w:spacing w:before="0" w:beforeAutospacing="0" w:after="0" w:afterAutospacing="0" w:line="360" w:lineRule="auto"/>
              <w:ind w:left="0" w:right="0" w:firstLine="480" w:firstLineChars="200"/>
              <w:jc w:val="both"/>
              <w:rPr>
                <w:rFonts w:hint="default" w:ascii="Times New Roman" w:hAnsi="Times New Roman" w:eastAsia="宋体" w:cs="Times New Roman"/>
                <w:color w:val="auto"/>
                <w:kern w:val="2"/>
                <w:sz w:val="24"/>
                <w:szCs w:val="24"/>
                <w:lang w:val="en-US" w:eastAsia="zh-CN" w:bidi="ar"/>
              </w:rPr>
            </w:pPr>
            <w:r>
              <w:rPr>
                <w:rFonts w:hint="default" w:ascii="Times New Roman" w:hAnsi="Times New Roman" w:eastAsia="宋体" w:cs="Times New Roman"/>
                <w:color w:val="auto"/>
                <w:kern w:val="2"/>
                <w:sz w:val="24"/>
                <w:szCs w:val="24"/>
                <w:lang w:val="en-US" w:eastAsia="zh-CN" w:bidi="ar"/>
              </w:rPr>
              <w:t>评价标准：采用《环境空气质量标准》(GB</w:t>
            </w:r>
            <w:r>
              <w:rPr>
                <w:rFonts w:hint="eastAsia" w:ascii="Times New Roman" w:hAnsi="Times New Roman" w:eastAsia="宋体" w:cs="Times New Roman"/>
                <w:color w:val="auto"/>
                <w:kern w:val="2"/>
                <w:sz w:val="24"/>
                <w:szCs w:val="24"/>
                <w:lang w:val="en-US" w:eastAsia="zh-CN" w:bidi="ar"/>
              </w:rPr>
              <w:t xml:space="preserve"> </w:t>
            </w:r>
            <w:r>
              <w:rPr>
                <w:rFonts w:hint="default" w:ascii="Times New Roman" w:hAnsi="Times New Roman" w:eastAsia="宋体" w:cs="Times New Roman"/>
                <w:color w:val="auto"/>
                <w:kern w:val="2"/>
                <w:sz w:val="24"/>
                <w:szCs w:val="24"/>
                <w:lang w:val="en-US" w:eastAsia="zh-CN" w:bidi="ar"/>
              </w:rPr>
              <w:t>3095-2012</w:t>
            </w:r>
            <w:r>
              <w:rPr>
                <w:rFonts w:hint="eastAsia" w:ascii="Times New Roman" w:hAnsi="Times New Roman" w:eastAsia="宋体" w:cs="Times New Roman"/>
                <w:color w:val="auto"/>
                <w:kern w:val="2"/>
                <w:sz w:val="24"/>
                <w:szCs w:val="24"/>
                <w:lang w:val="en-US" w:eastAsia="zh-CN" w:bidi="ar"/>
              </w:rPr>
              <w:t>）</w:t>
            </w:r>
            <w:r>
              <w:rPr>
                <w:rFonts w:hint="default" w:ascii="Times New Roman" w:hAnsi="Times New Roman" w:eastAsia="宋体" w:cs="Times New Roman"/>
                <w:color w:val="auto"/>
                <w:kern w:val="2"/>
                <w:sz w:val="24"/>
                <w:szCs w:val="24"/>
                <w:lang w:val="en-US" w:eastAsia="zh-CN" w:bidi="ar"/>
              </w:rPr>
              <w:t>中二级标准浓度限值，评价标准见</w:t>
            </w:r>
            <w:r>
              <w:rPr>
                <w:rFonts w:hint="eastAsia" w:ascii="Times New Roman" w:hAnsi="Times New Roman" w:eastAsia="宋体" w:cs="Times New Roman"/>
                <w:color w:val="auto"/>
                <w:kern w:val="2"/>
                <w:sz w:val="24"/>
                <w:szCs w:val="24"/>
                <w:lang w:val="en-US" w:eastAsia="zh-CN" w:bidi="ar"/>
              </w:rPr>
              <w:t>下</w:t>
            </w:r>
            <w:r>
              <w:rPr>
                <w:rFonts w:hint="default" w:ascii="Times New Roman" w:hAnsi="Times New Roman" w:eastAsia="宋体" w:cs="Times New Roman"/>
                <w:color w:val="auto"/>
                <w:kern w:val="2"/>
                <w:sz w:val="24"/>
                <w:szCs w:val="24"/>
                <w:lang w:val="en-US" w:eastAsia="zh-CN" w:bidi="ar"/>
              </w:rPr>
              <w:t>表。</w:t>
            </w:r>
          </w:p>
          <w:p w14:paraId="0C72841C">
            <w:pPr>
              <w:keepNext w:val="0"/>
              <w:keepLines w:val="0"/>
              <w:pageBreakBefore w:val="0"/>
              <w:widowControl w:val="0"/>
              <w:suppressLineNumbers w:val="0"/>
              <w:kinsoku/>
              <w:wordWrap/>
              <w:overflowPunct/>
              <w:topLinePunct/>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color w:val="auto"/>
                <w:kern w:val="2"/>
                <w:sz w:val="21"/>
                <w:szCs w:val="21"/>
                <w:lang w:val="en-US" w:eastAsia="zh-CN" w:bidi="ar"/>
              </w:rPr>
            </w:pPr>
            <w:r>
              <w:rPr>
                <w:rFonts w:hint="default" w:ascii="Times New Roman" w:hAnsi="Times New Roman" w:eastAsia="宋体" w:cs="Times New Roman"/>
                <w:b/>
                <w:bCs w:val="0"/>
                <w:color w:val="auto"/>
                <w:kern w:val="2"/>
                <w:sz w:val="21"/>
                <w:szCs w:val="21"/>
                <w:lang w:val="en-US" w:eastAsia="zh-CN" w:bidi="ar"/>
              </w:rPr>
              <w:t>表</w:t>
            </w:r>
            <w:r>
              <w:rPr>
                <w:rFonts w:hint="eastAsia" w:ascii="Times New Roman" w:hAnsi="Times New Roman" w:eastAsia="宋体" w:cs="Times New Roman"/>
                <w:b/>
                <w:bCs w:val="0"/>
                <w:color w:val="auto"/>
                <w:kern w:val="2"/>
                <w:sz w:val="21"/>
                <w:szCs w:val="21"/>
                <w:lang w:val="en-US" w:eastAsia="zh-CN" w:bidi="ar"/>
              </w:rPr>
              <w:t>3-4</w:t>
            </w:r>
            <w:r>
              <w:rPr>
                <w:rFonts w:hint="default" w:ascii="Times New Roman" w:hAnsi="Times New Roman" w:eastAsia="宋体" w:cs="Times New Roman"/>
                <w:b/>
                <w:bCs w:val="0"/>
                <w:color w:val="auto"/>
                <w:kern w:val="2"/>
                <w:sz w:val="21"/>
                <w:szCs w:val="21"/>
                <w:lang w:val="en-US" w:eastAsia="zh-CN" w:bidi="ar"/>
              </w:rPr>
              <w:t xml:space="preserve">  大气环境质量标准</w:t>
            </w:r>
          </w:p>
          <w:tbl>
            <w:tblPr>
              <w:tblStyle w:val="29"/>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3" w:type="dxa"/>
                <w:bottom w:w="0" w:type="dxa"/>
                <w:right w:w="3" w:type="dxa"/>
              </w:tblCellMar>
            </w:tblPr>
            <w:tblGrid>
              <w:gridCol w:w="4329"/>
              <w:gridCol w:w="4236"/>
            </w:tblGrid>
            <w:tr w14:paraId="6C43FD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 w:type="dxa"/>
                  <w:bottom w:w="0" w:type="dxa"/>
                  <w:right w:w="3" w:type="dxa"/>
                </w:tblCellMar>
              </w:tblPrEx>
              <w:tc>
                <w:tcPr>
                  <w:tcW w:w="2527" w:type="pct"/>
                  <w:tcBorders>
                    <w:tl2br w:val="nil"/>
                    <w:tr2bl w:val="nil"/>
                  </w:tcBorders>
                  <w:noWrap w:val="0"/>
                  <w:vAlign w:val="center"/>
                </w:tcPr>
                <w:p w14:paraId="48391F6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rPr>
                  </w:pPr>
                  <w:bookmarkStart w:id="3" w:name="_Toc32410"/>
                  <w:r>
                    <w:rPr>
                      <w:rFonts w:hint="default" w:ascii="Times New Roman" w:hAnsi="Times New Roman" w:eastAsia="宋体" w:cs="Times New Roman"/>
                      <w:b w:val="0"/>
                      <w:bCs w:val="0"/>
                      <w:color w:val="auto"/>
                      <w:sz w:val="21"/>
                      <w:szCs w:val="21"/>
                    </w:rPr>
                    <w:t>污染物名称</w:t>
                  </w:r>
                </w:p>
              </w:tc>
              <w:tc>
                <w:tcPr>
                  <w:tcW w:w="2472" w:type="pct"/>
                  <w:tcBorders>
                    <w:tl2br w:val="nil"/>
                    <w:tr2bl w:val="nil"/>
                  </w:tcBorders>
                  <w:noWrap w:val="0"/>
                  <w:vAlign w:val="center"/>
                </w:tcPr>
                <w:p w14:paraId="7F69D44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浓度限值</w:t>
                  </w:r>
                </w:p>
              </w:tc>
            </w:tr>
            <w:tr w14:paraId="7D0130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 w:type="dxa"/>
                  <w:bottom w:w="0" w:type="dxa"/>
                  <w:right w:w="3" w:type="dxa"/>
                </w:tblCellMar>
              </w:tblPrEx>
              <w:trPr>
                <w:trHeight w:val="278" w:hRule="atLeast"/>
              </w:trPr>
              <w:tc>
                <w:tcPr>
                  <w:tcW w:w="2527" w:type="pct"/>
                  <w:tcBorders>
                    <w:tl2br w:val="nil"/>
                    <w:tr2bl w:val="nil"/>
                  </w:tcBorders>
                  <w:noWrap w:val="0"/>
                  <w:vAlign w:val="center"/>
                </w:tcPr>
                <w:p w14:paraId="443C97F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TSP</w:t>
                  </w:r>
                </w:p>
              </w:tc>
              <w:tc>
                <w:tcPr>
                  <w:tcW w:w="2472" w:type="pct"/>
                  <w:tcBorders>
                    <w:tl2br w:val="nil"/>
                    <w:tr2bl w:val="nil"/>
                  </w:tcBorders>
                  <w:noWrap w:val="0"/>
                  <w:vAlign w:val="center"/>
                </w:tcPr>
                <w:p w14:paraId="4F37FCC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300</w:t>
                  </w:r>
                  <w:r>
                    <w:rPr>
                      <w:rFonts w:hint="default" w:ascii="Times New Roman" w:hAnsi="Times New Roman" w:eastAsia="宋体" w:cs="Times New Roman"/>
                      <w:b w:val="0"/>
                      <w:bCs w:val="0"/>
                      <w:color w:val="auto"/>
                      <w:sz w:val="21"/>
                      <w:szCs w:val="21"/>
                    </w:rPr>
                    <w:t>（24h平均）µg/m</w:t>
                  </w:r>
                  <w:r>
                    <w:rPr>
                      <w:rFonts w:hint="default" w:ascii="Times New Roman" w:hAnsi="Times New Roman" w:eastAsia="宋体" w:cs="Times New Roman"/>
                      <w:b w:val="0"/>
                      <w:bCs w:val="0"/>
                      <w:color w:val="auto"/>
                      <w:sz w:val="21"/>
                      <w:szCs w:val="21"/>
                      <w:vertAlign w:val="superscript"/>
                    </w:rPr>
                    <w:t>3</w:t>
                  </w:r>
                </w:p>
              </w:tc>
            </w:tr>
            <w:bookmarkEnd w:id="3"/>
          </w:tbl>
          <w:p w14:paraId="7240F855">
            <w:pPr>
              <w:keepNext w:val="0"/>
              <w:keepLines w:val="0"/>
              <w:suppressLineNumbers w:val="0"/>
              <w:kinsoku/>
              <w:wordWrap/>
              <w:bidi w:val="0"/>
              <w:adjustRightInd/>
              <w:snapToGrid/>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val="en-US" w:eastAsia="zh-CN"/>
              </w:rPr>
              <w:t>5）</w:t>
            </w:r>
            <w:r>
              <w:rPr>
                <w:rFonts w:hint="default" w:ascii="Times New Roman" w:hAnsi="Times New Roman" w:eastAsia="宋体" w:cs="Times New Roman"/>
                <w:color w:val="auto"/>
                <w:sz w:val="24"/>
                <w:szCs w:val="24"/>
              </w:rPr>
              <w:t>现状监测及评价结果</w:t>
            </w:r>
          </w:p>
          <w:p w14:paraId="05A4C09B">
            <w:pPr>
              <w:keepNext w:val="0"/>
              <w:keepLines w:val="0"/>
              <w:widowControl w:val="0"/>
              <w:suppressLineNumbers w:val="0"/>
              <w:kinsoku/>
              <w:wordWrap/>
              <w:topLinePunct/>
              <w:bidi w:val="0"/>
              <w:adjustRightInd/>
              <w:snapToGrid/>
              <w:spacing w:before="0" w:beforeAutospacing="0" w:after="0" w:afterAutospacing="0" w:line="360" w:lineRule="auto"/>
              <w:ind w:left="0" w:right="0" w:firstLine="480" w:firstLineChars="200"/>
              <w:jc w:val="both"/>
              <w:rPr>
                <w:rFonts w:hint="default" w:ascii="Times New Roman" w:hAnsi="Times New Roman" w:eastAsia="宋体" w:cs="Times New Roman"/>
                <w:b/>
                <w:bCs w:val="0"/>
                <w:color w:val="auto"/>
                <w:kern w:val="2"/>
                <w:sz w:val="24"/>
                <w:szCs w:val="24"/>
                <w:lang w:val="en-US" w:eastAsia="zh-CN" w:bidi="ar"/>
              </w:rPr>
            </w:pPr>
            <w:r>
              <w:rPr>
                <w:rFonts w:hint="default" w:ascii="Times New Roman" w:hAnsi="Times New Roman" w:eastAsia="宋体" w:cs="Times New Roman"/>
                <w:color w:val="auto"/>
                <w:kern w:val="2"/>
                <w:sz w:val="24"/>
                <w:szCs w:val="24"/>
                <w:lang w:val="en-US" w:eastAsia="zh-CN" w:bidi="ar"/>
              </w:rPr>
              <w:t>大气环境质量现状监测、评价结果见</w:t>
            </w:r>
            <w:r>
              <w:rPr>
                <w:rFonts w:hint="eastAsia" w:ascii="Times New Roman" w:hAnsi="Times New Roman" w:eastAsia="宋体" w:cs="Times New Roman"/>
                <w:color w:val="auto"/>
                <w:kern w:val="2"/>
                <w:sz w:val="24"/>
                <w:szCs w:val="24"/>
                <w:lang w:val="en-US" w:eastAsia="zh-CN" w:bidi="ar"/>
              </w:rPr>
              <w:t>下</w:t>
            </w:r>
            <w:r>
              <w:rPr>
                <w:rFonts w:hint="default" w:ascii="Times New Roman" w:hAnsi="Times New Roman" w:eastAsia="宋体" w:cs="Times New Roman"/>
                <w:color w:val="auto"/>
                <w:kern w:val="2"/>
                <w:sz w:val="24"/>
                <w:szCs w:val="24"/>
                <w:lang w:val="en-US" w:eastAsia="zh-CN" w:bidi="ar"/>
              </w:rPr>
              <w:t>表。</w:t>
            </w:r>
          </w:p>
          <w:p w14:paraId="33CCEEBA">
            <w:pPr>
              <w:keepNext w:val="0"/>
              <w:keepLines w:val="0"/>
              <w:pageBreakBefore w:val="0"/>
              <w:widowControl w:val="0"/>
              <w:suppressLineNumbers w:val="0"/>
              <w:tabs>
                <w:tab w:val="left" w:pos="5280"/>
              </w:tabs>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val="0"/>
                <w:color w:val="auto"/>
                <w:sz w:val="21"/>
                <w:szCs w:val="21"/>
                <w:vertAlign w:val="superscript"/>
              </w:rPr>
            </w:pPr>
            <w:r>
              <w:rPr>
                <w:rFonts w:hint="default" w:ascii="Times New Roman" w:hAnsi="Times New Roman" w:eastAsia="宋体" w:cs="Times New Roman"/>
                <w:b/>
                <w:bCs w:val="0"/>
                <w:color w:val="auto"/>
                <w:sz w:val="21"/>
                <w:szCs w:val="21"/>
              </w:rPr>
              <w:t>表</w:t>
            </w:r>
            <w:r>
              <w:rPr>
                <w:rFonts w:hint="eastAsia" w:ascii="Times New Roman" w:hAnsi="Times New Roman" w:eastAsia="宋体" w:cs="Times New Roman"/>
                <w:b/>
                <w:bCs w:val="0"/>
                <w:color w:val="auto"/>
                <w:sz w:val="21"/>
                <w:szCs w:val="21"/>
                <w:lang w:val="en-US" w:eastAsia="zh-CN"/>
              </w:rPr>
              <w:t>3-5</w:t>
            </w:r>
            <w:r>
              <w:rPr>
                <w:rFonts w:hint="default" w:ascii="Times New Roman" w:hAnsi="Times New Roman" w:eastAsia="宋体" w:cs="Times New Roman"/>
                <w:b/>
                <w:bCs w:val="0"/>
                <w:color w:val="auto"/>
                <w:sz w:val="21"/>
                <w:szCs w:val="21"/>
              </w:rPr>
              <w:t xml:space="preserve">  大气环境质量现状监测日均浓度统计及评价结果</w:t>
            </w:r>
          </w:p>
          <w:tbl>
            <w:tblPr>
              <w:tblStyle w:val="28"/>
              <w:tblW w:w="8617"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00"/>
              <w:gridCol w:w="1861"/>
              <w:gridCol w:w="1724"/>
              <w:gridCol w:w="1635"/>
              <w:gridCol w:w="1125"/>
              <w:gridCol w:w="1072"/>
            </w:tblGrid>
            <w:tr w14:paraId="2C2639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1" w:hRule="atLeast"/>
              </w:trPr>
              <w:tc>
                <w:tcPr>
                  <w:tcW w:w="1200" w:type="dxa"/>
                  <w:noWrap w:val="0"/>
                  <w:vAlign w:val="center"/>
                </w:tcPr>
                <w:p w14:paraId="3E6D7B71">
                  <w:pPr>
                    <w:jc w:val="center"/>
                    <w:rPr>
                      <w:b w:val="0"/>
                      <w:bCs w:val="0"/>
                      <w:color w:val="auto"/>
                      <w:szCs w:val="21"/>
                    </w:rPr>
                  </w:pPr>
                  <w:r>
                    <w:rPr>
                      <w:rFonts w:hint="eastAsia"/>
                      <w:b w:val="0"/>
                      <w:bCs w:val="0"/>
                      <w:color w:val="auto"/>
                      <w:szCs w:val="21"/>
                    </w:rPr>
                    <w:t>监测点</w:t>
                  </w:r>
                </w:p>
              </w:tc>
              <w:tc>
                <w:tcPr>
                  <w:tcW w:w="1861" w:type="dxa"/>
                  <w:noWrap w:val="0"/>
                  <w:vAlign w:val="center"/>
                </w:tcPr>
                <w:p w14:paraId="38039DDD">
                  <w:pPr>
                    <w:jc w:val="center"/>
                    <w:rPr>
                      <w:b w:val="0"/>
                      <w:bCs w:val="0"/>
                      <w:color w:val="auto"/>
                      <w:szCs w:val="21"/>
                    </w:rPr>
                  </w:pPr>
                  <w:r>
                    <w:rPr>
                      <w:rFonts w:hint="eastAsia"/>
                      <w:b w:val="0"/>
                      <w:bCs w:val="0"/>
                      <w:color w:val="auto"/>
                      <w:szCs w:val="21"/>
                    </w:rPr>
                    <w:t>监测时间</w:t>
                  </w:r>
                </w:p>
              </w:tc>
              <w:tc>
                <w:tcPr>
                  <w:tcW w:w="1724" w:type="dxa"/>
                  <w:noWrap w:val="0"/>
                  <w:vAlign w:val="center"/>
                </w:tcPr>
                <w:p w14:paraId="07A76B24">
                  <w:pPr>
                    <w:jc w:val="center"/>
                    <w:rPr>
                      <w:rFonts w:hint="eastAsia"/>
                      <w:b w:val="0"/>
                      <w:bCs w:val="0"/>
                      <w:color w:val="auto"/>
                      <w:szCs w:val="21"/>
                    </w:rPr>
                  </w:pPr>
                  <w:r>
                    <w:rPr>
                      <w:rFonts w:hint="eastAsia"/>
                      <w:b w:val="0"/>
                      <w:bCs w:val="0"/>
                      <w:color w:val="auto"/>
                      <w:szCs w:val="21"/>
                    </w:rPr>
                    <w:t>TSP</w:t>
                  </w:r>
                  <w:r>
                    <w:rPr>
                      <w:rFonts w:hint="eastAsia"/>
                      <w:b w:val="0"/>
                      <w:bCs w:val="0"/>
                      <w:color w:val="auto"/>
                      <w:szCs w:val="21"/>
                      <w:lang w:val="en-US" w:eastAsia="zh-CN"/>
                    </w:rPr>
                    <w:t>浓度范围</w:t>
                  </w:r>
                </w:p>
                <w:p w14:paraId="531D6550">
                  <w:pPr>
                    <w:jc w:val="center"/>
                    <w:rPr>
                      <w:b w:val="0"/>
                      <w:bCs w:val="0"/>
                      <w:color w:val="auto"/>
                      <w:szCs w:val="21"/>
                    </w:rPr>
                  </w:pPr>
                  <w:r>
                    <w:rPr>
                      <w:rFonts w:hint="eastAsia"/>
                      <w:b w:val="0"/>
                      <w:bCs w:val="0"/>
                      <w:color w:val="auto"/>
                      <w:szCs w:val="21"/>
                    </w:rPr>
                    <w:t>（</w:t>
                  </w:r>
                  <w:r>
                    <w:rPr>
                      <w:rFonts w:hint="default" w:ascii="Times New Roman" w:hAnsi="Times New Roman" w:eastAsia="宋体" w:cs="Times New Roman"/>
                      <w:b w:val="0"/>
                      <w:bCs w:val="0"/>
                      <w:color w:val="auto"/>
                      <w:sz w:val="21"/>
                      <w:szCs w:val="21"/>
                    </w:rPr>
                    <w:t>µg/m</w:t>
                  </w:r>
                  <w:r>
                    <w:rPr>
                      <w:rFonts w:hint="default" w:ascii="Times New Roman" w:hAnsi="Times New Roman" w:eastAsia="宋体" w:cs="Times New Roman"/>
                      <w:b w:val="0"/>
                      <w:bCs w:val="0"/>
                      <w:color w:val="auto"/>
                      <w:sz w:val="21"/>
                      <w:szCs w:val="21"/>
                      <w:vertAlign w:val="superscript"/>
                    </w:rPr>
                    <w:t>3</w:t>
                  </w:r>
                  <w:r>
                    <w:rPr>
                      <w:rFonts w:hint="eastAsia"/>
                      <w:b w:val="0"/>
                      <w:bCs w:val="0"/>
                      <w:color w:val="auto"/>
                      <w:szCs w:val="21"/>
                    </w:rPr>
                    <w:t>）</w:t>
                  </w:r>
                </w:p>
              </w:tc>
              <w:tc>
                <w:tcPr>
                  <w:tcW w:w="1635" w:type="dxa"/>
                  <w:noWrap w:val="0"/>
                  <w:vAlign w:val="center"/>
                </w:tcPr>
                <w:p w14:paraId="092CE547">
                  <w:pPr>
                    <w:jc w:val="center"/>
                    <w:rPr>
                      <w:rFonts w:hint="eastAsia"/>
                      <w:b w:val="0"/>
                      <w:bCs w:val="0"/>
                      <w:color w:val="auto"/>
                      <w:szCs w:val="21"/>
                    </w:rPr>
                  </w:pPr>
                  <w:r>
                    <w:rPr>
                      <w:rFonts w:hint="eastAsia"/>
                      <w:b w:val="0"/>
                      <w:bCs w:val="0"/>
                      <w:color w:val="auto"/>
                      <w:szCs w:val="21"/>
                      <w:lang w:val="en-US" w:eastAsia="zh-CN"/>
                    </w:rPr>
                    <w:t>最大浓度占标率（%）</w:t>
                  </w:r>
                </w:p>
              </w:tc>
              <w:tc>
                <w:tcPr>
                  <w:tcW w:w="1125" w:type="dxa"/>
                  <w:noWrap w:val="0"/>
                  <w:vAlign w:val="center"/>
                </w:tcPr>
                <w:p w14:paraId="6469C154">
                  <w:pPr>
                    <w:jc w:val="center"/>
                    <w:rPr>
                      <w:b w:val="0"/>
                      <w:bCs w:val="0"/>
                      <w:color w:val="auto"/>
                      <w:szCs w:val="21"/>
                    </w:rPr>
                  </w:pPr>
                  <w:r>
                    <w:rPr>
                      <w:rFonts w:hint="eastAsia"/>
                      <w:b w:val="0"/>
                      <w:bCs w:val="0"/>
                      <w:color w:val="auto"/>
                      <w:szCs w:val="21"/>
                    </w:rPr>
                    <w:t>评价标准</w:t>
                  </w:r>
                </w:p>
              </w:tc>
              <w:tc>
                <w:tcPr>
                  <w:tcW w:w="1072" w:type="dxa"/>
                  <w:noWrap w:val="0"/>
                  <w:vAlign w:val="center"/>
                </w:tcPr>
                <w:p w14:paraId="2E5572EF">
                  <w:pPr>
                    <w:jc w:val="center"/>
                    <w:rPr>
                      <w:rFonts w:hint="eastAsia"/>
                      <w:b w:val="0"/>
                      <w:bCs w:val="0"/>
                      <w:color w:val="auto"/>
                      <w:szCs w:val="21"/>
                    </w:rPr>
                  </w:pPr>
                  <w:r>
                    <w:rPr>
                      <w:rFonts w:hint="eastAsia"/>
                      <w:b w:val="0"/>
                      <w:bCs w:val="0"/>
                      <w:color w:val="auto"/>
                      <w:szCs w:val="21"/>
                    </w:rPr>
                    <w:t>达标情况</w:t>
                  </w:r>
                </w:p>
              </w:tc>
            </w:tr>
            <w:tr w14:paraId="066147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1" w:hRule="atLeast"/>
              </w:trPr>
              <w:tc>
                <w:tcPr>
                  <w:tcW w:w="1200" w:type="dxa"/>
                  <w:noWrap w:val="0"/>
                  <w:vAlign w:val="center"/>
                </w:tcPr>
                <w:p w14:paraId="3F2806D2">
                  <w:pPr>
                    <w:jc w:val="center"/>
                    <w:rPr>
                      <w:rFonts w:hint="default" w:eastAsia="宋体"/>
                      <w:color w:val="auto"/>
                      <w:szCs w:val="21"/>
                      <w:lang w:val="en-US" w:eastAsia="zh-CN"/>
                    </w:rPr>
                  </w:pPr>
                  <w:r>
                    <w:rPr>
                      <w:rFonts w:hint="eastAsia"/>
                      <w:color w:val="auto"/>
                      <w:szCs w:val="21"/>
                      <w:lang w:val="en-US" w:eastAsia="zh-CN"/>
                    </w:rPr>
                    <w:t>项目东北侧200m</w:t>
                  </w:r>
                </w:p>
              </w:tc>
              <w:tc>
                <w:tcPr>
                  <w:tcW w:w="1861" w:type="dxa"/>
                  <w:noWrap w:val="0"/>
                  <w:vAlign w:val="center"/>
                </w:tcPr>
                <w:p w14:paraId="6E6E25D6">
                  <w:pPr>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2024年8月26日-2024年9月2日</w:t>
                  </w:r>
                </w:p>
              </w:tc>
              <w:tc>
                <w:tcPr>
                  <w:tcW w:w="1724" w:type="dxa"/>
                  <w:noWrap w:val="0"/>
                  <w:vAlign w:val="center"/>
                </w:tcPr>
                <w:p w14:paraId="0BC6E0E2">
                  <w:pPr>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218~222</w:t>
                  </w:r>
                </w:p>
              </w:tc>
              <w:tc>
                <w:tcPr>
                  <w:tcW w:w="1635" w:type="dxa"/>
                  <w:noWrap w:val="0"/>
                  <w:vAlign w:val="center"/>
                </w:tcPr>
                <w:p w14:paraId="045D4404">
                  <w:pPr>
                    <w:jc w:val="center"/>
                    <w:rPr>
                      <w:rFonts w:hint="default"/>
                      <w:color w:val="auto"/>
                      <w:szCs w:val="21"/>
                      <w:lang w:val="en-US" w:eastAsia="zh-CN"/>
                    </w:rPr>
                  </w:pPr>
                  <w:r>
                    <w:rPr>
                      <w:rFonts w:hint="eastAsia"/>
                      <w:color w:val="auto"/>
                      <w:szCs w:val="21"/>
                      <w:lang w:val="en-US" w:eastAsia="zh-CN"/>
                    </w:rPr>
                    <w:t>74</w:t>
                  </w:r>
                </w:p>
              </w:tc>
              <w:tc>
                <w:tcPr>
                  <w:tcW w:w="1125" w:type="dxa"/>
                  <w:noWrap w:val="0"/>
                  <w:vAlign w:val="center"/>
                </w:tcPr>
                <w:p w14:paraId="14EA1058">
                  <w:pPr>
                    <w:jc w:val="center"/>
                    <w:rPr>
                      <w:rFonts w:hint="default" w:eastAsia="宋体"/>
                      <w:color w:val="auto"/>
                      <w:szCs w:val="21"/>
                      <w:lang w:val="en-US" w:eastAsia="zh-CN"/>
                    </w:rPr>
                  </w:pPr>
                  <w:r>
                    <w:rPr>
                      <w:rFonts w:hint="eastAsia"/>
                      <w:color w:val="auto"/>
                      <w:szCs w:val="21"/>
                      <w:lang w:val="en-US" w:eastAsia="zh-CN"/>
                    </w:rPr>
                    <w:t>300</w:t>
                  </w:r>
                </w:p>
              </w:tc>
              <w:tc>
                <w:tcPr>
                  <w:tcW w:w="1072" w:type="dxa"/>
                  <w:noWrap w:val="0"/>
                  <w:vAlign w:val="center"/>
                </w:tcPr>
                <w:p w14:paraId="3F39982A">
                  <w:pPr>
                    <w:jc w:val="center"/>
                    <w:rPr>
                      <w:color w:val="auto"/>
                      <w:szCs w:val="21"/>
                    </w:rPr>
                  </w:pPr>
                  <w:r>
                    <w:rPr>
                      <w:rFonts w:hint="eastAsia"/>
                      <w:color w:val="auto"/>
                      <w:szCs w:val="21"/>
                    </w:rPr>
                    <w:t>达标</w:t>
                  </w:r>
                </w:p>
              </w:tc>
            </w:tr>
          </w:tbl>
          <w:p w14:paraId="7E54FFE8">
            <w:pPr>
              <w:keepNext w:val="0"/>
              <w:keepLines w:val="0"/>
              <w:suppressLineNumbers w:val="0"/>
              <w:kinsoku/>
              <w:wordWrap/>
              <w:bidi w:val="0"/>
              <w:adjustRightInd/>
              <w:snapToGrid/>
              <w:spacing w:before="0" w:beforeAutospacing="0" w:after="0" w:afterAutospacing="0" w:line="360" w:lineRule="auto"/>
              <w:ind w:left="0" w:right="0" w:firstLine="480" w:firstLineChars="200"/>
              <w:rPr>
                <w:rFonts w:hint="eastAsia"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由上表可知，评价区域内大气环境质量现状TSP浓度符合《环境空气质量标准》(GB</w:t>
            </w:r>
            <w:r>
              <w:rPr>
                <w:rFonts w:hint="eastAsia" w:ascii="Times New Roman" w:hAnsi="Times New Roman" w:eastAsia="宋体" w:cs="Times New Roman"/>
                <w:color w:val="auto"/>
                <w:sz w:val="24"/>
                <w:szCs w:val="24"/>
                <w:lang w:val="en-US" w:eastAsia="zh-CN"/>
              </w:rPr>
              <w:t xml:space="preserve"> </w:t>
            </w:r>
            <w:r>
              <w:rPr>
                <w:rFonts w:hint="default" w:ascii="Times New Roman" w:hAnsi="Times New Roman" w:eastAsia="宋体" w:cs="Times New Roman"/>
                <w:color w:val="auto"/>
                <w:sz w:val="24"/>
                <w:szCs w:val="24"/>
                <w:lang w:val="en-US" w:eastAsia="zh-CN"/>
              </w:rPr>
              <w:t>3095-2012</w:t>
            </w: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中二级标准浓度限值（300μg/m</w:t>
            </w:r>
            <w:r>
              <w:rPr>
                <w:rFonts w:hint="default" w:ascii="Times New Roman" w:hAnsi="Times New Roman" w:eastAsia="宋体" w:cs="Times New Roman"/>
                <w:color w:val="auto"/>
                <w:sz w:val="24"/>
                <w:szCs w:val="24"/>
                <w:vertAlign w:val="superscript"/>
                <w:lang w:val="en-US" w:eastAsia="zh-CN"/>
              </w:rPr>
              <w:t>3</w:t>
            </w:r>
            <w:r>
              <w:rPr>
                <w:rFonts w:hint="default" w:ascii="Times New Roman" w:hAnsi="Times New Roman" w:eastAsia="宋体" w:cs="Times New Roman"/>
                <w:color w:val="auto"/>
                <w:sz w:val="24"/>
                <w:szCs w:val="24"/>
                <w:lang w:val="en-US" w:eastAsia="zh-CN"/>
              </w:rPr>
              <w:t>）要求。</w:t>
            </w:r>
          </w:p>
          <w:p w14:paraId="091CAEA3">
            <w:pPr>
              <w:pBdr>
                <w:top w:val="none" w:color="auto" w:sz="0" w:space="1"/>
                <w:left w:val="none" w:color="auto" w:sz="0" w:space="4"/>
                <w:bottom w:val="none" w:color="auto" w:sz="0" w:space="1"/>
                <w:right w:val="none" w:color="auto" w:sz="0" w:space="4"/>
              </w:pBdr>
              <w:adjustRightInd w:val="0"/>
              <w:snapToGrid w:val="0"/>
              <w:spacing w:line="360" w:lineRule="auto"/>
              <w:rPr>
                <w:b/>
                <w:bCs/>
                <w:color w:val="auto"/>
                <w:sz w:val="24"/>
              </w:rPr>
            </w:pPr>
            <w:r>
              <w:rPr>
                <w:rFonts w:hint="eastAsia"/>
                <w:b/>
                <w:bCs/>
                <w:color w:val="auto"/>
                <w:sz w:val="24"/>
              </w:rPr>
              <w:t xml:space="preserve">2 </w:t>
            </w:r>
            <w:r>
              <w:rPr>
                <w:b/>
                <w:bCs/>
                <w:color w:val="auto"/>
                <w:sz w:val="24"/>
              </w:rPr>
              <w:t>声环境</w:t>
            </w:r>
            <w:r>
              <w:rPr>
                <w:rFonts w:hint="eastAsia"/>
                <w:b/>
                <w:bCs/>
                <w:color w:val="auto"/>
                <w:sz w:val="24"/>
              </w:rPr>
              <w:t>现状</w:t>
            </w:r>
          </w:p>
          <w:p w14:paraId="508D1C30">
            <w:pPr>
              <w:pBdr>
                <w:top w:val="none" w:color="auto" w:sz="0" w:space="1"/>
                <w:left w:val="none" w:color="auto" w:sz="0" w:space="4"/>
                <w:bottom w:val="none" w:color="auto" w:sz="0" w:space="1"/>
                <w:right w:val="none" w:color="auto" w:sz="0" w:space="4"/>
              </w:pBdr>
              <w:adjustRightInd w:val="0"/>
              <w:snapToGrid w:val="0"/>
              <w:spacing w:line="360" w:lineRule="auto"/>
              <w:ind w:firstLine="480" w:firstLineChars="200"/>
              <w:rPr>
                <w:rFonts w:hint="default" w:eastAsia="宋体"/>
                <w:b/>
                <w:bCs/>
                <w:color w:val="auto"/>
                <w:sz w:val="24"/>
                <w:lang w:val="en-US" w:eastAsia="zh-CN"/>
              </w:rPr>
            </w:pPr>
            <w:r>
              <w:rPr>
                <w:rFonts w:hint="eastAsia"/>
                <w:color w:val="auto"/>
                <w:sz w:val="24"/>
              </w:rPr>
              <w:t>本项目厂界外5</w:t>
            </w:r>
            <w:r>
              <w:rPr>
                <w:color w:val="auto"/>
                <w:sz w:val="24"/>
              </w:rPr>
              <w:t>0</w:t>
            </w:r>
            <w:r>
              <w:rPr>
                <w:rFonts w:hint="eastAsia"/>
                <w:color w:val="auto"/>
                <w:sz w:val="24"/>
              </w:rPr>
              <w:t>m范围内无声环境保护目标，因此，本次不进行声环境质量现状监测。</w:t>
            </w:r>
          </w:p>
          <w:p w14:paraId="4191E44C">
            <w:pPr>
              <w:pBdr>
                <w:top w:val="none" w:color="auto" w:sz="0" w:space="1"/>
                <w:left w:val="none" w:color="auto" w:sz="0" w:space="4"/>
                <w:bottom w:val="none" w:color="auto" w:sz="0" w:space="1"/>
                <w:right w:val="none" w:color="auto" w:sz="0" w:space="4"/>
              </w:pBdr>
              <w:adjustRightInd w:val="0"/>
              <w:snapToGrid w:val="0"/>
              <w:spacing w:line="360" w:lineRule="auto"/>
              <w:rPr>
                <w:rFonts w:hint="eastAsia"/>
                <w:b/>
                <w:bCs/>
                <w:color w:val="0000FF"/>
                <w:sz w:val="24"/>
                <w:lang w:val="en-US" w:eastAsia="zh-CN"/>
              </w:rPr>
            </w:pPr>
            <w:r>
              <w:rPr>
                <w:rFonts w:hint="eastAsia"/>
                <w:b/>
                <w:bCs/>
                <w:color w:val="0000FF"/>
                <w:sz w:val="24"/>
                <w:lang w:val="en-US" w:eastAsia="zh-CN"/>
              </w:rPr>
              <w:t>3 地表水环境现状</w:t>
            </w:r>
          </w:p>
          <w:p w14:paraId="77674E86">
            <w:pPr>
              <w:pBdr>
                <w:top w:val="none" w:color="auto" w:sz="0" w:space="1"/>
                <w:left w:val="none" w:color="auto" w:sz="0" w:space="4"/>
                <w:bottom w:val="none" w:color="auto" w:sz="0" w:space="1"/>
                <w:right w:val="none" w:color="auto" w:sz="0" w:space="4"/>
              </w:pBdr>
              <w:adjustRightInd w:val="0"/>
              <w:snapToGrid w:val="0"/>
              <w:spacing w:line="360" w:lineRule="auto"/>
              <w:ind w:firstLine="480" w:firstLineChars="200"/>
              <w:rPr>
                <w:rFonts w:hint="default" w:eastAsia="宋体"/>
                <w:color w:val="auto"/>
                <w:sz w:val="24"/>
                <w:lang w:val="en-US" w:eastAsia="zh-CN"/>
              </w:rPr>
            </w:pPr>
            <w:r>
              <w:rPr>
                <w:rFonts w:hint="eastAsia" w:eastAsia="宋体"/>
                <w:color w:val="auto"/>
                <w:sz w:val="24"/>
              </w:rPr>
              <w:t>根据本项目工程特点，运营期项目废水</w:t>
            </w:r>
            <w:r>
              <w:rPr>
                <w:rFonts w:hint="eastAsia" w:eastAsia="宋体"/>
                <w:color w:val="auto"/>
                <w:sz w:val="24"/>
                <w:lang w:val="en-US" w:eastAsia="zh-CN"/>
              </w:rPr>
              <w:t>经自建一体化污水处理设备处理达标后排入废水池</w:t>
            </w:r>
            <w:r>
              <w:rPr>
                <w:rFonts w:hint="eastAsia" w:eastAsia="宋体"/>
                <w:color w:val="auto"/>
                <w:sz w:val="24"/>
              </w:rPr>
              <w:t>，</w:t>
            </w:r>
            <w:r>
              <w:rPr>
                <w:rFonts w:hint="eastAsia" w:eastAsia="宋体"/>
                <w:color w:val="auto"/>
                <w:sz w:val="24"/>
                <w:lang w:val="en-US" w:eastAsia="zh-CN"/>
              </w:rPr>
              <w:t>由吸污车拉运至昌吉高新技术产业开发区污水处理厂，</w:t>
            </w:r>
            <w:r>
              <w:rPr>
                <w:rFonts w:hint="eastAsia" w:eastAsia="宋体"/>
                <w:color w:val="auto"/>
                <w:sz w:val="24"/>
              </w:rPr>
              <w:t>不直接排入地表水体，不与区域地表水水体产生水力联系。故根据《环境影响评价技术导则 地表水环境》（HJ2.3-2018）判断项目地表水进行三级B评价，本次评价不开展地表水环境质量现状调查。</w:t>
            </w:r>
          </w:p>
          <w:p w14:paraId="3C0B33E9">
            <w:pPr>
              <w:pBdr>
                <w:top w:val="none" w:color="auto" w:sz="0" w:space="1"/>
                <w:left w:val="none" w:color="auto" w:sz="0" w:space="4"/>
                <w:bottom w:val="none" w:color="auto" w:sz="0" w:space="1"/>
                <w:right w:val="none" w:color="auto" w:sz="0" w:space="4"/>
              </w:pBdr>
              <w:adjustRightInd w:val="0"/>
              <w:snapToGrid w:val="0"/>
              <w:spacing w:line="360" w:lineRule="auto"/>
              <w:rPr>
                <w:b/>
                <w:bCs/>
                <w:color w:val="auto"/>
                <w:sz w:val="24"/>
              </w:rPr>
            </w:pPr>
            <w:r>
              <w:rPr>
                <w:rFonts w:hint="eastAsia"/>
                <w:b/>
                <w:bCs/>
                <w:color w:val="auto"/>
                <w:sz w:val="24"/>
                <w:lang w:val="en-US" w:eastAsia="zh-CN"/>
              </w:rPr>
              <w:t>4</w:t>
            </w:r>
            <w:r>
              <w:rPr>
                <w:rFonts w:hint="eastAsia"/>
                <w:b/>
                <w:bCs/>
                <w:color w:val="auto"/>
                <w:sz w:val="24"/>
              </w:rPr>
              <w:t xml:space="preserve"> 土壤</w:t>
            </w:r>
            <w:r>
              <w:rPr>
                <w:rFonts w:hint="eastAsia"/>
                <w:b/>
                <w:bCs/>
                <w:color w:val="auto"/>
                <w:sz w:val="24"/>
                <w:lang w:eastAsia="zh-CN"/>
              </w:rPr>
              <w:t>、</w:t>
            </w:r>
            <w:r>
              <w:rPr>
                <w:rFonts w:hint="eastAsia"/>
                <w:b/>
                <w:bCs/>
                <w:color w:val="auto"/>
                <w:sz w:val="24"/>
                <w:lang w:val="en-US" w:eastAsia="zh-CN"/>
              </w:rPr>
              <w:t>地下水</w:t>
            </w:r>
            <w:r>
              <w:rPr>
                <w:rFonts w:hint="eastAsia"/>
                <w:b/>
                <w:bCs/>
                <w:color w:val="auto"/>
                <w:sz w:val="24"/>
              </w:rPr>
              <w:t>环境质量现状调查及评价</w:t>
            </w:r>
          </w:p>
          <w:p w14:paraId="25DC69C5">
            <w:pPr>
              <w:pBdr>
                <w:top w:val="none" w:color="auto" w:sz="0" w:space="1"/>
                <w:left w:val="none" w:color="auto" w:sz="0" w:space="4"/>
                <w:bottom w:val="none" w:color="auto" w:sz="0" w:space="1"/>
                <w:right w:val="none" w:color="auto" w:sz="0" w:space="4"/>
              </w:pBdr>
              <w:adjustRightInd w:val="0"/>
              <w:snapToGrid w:val="0"/>
              <w:spacing w:line="360" w:lineRule="auto"/>
              <w:ind w:firstLine="480" w:firstLineChars="200"/>
              <w:rPr>
                <w:color w:val="auto"/>
                <w:sz w:val="24"/>
              </w:rPr>
            </w:pPr>
            <w:r>
              <w:rPr>
                <w:color w:val="auto"/>
                <w:sz w:val="24"/>
              </w:rPr>
              <w:t>根据《建设项目环境影响报告表编制技术指南（污染影响类）（试行）》</w:t>
            </w:r>
            <w:r>
              <w:rPr>
                <w:rFonts w:hint="eastAsia"/>
                <w:color w:val="auto"/>
                <w:sz w:val="24"/>
                <w:lang w:eastAsia="zh-CN"/>
              </w:rPr>
              <w:t>，</w:t>
            </w:r>
            <w:r>
              <w:rPr>
                <w:rFonts w:hint="eastAsia"/>
                <w:color w:val="auto"/>
                <w:sz w:val="24"/>
                <w:lang w:val="en-US" w:eastAsia="zh-CN"/>
              </w:rPr>
              <w:t>原则上不开展环境质量现状调查。</w:t>
            </w:r>
            <w:r>
              <w:rPr>
                <w:color w:val="auto"/>
                <w:sz w:val="24"/>
              </w:rPr>
              <w:t>建设项目存在土壤</w:t>
            </w:r>
            <w:r>
              <w:rPr>
                <w:rFonts w:hint="eastAsia"/>
                <w:color w:val="auto"/>
                <w:sz w:val="24"/>
              </w:rPr>
              <w:t>、地下水</w:t>
            </w:r>
            <w:r>
              <w:rPr>
                <w:color w:val="auto"/>
                <w:sz w:val="24"/>
              </w:rPr>
              <w:t>环境污染途径的，应结合污染源、保护目标分布情况开展现状调查以留作背景值。</w:t>
            </w:r>
          </w:p>
          <w:p w14:paraId="1B714B07">
            <w:pPr>
              <w:pBdr>
                <w:top w:val="none" w:color="auto" w:sz="0" w:space="1"/>
                <w:left w:val="none" w:color="auto" w:sz="0" w:space="4"/>
                <w:bottom w:val="none" w:color="auto" w:sz="0" w:space="1"/>
                <w:right w:val="none" w:color="auto" w:sz="0" w:space="4"/>
              </w:pBdr>
              <w:adjustRightInd w:val="0"/>
              <w:snapToGrid w:val="0"/>
              <w:spacing w:line="360" w:lineRule="auto"/>
              <w:ind w:firstLine="480" w:firstLineChars="200"/>
              <w:rPr>
                <w:rFonts w:hint="eastAsia"/>
                <w:color w:val="auto"/>
                <w:sz w:val="24"/>
                <w:lang w:val="en-US" w:eastAsia="zh-CN"/>
              </w:rPr>
            </w:pPr>
            <w:r>
              <w:rPr>
                <w:rFonts w:hint="eastAsia"/>
                <w:color w:val="auto"/>
                <w:sz w:val="24"/>
              </w:rPr>
              <w:t>项目租赁</w:t>
            </w:r>
            <w:r>
              <w:rPr>
                <w:rFonts w:hint="eastAsia"/>
                <w:color w:val="auto"/>
                <w:sz w:val="24"/>
                <w:lang w:val="en-US" w:eastAsia="zh-CN"/>
              </w:rPr>
              <w:t>新疆华爱康塑业科技发展有限公司厂房</w:t>
            </w:r>
            <w:r>
              <w:rPr>
                <w:rFonts w:hint="eastAsia"/>
                <w:color w:val="auto"/>
                <w:sz w:val="24"/>
              </w:rPr>
              <w:t>建设</w:t>
            </w:r>
            <w:r>
              <w:rPr>
                <w:rFonts w:hint="eastAsia"/>
                <w:color w:val="auto"/>
                <w:sz w:val="24"/>
                <w:lang w:val="en-US" w:eastAsia="zh-CN"/>
              </w:rPr>
              <w:t>地质矿产分析实验室</w:t>
            </w:r>
            <w:r>
              <w:rPr>
                <w:rFonts w:hint="eastAsia"/>
                <w:color w:val="auto"/>
                <w:sz w:val="24"/>
              </w:rPr>
              <w:t>，</w:t>
            </w:r>
            <w:r>
              <w:rPr>
                <w:rFonts w:hint="eastAsia"/>
                <w:color w:val="auto"/>
                <w:sz w:val="24"/>
                <w:lang w:val="en-US" w:eastAsia="zh-CN"/>
              </w:rPr>
              <w:t>主要从事矿石试验检测服务，不属于工业生产型项目，不存在液体储罐，项目实验过程使用化学试剂，化学试剂为瓶装包装，检测过程中使用量较小，实验室</w:t>
            </w:r>
            <w:r>
              <w:rPr>
                <w:rFonts w:hint="eastAsia"/>
                <w:color w:val="auto"/>
                <w:sz w:val="24"/>
              </w:rPr>
              <w:t>采用重点防渗措施防渗技术达到等效粘土防渗层Mb≥6m、渗透系数K≤1×10</w:t>
            </w:r>
            <w:r>
              <w:rPr>
                <w:rFonts w:hint="eastAsia"/>
                <w:color w:val="auto"/>
                <w:sz w:val="24"/>
                <w:vertAlign w:val="superscript"/>
              </w:rPr>
              <w:t>-7</w:t>
            </w:r>
            <w:r>
              <w:rPr>
                <w:rFonts w:hint="eastAsia"/>
                <w:color w:val="auto"/>
                <w:sz w:val="24"/>
              </w:rPr>
              <w:t>cm/s</w:t>
            </w:r>
            <w:r>
              <w:rPr>
                <w:rFonts w:hint="eastAsia"/>
                <w:color w:val="auto"/>
                <w:sz w:val="24"/>
                <w:lang w:eastAsia="zh-CN"/>
              </w:rPr>
              <w:t>；</w:t>
            </w:r>
            <w:r>
              <w:rPr>
                <w:rFonts w:hint="eastAsia"/>
                <w:color w:val="auto"/>
                <w:sz w:val="24"/>
                <w:lang w:val="en-US" w:eastAsia="zh-CN"/>
              </w:rPr>
              <w:t>同时项目位于</w:t>
            </w:r>
            <w:r>
              <w:rPr>
                <w:rFonts w:hint="eastAsia"/>
                <w:color w:val="0000FF"/>
                <w:sz w:val="24"/>
                <w:lang w:val="en-US" w:eastAsia="zh-CN"/>
              </w:rPr>
              <w:t>昌吉回族自治州国家高新产业园区内</w:t>
            </w:r>
            <w:r>
              <w:rPr>
                <w:rFonts w:hint="eastAsia"/>
                <w:color w:val="auto"/>
                <w:sz w:val="24"/>
                <w:lang w:val="en-US" w:eastAsia="zh-CN"/>
              </w:rPr>
              <w:t>，评价范围内不存在地下水环境保护目标，故本次评价</w:t>
            </w:r>
            <w:r>
              <w:rPr>
                <w:rFonts w:hint="eastAsia"/>
                <w:color w:val="auto"/>
                <w:sz w:val="24"/>
              </w:rPr>
              <w:t>不开展</w:t>
            </w:r>
            <w:r>
              <w:rPr>
                <w:rFonts w:hint="eastAsia"/>
                <w:color w:val="auto"/>
                <w:sz w:val="24"/>
                <w:lang w:val="en-US" w:eastAsia="zh-CN"/>
              </w:rPr>
              <w:t>土壤及地下水</w:t>
            </w:r>
            <w:r>
              <w:rPr>
                <w:rFonts w:hint="eastAsia"/>
                <w:color w:val="auto"/>
                <w:sz w:val="24"/>
              </w:rPr>
              <w:t>环境质量现状调查</w:t>
            </w:r>
            <w:r>
              <w:rPr>
                <w:rFonts w:hint="eastAsia"/>
                <w:color w:val="auto"/>
                <w:sz w:val="24"/>
                <w:lang w:eastAsia="zh-CN"/>
              </w:rPr>
              <w:t>。</w:t>
            </w:r>
          </w:p>
          <w:p w14:paraId="6F439CCE">
            <w:pPr>
              <w:pBdr>
                <w:top w:val="none" w:color="auto" w:sz="0" w:space="1"/>
                <w:left w:val="none" w:color="auto" w:sz="0" w:space="4"/>
                <w:bottom w:val="none" w:color="auto" w:sz="0" w:space="1"/>
                <w:right w:val="none" w:color="auto" w:sz="0" w:space="4"/>
              </w:pBdr>
              <w:adjustRightInd w:val="0"/>
              <w:snapToGrid w:val="0"/>
              <w:spacing w:line="360" w:lineRule="auto"/>
              <w:rPr>
                <w:b/>
                <w:bCs/>
                <w:color w:val="auto"/>
                <w:sz w:val="24"/>
              </w:rPr>
            </w:pPr>
            <w:r>
              <w:rPr>
                <w:rFonts w:hint="eastAsia"/>
                <w:b/>
                <w:bCs/>
                <w:color w:val="auto"/>
                <w:sz w:val="24"/>
                <w:lang w:val="en-US" w:eastAsia="zh-CN"/>
              </w:rPr>
              <w:t>5</w:t>
            </w:r>
            <w:r>
              <w:rPr>
                <w:rFonts w:hint="eastAsia"/>
                <w:b/>
                <w:bCs/>
                <w:color w:val="auto"/>
                <w:sz w:val="24"/>
              </w:rPr>
              <w:t xml:space="preserve"> </w:t>
            </w:r>
            <w:r>
              <w:rPr>
                <w:b/>
                <w:bCs/>
                <w:color w:val="auto"/>
                <w:sz w:val="24"/>
              </w:rPr>
              <w:t>生态环境现状</w:t>
            </w:r>
          </w:p>
          <w:p w14:paraId="066493BF">
            <w:pPr>
              <w:adjustRightInd w:val="0"/>
              <w:snapToGrid w:val="0"/>
              <w:spacing w:line="360" w:lineRule="auto"/>
              <w:ind w:firstLine="482"/>
              <w:rPr>
                <w:rFonts w:hint="eastAsia"/>
                <w:b/>
                <w:bCs/>
                <w:color w:val="auto"/>
                <w:szCs w:val="21"/>
              </w:rPr>
            </w:pPr>
            <w:r>
              <w:rPr>
                <w:rFonts w:hint="eastAsia"/>
                <w:color w:val="auto"/>
                <w:sz w:val="24"/>
              </w:rPr>
              <w:t>根据《建设项目环境影响报告表编制技术指南（污染影响类）（试行）》中的相关要求，产业园区外建设项目新增用地且用地范围内含有生态环境保护目标时，应进行生态现状调查。本项目用地位于工业园区内，且占地范围</w:t>
            </w:r>
            <w:r>
              <w:rPr>
                <w:bCs/>
                <w:color w:val="auto"/>
                <w:sz w:val="24"/>
              </w:rPr>
              <w:t>内无自然保护区和风景名胜区，国家和省级重点保护野生动植物，古树名木及文物保护单位</w:t>
            </w:r>
            <w:r>
              <w:rPr>
                <w:rFonts w:hint="eastAsia"/>
                <w:bCs/>
                <w:color w:val="auto"/>
                <w:sz w:val="24"/>
              </w:rPr>
              <w:t>等生态环境保护目标，可不开展生态环境现状调查</w:t>
            </w:r>
            <w:r>
              <w:rPr>
                <w:bCs/>
                <w:color w:val="auto"/>
                <w:sz w:val="24"/>
              </w:rPr>
              <w:t>。</w:t>
            </w:r>
          </w:p>
        </w:tc>
      </w:tr>
      <w:tr w14:paraId="208B4FA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96" w:hRule="atLeast"/>
          <w:jc w:val="center"/>
        </w:trPr>
        <w:tc>
          <w:tcPr>
            <w:tcW w:w="265" w:type="pct"/>
            <w:noWrap w:val="0"/>
            <w:vAlign w:val="center"/>
          </w:tcPr>
          <w:p w14:paraId="536ECFC0">
            <w:pPr>
              <w:adjustRightInd w:val="0"/>
              <w:snapToGrid w:val="0"/>
              <w:jc w:val="center"/>
              <w:rPr>
                <w:rFonts w:hint="eastAsia" w:ascii="宋体" w:hAnsi="宋体" w:cs="宋体"/>
                <w:color w:val="auto"/>
                <w:kern w:val="0"/>
                <w:szCs w:val="21"/>
              </w:rPr>
            </w:pPr>
            <w:r>
              <w:rPr>
                <w:rFonts w:hint="eastAsia" w:ascii="宋体" w:hAnsi="宋体" w:cs="宋体"/>
                <w:color w:val="auto"/>
                <w:kern w:val="0"/>
                <w:sz w:val="24"/>
              </w:rPr>
              <w:t>环境保护目标</w:t>
            </w:r>
          </w:p>
        </w:tc>
        <w:tc>
          <w:tcPr>
            <w:tcW w:w="4734" w:type="pct"/>
            <w:noWrap w:val="0"/>
            <w:vAlign w:val="center"/>
          </w:tcPr>
          <w:p w14:paraId="240A785D">
            <w:pPr>
              <w:autoSpaceDE w:val="0"/>
              <w:autoSpaceDN w:val="0"/>
              <w:adjustRightInd w:val="0"/>
              <w:snapToGrid w:val="0"/>
              <w:spacing w:line="360" w:lineRule="auto"/>
              <w:ind w:firstLine="480" w:firstLineChars="200"/>
              <w:rPr>
                <w:color w:val="auto"/>
                <w:kern w:val="0"/>
                <w:sz w:val="24"/>
              </w:rPr>
            </w:pPr>
            <w:r>
              <w:rPr>
                <w:color w:val="auto"/>
                <w:kern w:val="0"/>
                <w:sz w:val="24"/>
              </w:rPr>
              <w:t>根据现场调查，本项目厂界外500m范围内无自然保护区、风景名胜区、文化区和农村地区人群较集中的区域等环境保护目标</w:t>
            </w:r>
            <w:r>
              <w:rPr>
                <w:rFonts w:hint="eastAsia"/>
                <w:color w:val="auto"/>
                <w:kern w:val="0"/>
                <w:sz w:val="24"/>
              </w:rPr>
              <w:t>；</w:t>
            </w:r>
            <w:r>
              <w:rPr>
                <w:color w:val="auto"/>
                <w:kern w:val="0"/>
                <w:sz w:val="24"/>
              </w:rPr>
              <w:t>厂界50m范围内无声环境保护目标</w:t>
            </w:r>
            <w:r>
              <w:rPr>
                <w:rFonts w:hint="eastAsia"/>
                <w:color w:val="auto"/>
                <w:kern w:val="0"/>
                <w:sz w:val="24"/>
              </w:rPr>
              <w:t>；</w:t>
            </w:r>
            <w:r>
              <w:rPr>
                <w:color w:val="auto"/>
                <w:kern w:val="0"/>
                <w:sz w:val="24"/>
              </w:rPr>
              <w:t>厂界500m范围内无地下水集中式饮用水源和热水、矿泉水、温泉等特殊地下水资源</w:t>
            </w:r>
            <w:r>
              <w:rPr>
                <w:rFonts w:hint="eastAsia"/>
                <w:color w:val="auto"/>
                <w:kern w:val="0"/>
                <w:sz w:val="24"/>
              </w:rPr>
              <w:t>。</w:t>
            </w:r>
          </w:p>
          <w:p w14:paraId="53A33F18">
            <w:pPr>
              <w:autoSpaceDE w:val="0"/>
              <w:autoSpaceDN w:val="0"/>
              <w:adjustRightInd w:val="0"/>
              <w:snapToGrid w:val="0"/>
              <w:spacing w:line="360" w:lineRule="auto"/>
              <w:ind w:firstLine="480" w:firstLineChars="200"/>
              <w:rPr>
                <w:rFonts w:hint="eastAsia"/>
                <w:b/>
                <w:color w:val="auto"/>
                <w:szCs w:val="21"/>
              </w:rPr>
            </w:pPr>
            <w:r>
              <w:rPr>
                <w:rFonts w:hint="eastAsia"/>
                <w:color w:val="auto"/>
                <w:kern w:val="0"/>
                <w:sz w:val="24"/>
              </w:rPr>
              <w:t>综上所述，本项目周围不存在环境保护目标。</w:t>
            </w:r>
          </w:p>
        </w:tc>
      </w:tr>
      <w:tr w14:paraId="42DD9ED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51" w:hRule="atLeast"/>
          <w:jc w:val="center"/>
        </w:trPr>
        <w:tc>
          <w:tcPr>
            <w:tcW w:w="265" w:type="pct"/>
            <w:noWrap w:val="0"/>
            <w:tcMar>
              <w:left w:w="28" w:type="dxa"/>
              <w:right w:w="28" w:type="dxa"/>
            </w:tcMar>
            <w:vAlign w:val="center"/>
          </w:tcPr>
          <w:p w14:paraId="4C1E2ED3">
            <w:pPr>
              <w:adjustRightInd w:val="0"/>
              <w:snapToGrid w:val="0"/>
              <w:spacing w:line="520" w:lineRule="exact"/>
              <w:jc w:val="center"/>
              <w:rPr>
                <w:rFonts w:hint="eastAsia" w:ascii="宋体" w:hAnsi="宋体" w:cs="宋体"/>
                <w:color w:val="auto"/>
                <w:kern w:val="0"/>
                <w:sz w:val="24"/>
              </w:rPr>
            </w:pPr>
            <w:r>
              <w:rPr>
                <w:rFonts w:hint="eastAsia" w:ascii="宋体" w:hAnsi="宋体" w:cs="宋体"/>
                <w:color w:val="auto"/>
                <w:kern w:val="0"/>
                <w:sz w:val="24"/>
              </w:rPr>
              <w:t>污染</w:t>
            </w:r>
          </w:p>
          <w:p w14:paraId="69838228">
            <w:pPr>
              <w:adjustRightInd w:val="0"/>
              <w:snapToGrid w:val="0"/>
              <w:spacing w:line="520" w:lineRule="exact"/>
              <w:jc w:val="center"/>
              <w:rPr>
                <w:rFonts w:hint="eastAsia" w:ascii="宋体" w:hAnsi="宋体" w:cs="宋体"/>
                <w:color w:val="auto"/>
                <w:kern w:val="0"/>
                <w:sz w:val="24"/>
              </w:rPr>
            </w:pPr>
            <w:r>
              <w:rPr>
                <w:rFonts w:hint="eastAsia" w:ascii="宋体" w:hAnsi="宋体" w:cs="宋体"/>
                <w:color w:val="auto"/>
                <w:kern w:val="0"/>
                <w:sz w:val="24"/>
              </w:rPr>
              <w:t>物排</w:t>
            </w:r>
          </w:p>
          <w:p w14:paraId="6266FB32">
            <w:pPr>
              <w:adjustRightInd w:val="0"/>
              <w:snapToGrid w:val="0"/>
              <w:spacing w:line="520" w:lineRule="exact"/>
              <w:jc w:val="center"/>
              <w:rPr>
                <w:rFonts w:hint="eastAsia" w:ascii="宋体" w:hAnsi="宋体" w:cs="宋体"/>
                <w:color w:val="auto"/>
                <w:kern w:val="0"/>
                <w:sz w:val="24"/>
              </w:rPr>
            </w:pPr>
            <w:r>
              <w:rPr>
                <w:rFonts w:hint="eastAsia" w:ascii="宋体" w:hAnsi="宋体" w:cs="宋体"/>
                <w:color w:val="auto"/>
                <w:kern w:val="0"/>
                <w:sz w:val="24"/>
              </w:rPr>
              <w:t>放控</w:t>
            </w:r>
          </w:p>
          <w:p w14:paraId="4151AE9B">
            <w:pPr>
              <w:adjustRightInd w:val="0"/>
              <w:snapToGrid w:val="0"/>
              <w:spacing w:line="520" w:lineRule="exact"/>
              <w:jc w:val="center"/>
              <w:rPr>
                <w:rFonts w:hint="eastAsia" w:ascii="宋体" w:hAnsi="宋体" w:cs="宋体"/>
                <w:color w:val="auto"/>
                <w:kern w:val="0"/>
                <w:sz w:val="24"/>
              </w:rPr>
            </w:pPr>
            <w:r>
              <w:rPr>
                <w:rFonts w:hint="eastAsia" w:ascii="宋体" w:hAnsi="宋体" w:cs="宋体"/>
                <w:color w:val="auto"/>
                <w:kern w:val="0"/>
                <w:sz w:val="24"/>
              </w:rPr>
              <w:t>制标</w:t>
            </w:r>
          </w:p>
          <w:p w14:paraId="1FC30717">
            <w:pPr>
              <w:adjustRightInd w:val="0"/>
              <w:snapToGrid w:val="0"/>
              <w:spacing w:line="520" w:lineRule="exact"/>
              <w:jc w:val="center"/>
              <w:rPr>
                <w:rFonts w:ascii="宋体" w:hAnsi="宋体" w:cs="宋体"/>
                <w:color w:val="auto"/>
                <w:kern w:val="0"/>
                <w:szCs w:val="21"/>
              </w:rPr>
            </w:pPr>
            <w:r>
              <w:rPr>
                <w:rFonts w:hint="eastAsia" w:ascii="宋体" w:hAnsi="宋体" w:cs="宋体"/>
                <w:color w:val="auto"/>
                <w:kern w:val="0"/>
                <w:sz w:val="24"/>
              </w:rPr>
              <w:t>准</w:t>
            </w:r>
          </w:p>
        </w:tc>
        <w:tc>
          <w:tcPr>
            <w:tcW w:w="4734" w:type="pct"/>
            <w:noWrap w:val="0"/>
            <w:vAlign w:val="center"/>
          </w:tcPr>
          <w:p w14:paraId="18BE3E9B">
            <w:pPr>
              <w:pBdr>
                <w:top w:val="none" w:color="auto" w:sz="0" w:space="1"/>
                <w:left w:val="none" w:color="auto" w:sz="0" w:space="4"/>
                <w:bottom w:val="none" w:color="auto" w:sz="0" w:space="1"/>
                <w:right w:val="none" w:color="auto" w:sz="0" w:space="4"/>
              </w:pBdr>
              <w:adjustRightInd w:val="0"/>
              <w:snapToGrid w:val="0"/>
              <w:spacing w:before="120" w:beforeLines="50" w:line="360" w:lineRule="auto"/>
              <w:ind w:firstLine="480" w:firstLineChars="200"/>
              <w:rPr>
                <w:rFonts w:hint="default" w:eastAsia="宋体"/>
                <w:color w:val="auto"/>
                <w:sz w:val="24"/>
                <w:lang w:val="en-US" w:eastAsia="zh-CN"/>
              </w:rPr>
            </w:pPr>
            <w:r>
              <w:rPr>
                <w:color w:val="auto"/>
                <w:sz w:val="24"/>
              </w:rPr>
              <w:t>1、</w:t>
            </w:r>
            <w:r>
              <w:rPr>
                <w:rFonts w:hint="eastAsia"/>
                <w:color w:val="auto"/>
                <w:sz w:val="24"/>
                <w:lang w:val="en-US" w:eastAsia="zh-CN"/>
              </w:rPr>
              <w:t>废气排放标准</w:t>
            </w:r>
          </w:p>
          <w:p w14:paraId="38E3F4CB">
            <w:pPr>
              <w:pBdr>
                <w:top w:val="none" w:color="auto" w:sz="0" w:space="1"/>
                <w:left w:val="none" w:color="auto" w:sz="0" w:space="4"/>
                <w:bottom w:val="none" w:color="auto" w:sz="0" w:space="1"/>
                <w:right w:val="none" w:color="auto" w:sz="0" w:space="4"/>
              </w:pBdr>
              <w:adjustRightInd w:val="0"/>
              <w:snapToGrid w:val="0"/>
              <w:spacing w:line="360" w:lineRule="auto"/>
              <w:ind w:firstLine="480" w:firstLineChars="200"/>
              <w:rPr>
                <w:color w:val="auto"/>
                <w:kern w:val="0"/>
                <w:sz w:val="24"/>
              </w:rPr>
            </w:pPr>
            <w:r>
              <w:rPr>
                <w:rFonts w:hint="eastAsia"/>
                <w:color w:val="auto"/>
                <w:sz w:val="24"/>
                <w:lang w:val="en-US" w:eastAsia="zh-CN"/>
              </w:rPr>
              <w:t>本项目</w:t>
            </w:r>
            <w:r>
              <w:rPr>
                <w:rFonts w:hint="eastAsia"/>
                <w:color w:val="FF0000"/>
                <w:sz w:val="24"/>
                <w:lang w:val="en-US" w:eastAsia="zh-CN"/>
              </w:rPr>
              <w:t>运营期酸性废气执</w:t>
            </w:r>
            <w:r>
              <w:rPr>
                <w:rFonts w:hint="eastAsia"/>
                <w:color w:val="auto"/>
                <w:sz w:val="24"/>
                <w:lang w:val="en-US" w:eastAsia="zh-CN"/>
              </w:rPr>
              <w:t>行《大气污染物综合排放标准》（GB16297-1996）中表2新污染源大气污染物排放限值，氨执行《恶臭污染物排放标准》（GB14554-93）中排放限值。</w:t>
            </w:r>
            <w:r>
              <w:rPr>
                <w:rFonts w:hint="eastAsia"/>
                <w:color w:val="auto"/>
                <w:sz w:val="24"/>
              </w:rPr>
              <w:t>综上所述，本</w:t>
            </w:r>
            <w:r>
              <w:rPr>
                <w:color w:val="auto"/>
                <w:spacing w:val="-2"/>
                <w:sz w:val="24"/>
              </w:rPr>
              <w:t>项目</w:t>
            </w:r>
            <w:r>
              <w:rPr>
                <w:rFonts w:hint="eastAsia"/>
                <w:color w:val="auto"/>
                <w:spacing w:val="-2"/>
                <w:sz w:val="24"/>
              </w:rPr>
              <w:t>各污染物排放标准</w:t>
            </w:r>
            <w:r>
              <w:rPr>
                <w:rFonts w:hint="eastAsia"/>
                <w:color w:val="auto"/>
                <w:kern w:val="0"/>
                <w:sz w:val="24"/>
              </w:rPr>
              <w:t>具体见表</w:t>
            </w:r>
            <w:r>
              <w:rPr>
                <w:color w:val="auto"/>
                <w:kern w:val="0"/>
                <w:sz w:val="24"/>
              </w:rPr>
              <w:t>3</w:t>
            </w:r>
            <w:r>
              <w:rPr>
                <w:rFonts w:hint="eastAsia"/>
                <w:color w:val="auto"/>
                <w:kern w:val="0"/>
                <w:sz w:val="24"/>
              </w:rPr>
              <w:t>-</w:t>
            </w:r>
            <w:r>
              <w:rPr>
                <w:rFonts w:hint="eastAsia"/>
                <w:color w:val="auto"/>
                <w:kern w:val="0"/>
                <w:sz w:val="24"/>
                <w:lang w:val="en-US" w:eastAsia="zh-CN"/>
              </w:rPr>
              <w:t>6</w:t>
            </w:r>
            <w:r>
              <w:rPr>
                <w:rFonts w:hint="eastAsia"/>
                <w:color w:val="auto"/>
                <w:kern w:val="0"/>
                <w:sz w:val="24"/>
              </w:rPr>
              <w:t>。</w:t>
            </w:r>
          </w:p>
          <w:p w14:paraId="1069D329">
            <w:pPr>
              <w:pBdr>
                <w:top w:val="none" w:color="auto" w:sz="0" w:space="1"/>
                <w:left w:val="none" w:color="auto" w:sz="0" w:space="4"/>
                <w:bottom w:val="none" w:color="auto" w:sz="0" w:space="1"/>
                <w:right w:val="none" w:color="auto" w:sz="0" w:space="4"/>
              </w:pBdr>
              <w:adjustRightInd w:val="0"/>
              <w:snapToGrid w:val="0"/>
              <w:jc w:val="center"/>
              <w:rPr>
                <w:rFonts w:hAnsi="宋体"/>
                <w:b/>
                <w:color w:val="auto"/>
                <w:szCs w:val="21"/>
              </w:rPr>
            </w:pPr>
          </w:p>
          <w:p w14:paraId="1EBFAFC2">
            <w:pPr>
              <w:pBdr>
                <w:top w:val="none" w:color="auto" w:sz="0" w:space="1"/>
                <w:left w:val="none" w:color="auto" w:sz="0" w:space="4"/>
                <w:bottom w:val="none" w:color="auto" w:sz="0" w:space="1"/>
                <w:right w:val="none" w:color="auto" w:sz="0" w:space="4"/>
              </w:pBdr>
              <w:adjustRightInd w:val="0"/>
              <w:snapToGrid w:val="0"/>
              <w:jc w:val="center"/>
              <w:rPr>
                <w:rFonts w:hAnsi="宋体"/>
                <w:b/>
                <w:color w:val="auto"/>
                <w:szCs w:val="21"/>
              </w:rPr>
            </w:pPr>
          </w:p>
          <w:p w14:paraId="218065DE">
            <w:pPr>
              <w:pBdr>
                <w:top w:val="none" w:color="auto" w:sz="0" w:space="1"/>
                <w:left w:val="none" w:color="auto" w:sz="0" w:space="4"/>
                <w:bottom w:val="none" w:color="auto" w:sz="0" w:space="1"/>
                <w:right w:val="none" w:color="auto" w:sz="0" w:space="4"/>
              </w:pBdr>
              <w:adjustRightInd w:val="0"/>
              <w:snapToGrid w:val="0"/>
              <w:jc w:val="center"/>
              <w:rPr>
                <w:color w:val="FF0000"/>
                <w:kern w:val="0"/>
                <w:szCs w:val="21"/>
              </w:rPr>
            </w:pPr>
            <w:r>
              <w:rPr>
                <w:rFonts w:hAnsi="宋体"/>
                <w:b/>
                <w:color w:val="FF0000"/>
                <w:szCs w:val="21"/>
              </w:rPr>
              <w:t>表3</w:t>
            </w:r>
            <w:r>
              <w:rPr>
                <w:rFonts w:hint="eastAsia" w:hAnsi="宋体"/>
                <w:b/>
                <w:color w:val="FF0000"/>
                <w:szCs w:val="21"/>
              </w:rPr>
              <w:t>-</w:t>
            </w:r>
            <w:r>
              <w:rPr>
                <w:rFonts w:hint="eastAsia" w:hAnsi="宋体"/>
                <w:b/>
                <w:color w:val="FF0000"/>
                <w:szCs w:val="21"/>
                <w:lang w:val="en-US" w:eastAsia="zh-CN"/>
              </w:rPr>
              <w:t>6</w:t>
            </w:r>
            <w:r>
              <w:rPr>
                <w:rFonts w:hAnsi="宋体"/>
                <w:b/>
                <w:color w:val="FF0000"/>
                <w:szCs w:val="21"/>
              </w:rPr>
              <w:t xml:space="preserve">  </w:t>
            </w:r>
            <w:r>
              <w:rPr>
                <w:rFonts w:hint="eastAsia" w:hAnsi="宋体"/>
                <w:b/>
                <w:color w:val="FF0000"/>
                <w:szCs w:val="21"/>
              </w:rPr>
              <w:t xml:space="preserve"> 大气污染物排放标准</w:t>
            </w:r>
          </w:p>
          <w:tbl>
            <w:tblPr>
              <w:tblStyle w:val="28"/>
              <w:tblW w:w="8560"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125"/>
              <w:gridCol w:w="1071"/>
              <w:gridCol w:w="1024"/>
              <w:gridCol w:w="780"/>
              <w:gridCol w:w="1470"/>
              <w:gridCol w:w="1428"/>
              <w:gridCol w:w="1662"/>
            </w:tblGrid>
            <w:tr w14:paraId="3405F09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125" w:type="dxa"/>
                  <w:vMerge w:val="restart"/>
                  <w:tcBorders>
                    <w:top w:val="single" w:color="000000" w:sz="4" w:space="0"/>
                    <w:left w:val="single" w:color="000000" w:sz="4" w:space="0"/>
                    <w:bottom w:val="single" w:color="000000" w:sz="4" w:space="0"/>
                    <w:right w:val="single" w:color="000000" w:sz="4" w:space="0"/>
                  </w:tcBorders>
                  <w:noWrap w:val="0"/>
                  <w:vAlign w:val="center"/>
                </w:tcPr>
                <w:p w14:paraId="2185144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污染物</w:t>
                  </w:r>
                </w:p>
              </w:tc>
              <w:tc>
                <w:tcPr>
                  <w:tcW w:w="1071" w:type="dxa"/>
                  <w:vMerge w:val="restart"/>
                  <w:tcBorders>
                    <w:top w:val="single" w:color="000000" w:sz="4" w:space="0"/>
                    <w:left w:val="single" w:color="000000" w:sz="4" w:space="0"/>
                    <w:bottom w:val="single" w:color="000000" w:sz="4" w:space="0"/>
                    <w:right w:val="single" w:color="000000" w:sz="4" w:space="0"/>
                  </w:tcBorders>
                  <w:noWrap w:val="0"/>
                  <w:vAlign w:val="center"/>
                </w:tcPr>
                <w:p w14:paraId="77880AE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最高允许排放浓度(mg/m³)</w:t>
                  </w:r>
                </w:p>
              </w:tc>
              <w:tc>
                <w:tcPr>
                  <w:tcW w:w="1804" w:type="dxa"/>
                  <w:gridSpan w:val="2"/>
                  <w:tcBorders>
                    <w:top w:val="single" w:color="000000" w:sz="4" w:space="0"/>
                    <w:left w:val="single" w:color="000000" w:sz="4" w:space="0"/>
                    <w:bottom w:val="single" w:color="000000" w:sz="4" w:space="0"/>
                    <w:right w:val="single" w:color="000000" w:sz="4" w:space="0"/>
                  </w:tcBorders>
                  <w:noWrap w:val="0"/>
                  <w:vAlign w:val="center"/>
                </w:tcPr>
                <w:p w14:paraId="1817DC9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最高允许排放速率(kg/h)</w:t>
                  </w:r>
                </w:p>
              </w:tc>
              <w:tc>
                <w:tcPr>
                  <w:tcW w:w="2898" w:type="dxa"/>
                  <w:gridSpan w:val="2"/>
                  <w:tcBorders>
                    <w:top w:val="single" w:color="000000" w:sz="4" w:space="0"/>
                    <w:left w:val="single" w:color="000000" w:sz="4" w:space="0"/>
                    <w:bottom w:val="single" w:color="000000" w:sz="4" w:space="0"/>
                    <w:right w:val="single" w:color="000000" w:sz="4" w:space="0"/>
                  </w:tcBorders>
                  <w:noWrap w:val="0"/>
                  <w:vAlign w:val="center"/>
                </w:tcPr>
                <w:p w14:paraId="3F74229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无组织排放监控浓度限值</w:t>
                  </w:r>
                </w:p>
              </w:tc>
              <w:tc>
                <w:tcPr>
                  <w:tcW w:w="1662" w:type="dxa"/>
                  <w:vMerge w:val="restart"/>
                  <w:tcBorders>
                    <w:top w:val="single" w:color="000000" w:sz="4" w:space="0"/>
                    <w:left w:val="single" w:color="000000" w:sz="4" w:space="0"/>
                    <w:bottom w:val="single" w:color="000000" w:sz="4" w:space="0"/>
                    <w:right w:val="single" w:color="000000" w:sz="4" w:space="0"/>
                  </w:tcBorders>
                  <w:noWrap w:val="0"/>
                  <w:vAlign w:val="center"/>
                </w:tcPr>
                <w:p w14:paraId="62FC5969">
                  <w:pPr>
                    <w:keepNext w:val="0"/>
                    <w:keepLines w:val="0"/>
                    <w:widowControl/>
                    <w:suppressLineNumbers w:val="0"/>
                    <w:jc w:val="center"/>
                    <w:textAlignment w:val="center"/>
                    <w:rPr>
                      <w:rFonts w:ascii="宋体" w:hAnsi="宋体" w:eastAsia="宋体" w:cs="宋体"/>
                      <w:i w:val="0"/>
                      <w:iCs w:val="0"/>
                      <w:color w:val="auto"/>
                      <w:sz w:val="26"/>
                      <w:szCs w:val="26"/>
                      <w:u w:val="none"/>
                    </w:rPr>
                  </w:pPr>
                  <w:r>
                    <w:rPr>
                      <w:rFonts w:ascii="宋体" w:hAnsi="宋体" w:eastAsia="宋体" w:cs="宋体"/>
                      <w:i w:val="0"/>
                      <w:iCs w:val="0"/>
                      <w:color w:val="auto"/>
                      <w:kern w:val="0"/>
                      <w:sz w:val="26"/>
                      <w:szCs w:val="26"/>
                      <w:u w:val="none"/>
                      <w:lang w:val="en-US" w:eastAsia="zh-CN" w:bidi="ar"/>
                    </w:rPr>
                    <w:t>标准来源</w:t>
                  </w:r>
                </w:p>
              </w:tc>
            </w:tr>
            <w:tr w14:paraId="4906564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125" w:type="dxa"/>
                  <w:vMerge w:val="continue"/>
                  <w:tcBorders>
                    <w:top w:val="single" w:color="000000" w:sz="4" w:space="0"/>
                    <w:left w:val="single" w:color="000000" w:sz="4" w:space="0"/>
                    <w:bottom w:val="single" w:color="000000" w:sz="4" w:space="0"/>
                    <w:right w:val="single" w:color="000000" w:sz="4" w:space="0"/>
                  </w:tcBorders>
                  <w:noWrap w:val="0"/>
                  <w:vAlign w:val="center"/>
                </w:tcPr>
                <w:p w14:paraId="1AD45744">
                  <w:pPr>
                    <w:jc w:val="center"/>
                    <w:rPr>
                      <w:rFonts w:hint="default" w:ascii="Times New Roman" w:hAnsi="Times New Roman" w:eastAsia="宋体" w:cs="Times New Roman"/>
                      <w:i w:val="0"/>
                      <w:iCs w:val="0"/>
                      <w:color w:val="auto"/>
                      <w:sz w:val="21"/>
                      <w:szCs w:val="21"/>
                      <w:u w:val="none"/>
                    </w:rPr>
                  </w:pPr>
                </w:p>
              </w:tc>
              <w:tc>
                <w:tcPr>
                  <w:tcW w:w="1071" w:type="dxa"/>
                  <w:vMerge w:val="continue"/>
                  <w:tcBorders>
                    <w:top w:val="single" w:color="000000" w:sz="4" w:space="0"/>
                    <w:left w:val="single" w:color="000000" w:sz="4" w:space="0"/>
                    <w:bottom w:val="single" w:color="000000" w:sz="4" w:space="0"/>
                    <w:right w:val="single" w:color="000000" w:sz="4" w:space="0"/>
                  </w:tcBorders>
                  <w:noWrap w:val="0"/>
                  <w:vAlign w:val="center"/>
                </w:tcPr>
                <w:p w14:paraId="6C61CE8F">
                  <w:pPr>
                    <w:jc w:val="left"/>
                    <w:rPr>
                      <w:rFonts w:hint="default" w:ascii="Times New Roman" w:hAnsi="Times New Roman" w:eastAsia="宋体" w:cs="Times New Roman"/>
                      <w:i w:val="0"/>
                      <w:iCs w:val="0"/>
                      <w:color w:val="auto"/>
                      <w:sz w:val="21"/>
                      <w:szCs w:val="21"/>
                      <w:u w:val="none"/>
                    </w:rPr>
                  </w:pPr>
                </w:p>
              </w:tc>
              <w:tc>
                <w:tcPr>
                  <w:tcW w:w="1024" w:type="dxa"/>
                  <w:tcBorders>
                    <w:top w:val="single" w:color="000000" w:sz="4" w:space="0"/>
                    <w:left w:val="single" w:color="000000" w:sz="4" w:space="0"/>
                    <w:bottom w:val="single" w:color="000000" w:sz="4" w:space="0"/>
                    <w:right w:val="single" w:color="000000" w:sz="4" w:space="0"/>
                  </w:tcBorders>
                  <w:noWrap w:val="0"/>
                  <w:vAlign w:val="center"/>
                </w:tcPr>
                <w:p w14:paraId="0DAC953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排气筒高度(m)</w:t>
                  </w:r>
                </w:p>
              </w:tc>
              <w:tc>
                <w:tcPr>
                  <w:tcW w:w="780" w:type="dxa"/>
                  <w:tcBorders>
                    <w:top w:val="single" w:color="000000" w:sz="4" w:space="0"/>
                    <w:left w:val="single" w:color="000000" w:sz="4" w:space="0"/>
                    <w:bottom w:val="single" w:color="000000" w:sz="4" w:space="0"/>
                    <w:right w:val="single" w:color="000000" w:sz="4" w:space="0"/>
                  </w:tcBorders>
                  <w:noWrap w:val="0"/>
                  <w:vAlign w:val="center"/>
                </w:tcPr>
                <w:p w14:paraId="4F70511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二级</w:t>
                  </w:r>
                </w:p>
              </w:tc>
              <w:tc>
                <w:tcPr>
                  <w:tcW w:w="1470" w:type="dxa"/>
                  <w:tcBorders>
                    <w:top w:val="single" w:color="000000" w:sz="4" w:space="0"/>
                    <w:left w:val="single" w:color="000000" w:sz="4" w:space="0"/>
                    <w:bottom w:val="single" w:color="000000" w:sz="4" w:space="0"/>
                    <w:right w:val="single" w:color="000000" w:sz="4" w:space="0"/>
                  </w:tcBorders>
                  <w:noWrap w:val="0"/>
                  <w:vAlign w:val="center"/>
                </w:tcPr>
                <w:p w14:paraId="37CFBF7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监控点</w:t>
                  </w:r>
                </w:p>
              </w:tc>
              <w:tc>
                <w:tcPr>
                  <w:tcW w:w="1428" w:type="dxa"/>
                  <w:tcBorders>
                    <w:top w:val="single" w:color="000000" w:sz="4" w:space="0"/>
                    <w:left w:val="single" w:color="000000" w:sz="4" w:space="0"/>
                    <w:bottom w:val="single" w:color="000000" w:sz="4" w:space="0"/>
                    <w:right w:val="single" w:color="000000" w:sz="4" w:space="0"/>
                  </w:tcBorders>
                  <w:noWrap w:val="0"/>
                  <w:vAlign w:val="center"/>
                </w:tcPr>
                <w:p w14:paraId="6D810A5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浓度</w:t>
                  </w:r>
                </w:p>
              </w:tc>
              <w:tc>
                <w:tcPr>
                  <w:tcW w:w="1662" w:type="dxa"/>
                  <w:vMerge w:val="continue"/>
                  <w:tcBorders>
                    <w:top w:val="single" w:color="000000" w:sz="4" w:space="0"/>
                    <w:left w:val="single" w:color="000000" w:sz="4" w:space="0"/>
                    <w:bottom w:val="single" w:color="000000" w:sz="4" w:space="0"/>
                    <w:right w:val="single" w:color="000000" w:sz="4" w:space="0"/>
                  </w:tcBorders>
                  <w:noWrap w:val="0"/>
                  <w:vAlign w:val="center"/>
                </w:tcPr>
                <w:p w14:paraId="52E21882">
                  <w:pPr>
                    <w:jc w:val="center"/>
                    <w:rPr>
                      <w:rFonts w:hint="eastAsia" w:ascii="宋体" w:hAnsi="宋体" w:eastAsia="宋体" w:cs="宋体"/>
                      <w:i w:val="0"/>
                      <w:iCs w:val="0"/>
                      <w:color w:val="auto"/>
                      <w:sz w:val="26"/>
                      <w:szCs w:val="26"/>
                      <w:u w:val="none"/>
                    </w:rPr>
                  </w:pPr>
                </w:p>
              </w:tc>
            </w:tr>
            <w:tr w14:paraId="4155967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125"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C51ECAE">
                  <w:pPr>
                    <w:keepNext w:val="0"/>
                    <w:keepLines w:val="0"/>
                    <w:pageBreakBefore w:val="0"/>
                    <w:widowControl/>
                    <w:suppressLineNumbers w:val="0"/>
                    <w:kinsoku/>
                    <w:wordWrap/>
                    <w:overflowPunct/>
                    <w:topLinePunct w:val="0"/>
                    <w:autoSpaceDE/>
                    <w:autoSpaceDN/>
                    <w:bidi w:val="0"/>
                    <w:adjustRightInd/>
                    <w:snapToGrid/>
                    <w:ind w:left="-105" w:leftChars="-50" w:right="-105" w:rightChars="-50"/>
                    <w:jc w:val="center"/>
                    <w:textAlignment w:val="center"/>
                    <w:rPr>
                      <w:rFonts w:hint="default" w:ascii="Times New Roman" w:hAnsi="Times New Roman" w:eastAsia="宋体" w:cs="Times New Roman"/>
                      <w:i w:val="0"/>
                      <w:iCs w:val="0"/>
                      <w:color w:val="FF0000"/>
                      <w:kern w:val="2"/>
                      <w:sz w:val="21"/>
                      <w:szCs w:val="21"/>
                      <w:u w:val="none"/>
                      <w:lang w:val="en-US" w:eastAsia="zh-CN" w:bidi="ar-SA"/>
                    </w:rPr>
                  </w:pPr>
                  <w:r>
                    <w:rPr>
                      <w:rFonts w:hint="eastAsia" w:cs="Times New Roman"/>
                      <w:i w:val="0"/>
                      <w:iCs w:val="0"/>
                      <w:color w:val="FF0000"/>
                      <w:kern w:val="0"/>
                      <w:sz w:val="21"/>
                      <w:szCs w:val="21"/>
                      <w:u w:val="none"/>
                      <w:lang w:val="en-US" w:eastAsia="zh-CN" w:bidi="ar"/>
                    </w:rPr>
                    <w:t>硝酸雾（NO</w:t>
                  </w:r>
                  <w:r>
                    <w:rPr>
                      <w:rFonts w:hint="eastAsia" w:cs="Times New Roman"/>
                      <w:i w:val="0"/>
                      <w:iCs w:val="0"/>
                      <w:color w:val="FF0000"/>
                      <w:kern w:val="0"/>
                      <w:sz w:val="21"/>
                      <w:szCs w:val="21"/>
                      <w:u w:val="none"/>
                      <w:vertAlign w:val="subscript"/>
                      <w:lang w:val="en-US" w:eastAsia="zh-CN" w:bidi="ar"/>
                    </w:rPr>
                    <w:t>X</w:t>
                  </w:r>
                  <w:r>
                    <w:rPr>
                      <w:rFonts w:hint="eastAsia" w:cs="Times New Roman"/>
                      <w:i w:val="0"/>
                      <w:iCs w:val="0"/>
                      <w:color w:val="FF0000"/>
                      <w:kern w:val="0"/>
                      <w:sz w:val="21"/>
                      <w:szCs w:val="21"/>
                      <w:u w:val="none"/>
                      <w:lang w:val="en-US" w:eastAsia="zh-CN" w:bidi="ar"/>
                    </w:rPr>
                    <w:t>计）</w:t>
                  </w:r>
                </w:p>
              </w:tc>
              <w:tc>
                <w:tcPr>
                  <w:tcW w:w="1071"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F83D83D">
                  <w:pPr>
                    <w:keepNext w:val="0"/>
                    <w:keepLines w:val="0"/>
                    <w:widowControl/>
                    <w:suppressLineNumbers w:val="0"/>
                    <w:jc w:val="center"/>
                    <w:textAlignment w:val="center"/>
                    <w:rPr>
                      <w:rFonts w:hint="default" w:ascii="Times New Roman" w:hAnsi="Times New Roman" w:eastAsia="宋体" w:cs="Times New Roman"/>
                      <w:i w:val="0"/>
                      <w:iCs w:val="0"/>
                      <w:color w:val="FF0000"/>
                      <w:kern w:val="2"/>
                      <w:sz w:val="21"/>
                      <w:szCs w:val="21"/>
                      <w:u w:val="none"/>
                      <w:lang w:val="en-US" w:eastAsia="zh-CN" w:bidi="ar-SA"/>
                    </w:rPr>
                  </w:pPr>
                  <w:r>
                    <w:rPr>
                      <w:rFonts w:hint="eastAsia" w:cs="Times New Roman"/>
                      <w:i w:val="0"/>
                      <w:iCs w:val="0"/>
                      <w:color w:val="FF0000"/>
                      <w:kern w:val="0"/>
                      <w:sz w:val="21"/>
                      <w:szCs w:val="21"/>
                      <w:u w:val="none"/>
                      <w:lang w:val="en-US" w:eastAsia="zh-CN" w:bidi="ar"/>
                    </w:rPr>
                    <w:t>240</w:t>
                  </w:r>
                </w:p>
              </w:tc>
              <w:tc>
                <w:tcPr>
                  <w:tcW w:w="1024" w:type="dxa"/>
                  <w:vMerge w:val="restart"/>
                  <w:tcBorders>
                    <w:top w:val="single" w:color="000000" w:sz="4" w:space="0"/>
                    <w:left w:val="single" w:color="000000" w:sz="4" w:space="0"/>
                    <w:bottom w:val="single" w:color="000000" w:sz="4" w:space="0"/>
                    <w:right w:val="single" w:color="000000" w:sz="4" w:space="0"/>
                  </w:tcBorders>
                  <w:noWrap w:val="0"/>
                  <w:vAlign w:val="center"/>
                </w:tcPr>
                <w:p w14:paraId="20A1374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lang w:val="en-US"/>
                    </w:rPr>
                  </w:pPr>
                </w:p>
              </w:tc>
              <w:tc>
                <w:tcPr>
                  <w:tcW w:w="780" w:type="dxa"/>
                  <w:tcBorders>
                    <w:top w:val="single" w:color="000000" w:sz="4" w:space="0"/>
                    <w:left w:val="single" w:color="000000" w:sz="4" w:space="0"/>
                    <w:bottom w:val="single" w:color="000000" w:sz="4" w:space="0"/>
                    <w:right w:val="single" w:color="000000" w:sz="4" w:space="0"/>
                  </w:tcBorders>
                  <w:noWrap w:val="0"/>
                  <w:vAlign w:val="center"/>
                </w:tcPr>
                <w:p w14:paraId="60B3D42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lang w:val="en-US"/>
                    </w:rPr>
                  </w:pPr>
                  <w:r>
                    <w:rPr>
                      <w:rFonts w:hint="eastAsia" w:ascii="Times New Roman" w:hAnsi="Times New Roman" w:eastAsia="宋体" w:cs="Times New Roman"/>
                      <w:i w:val="0"/>
                      <w:iCs w:val="0"/>
                      <w:color w:val="auto"/>
                      <w:kern w:val="0"/>
                      <w:sz w:val="21"/>
                      <w:szCs w:val="21"/>
                      <w:u w:val="none"/>
                      <w:lang w:val="en-US" w:eastAsia="zh-CN" w:bidi="ar"/>
                    </w:rPr>
                    <w:t>0.77</w:t>
                  </w:r>
                </w:p>
              </w:tc>
              <w:tc>
                <w:tcPr>
                  <w:tcW w:w="1470" w:type="dxa"/>
                  <w:vMerge w:val="restart"/>
                  <w:tcBorders>
                    <w:top w:val="single" w:color="000000" w:sz="4" w:space="0"/>
                    <w:left w:val="single" w:color="000000" w:sz="4" w:space="0"/>
                    <w:right w:val="single" w:color="000000" w:sz="4" w:space="0"/>
                  </w:tcBorders>
                  <w:noWrap w:val="0"/>
                  <w:vAlign w:val="center"/>
                </w:tcPr>
                <w:p w14:paraId="5F8E83D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sz w:val="21"/>
                      <w:szCs w:val="21"/>
                      <w:u w:val="none"/>
                      <w:lang w:val="en-US" w:eastAsia="zh-CN"/>
                    </w:rPr>
                    <w:t>周界外浓度</w:t>
                  </w:r>
                </w:p>
                <w:p w14:paraId="4220F317">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sz w:val="21"/>
                      <w:szCs w:val="21"/>
                      <w:u w:val="none"/>
                      <w:lang w:val="en-US" w:eastAsia="zh-CN"/>
                    </w:rPr>
                    <w:t>最高点</w:t>
                  </w:r>
                </w:p>
              </w:tc>
              <w:tc>
                <w:tcPr>
                  <w:tcW w:w="1428" w:type="dxa"/>
                  <w:tcBorders>
                    <w:top w:val="single" w:color="000000" w:sz="4" w:space="0"/>
                    <w:left w:val="single" w:color="000000" w:sz="4" w:space="0"/>
                    <w:bottom w:val="single" w:color="000000" w:sz="4" w:space="0"/>
                    <w:right w:val="single" w:color="000000" w:sz="4" w:space="0"/>
                  </w:tcBorders>
                  <w:noWrap w:val="0"/>
                  <w:vAlign w:val="center"/>
                </w:tcPr>
                <w:p w14:paraId="1D46311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0.12mg/m³</w:t>
                  </w:r>
                </w:p>
              </w:tc>
              <w:tc>
                <w:tcPr>
                  <w:tcW w:w="1662" w:type="dxa"/>
                  <w:vMerge w:val="restart"/>
                  <w:tcBorders>
                    <w:top w:val="single" w:color="000000" w:sz="4" w:space="0"/>
                    <w:left w:val="single" w:color="000000" w:sz="4" w:space="0"/>
                    <w:bottom w:val="single" w:color="000000" w:sz="4" w:space="0"/>
                    <w:right w:val="single" w:color="000000" w:sz="4" w:space="0"/>
                  </w:tcBorders>
                  <w:noWrap w:val="0"/>
                  <w:vAlign w:val="center"/>
                </w:tcPr>
                <w:p w14:paraId="35F4DE6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sz w:val="21"/>
                      <w:szCs w:val="21"/>
                      <w:u w:val="none"/>
                      <w:lang w:val="en-US" w:eastAsia="zh-CN"/>
                    </w:rPr>
                    <w:t>《大气污染物综合排放标准》（GB16297-1996）中表2新污染源大气污染物排放限值</w:t>
                  </w:r>
                </w:p>
              </w:tc>
            </w:tr>
            <w:tr w14:paraId="695B4BF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125" w:type="dxa"/>
                  <w:tcBorders>
                    <w:top w:val="single" w:color="000000" w:sz="4" w:space="0"/>
                    <w:left w:val="single" w:color="000000" w:sz="4" w:space="0"/>
                    <w:bottom w:val="single" w:color="000000" w:sz="4" w:space="0"/>
                    <w:right w:val="single" w:color="000000" w:sz="4" w:space="0"/>
                  </w:tcBorders>
                  <w:noWrap w:val="0"/>
                  <w:vAlign w:val="center"/>
                </w:tcPr>
                <w:p w14:paraId="6A76F64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硫酸雾</w:t>
                  </w:r>
                </w:p>
              </w:tc>
              <w:tc>
                <w:tcPr>
                  <w:tcW w:w="1071" w:type="dxa"/>
                  <w:tcBorders>
                    <w:top w:val="single" w:color="000000" w:sz="4" w:space="0"/>
                    <w:left w:val="single" w:color="000000" w:sz="4" w:space="0"/>
                    <w:bottom w:val="single" w:color="000000" w:sz="4" w:space="0"/>
                    <w:right w:val="single" w:color="000000" w:sz="4" w:space="0"/>
                  </w:tcBorders>
                  <w:noWrap w:val="0"/>
                  <w:vAlign w:val="center"/>
                </w:tcPr>
                <w:p w14:paraId="1857CAD2">
                  <w:pPr>
                    <w:keepNext w:val="0"/>
                    <w:keepLines w:val="0"/>
                    <w:widowControl/>
                    <w:suppressLineNumbers w:val="0"/>
                    <w:jc w:val="center"/>
                    <w:textAlignment w:val="top"/>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45</w:t>
                  </w:r>
                </w:p>
              </w:tc>
              <w:tc>
                <w:tcPr>
                  <w:tcW w:w="1024" w:type="dxa"/>
                  <w:vMerge w:val="continue"/>
                  <w:tcBorders>
                    <w:top w:val="single" w:color="000000" w:sz="4" w:space="0"/>
                    <w:left w:val="single" w:color="000000" w:sz="4" w:space="0"/>
                    <w:bottom w:val="single" w:color="000000" w:sz="4" w:space="0"/>
                    <w:right w:val="single" w:color="000000" w:sz="4" w:space="0"/>
                  </w:tcBorders>
                  <w:noWrap w:val="0"/>
                  <w:vAlign w:val="center"/>
                </w:tcPr>
                <w:p w14:paraId="2BDE7F21">
                  <w:pPr>
                    <w:jc w:val="center"/>
                    <w:rPr>
                      <w:rFonts w:hint="default" w:ascii="Times New Roman" w:hAnsi="Times New Roman" w:eastAsia="宋体" w:cs="Times New Roman"/>
                      <w:i w:val="0"/>
                      <w:iCs w:val="0"/>
                      <w:color w:val="auto"/>
                      <w:sz w:val="21"/>
                      <w:szCs w:val="21"/>
                      <w:u w:val="none"/>
                    </w:rPr>
                  </w:pPr>
                </w:p>
              </w:tc>
              <w:tc>
                <w:tcPr>
                  <w:tcW w:w="780" w:type="dxa"/>
                  <w:tcBorders>
                    <w:top w:val="single" w:color="000000" w:sz="4" w:space="0"/>
                    <w:left w:val="single" w:color="000000" w:sz="4" w:space="0"/>
                    <w:bottom w:val="single" w:color="000000" w:sz="4" w:space="0"/>
                    <w:right w:val="single" w:color="000000" w:sz="4" w:space="0"/>
                  </w:tcBorders>
                  <w:noWrap w:val="0"/>
                  <w:vAlign w:val="center"/>
                </w:tcPr>
                <w:p w14:paraId="3585A29B">
                  <w:pPr>
                    <w:keepNext w:val="0"/>
                    <w:keepLines w:val="0"/>
                    <w:widowControl/>
                    <w:suppressLineNumbers w:val="0"/>
                    <w:jc w:val="center"/>
                    <w:textAlignment w:val="top"/>
                    <w:rPr>
                      <w:rFonts w:hint="default" w:ascii="Times New Roman" w:hAnsi="Times New Roman" w:eastAsia="宋体" w:cs="Times New Roman"/>
                      <w:i w:val="0"/>
                      <w:iCs w:val="0"/>
                      <w:color w:val="auto"/>
                      <w:sz w:val="21"/>
                      <w:szCs w:val="21"/>
                      <w:u w:val="none"/>
                      <w:lang w:val="en-US" w:eastAsia="zh-CN"/>
                    </w:rPr>
                  </w:pPr>
                  <w:r>
                    <w:rPr>
                      <w:rFonts w:hint="eastAsia" w:ascii="Times New Roman" w:hAnsi="Times New Roman" w:eastAsia="宋体" w:cs="Times New Roman"/>
                      <w:i w:val="0"/>
                      <w:iCs w:val="0"/>
                      <w:color w:val="auto"/>
                      <w:sz w:val="21"/>
                      <w:szCs w:val="21"/>
                      <w:u w:val="none"/>
                      <w:lang w:val="en-US" w:eastAsia="zh-CN"/>
                    </w:rPr>
                    <w:t>1.5</w:t>
                  </w:r>
                </w:p>
              </w:tc>
              <w:tc>
                <w:tcPr>
                  <w:tcW w:w="1470" w:type="dxa"/>
                  <w:vMerge w:val="continue"/>
                  <w:tcBorders>
                    <w:left w:val="single" w:color="000000" w:sz="4" w:space="0"/>
                    <w:right w:val="single" w:color="000000" w:sz="4" w:space="0"/>
                  </w:tcBorders>
                  <w:noWrap w:val="0"/>
                  <w:vAlign w:val="center"/>
                </w:tcPr>
                <w:p w14:paraId="5FAB13D4">
                  <w:pPr>
                    <w:jc w:val="center"/>
                    <w:rPr>
                      <w:rFonts w:hint="default" w:ascii="Times New Roman" w:hAnsi="Times New Roman" w:eastAsia="宋体" w:cs="Times New Roman"/>
                      <w:i w:val="0"/>
                      <w:iCs w:val="0"/>
                      <w:color w:val="auto"/>
                      <w:sz w:val="21"/>
                      <w:szCs w:val="21"/>
                      <w:u w:val="none"/>
                    </w:rPr>
                  </w:pPr>
                </w:p>
              </w:tc>
              <w:tc>
                <w:tcPr>
                  <w:tcW w:w="1428" w:type="dxa"/>
                  <w:tcBorders>
                    <w:top w:val="single" w:color="000000" w:sz="4" w:space="0"/>
                    <w:left w:val="single" w:color="000000" w:sz="4" w:space="0"/>
                    <w:bottom w:val="single" w:color="000000" w:sz="4" w:space="0"/>
                    <w:right w:val="single" w:color="000000" w:sz="4" w:space="0"/>
                  </w:tcBorders>
                  <w:noWrap w:val="0"/>
                  <w:vAlign w:val="center"/>
                </w:tcPr>
                <w:p w14:paraId="3F6CB84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1.2mg/m³</w:t>
                  </w:r>
                </w:p>
              </w:tc>
              <w:tc>
                <w:tcPr>
                  <w:tcW w:w="1662" w:type="dxa"/>
                  <w:vMerge w:val="continue"/>
                  <w:tcBorders>
                    <w:top w:val="single" w:color="000000" w:sz="4" w:space="0"/>
                    <w:left w:val="single" w:color="000000" w:sz="4" w:space="0"/>
                    <w:bottom w:val="single" w:color="000000" w:sz="4" w:space="0"/>
                    <w:right w:val="single" w:color="000000" w:sz="4" w:space="0"/>
                  </w:tcBorders>
                  <w:noWrap w:val="0"/>
                  <w:vAlign w:val="center"/>
                </w:tcPr>
                <w:p w14:paraId="3191A1AB">
                  <w:pPr>
                    <w:jc w:val="center"/>
                    <w:rPr>
                      <w:rFonts w:hint="default" w:ascii="Times New Roman" w:hAnsi="Times New Roman" w:eastAsia="宋体" w:cs="Times New Roman"/>
                      <w:i w:val="0"/>
                      <w:iCs w:val="0"/>
                      <w:color w:val="auto"/>
                      <w:sz w:val="21"/>
                      <w:szCs w:val="21"/>
                      <w:u w:val="none"/>
                    </w:rPr>
                  </w:pPr>
                </w:p>
              </w:tc>
            </w:tr>
            <w:tr w14:paraId="63028DD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125" w:type="dxa"/>
                  <w:tcBorders>
                    <w:top w:val="single" w:color="000000" w:sz="4" w:space="0"/>
                    <w:left w:val="single" w:color="000000" w:sz="4" w:space="0"/>
                    <w:bottom w:val="single" w:color="000000" w:sz="4" w:space="0"/>
                    <w:right w:val="single" w:color="000000" w:sz="4" w:space="0"/>
                  </w:tcBorders>
                  <w:noWrap w:val="0"/>
                  <w:vAlign w:val="center"/>
                </w:tcPr>
                <w:p w14:paraId="13239F1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氯化氢</w:t>
                  </w:r>
                </w:p>
              </w:tc>
              <w:tc>
                <w:tcPr>
                  <w:tcW w:w="1071" w:type="dxa"/>
                  <w:tcBorders>
                    <w:top w:val="single" w:color="000000" w:sz="4" w:space="0"/>
                    <w:left w:val="single" w:color="000000" w:sz="4" w:space="0"/>
                    <w:bottom w:val="single" w:color="000000" w:sz="4" w:space="0"/>
                    <w:right w:val="single" w:color="000000" w:sz="4" w:space="0"/>
                  </w:tcBorders>
                  <w:noWrap w:val="0"/>
                  <w:vAlign w:val="center"/>
                </w:tcPr>
                <w:p w14:paraId="0FB5363B">
                  <w:pPr>
                    <w:keepNext w:val="0"/>
                    <w:keepLines w:val="0"/>
                    <w:widowControl/>
                    <w:suppressLineNumbers w:val="0"/>
                    <w:jc w:val="center"/>
                    <w:textAlignment w:val="top"/>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100</w:t>
                  </w:r>
                </w:p>
              </w:tc>
              <w:tc>
                <w:tcPr>
                  <w:tcW w:w="1024" w:type="dxa"/>
                  <w:vMerge w:val="continue"/>
                  <w:tcBorders>
                    <w:top w:val="single" w:color="000000" w:sz="4" w:space="0"/>
                    <w:left w:val="single" w:color="000000" w:sz="4" w:space="0"/>
                    <w:bottom w:val="single" w:color="000000" w:sz="4" w:space="0"/>
                    <w:right w:val="single" w:color="000000" w:sz="4" w:space="0"/>
                  </w:tcBorders>
                  <w:noWrap w:val="0"/>
                  <w:vAlign w:val="center"/>
                </w:tcPr>
                <w:p w14:paraId="3FB0B408">
                  <w:pPr>
                    <w:jc w:val="center"/>
                    <w:rPr>
                      <w:rFonts w:hint="default" w:ascii="Times New Roman" w:hAnsi="Times New Roman" w:eastAsia="宋体" w:cs="Times New Roman"/>
                      <w:i w:val="0"/>
                      <w:iCs w:val="0"/>
                      <w:color w:val="auto"/>
                      <w:sz w:val="21"/>
                      <w:szCs w:val="21"/>
                      <w:u w:val="none"/>
                    </w:rPr>
                  </w:pPr>
                </w:p>
              </w:tc>
              <w:tc>
                <w:tcPr>
                  <w:tcW w:w="780" w:type="dxa"/>
                  <w:tcBorders>
                    <w:top w:val="single" w:color="000000" w:sz="4" w:space="0"/>
                    <w:left w:val="single" w:color="000000" w:sz="4" w:space="0"/>
                    <w:bottom w:val="single" w:color="000000" w:sz="4" w:space="0"/>
                    <w:right w:val="single" w:color="000000" w:sz="4" w:space="0"/>
                  </w:tcBorders>
                  <w:noWrap w:val="0"/>
                  <w:vAlign w:val="center"/>
                </w:tcPr>
                <w:p w14:paraId="7F258F0D">
                  <w:pPr>
                    <w:keepNext w:val="0"/>
                    <w:keepLines w:val="0"/>
                    <w:widowControl/>
                    <w:suppressLineNumbers w:val="0"/>
                    <w:jc w:val="center"/>
                    <w:textAlignment w:val="top"/>
                    <w:rPr>
                      <w:rFonts w:hint="default" w:ascii="Times New Roman" w:hAnsi="Times New Roman" w:eastAsia="宋体" w:cs="Times New Roman"/>
                      <w:i w:val="0"/>
                      <w:iCs w:val="0"/>
                      <w:color w:val="auto"/>
                      <w:sz w:val="21"/>
                      <w:szCs w:val="21"/>
                      <w:u w:val="none"/>
                      <w:lang w:val="en-US"/>
                    </w:rPr>
                  </w:pPr>
                  <w:r>
                    <w:rPr>
                      <w:rFonts w:hint="default" w:ascii="Times New Roman" w:hAnsi="Times New Roman" w:eastAsia="宋体" w:cs="Times New Roman"/>
                      <w:i w:val="0"/>
                      <w:iCs w:val="0"/>
                      <w:color w:val="auto"/>
                      <w:kern w:val="0"/>
                      <w:sz w:val="21"/>
                      <w:szCs w:val="21"/>
                      <w:u w:val="none"/>
                      <w:lang w:val="en-US" w:eastAsia="zh-CN" w:bidi="ar"/>
                    </w:rPr>
                    <w:t>0.</w:t>
                  </w:r>
                  <w:r>
                    <w:rPr>
                      <w:rFonts w:hint="eastAsia" w:ascii="Times New Roman" w:hAnsi="Times New Roman" w:eastAsia="宋体" w:cs="Times New Roman"/>
                      <w:i w:val="0"/>
                      <w:iCs w:val="0"/>
                      <w:color w:val="auto"/>
                      <w:kern w:val="0"/>
                      <w:sz w:val="21"/>
                      <w:szCs w:val="21"/>
                      <w:u w:val="none"/>
                      <w:lang w:val="en-US" w:eastAsia="zh-CN" w:bidi="ar"/>
                    </w:rPr>
                    <w:t>26</w:t>
                  </w:r>
                </w:p>
              </w:tc>
              <w:tc>
                <w:tcPr>
                  <w:tcW w:w="1470" w:type="dxa"/>
                  <w:vMerge w:val="continue"/>
                  <w:tcBorders>
                    <w:left w:val="single" w:color="000000" w:sz="4" w:space="0"/>
                    <w:right w:val="single" w:color="000000" w:sz="4" w:space="0"/>
                  </w:tcBorders>
                  <w:noWrap w:val="0"/>
                  <w:vAlign w:val="center"/>
                </w:tcPr>
                <w:p w14:paraId="41A0DC90">
                  <w:pPr>
                    <w:jc w:val="center"/>
                    <w:rPr>
                      <w:rFonts w:hint="default" w:ascii="Times New Roman" w:hAnsi="Times New Roman" w:eastAsia="宋体" w:cs="Times New Roman"/>
                      <w:i w:val="0"/>
                      <w:iCs w:val="0"/>
                      <w:color w:val="auto"/>
                      <w:sz w:val="21"/>
                      <w:szCs w:val="21"/>
                      <w:u w:val="none"/>
                    </w:rPr>
                  </w:pPr>
                </w:p>
              </w:tc>
              <w:tc>
                <w:tcPr>
                  <w:tcW w:w="1428" w:type="dxa"/>
                  <w:tcBorders>
                    <w:top w:val="single" w:color="000000" w:sz="4" w:space="0"/>
                    <w:left w:val="single" w:color="000000" w:sz="4" w:space="0"/>
                    <w:bottom w:val="single" w:color="000000" w:sz="4" w:space="0"/>
                    <w:right w:val="single" w:color="000000" w:sz="4" w:space="0"/>
                  </w:tcBorders>
                  <w:noWrap w:val="0"/>
                  <w:vAlign w:val="center"/>
                </w:tcPr>
                <w:p w14:paraId="7B3D91E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0.2mg/m³</w:t>
                  </w:r>
                </w:p>
              </w:tc>
              <w:tc>
                <w:tcPr>
                  <w:tcW w:w="1662" w:type="dxa"/>
                  <w:vMerge w:val="continue"/>
                  <w:tcBorders>
                    <w:top w:val="single" w:color="000000" w:sz="4" w:space="0"/>
                    <w:left w:val="single" w:color="000000" w:sz="4" w:space="0"/>
                    <w:bottom w:val="single" w:color="000000" w:sz="4" w:space="0"/>
                    <w:right w:val="single" w:color="000000" w:sz="4" w:space="0"/>
                  </w:tcBorders>
                  <w:noWrap w:val="0"/>
                  <w:vAlign w:val="center"/>
                </w:tcPr>
                <w:p w14:paraId="55738E11">
                  <w:pPr>
                    <w:jc w:val="center"/>
                    <w:rPr>
                      <w:rFonts w:hint="default" w:ascii="Times New Roman" w:hAnsi="Times New Roman" w:eastAsia="宋体" w:cs="Times New Roman"/>
                      <w:i w:val="0"/>
                      <w:iCs w:val="0"/>
                      <w:color w:val="auto"/>
                      <w:sz w:val="21"/>
                      <w:szCs w:val="21"/>
                      <w:u w:val="none"/>
                    </w:rPr>
                  </w:pPr>
                </w:p>
              </w:tc>
            </w:tr>
            <w:tr w14:paraId="206EBE5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1125" w:type="dxa"/>
                  <w:tcBorders>
                    <w:top w:val="single" w:color="000000" w:sz="4" w:space="0"/>
                    <w:left w:val="single" w:color="000000" w:sz="4" w:space="0"/>
                    <w:bottom w:val="single" w:color="000000" w:sz="4" w:space="0"/>
                    <w:right w:val="single" w:color="000000" w:sz="4" w:space="0"/>
                  </w:tcBorders>
                  <w:noWrap w:val="0"/>
                  <w:vAlign w:val="center"/>
                </w:tcPr>
                <w:p w14:paraId="4955559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氨</w:t>
                  </w:r>
                </w:p>
              </w:tc>
              <w:tc>
                <w:tcPr>
                  <w:tcW w:w="1071" w:type="dxa"/>
                  <w:tcBorders>
                    <w:top w:val="single" w:color="000000" w:sz="4" w:space="0"/>
                    <w:left w:val="single" w:color="000000" w:sz="4" w:space="0"/>
                    <w:bottom w:val="single" w:color="000000" w:sz="4" w:space="0"/>
                    <w:right w:val="single" w:color="000000" w:sz="4" w:space="0"/>
                  </w:tcBorders>
                  <w:noWrap w:val="0"/>
                  <w:vAlign w:val="center"/>
                </w:tcPr>
                <w:p w14:paraId="61B8C19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w:t>
                  </w:r>
                </w:p>
              </w:tc>
              <w:tc>
                <w:tcPr>
                  <w:tcW w:w="1024" w:type="dxa"/>
                  <w:vMerge w:val="continue"/>
                  <w:tcBorders>
                    <w:top w:val="single" w:color="000000" w:sz="4" w:space="0"/>
                    <w:left w:val="single" w:color="000000" w:sz="4" w:space="0"/>
                    <w:bottom w:val="single" w:color="000000" w:sz="4" w:space="0"/>
                    <w:right w:val="single" w:color="000000" w:sz="4" w:space="0"/>
                  </w:tcBorders>
                  <w:noWrap w:val="0"/>
                  <w:vAlign w:val="center"/>
                </w:tcPr>
                <w:p w14:paraId="433DD135">
                  <w:pPr>
                    <w:jc w:val="center"/>
                    <w:rPr>
                      <w:rFonts w:hint="default" w:ascii="Times New Roman" w:hAnsi="Times New Roman" w:eastAsia="宋体" w:cs="Times New Roman"/>
                      <w:i w:val="0"/>
                      <w:iCs w:val="0"/>
                      <w:color w:val="auto"/>
                      <w:sz w:val="21"/>
                      <w:szCs w:val="21"/>
                      <w:u w:val="none"/>
                    </w:rPr>
                  </w:pPr>
                </w:p>
              </w:tc>
              <w:tc>
                <w:tcPr>
                  <w:tcW w:w="780" w:type="dxa"/>
                  <w:tcBorders>
                    <w:top w:val="single" w:color="000000" w:sz="4" w:space="0"/>
                    <w:left w:val="single" w:color="000000" w:sz="4" w:space="0"/>
                    <w:bottom w:val="single" w:color="000000" w:sz="4" w:space="0"/>
                    <w:right w:val="single" w:color="000000" w:sz="4" w:space="0"/>
                  </w:tcBorders>
                  <w:noWrap w:val="0"/>
                  <w:vAlign w:val="center"/>
                </w:tcPr>
                <w:p w14:paraId="0E6984D4">
                  <w:pPr>
                    <w:keepNext w:val="0"/>
                    <w:keepLines w:val="0"/>
                    <w:widowControl/>
                    <w:suppressLineNumbers w:val="0"/>
                    <w:jc w:val="center"/>
                    <w:textAlignment w:val="top"/>
                    <w:rPr>
                      <w:rFonts w:hint="default" w:ascii="Times New Roman" w:hAnsi="Times New Roman" w:eastAsia="宋体" w:cs="Times New Roman"/>
                      <w:i w:val="0"/>
                      <w:iCs w:val="0"/>
                      <w:color w:val="auto"/>
                      <w:sz w:val="21"/>
                      <w:szCs w:val="21"/>
                      <w:u w:val="none"/>
                      <w:lang w:val="en-US"/>
                    </w:rPr>
                  </w:pPr>
                  <w:r>
                    <w:rPr>
                      <w:rFonts w:hint="eastAsia" w:ascii="Times New Roman" w:hAnsi="Times New Roman" w:eastAsia="宋体" w:cs="Times New Roman"/>
                      <w:i w:val="0"/>
                      <w:iCs w:val="0"/>
                      <w:color w:val="auto"/>
                      <w:kern w:val="0"/>
                      <w:sz w:val="21"/>
                      <w:szCs w:val="21"/>
                      <w:u w:val="none"/>
                      <w:lang w:val="en-US" w:eastAsia="zh-CN" w:bidi="ar"/>
                    </w:rPr>
                    <w:t>4.9</w:t>
                  </w:r>
                </w:p>
              </w:tc>
              <w:tc>
                <w:tcPr>
                  <w:tcW w:w="1470" w:type="dxa"/>
                  <w:tcBorders>
                    <w:top w:val="single" w:color="000000" w:sz="4" w:space="0"/>
                    <w:left w:val="single" w:color="000000" w:sz="4" w:space="0"/>
                    <w:bottom w:val="single" w:color="000000" w:sz="4" w:space="0"/>
                    <w:right w:val="single" w:color="000000" w:sz="4" w:space="0"/>
                  </w:tcBorders>
                  <w:noWrap w:val="0"/>
                  <w:vAlign w:val="center"/>
                </w:tcPr>
                <w:p w14:paraId="3F18DA2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厂界监控点</w:t>
                  </w:r>
                </w:p>
              </w:tc>
              <w:tc>
                <w:tcPr>
                  <w:tcW w:w="1428" w:type="dxa"/>
                  <w:tcBorders>
                    <w:top w:val="single" w:color="000000" w:sz="4" w:space="0"/>
                    <w:left w:val="single" w:color="000000" w:sz="4" w:space="0"/>
                    <w:bottom w:val="single" w:color="000000" w:sz="4" w:space="0"/>
                    <w:right w:val="single" w:color="000000" w:sz="4" w:space="0"/>
                  </w:tcBorders>
                  <w:noWrap w:val="0"/>
                  <w:vAlign w:val="center"/>
                </w:tcPr>
                <w:p w14:paraId="4776ED3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1.5mg/m³</w:t>
                  </w:r>
                </w:p>
              </w:tc>
              <w:tc>
                <w:tcPr>
                  <w:tcW w:w="1662" w:type="dxa"/>
                  <w:tcBorders>
                    <w:top w:val="single" w:color="000000" w:sz="4" w:space="0"/>
                    <w:left w:val="single" w:color="000000" w:sz="4" w:space="0"/>
                    <w:bottom w:val="single" w:color="000000" w:sz="4" w:space="0"/>
                    <w:right w:val="single" w:color="000000" w:sz="4" w:space="0"/>
                  </w:tcBorders>
                  <w:noWrap w:val="0"/>
                  <w:vAlign w:val="top"/>
                </w:tcPr>
                <w:p w14:paraId="1DE31C55">
                  <w:pPr>
                    <w:keepNext w:val="0"/>
                    <w:keepLines w:val="0"/>
                    <w:widowControl/>
                    <w:suppressLineNumbers w:val="0"/>
                    <w:jc w:val="center"/>
                    <w:textAlignment w:val="top"/>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sz w:val="21"/>
                      <w:szCs w:val="21"/>
                      <w:u w:val="none"/>
                      <w:lang w:val="en-US" w:eastAsia="zh-CN"/>
                    </w:rPr>
                    <w:t>《恶臭污染物排放标准》（GB14554-93</w:t>
                  </w:r>
                  <w:r>
                    <w:rPr>
                      <w:rFonts w:hint="eastAsia" w:ascii="Times New Roman" w:hAnsi="Times New Roman" w:eastAsia="宋体" w:cs="Times New Roman"/>
                      <w:i w:val="0"/>
                      <w:iCs w:val="0"/>
                      <w:color w:val="auto"/>
                      <w:sz w:val="21"/>
                      <w:szCs w:val="21"/>
                      <w:u w:val="none"/>
                      <w:lang w:val="en-US" w:eastAsia="zh-CN"/>
                    </w:rPr>
                    <w:t>）</w:t>
                  </w:r>
                </w:p>
              </w:tc>
            </w:tr>
          </w:tbl>
          <w:p w14:paraId="275683E5">
            <w:pPr>
              <w:keepNext w:val="0"/>
              <w:keepLines w:val="0"/>
              <w:pageBreakBefore w:val="0"/>
              <w:widowControl w:val="0"/>
              <w:kinsoku/>
              <w:wordWrap/>
              <w:overflowPunct/>
              <w:topLinePunct w:val="0"/>
              <w:autoSpaceDE/>
              <w:autoSpaceDN/>
              <w:bidi w:val="0"/>
              <w:adjustRightInd w:val="0"/>
              <w:snapToGrid w:val="0"/>
              <w:spacing w:line="360" w:lineRule="auto"/>
              <w:ind w:firstLine="520" w:firstLineChars="200"/>
              <w:textAlignment w:val="auto"/>
              <w:rPr>
                <w:rFonts w:hint="default" w:eastAsia="宋体"/>
                <w:color w:val="auto"/>
                <w:spacing w:val="10"/>
                <w:sz w:val="24"/>
                <w:lang w:val="en-US" w:eastAsia="zh-CN"/>
              </w:rPr>
            </w:pPr>
            <w:r>
              <w:rPr>
                <w:rFonts w:hint="eastAsia"/>
                <w:color w:val="auto"/>
                <w:spacing w:val="10"/>
                <w:sz w:val="24"/>
              </w:rPr>
              <w:t>2</w:t>
            </w:r>
            <w:r>
              <w:rPr>
                <w:rFonts w:hint="eastAsia"/>
                <w:color w:val="auto"/>
                <w:spacing w:val="10"/>
                <w:sz w:val="24"/>
                <w:lang w:eastAsia="zh-CN"/>
              </w:rPr>
              <w:t>、</w:t>
            </w:r>
            <w:r>
              <w:rPr>
                <w:rFonts w:hint="eastAsia"/>
                <w:color w:val="auto"/>
                <w:spacing w:val="10"/>
                <w:sz w:val="24"/>
                <w:lang w:val="en-US" w:eastAsia="zh-CN"/>
              </w:rPr>
              <w:t>废水排放标准</w:t>
            </w:r>
          </w:p>
          <w:p w14:paraId="2EACD7F6">
            <w:pPr>
              <w:keepNext w:val="0"/>
              <w:keepLines w:val="0"/>
              <w:pageBreakBefore w:val="0"/>
              <w:widowControl w:val="0"/>
              <w:kinsoku/>
              <w:wordWrap/>
              <w:overflowPunct/>
              <w:topLinePunct w:val="0"/>
              <w:autoSpaceDE/>
              <w:autoSpaceDN/>
              <w:bidi w:val="0"/>
              <w:adjustRightInd w:val="0"/>
              <w:snapToGrid w:val="0"/>
              <w:spacing w:line="360" w:lineRule="auto"/>
              <w:ind w:firstLine="520" w:firstLineChars="200"/>
              <w:textAlignment w:val="auto"/>
              <w:rPr>
                <w:rFonts w:hint="default" w:ascii="Times New Roman" w:hAnsi="Times New Roman" w:eastAsia="宋体" w:cs="Times New Roman"/>
                <w:color w:val="auto"/>
                <w:spacing w:val="10"/>
                <w:sz w:val="24"/>
                <w:lang w:val="en-US" w:eastAsia="zh-CN"/>
              </w:rPr>
            </w:pPr>
            <w:r>
              <w:rPr>
                <w:rFonts w:hint="eastAsia" w:ascii="Times New Roman" w:hAnsi="Times New Roman" w:eastAsia="宋体" w:cs="Times New Roman"/>
                <w:color w:val="FF0000"/>
                <w:spacing w:val="10"/>
                <w:sz w:val="24"/>
              </w:rPr>
              <w:t>本项目</w:t>
            </w:r>
            <w:r>
              <w:rPr>
                <w:rFonts w:hint="eastAsia" w:cs="Times New Roman"/>
                <w:color w:val="FF0000"/>
                <w:spacing w:val="10"/>
                <w:sz w:val="24"/>
                <w:lang w:val="en-US" w:eastAsia="zh-CN"/>
              </w:rPr>
              <w:t>实验器具中段</w:t>
            </w:r>
            <w:r>
              <w:rPr>
                <w:rFonts w:hint="eastAsia" w:ascii="Times New Roman" w:hAnsi="Times New Roman" w:eastAsia="宋体" w:cs="Times New Roman"/>
                <w:color w:val="FF0000"/>
                <w:spacing w:val="10"/>
                <w:sz w:val="24"/>
                <w:lang w:val="en-US" w:eastAsia="zh-CN"/>
              </w:rPr>
              <w:t>清洗废水</w:t>
            </w:r>
            <w:r>
              <w:rPr>
                <w:rFonts w:hint="eastAsia" w:cs="Times New Roman"/>
                <w:color w:val="FF0000"/>
                <w:spacing w:val="10"/>
                <w:sz w:val="24"/>
                <w:lang w:val="en-US" w:eastAsia="zh-CN"/>
              </w:rPr>
              <w:t>、后段清洗废水及喷淋塔废水</w:t>
            </w:r>
            <w:r>
              <w:rPr>
                <w:rFonts w:hint="eastAsia" w:ascii="Times New Roman" w:hAnsi="Times New Roman" w:eastAsia="宋体" w:cs="Times New Roman"/>
                <w:color w:val="auto"/>
                <w:spacing w:val="10"/>
                <w:sz w:val="24"/>
                <w:lang w:val="en-US" w:eastAsia="zh-CN"/>
              </w:rPr>
              <w:t>经自建一体化污水处理设备处理，</w:t>
            </w:r>
            <w:r>
              <w:rPr>
                <w:rFonts w:hint="eastAsia" w:ascii="Times New Roman" w:hAnsi="Times New Roman" w:eastAsia="宋体" w:cs="Times New Roman"/>
                <w:color w:val="auto"/>
                <w:spacing w:val="10"/>
                <w:sz w:val="24"/>
              </w:rPr>
              <w:t>满足《污水综合排放标准》（GB8978-1996）表4三级标准</w:t>
            </w:r>
            <w:r>
              <w:rPr>
                <w:rFonts w:hint="eastAsia" w:cs="Times New Roman"/>
                <w:color w:val="auto"/>
                <w:spacing w:val="10"/>
                <w:sz w:val="24"/>
                <w:lang w:val="en-US" w:eastAsia="zh-CN"/>
              </w:rPr>
              <w:t>及《污水排入城镇下水道水质标准》（GB/T31962-2015）中NH</w:t>
            </w:r>
            <w:r>
              <w:rPr>
                <w:rFonts w:hint="eastAsia" w:cs="Times New Roman"/>
                <w:color w:val="auto"/>
                <w:spacing w:val="10"/>
                <w:sz w:val="24"/>
                <w:vertAlign w:val="subscript"/>
                <w:lang w:val="en-US" w:eastAsia="zh-CN"/>
              </w:rPr>
              <w:t>3</w:t>
            </w:r>
            <w:r>
              <w:rPr>
                <w:rFonts w:hint="eastAsia" w:cs="Times New Roman"/>
                <w:color w:val="auto"/>
                <w:spacing w:val="10"/>
                <w:sz w:val="24"/>
                <w:lang w:val="en-US" w:eastAsia="zh-CN"/>
              </w:rPr>
              <w:t>-N最高允许值中B级标准</w:t>
            </w:r>
            <w:r>
              <w:rPr>
                <w:rFonts w:hint="eastAsia" w:ascii="Times New Roman" w:hAnsi="Times New Roman" w:eastAsia="宋体" w:cs="Times New Roman"/>
                <w:color w:val="auto"/>
                <w:spacing w:val="10"/>
                <w:sz w:val="24"/>
              </w:rPr>
              <w:t>，</w:t>
            </w:r>
            <w:r>
              <w:rPr>
                <w:rFonts w:hint="eastAsia" w:ascii="Times New Roman" w:hAnsi="Times New Roman" w:eastAsia="宋体" w:cs="Times New Roman"/>
                <w:color w:val="0000FF"/>
                <w:spacing w:val="10"/>
                <w:sz w:val="24"/>
              </w:rPr>
              <w:t>排入</w:t>
            </w:r>
            <w:r>
              <w:rPr>
                <w:rFonts w:hint="eastAsia" w:cs="Times New Roman"/>
                <w:color w:val="0000FF"/>
                <w:spacing w:val="10"/>
                <w:sz w:val="24"/>
                <w:lang w:val="en-US" w:eastAsia="zh-CN"/>
              </w:rPr>
              <w:t>实验室废水池</w:t>
            </w:r>
            <w:r>
              <w:rPr>
                <w:rFonts w:hint="eastAsia" w:ascii="Times New Roman" w:hAnsi="Times New Roman" w:eastAsia="宋体" w:cs="Times New Roman"/>
                <w:color w:val="0000FF"/>
                <w:spacing w:val="10"/>
                <w:sz w:val="24"/>
              </w:rPr>
              <w:t>，最终</w:t>
            </w:r>
            <w:r>
              <w:rPr>
                <w:rFonts w:hint="eastAsia" w:cs="Times New Roman"/>
                <w:color w:val="0000FF"/>
                <w:spacing w:val="10"/>
                <w:sz w:val="24"/>
                <w:lang w:val="en-US" w:eastAsia="zh-CN"/>
              </w:rPr>
              <w:t>由吸污车拉运至</w:t>
            </w:r>
            <w:r>
              <w:rPr>
                <w:rFonts w:hint="eastAsia" w:ascii="Times New Roman" w:hAnsi="Times New Roman" w:eastAsia="宋体" w:cs="Times New Roman"/>
                <w:color w:val="0000FF"/>
                <w:spacing w:val="10"/>
                <w:sz w:val="24"/>
                <w:lang w:val="en-US" w:eastAsia="zh-CN"/>
              </w:rPr>
              <w:t>昌吉高新</w:t>
            </w:r>
            <w:r>
              <w:rPr>
                <w:rFonts w:hint="eastAsia" w:cs="Times New Roman"/>
                <w:color w:val="0000FF"/>
                <w:spacing w:val="10"/>
                <w:sz w:val="24"/>
                <w:lang w:val="en-US" w:eastAsia="zh-CN"/>
              </w:rPr>
              <w:t>产业技术开发区</w:t>
            </w:r>
            <w:r>
              <w:rPr>
                <w:rFonts w:hint="eastAsia" w:ascii="Times New Roman" w:hAnsi="Times New Roman" w:eastAsia="宋体" w:cs="Times New Roman"/>
                <w:color w:val="0000FF"/>
                <w:spacing w:val="10"/>
                <w:sz w:val="24"/>
                <w:lang w:val="en-US" w:eastAsia="zh-CN"/>
              </w:rPr>
              <w:t>污水处理厂</w:t>
            </w:r>
            <w:r>
              <w:rPr>
                <w:rFonts w:hint="eastAsia" w:cs="Times New Roman"/>
                <w:color w:val="0000FF"/>
                <w:spacing w:val="10"/>
                <w:sz w:val="24"/>
                <w:lang w:val="en-US" w:eastAsia="zh-CN"/>
              </w:rPr>
              <w:t>处置</w:t>
            </w:r>
            <w:r>
              <w:rPr>
                <w:rFonts w:hint="eastAsia" w:ascii="Times New Roman" w:hAnsi="Times New Roman" w:eastAsia="宋体" w:cs="Times New Roman"/>
                <w:color w:val="auto"/>
                <w:spacing w:val="10"/>
                <w:sz w:val="24"/>
              </w:rPr>
              <w:t>；生活污水通过厂房卫生间直接排入</w:t>
            </w:r>
            <w:r>
              <w:rPr>
                <w:rFonts w:hint="eastAsia" w:cs="Times New Roman"/>
                <w:color w:val="auto"/>
                <w:spacing w:val="10"/>
                <w:sz w:val="24"/>
                <w:lang w:val="en-US" w:eastAsia="zh-CN"/>
              </w:rPr>
              <w:t>租用厂房已建化粪池</w:t>
            </w:r>
            <w:r>
              <w:rPr>
                <w:rFonts w:hint="eastAsia" w:ascii="Times New Roman" w:hAnsi="Times New Roman" w:eastAsia="宋体" w:cs="Times New Roman"/>
                <w:color w:val="auto"/>
                <w:spacing w:val="10"/>
                <w:sz w:val="24"/>
              </w:rPr>
              <w:t>。</w:t>
            </w:r>
            <w:r>
              <w:rPr>
                <w:rFonts w:hint="eastAsia" w:ascii="Times New Roman" w:hAnsi="Times New Roman" w:eastAsia="宋体" w:cs="Times New Roman"/>
                <w:color w:val="auto"/>
                <w:spacing w:val="10"/>
                <w:sz w:val="24"/>
                <w:lang w:val="en-US" w:eastAsia="zh-CN"/>
              </w:rPr>
              <w:t>项目处理贵金属矿及产品、有色金属矿及产品、黑色金属矿，涉及重金属废水</w:t>
            </w:r>
            <w:r>
              <w:rPr>
                <w:rFonts w:hint="eastAsia" w:cs="Times New Roman"/>
                <w:color w:val="auto"/>
                <w:spacing w:val="10"/>
                <w:sz w:val="24"/>
                <w:lang w:val="en-US" w:eastAsia="zh-CN"/>
              </w:rPr>
              <w:t>污染物</w:t>
            </w:r>
            <w:r>
              <w:rPr>
                <w:rFonts w:hint="eastAsia" w:ascii="Times New Roman" w:hAnsi="Times New Roman" w:eastAsia="宋体" w:cs="Times New Roman"/>
                <w:color w:val="auto"/>
                <w:spacing w:val="10"/>
                <w:sz w:val="24"/>
                <w:lang w:val="en-US" w:eastAsia="zh-CN"/>
              </w:rPr>
              <w:t>执行《污水综合排放标准》（GB8978-1996）中表1第一类污染物最高允许排放浓度。</w:t>
            </w:r>
          </w:p>
          <w:p w14:paraId="3CF7B0E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表</w:t>
            </w:r>
            <w:r>
              <w:rPr>
                <w:rFonts w:hint="eastAsia" w:ascii="Times New Roman" w:hAnsi="Times New Roman" w:eastAsia="宋体" w:cs="Times New Roman"/>
                <w:b/>
                <w:bCs/>
                <w:color w:val="auto"/>
                <w:sz w:val="21"/>
                <w:szCs w:val="21"/>
                <w:highlight w:val="none"/>
                <w:lang w:val="en-US" w:eastAsia="zh-CN"/>
              </w:rPr>
              <w:t>3-5</w:t>
            </w:r>
            <w:r>
              <w:rPr>
                <w:rFonts w:hint="default" w:ascii="Times New Roman" w:hAnsi="Times New Roman" w:eastAsia="宋体" w:cs="Times New Roman"/>
                <w:b/>
                <w:bCs/>
                <w:color w:val="auto"/>
                <w:sz w:val="21"/>
                <w:szCs w:val="21"/>
                <w:highlight w:val="none"/>
                <w:lang w:val="en-US" w:eastAsia="zh-CN"/>
              </w:rPr>
              <w:t xml:space="preserve">  </w:t>
            </w:r>
            <w:r>
              <w:rPr>
                <w:rFonts w:hint="eastAsia" w:cs="Times New Roman"/>
                <w:b/>
                <w:bCs/>
                <w:color w:val="auto"/>
                <w:sz w:val="21"/>
                <w:szCs w:val="21"/>
                <w:highlight w:val="none"/>
                <w:lang w:val="en-US" w:eastAsia="zh-CN"/>
              </w:rPr>
              <w:t>废</w:t>
            </w:r>
            <w:r>
              <w:rPr>
                <w:rFonts w:hint="default" w:ascii="Times New Roman" w:hAnsi="Times New Roman" w:eastAsia="宋体" w:cs="Times New Roman"/>
                <w:b/>
                <w:bCs/>
                <w:color w:val="auto"/>
                <w:sz w:val="21"/>
                <w:szCs w:val="21"/>
                <w:highlight w:val="none"/>
                <w:lang w:val="en-US" w:eastAsia="zh-CN"/>
              </w:rPr>
              <w:t>水</w:t>
            </w:r>
            <w:r>
              <w:rPr>
                <w:rFonts w:hint="eastAsia" w:ascii="Times New Roman" w:hAnsi="Times New Roman" w:eastAsia="宋体" w:cs="Times New Roman"/>
                <w:b/>
                <w:bCs/>
                <w:color w:val="auto"/>
                <w:sz w:val="21"/>
                <w:szCs w:val="21"/>
                <w:highlight w:val="none"/>
                <w:lang w:val="en-US" w:eastAsia="zh-CN"/>
              </w:rPr>
              <w:t>排放</w:t>
            </w:r>
            <w:r>
              <w:rPr>
                <w:rFonts w:hint="default" w:ascii="Times New Roman" w:hAnsi="Times New Roman" w:eastAsia="宋体" w:cs="Times New Roman"/>
                <w:b/>
                <w:bCs/>
                <w:color w:val="auto"/>
                <w:sz w:val="21"/>
                <w:szCs w:val="21"/>
                <w:highlight w:val="none"/>
                <w:lang w:val="en-US" w:eastAsia="zh-CN"/>
              </w:rPr>
              <w:t>限值  单位：mg/L</w:t>
            </w:r>
          </w:p>
          <w:tbl>
            <w:tblPr>
              <w:tblStyle w:val="28"/>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9"/>
              <w:gridCol w:w="2407"/>
              <w:gridCol w:w="2930"/>
              <w:gridCol w:w="2398"/>
            </w:tblGrid>
            <w:tr w14:paraId="2B5190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4" w:type="pct"/>
                  <w:noWrap w:val="0"/>
                  <w:vAlign w:val="center"/>
                </w:tcPr>
                <w:p w14:paraId="0EDA3D33">
                  <w:pPr>
                    <w:widowControl/>
                    <w:adjustRightInd w:val="0"/>
                    <w:snapToGrid w:val="0"/>
                    <w:jc w:val="center"/>
                    <w:rPr>
                      <w:rFonts w:hint="eastAsia"/>
                      <w:color w:val="auto"/>
                      <w:szCs w:val="21"/>
                    </w:rPr>
                  </w:pPr>
                  <w:r>
                    <w:rPr>
                      <w:rFonts w:hint="eastAsia"/>
                      <w:color w:val="auto"/>
                      <w:szCs w:val="21"/>
                    </w:rPr>
                    <w:t>序号</w:t>
                  </w:r>
                </w:p>
              </w:tc>
              <w:tc>
                <w:tcPr>
                  <w:tcW w:w="1405" w:type="pct"/>
                  <w:noWrap w:val="0"/>
                  <w:vAlign w:val="center"/>
                </w:tcPr>
                <w:p w14:paraId="74BC6B27">
                  <w:pPr>
                    <w:widowControl/>
                    <w:adjustRightInd w:val="0"/>
                    <w:snapToGrid w:val="0"/>
                    <w:jc w:val="center"/>
                    <w:rPr>
                      <w:rFonts w:hint="eastAsia" w:eastAsia="宋体"/>
                      <w:color w:val="auto"/>
                      <w:szCs w:val="21"/>
                      <w:lang w:eastAsia="zh-CN"/>
                    </w:rPr>
                  </w:pPr>
                  <w:r>
                    <w:rPr>
                      <w:rFonts w:hint="eastAsia"/>
                      <w:color w:val="auto"/>
                      <w:szCs w:val="21"/>
                      <w:lang w:val="en-US" w:eastAsia="zh-CN"/>
                    </w:rPr>
                    <w:t>项目</w:t>
                  </w:r>
                </w:p>
              </w:tc>
              <w:tc>
                <w:tcPr>
                  <w:tcW w:w="1710" w:type="pct"/>
                  <w:noWrap w:val="0"/>
                  <w:vAlign w:val="center"/>
                </w:tcPr>
                <w:p w14:paraId="2006EA97">
                  <w:pPr>
                    <w:widowControl/>
                    <w:adjustRightInd w:val="0"/>
                    <w:snapToGrid w:val="0"/>
                    <w:jc w:val="center"/>
                    <w:rPr>
                      <w:rFonts w:hint="eastAsia" w:eastAsia="宋体"/>
                      <w:color w:val="auto"/>
                      <w:szCs w:val="21"/>
                      <w:lang w:eastAsia="zh-CN"/>
                    </w:rPr>
                  </w:pPr>
                  <w:r>
                    <w:rPr>
                      <w:rFonts w:hint="eastAsia"/>
                      <w:color w:val="auto"/>
                      <w:szCs w:val="21"/>
                      <w:lang w:val="en-US" w:eastAsia="zh-CN"/>
                    </w:rPr>
                    <w:t>标准值</w:t>
                  </w:r>
                </w:p>
              </w:tc>
              <w:tc>
                <w:tcPr>
                  <w:tcW w:w="1400" w:type="pct"/>
                  <w:vMerge w:val="restart"/>
                  <w:noWrap w:val="0"/>
                  <w:vAlign w:val="center"/>
                </w:tcPr>
                <w:p w14:paraId="413B5B4C">
                  <w:pPr>
                    <w:widowControl/>
                    <w:adjustRightInd w:val="0"/>
                    <w:snapToGrid w:val="0"/>
                    <w:jc w:val="center"/>
                    <w:rPr>
                      <w:rFonts w:hint="eastAsia"/>
                      <w:color w:val="auto"/>
                      <w:szCs w:val="21"/>
                    </w:rPr>
                  </w:pPr>
                  <w:r>
                    <w:rPr>
                      <w:rFonts w:hint="eastAsia"/>
                      <w:color w:val="auto"/>
                      <w:szCs w:val="21"/>
                    </w:rPr>
                    <w:t>《污水综合排放标准》（GB8978-1996）表4三级标准</w:t>
                  </w:r>
                </w:p>
              </w:tc>
            </w:tr>
            <w:tr w14:paraId="0F0546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4" w:type="pct"/>
                  <w:noWrap w:val="0"/>
                  <w:vAlign w:val="center"/>
                </w:tcPr>
                <w:p w14:paraId="683B5D1D">
                  <w:pPr>
                    <w:widowControl/>
                    <w:numPr>
                      <w:ilvl w:val="0"/>
                      <w:numId w:val="4"/>
                    </w:numPr>
                    <w:adjustRightInd w:val="0"/>
                    <w:snapToGrid w:val="0"/>
                    <w:jc w:val="center"/>
                    <w:rPr>
                      <w:rFonts w:hint="eastAsia"/>
                      <w:color w:val="auto"/>
                      <w:szCs w:val="21"/>
                    </w:rPr>
                  </w:pPr>
                </w:p>
              </w:tc>
              <w:tc>
                <w:tcPr>
                  <w:tcW w:w="1405" w:type="pct"/>
                  <w:noWrap w:val="0"/>
                  <w:vAlign w:val="center"/>
                </w:tcPr>
                <w:p w14:paraId="3BB585EB">
                  <w:pPr>
                    <w:widowControl/>
                    <w:adjustRightInd w:val="0"/>
                    <w:snapToGrid w:val="0"/>
                    <w:jc w:val="center"/>
                    <w:rPr>
                      <w:rFonts w:hint="eastAsia"/>
                      <w:color w:val="auto"/>
                      <w:szCs w:val="21"/>
                    </w:rPr>
                  </w:pPr>
                  <w:r>
                    <w:rPr>
                      <w:rFonts w:hint="eastAsia"/>
                      <w:color w:val="auto"/>
                      <w:szCs w:val="21"/>
                    </w:rPr>
                    <w:t>pH值</w:t>
                  </w:r>
                </w:p>
              </w:tc>
              <w:tc>
                <w:tcPr>
                  <w:tcW w:w="1710" w:type="pct"/>
                  <w:noWrap w:val="0"/>
                  <w:vAlign w:val="center"/>
                </w:tcPr>
                <w:p w14:paraId="2DB6A285">
                  <w:pPr>
                    <w:widowControl/>
                    <w:adjustRightInd w:val="0"/>
                    <w:snapToGrid w:val="0"/>
                    <w:jc w:val="center"/>
                    <w:rPr>
                      <w:rFonts w:hint="eastAsia"/>
                      <w:color w:val="auto"/>
                      <w:szCs w:val="21"/>
                    </w:rPr>
                  </w:pPr>
                  <w:r>
                    <w:rPr>
                      <w:rFonts w:hint="eastAsia"/>
                      <w:color w:val="auto"/>
                      <w:szCs w:val="21"/>
                    </w:rPr>
                    <w:t>6</w:t>
                  </w:r>
                  <w:r>
                    <w:rPr>
                      <w:color w:val="auto"/>
                      <w:szCs w:val="21"/>
                    </w:rPr>
                    <w:t>.0</w:t>
                  </w:r>
                  <w:r>
                    <w:rPr>
                      <w:rFonts w:hint="eastAsia"/>
                      <w:color w:val="auto"/>
                      <w:szCs w:val="21"/>
                    </w:rPr>
                    <w:t>～</w:t>
                  </w:r>
                  <w:r>
                    <w:rPr>
                      <w:color w:val="auto"/>
                      <w:szCs w:val="21"/>
                    </w:rPr>
                    <w:t>9.0</w:t>
                  </w:r>
                </w:p>
              </w:tc>
              <w:tc>
                <w:tcPr>
                  <w:tcW w:w="1400" w:type="pct"/>
                  <w:vMerge w:val="continue"/>
                  <w:noWrap w:val="0"/>
                  <w:vAlign w:val="center"/>
                </w:tcPr>
                <w:p w14:paraId="52FAA109">
                  <w:pPr>
                    <w:widowControl/>
                    <w:adjustRightInd w:val="0"/>
                    <w:snapToGrid w:val="0"/>
                    <w:jc w:val="center"/>
                    <w:rPr>
                      <w:rFonts w:hint="eastAsia"/>
                      <w:color w:val="auto"/>
                      <w:szCs w:val="21"/>
                    </w:rPr>
                  </w:pPr>
                </w:p>
              </w:tc>
            </w:tr>
            <w:tr w14:paraId="2A61D2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4" w:type="pct"/>
                  <w:noWrap w:val="0"/>
                  <w:vAlign w:val="center"/>
                </w:tcPr>
                <w:p w14:paraId="4C3D5772">
                  <w:pPr>
                    <w:widowControl/>
                    <w:numPr>
                      <w:ilvl w:val="0"/>
                      <w:numId w:val="4"/>
                    </w:numPr>
                    <w:adjustRightInd w:val="0"/>
                    <w:snapToGrid w:val="0"/>
                    <w:jc w:val="center"/>
                    <w:rPr>
                      <w:rFonts w:hint="eastAsia"/>
                      <w:color w:val="auto"/>
                      <w:szCs w:val="21"/>
                    </w:rPr>
                  </w:pPr>
                </w:p>
              </w:tc>
              <w:tc>
                <w:tcPr>
                  <w:tcW w:w="1405" w:type="pct"/>
                  <w:noWrap w:val="0"/>
                  <w:vAlign w:val="center"/>
                </w:tcPr>
                <w:p w14:paraId="0C4B4062">
                  <w:pPr>
                    <w:widowControl/>
                    <w:adjustRightInd w:val="0"/>
                    <w:snapToGrid w:val="0"/>
                    <w:jc w:val="center"/>
                    <w:rPr>
                      <w:rFonts w:hint="eastAsia"/>
                      <w:color w:val="auto"/>
                      <w:szCs w:val="21"/>
                    </w:rPr>
                  </w:pPr>
                  <w:r>
                    <w:rPr>
                      <w:rFonts w:hint="eastAsia"/>
                      <w:color w:val="auto"/>
                      <w:szCs w:val="21"/>
                    </w:rPr>
                    <w:t>化学需氧量COD</w:t>
                  </w:r>
                </w:p>
              </w:tc>
              <w:tc>
                <w:tcPr>
                  <w:tcW w:w="1710" w:type="pct"/>
                  <w:noWrap w:val="0"/>
                  <w:vAlign w:val="center"/>
                </w:tcPr>
                <w:p w14:paraId="4B5391D5">
                  <w:pPr>
                    <w:widowControl/>
                    <w:adjustRightInd w:val="0"/>
                    <w:snapToGrid w:val="0"/>
                    <w:jc w:val="center"/>
                    <w:rPr>
                      <w:rFonts w:hint="eastAsia"/>
                      <w:color w:val="auto"/>
                      <w:szCs w:val="21"/>
                    </w:rPr>
                  </w:pPr>
                  <w:r>
                    <w:rPr>
                      <w:rFonts w:hint="eastAsia"/>
                      <w:color w:val="auto"/>
                      <w:szCs w:val="21"/>
                    </w:rPr>
                    <w:t>5</w:t>
                  </w:r>
                  <w:r>
                    <w:rPr>
                      <w:color w:val="auto"/>
                      <w:szCs w:val="21"/>
                    </w:rPr>
                    <w:t>00</w:t>
                  </w:r>
                </w:p>
              </w:tc>
              <w:tc>
                <w:tcPr>
                  <w:tcW w:w="1400" w:type="pct"/>
                  <w:vMerge w:val="continue"/>
                  <w:noWrap w:val="0"/>
                  <w:vAlign w:val="center"/>
                </w:tcPr>
                <w:p w14:paraId="70CC70A1">
                  <w:pPr>
                    <w:widowControl/>
                    <w:adjustRightInd w:val="0"/>
                    <w:snapToGrid w:val="0"/>
                    <w:jc w:val="center"/>
                    <w:rPr>
                      <w:rFonts w:hint="eastAsia"/>
                      <w:color w:val="auto"/>
                      <w:szCs w:val="21"/>
                    </w:rPr>
                  </w:pPr>
                </w:p>
              </w:tc>
            </w:tr>
            <w:tr w14:paraId="0580B3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4" w:type="pct"/>
                  <w:noWrap w:val="0"/>
                  <w:vAlign w:val="center"/>
                </w:tcPr>
                <w:p w14:paraId="213B9AD2">
                  <w:pPr>
                    <w:widowControl/>
                    <w:numPr>
                      <w:ilvl w:val="0"/>
                      <w:numId w:val="4"/>
                    </w:numPr>
                    <w:adjustRightInd w:val="0"/>
                    <w:snapToGrid w:val="0"/>
                    <w:jc w:val="center"/>
                    <w:rPr>
                      <w:rFonts w:hint="eastAsia"/>
                      <w:color w:val="auto"/>
                      <w:szCs w:val="21"/>
                    </w:rPr>
                  </w:pPr>
                </w:p>
              </w:tc>
              <w:tc>
                <w:tcPr>
                  <w:tcW w:w="1405" w:type="pct"/>
                  <w:noWrap w:val="0"/>
                  <w:vAlign w:val="center"/>
                </w:tcPr>
                <w:p w14:paraId="092289D0">
                  <w:pPr>
                    <w:widowControl/>
                    <w:adjustRightInd w:val="0"/>
                    <w:snapToGrid w:val="0"/>
                    <w:jc w:val="center"/>
                    <w:rPr>
                      <w:rFonts w:hint="eastAsia"/>
                      <w:color w:val="auto"/>
                      <w:szCs w:val="21"/>
                    </w:rPr>
                  </w:pPr>
                  <w:r>
                    <w:rPr>
                      <w:rFonts w:hint="eastAsia"/>
                      <w:color w:val="auto"/>
                      <w:szCs w:val="21"/>
                    </w:rPr>
                    <w:t>（BOD</w:t>
                  </w:r>
                  <w:r>
                    <w:rPr>
                      <w:color w:val="auto"/>
                      <w:szCs w:val="21"/>
                      <w:vertAlign w:val="subscript"/>
                    </w:rPr>
                    <w:t>5</w:t>
                  </w:r>
                  <w:r>
                    <w:rPr>
                      <w:rFonts w:hint="eastAsia"/>
                      <w:color w:val="auto"/>
                      <w:szCs w:val="21"/>
                    </w:rPr>
                    <w:t>）</w:t>
                  </w:r>
                </w:p>
              </w:tc>
              <w:tc>
                <w:tcPr>
                  <w:tcW w:w="1710" w:type="pct"/>
                  <w:noWrap w:val="0"/>
                  <w:vAlign w:val="center"/>
                </w:tcPr>
                <w:p w14:paraId="7BB5BAFA">
                  <w:pPr>
                    <w:widowControl/>
                    <w:adjustRightInd w:val="0"/>
                    <w:snapToGrid w:val="0"/>
                    <w:jc w:val="center"/>
                    <w:rPr>
                      <w:rFonts w:hint="eastAsia"/>
                      <w:color w:val="auto"/>
                      <w:szCs w:val="21"/>
                    </w:rPr>
                  </w:pPr>
                  <w:r>
                    <w:rPr>
                      <w:rFonts w:hint="eastAsia"/>
                      <w:color w:val="auto"/>
                      <w:szCs w:val="21"/>
                    </w:rPr>
                    <w:t>3</w:t>
                  </w:r>
                  <w:r>
                    <w:rPr>
                      <w:color w:val="auto"/>
                      <w:szCs w:val="21"/>
                    </w:rPr>
                    <w:t>00</w:t>
                  </w:r>
                </w:p>
              </w:tc>
              <w:tc>
                <w:tcPr>
                  <w:tcW w:w="1400" w:type="pct"/>
                  <w:vMerge w:val="continue"/>
                  <w:noWrap w:val="0"/>
                  <w:vAlign w:val="center"/>
                </w:tcPr>
                <w:p w14:paraId="12963A3D">
                  <w:pPr>
                    <w:widowControl/>
                    <w:adjustRightInd w:val="0"/>
                    <w:snapToGrid w:val="0"/>
                    <w:jc w:val="center"/>
                    <w:rPr>
                      <w:rFonts w:hint="eastAsia"/>
                      <w:color w:val="auto"/>
                      <w:szCs w:val="21"/>
                    </w:rPr>
                  </w:pPr>
                </w:p>
              </w:tc>
            </w:tr>
            <w:tr w14:paraId="043A72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4" w:type="pct"/>
                  <w:noWrap w:val="0"/>
                  <w:vAlign w:val="center"/>
                </w:tcPr>
                <w:p w14:paraId="276018E7">
                  <w:pPr>
                    <w:widowControl/>
                    <w:numPr>
                      <w:ilvl w:val="0"/>
                      <w:numId w:val="4"/>
                    </w:numPr>
                    <w:adjustRightInd w:val="0"/>
                    <w:snapToGrid w:val="0"/>
                    <w:jc w:val="center"/>
                    <w:rPr>
                      <w:rFonts w:hint="eastAsia"/>
                      <w:color w:val="auto"/>
                      <w:szCs w:val="21"/>
                    </w:rPr>
                  </w:pPr>
                </w:p>
              </w:tc>
              <w:tc>
                <w:tcPr>
                  <w:tcW w:w="1405" w:type="pct"/>
                  <w:noWrap w:val="0"/>
                  <w:vAlign w:val="center"/>
                </w:tcPr>
                <w:p w14:paraId="33F23E8E">
                  <w:pPr>
                    <w:widowControl/>
                    <w:adjustRightInd w:val="0"/>
                    <w:snapToGrid w:val="0"/>
                    <w:jc w:val="center"/>
                    <w:rPr>
                      <w:rFonts w:hint="eastAsia"/>
                      <w:color w:val="auto"/>
                      <w:szCs w:val="21"/>
                    </w:rPr>
                  </w:pPr>
                  <w:r>
                    <w:rPr>
                      <w:rFonts w:hint="eastAsia"/>
                      <w:color w:val="auto"/>
                      <w:szCs w:val="21"/>
                    </w:rPr>
                    <w:t>SS</w:t>
                  </w:r>
                </w:p>
              </w:tc>
              <w:tc>
                <w:tcPr>
                  <w:tcW w:w="1710" w:type="pct"/>
                  <w:noWrap w:val="0"/>
                  <w:vAlign w:val="center"/>
                </w:tcPr>
                <w:p w14:paraId="73D4CD55">
                  <w:pPr>
                    <w:widowControl/>
                    <w:adjustRightInd w:val="0"/>
                    <w:snapToGrid w:val="0"/>
                    <w:jc w:val="center"/>
                    <w:rPr>
                      <w:rFonts w:hint="eastAsia"/>
                      <w:color w:val="auto"/>
                      <w:szCs w:val="21"/>
                    </w:rPr>
                  </w:pPr>
                  <w:r>
                    <w:rPr>
                      <w:rFonts w:hint="eastAsia"/>
                      <w:color w:val="auto"/>
                      <w:szCs w:val="21"/>
                    </w:rPr>
                    <w:t>4</w:t>
                  </w:r>
                  <w:r>
                    <w:rPr>
                      <w:color w:val="auto"/>
                      <w:szCs w:val="21"/>
                    </w:rPr>
                    <w:t>00</w:t>
                  </w:r>
                </w:p>
              </w:tc>
              <w:tc>
                <w:tcPr>
                  <w:tcW w:w="1400" w:type="pct"/>
                  <w:vMerge w:val="continue"/>
                  <w:noWrap w:val="0"/>
                  <w:vAlign w:val="center"/>
                </w:tcPr>
                <w:p w14:paraId="687441DA">
                  <w:pPr>
                    <w:widowControl/>
                    <w:adjustRightInd w:val="0"/>
                    <w:snapToGrid w:val="0"/>
                    <w:jc w:val="center"/>
                    <w:rPr>
                      <w:rFonts w:hint="eastAsia"/>
                      <w:color w:val="auto"/>
                      <w:szCs w:val="21"/>
                    </w:rPr>
                  </w:pPr>
                </w:p>
              </w:tc>
            </w:tr>
            <w:tr w14:paraId="7A89E9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4" w:type="pct"/>
                  <w:noWrap w:val="0"/>
                  <w:vAlign w:val="center"/>
                </w:tcPr>
                <w:p w14:paraId="6D15D518">
                  <w:pPr>
                    <w:widowControl/>
                    <w:numPr>
                      <w:ilvl w:val="0"/>
                      <w:numId w:val="4"/>
                    </w:numPr>
                    <w:adjustRightInd w:val="0"/>
                    <w:snapToGrid w:val="0"/>
                    <w:jc w:val="center"/>
                    <w:rPr>
                      <w:rFonts w:hint="eastAsia"/>
                      <w:color w:val="auto"/>
                      <w:szCs w:val="21"/>
                    </w:rPr>
                  </w:pPr>
                </w:p>
              </w:tc>
              <w:tc>
                <w:tcPr>
                  <w:tcW w:w="1405" w:type="pct"/>
                  <w:noWrap w:val="0"/>
                  <w:vAlign w:val="center"/>
                </w:tcPr>
                <w:p w14:paraId="41E7545A">
                  <w:pPr>
                    <w:widowControl/>
                    <w:adjustRightInd w:val="0"/>
                    <w:snapToGrid w:val="0"/>
                    <w:jc w:val="center"/>
                    <w:rPr>
                      <w:rFonts w:hint="eastAsia"/>
                      <w:color w:val="auto"/>
                      <w:szCs w:val="21"/>
                    </w:rPr>
                  </w:pPr>
                  <w:r>
                    <w:rPr>
                      <w:rFonts w:hint="eastAsia"/>
                      <w:color w:val="auto"/>
                      <w:szCs w:val="21"/>
                    </w:rPr>
                    <w:t>氨氮（以N计/）</w:t>
                  </w:r>
                </w:p>
              </w:tc>
              <w:tc>
                <w:tcPr>
                  <w:tcW w:w="1710" w:type="pct"/>
                  <w:noWrap w:val="0"/>
                  <w:vAlign w:val="center"/>
                </w:tcPr>
                <w:p w14:paraId="0B30F0D3">
                  <w:pPr>
                    <w:widowControl/>
                    <w:adjustRightInd w:val="0"/>
                    <w:snapToGrid w:val="0"/>
                    <w:jc w:val="center"/>
                    <w:rPr>
                      <w:rFonts w:hint="default" w:eastAsia="宋体"/>
                      <w:color w:val="auto"/>
                      <w:szCs w:val="21"/>
                      <w:lang w:val="en-US" w:eastAsia="zh-CN"/>
                    </w:rPr>
                  </w:pPr>
                  <w:r>
                    <w:rPr>
                      <w:rFonts w:hint="eastAsia"/>
                      <w:color w:val="auto"/>
                      <w:szCs w:val="21"/>
                      <w:lang w:val="en-US" w:eastAsia="zh-CN"/>
                    </w:rPr>
                    <w:t>45</w:t>
                  </w:r>
                </w:p>
              </w:tc>
              <w:tc>
                <w:tcPr>
                  <w:tcW w:w="1400" w:type="pct"/>
                  <w:noWrap w:val="0"/>
                  <w:vAlign w:val="center"/>
                </w:tcPr>
                <w:p w14:paraId="112C267F">
                  <w:pPr>
                    <w:widowControl/>
                    <w:adjustRightInd w:val="0"/>
                    <w:snapToGrid w:val="0"/>
                    <w:jc w:val="center"/>
                    <w:rPr>
                      <w:rFonts w:hint="eastAsia"/>
                      <w:color w:val="auto"/>
                      <w:szCs w:val="21"/>
                    </w:rPr>
                  </w:pPr>
                  <w:r>
                    <w:rPr>
                      <w:rFonts w:hint="eastAsia"/>
                      <w:color w:val="auto"/>
                      <w:szCs w:val="21"/>
                      <w:lang w:val="en-US" w:eastAsia="zh-CN"/>
                    </w:rPr>
                    <w:t>《污水排入城镇下水道水质标准》（GB/T31962-2015）</w:t>
                  </w:r>
                </w:p>
              </w:tc>
            </w:tr>
            <w:tr w14:paraId="582787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4" w:type="pct"/>
                  <w:noWrap w:val="0"/>
                  <w:vAlign w:val="center"/>
                </w:tcPr>
                <w:p w14:paraId="725F68B5">
                  <w:pPr>
                    <w:widowControl/>
                    <w:numPr>
                      <w:ilvl w:val="0"/>
                      <w:numId w:val="4"/>
                    </w:numPr>
                    <w:adjustRightInd w:val="0"/>
                    <w:snapToGrid w:val="0"/>
                    <w:jc w:val="center"/>
                    <w:rPr>
                      <w:rFonts w:hint="eastAsia"/>
                      <w:color w:val="auto"/>
                      <w:szCs w:val="21"/>
                    </w:rPr>
                  </w:pPr>
                </w:p>
              </w:tc>
              <w:tc>
                <w:tcPr>
                  <w:tcW w:w="1405" w:type="pct"/>
                  <w:shd w:val="clear" w:color="auto" w:fill="auto"/>
                  <w:noWrap w:val="0"/>
                  <w:vAlign w:val="center"/>
                </w:tcPr>
                <w:p w14:paraId="061C3C93">
                  <w:pPr>
                    <w:widowControl/>
                    <w:adjustRightInd w:val="0"/>
                    <w:snapToGrid w:val="0"/>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总汞</w:t>
                  </w:r>
                </w:p>
              </w:tc>
              <w:tc>
                <w:tcPr>
                  <w:tcW w:w="1710" w:type="pct"/>
                  <w:shd w:val="clear" w:color="auto" w:fill="auto"/>
                  <w:noWrap w:val="0"/>
                  <w:vAlign w:val="center"/>
                </w:tcPr>
                <w:p w14:paraId="6AEC19AC">
                  <w:pPr>
                    <w:widowControl/>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0.05</w:t>
                  </w:r>
                </w:p>
              </w:tc>
              <w:tc>
                <w:tcPr>
                  <w:tcW w:w="1400" w:type="pct"/>
                  <w:vMerge w:val="restart"/>
                  <w:noWrap w:val="0"/>
                  <w:vAlign w:val="center"/>
                </w:tcPr>
                <w:p w14:paraId="1D2D1234">
                  <w:pPr>
                    <w:widowControl/>
                    <w:adjustRightInd w:val="0"/>
                    <w:snapToGrid w:val="0"/>
                    <w:jc w:val="center"/>
                    <w:rPr>
                      <w:rFonts w:hint="eastAsia"/>
                      <w:color w:val="auto"/>
                      <w:szCs w:val="21"/>
                    </w:rPr>
                  </w:pPr>
                  <w:r>
                    <w:rPr>
                      <w:rFonts w:hint="eastAsia"/>
                      <w:color w:val="auto"/>
                      <w:szCs w:val="21"/>
                      <w:lang w:val="en-US" w:eastAsia="zh-CN"/>
                    </w:rPr>
                    <w:t>《污水综合排放标准》（GB8978-1996）中表1第一类污染物最高允许排放浓度</w:t>
                  </w:r>
                </w:p>
              </w:tc>
            </w:tr>
            <w:tr w14:paraId="2361DC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4" w:type="pct"/>
                  <w:noWrap w:val="0"/>
                  <w:vAlign w:val="center"/>
                </w:tcPr>
                <w:p w14:paraId="4E32F467">
                  <w:pPr>
                    <w:widowControl/>
                    <w:numPr>
                      <w:ilvl w:val="0"/>
                      <w:numId w:val="4"/>
                    </w:numPr>
                    <w:adjustRightInd w:val="0"/>
                    <w:snapToGrid w:val="0"/>
                    <w:jc w:val="center"/>
                    <w:rPr>
                      <w:rFonts w:hint="eastAsia"/>
                      <w:color w:val="auto"/>
                      <w:szCs w:val="21"/>
                    </w:rPr>
                  </w:pPr>
                </w:p>
              </w:tc>
              <w:tc>
                <w:tcPr>
                  <w:tcW w:w="1405" w:type="pct"/>
                  <w:shd w:val="clear" w:color="auto" w:fill="auto"/>
                  <w:noWrap w:val="0"/>
                  <w:vAlign w:val="center"/>
                </w:tcPr>
                <w:p w14:paraId="7633D376">
                  <w:pPr>
                    <w:widowControl/>
                    <w:adjustRightInd w:val="0"/>
                    <w:snapToGrid w:val="0"/>
                    <w:jc w:val="center"/>
                    <w:rPr>
                      <w:rFonts w:hint="default"/>
                      <w:color w:val="auto"/>
                      <w:szCs w:val="21"/>
                      <w:lang w:val="en-US" w:eastAsia="zh-CN"/>
                    </w:rPr>
                  </w:pPr>
                  <w:r>
                    <w:rPr>
                      <w:rFonts w:hint="eastAsia"/>
                      <w:color w:val="auto"/>
                      <w:szCs w:val="21"/>
                      <w:lang w:val="en-US" w:eastAsia="zh-CN"/>
                    </w:rPr>
                    <w:t>烷基汞</w:t>
                  </w:r>
                </w:p>
              </w:tc>
              <w:tc>
                <w:tcPr>
                  <w:tcW w:w="1710" w:type="pct"/>
                  <w:shd w:val="clear" w:color="auto" w:fill="auto"/>
                  <w:noWrap w:val="0"/>
                  <w:vAlign w:val="center"/>
                </w:tcPr>
                <w:p w14:paraId="633C382E">
                  <w:pPr>
                    <w:widowControl/>
                    <w:adjustRightInd w:val="0"/>
                    <w:snapToGrid w:val="0"/>
                    <w:jc w:val="center"/>
                    <w:rPr>
                      <w:rFonts w:hint="default"/>
                      <w:color w:val="auto"/>
                      <w:szCs w:val="21"/>
                      <w:lang w:val="en-US" w:eastAsia="zh-CN"/>
                    </w:rPr>
                  </w:pPr>
                  <w:r>
                    <w:rPr>
                      <w:rFonts w:hint="eastAsia"/>
                      <w:color w:val="auto"/>
                      <w:szCs w:val="21"/>
                      <w:lang w:val="en-US" w:eastAsia="zh-CN"/>
                    </w:rPr>
                    <w:t>不得检出</w:t>
                  </w:r>
                </w:p>
              </w:tc>
              <w:tc>
                <w:tcPr>
                  <w:tcW w:w="1400" w:type="pct"/>
                  <w:vMerge w:val="continue"/>
                  <w:noWrap w:val="0"/>
                  <w:vAlign w:val="center"/>
                </w:tcPr>
                <w:p w14:paraId="3F25AA24">
                  <w:pPr>
                    <w:widowControl/>
                    <w:adjustRightInd w:val="0"/>
                    <w:snapToGrid w:val="0"/>
                    <w:jc w:val="center"/>
                    <w:rPr>
                      <w:rFonts w:hint="eastAsia"/>
                      <w:color w:val="auto"/>
                      <w:szCs w:val="21"/>
                      <w:lang w:val="en-US" w:eastAsia="zh-CN"/>
                    </w:rPr>
                  </w:pPr>
                </w:p>
              </w:tc>
            </w:tr>
            <w:tr w14:paraId="684EFF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4" w:type="pct"/>
                  <w:noWrap w:val="0"/>
                  <w:vAlign w:val="center"/>
                </w:tcPr>
                <w:p w14:paraId="66E42590">
                  <w:pPr>
                    <w:widowControl/>
                    <w:numPr>
                      <w:ilvl w:val="0"/>
                      <w:numId w:val="4"/>
                    </w:numPr>
                    <w:adjustRightInd w:val="0"/>
                    <w:snapToGrid w:val="0"/>
                    <w:jc w:val="center"/>
                    <w:rPr>
                      <w:rFonts w:hint="eastAsia"/>
                      <w:color w:val="auto"/>
                      <w:szCs w:val="21"/>
                    </w:rPr>
                  </w:pPr>
                </w:p>
              </w:tc>
              <w:tc>
                <w:tcPr>
                  <w:tcW w:w="1405" w:type="pct"/>
                  <w:noWrap w:val="0"/>
                  <w:vAlign w:val="center"/>
                </w:tcPr>
                <w:p w14:paraId="74277E3A">
                  <w:pPr>
                    <w:widowControl/>
                    <w:adjustRightInd w:val="0"/>
                    <w:snapToGrid w:val="0"/>
                    <w:jc w:val="center"/>
                    <w:rPr>
                      <w:rFonts w:hint="default" w:eastAsia="宋体"/>
                      <w:color w:val="auto"/>
                      <w:szCs w:val="21"/>
                      <w:lang w:val="en-US" w:eastAsia="zh-CN"/>
                    </w:rPr>
                  </w:pPr>
                  <w:r>
                    <w:rPr>
                      <w:rFonts w:hint="eastAsia"/>
                      <w:color w:val="auto"/>
                      <w:szCs w:val="21"/>
                      <w:lang w:val="en-US" w:eastAsia="zh-CN"/>
                    </w:rPr>
                    <w:t>总镉</w:t>
                  </w:r>
                </w:p>
              </w:tc>
              <w:tc>
                <w:tcPr>
                  <w:tcW w:w="1710" w:type="pct"/>
                  <w:noWrap w:val="0"/>
                  <w:vAlign w:val="center"/>
                </w:tcPr>
                <w:p w14:paraId="23841CB9">
                  <w:pPr>
                    <w:widowControl/>
                    <w:adjustRightInd w:val="0"/>
                    <w:snapToGrid w:val="0"/>
                    <w:jc w:val="center"/>
                    <w:rPr>
                      <w:rFonts w:hint="default" w:eastAsia="宋体"/>
                      <w:color w:val="auto"/>
                      <w:szCs w:val="21"/>
                      <w:lang w:val="en-US" w:eastAsia="zh-CN"/>
                    </w:rPr>
                  </w:pPr>
                  <w:r>
                    <w:rPr>
                      <w:rFonts w:hint="eastAsia"/>
                      <w:color w:val="auto"/>
                      <w:szCs w:val="21"/>
                      <w:lang w:val="en-US" w:eastAsia="zh-CN"/>
                    </w:rPr>
                    <w:t>0.1</w:t>
                  </w:r>
                </w:p>
              </w:tc>
              <w:tc>
                <w:tcPr>
                  <w:tcW w:w="1400" w:type="pct"/>
                  <w:vMerge w:val="continue"/>
                  <w:noWrap w:val="0"/>
                  <w:vAlign w:val="center"/>
                </w:tcPr>
                <w:p w14:paraId="327B536A">
                  <w:pPr>
                    <w:widowControl/>
                    <w:adjustRightInd w:val="0"/>
                    <w:snapToGrid w:val="0"/>
                    <w:jc w:val="center"/>
                    <w:rPr>
                      <w:rFonts w:hint="eastAsia"/>
                      <w:color w:val="auto"/>
                      <w:szCs w:val="21"/>
                    </w:rPr>
                  </w:pPr>
                </w:p>
              </w:tc>
            </w:tr>
            <w:tr w14:paraId="478476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4" w:type="pct"/>
                  <w:noWrap w:val="0"/>
                  <w:vAlign w:val="center"/>
                </w:tcPr>
                <w:p w14:paraId="467BBA24">
                  <w:pPr>
                    <w:widowControl/>
                    <w:numPr>
                      <w:ilvl w:val="0"/>
                      <w:numId w:val="4"/>
                    </w:numPr>
                    <w:adjustRightInd w:val="0"/>
                    <w:snapToGrid w:val="0"/>
                    <w:jc w:val="center"/>
                    <w:rPr>
                      <w:rFonts w:hint="eastAsia"/>
                      <w:color w:val="auto"/>
                      <w:szCs w:val="21"/>
                    </w:rPr>
                  </w:pPr>
                </w:p>
              </w:tc>
              <w:tc>
                <w:tcPr>
                  <w:tcW w:w="1405" w:type="pct"/>
                  <w:noWrap w:val="0"/>
                  <w:vAlign w:val="center"/>
                </w:tcPr>
                <w:p w14:paraId="7076CAEE">
                  <w:pPr>
                    <w:widowControl/>
                    <w:adjustRightInd w:val="0"/>
                    <w:snapToGrid w:val="0"/>
                    <w:jc w:val="center"/>
                    <w:rPr>
                      <w:rFonts w:hint="default"/>
                      <w:color w:val="auto"/>
                      <w:szCs w:val="21"/>
                      <w:lang w:val="en-US" w:eastAsia="zh-CN"/>
                    </w:rPr>
                  </w:pPr>
                  <w:r>
                    <w:rPr>
                      <w:rFonts w:hint="eastAsia"/>
                      <w:color w:val="auto"/>
                      <w:szCs w:val="21"/>
                      <w:lang w:val="en-US" w:eastAsia="zh-CN"/>
                    </w:rPr>
                    <w:t>总铬</w:t>
                  </w:r>
                </w:p>
              </w:tc>
              <w:tc>
                <w:tcPr>
                  <w:tcW w:w="1710" w:type="pct"/>
                  <w:noWrap w:val="0"/>
                  <w:vAlign w:val="center"/>
                </w:tcPr>
                <w:p w14:paraId="3826DC78">
                  <w:pPr>
                    <w:widowControl/>
                    <w:adjustRightInd w:val="0"/>
                    <w:snapToGrid w:val="0"/>
                    <w:jc w:val="center"/>
                    <w:rPr>
                      <w:rFonts w:hint="default"/>
                      <w:color w:val="auto"/>
                      <w:szCs w:val="21"/>
                      <w:lang w:val="en-US" w:eastAsia="zh-CN"/>
                    </w:rPr>
                  </w:pPr>
                  <w:r>
                    <w:rPr>
                      <w:rFonts w:hint="eastAsia"/>
                      <w:color w:val="auto"/>
                      <w:szCs w:val="21"/>
                      <w:lang w:val="en-US" w:eastAsia="zh-CN"/>
                    </w:rPr>
                    <w:t>1.5</w:t>
                  </w:r>
                </w:p>
              </w:tc>
              <w:tc>
                <w:tcPr>
                  <w:tcW w:w="1400" w:type="pct"/>
                  <w:vMerge w:val="continue"/>
                  <w:noWrap w:val="0"/>
                  <w:vAlign w:val="center"/>
                </w:tcPr>
                <w:p w14:paraId="57DC0790">
                  <w:pPr>
                    <w:widowControl/>
                    <w:adjustRightInd w:val="0"/>
                    <w:snapToGrid w:val="0"/>
                    <w:jc w:val="center"/>
                    <w:rPr>
                      <w:rFonts w:hint="eastAsia"/>
                      <w:color w:val="auto"/>
                      <w:szCs w:val="21"/>
                    </w:rPr>
                  </w:pPr>
                </w:p>
              </w:tc>
            </w:tr>
            <w:tr w14:paraId="71541F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4" w:type="pct"/>
                  <w:noWrap w:val="0"/>
                  <w:vAlign w:val="center"/>
                </w:tcPr>
                <w:p w14:paraId="29F77905">
                  <w:pPr>
                    <w:widowControl/>
                    <w:numPr>
                      <w:ilvl w:val="0"/>
                      <w:numId w:val="4"/>
                    </w:numPr>
                    <w:adjustRightInd w:val="0"/>
                    <w:snapToGrid w:val="0"/>
                    <w:jc w:val="center"/>
                    <w:rPr>
                      <w:rFonts w:hint="eastAsia"/>
                      <w:color w:val="auto"/>
                      <w:szCs w:val="21"/>
                    </w:rPr>
                  </w:pPr>
                </w:p>
              </w:tc>
              <w:tc>
                <w:tcPr>
                  <w:tcW w:w="1405" w:type="pct"/>
                  <w:noWrap w:val="0"/>
                  <w:vAlign w:val="center"/>
                </w:tcPr>
                <w:p w14:paraId="67B2BCBE">
                  <w:pPr>
                    <w:widowControl/>
                    <w:adjustRightInd w:val="0"/>
                    <w:snapToGrid w:val="0"/>
                    <w:jc w:val="center"/>
                    <w:rPr>
                      <w:rFonts w:hint="default"/>
                      <w:color w:val="auto"/>
                      <w:szCs w:val="21"/>
                      <w:lang w:val="en-US" w:eastAsia="zh-CN"/>
                    </w:rPr>
                  </w:pPr>
                  <w:r>
                    <w:rPr>
                      <w:rFonts w:hint="eastAsia"/>
                      <w:color w:val="auto"/>
                      <w:szCs w:val="21"/>
                      <w:lang w:val="en-US" w:eastAsia="zh-CN"/>
                    </w:rPr>
                    <w:t>六价铬</w:t>
                  </w:r>
                </w:p>
              </w:tc>
              <w:tc>
                <w:tcPr>
                  <w:tcW w:w="1710" w:type="pct"/>
                  <w:noWrap w:val="0"/>
                  <w:vAlign w:val="center"/>
                </w:tcPr>
                <w:p w14:paraId="38C098DB">
                  <w:pPr>
                    <w:widowControl/>
                    <w:adjustRightInd w:val="0"/>
                    <w:snapToGrid w:val="0"/>
                    <w:jc w:val="center"/>
                    <w:rPr>
                      <w:rFonts w:hint="default"/>
                      <w:color w:val="auto"/>
                      <w:szCs w:val="21"/>
                      <w:lang w:val="en-US" w:eastAsia="zh-CN"/>
                    </w:rPr>
                  </w:pPr>
                  <w:r>
                    <w:rPr>
                      <w:rFonts w:hint="eastAsia"/>
                      <w:color w:val="auto"/>
                      <w:szCs w:val="21"/>
                      <w:lang w:val="en-US" w:eastAsia="zh-CN"/>
                    </w:rPr>
                    <w:t>0.5</w:t>
                  </w:r>
                </w:p>
              </w:tc>
              <w:tc>
                <w:tcPr>
                  <w:tcW w:w="1400" w:type="pct"/>
                  <w:vMerge w:val="continue"/>
                  <w:noWrap w:val="0"/>
                  <w:vAlign w:val="center"/>
                </w:tcPr>
                <w:p w14:paraId="47406D6B">
                  <w:pPr>
                    <w:widowControl/>
                    <w:adjustRightInd w:val="0"/>
                    <w:snapToGrid w:val="0"/>
                    <w:jc w:val="center"/>
                    <w:rPr>
                      <w:rFonts w:hint="eastAsia"/>
                      <w:color w:val="auto"/>
                      <w:szCs w:val="21"/>
                    </w:rPr>
                  </w:pPr>
                </w:p>
              </w:tc>
            </w:tr>
            <w:tr w14:paraId="482538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4" w:type="pct"/>
                  <w:noWrap w:val="0"/>
                  <w:vAlign w:val="center"/>
                </w:tcPr>
                <w:p w14:paraId="4B81A671">
                  <w:pPr>
                    <w:widowControl/>
                    <w:numPr>
                      <w:ilvl w:val="0"/>
                      <w:numId w:val="4"/>
                    </w:numPr>
                    <w:adjustRightInd w:val="0"/>
                    <w:snapToGrid w:val="0"/>
                    <w:jc w:val="center"/>
                    <w:rPr>
                      <w:rFonts w:hint="eastAsia"/>
                      <w:color w:val="auto"/>
                      <w:szCs w:val="21"/>
                    </w:rPr>
                  </w:pPr>
                </w:p>
              </w:tc>
              <w:tc>
                <w:tcPr>
                  <w:tcW w:w="1405" w:type="pct"/>
                  <w:noWrap w:val="0"/>
                  <w:vAlign w:val="center"/>
                </w:tcPr>
                <w:p w14:paraId="07DF78B2">
                  <w:pPr>
                    <w:widowControl/>
                    <w:adjustRightInd w:val="0"/>
                    <w:snapToGrid w:val="0"/>
                    <w:jc w:val="center"/>
                    <w:rPr>
                      <w:rFonts w:hint="default"/>
                      <w:color w:val="auto"/>
                      <w:szCs w:val="21"/>
                      <w:lang w:val="en-US" w:eastAsia="zh-CN"/>
                    </w:rPr>
                  </w:pPr>
                  <w:r>
                    <w:rPr>
                      <w:rFonts w:hint="eastAsia"/>
                      <w:color w:val="auto"/>
                      <w:szCs w:val="21"/>
                      <w:lang w:val="en-US" w:eastAsia="zh-CN"/>
                    </w:rPr>
                    <w:t>总砷</w:t>
                  </w:r>
                </w:p>
              </w:tc>
              <w:tc>
                <w:tcPr>
                  <w:tcW w:w="1710" w:type="pct"/>
                  <w:noWrap w:val="0"/>
                  <w:vAlign w:val="center"/>
                </w:tcPr>
                <w:p w14:paraId="6B9D71B5">
                  <w:pPr>
                    <w:widowControl/>
                    <w:adjustRightInd w:val="0"/>
                    <w:snapToGrid w:val="0"/>
                    <w:jc w:val="center"/>
                    <w:rPr>
                      <w:rFonts w:hint="default"/>
                      <w:color w:val="auto"/>
                      <w:szCs w:val="21"/>
                      <w:lang w:val="en-US" w:eastAsia="zh-CN"/>
                    </w:rPr>
                  </w:pPr>
                  <w:r>
                    <w:rPr>
                      <w:rFonts w:hint="eastAsia"/>
                      <w:color w:val="auto"/>
                      <w:szCs w:val="21"/>
                      <w:lang w:val="en-US" w:eastAsia="zh-CN"/>
                    </w:rPr>
                    <w:t>0.5</w:t>
                  </w:r>
                </w:p>
              </w:tc>
              <w:tc>
                <w:tcPr>
                  <w:tcW w:w="1400" w:type="pct"/>
                  <w:vMerge w:val="continue"/>
                  <w:noWrap w:val="0"/>
                  <w:vAlign w:val="center"/>
                </w:tcPr>
                <w:p w14:paraId="623DB549">
                  <w:pPr>
                    <w:widowControl/>
                    <w:adjustRightInd w:val="0"/>
                    <w:snapToGrid w:val="0"/>
                    <w:jc w:val="center"/>
                    <w:rPr>
                      <w:rFonts w:hint="eastAsia"/>
                      <w:color w:val="auto"/>
                      <w:szCs w:val="21"/>
                    </w:rPr>
                  </w:pPr>
                </w:p>
              </w:tc>
            </w:tr>
            <w:tr w14:paraId="245D38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84" w:type="pct"/>
                  <w:noWrap w:val="0"/>
                  <w:vAlign w:val="center"/>
                </w:tcPr>
                <w:p w14:paraId="2CBDF53C">
                  <w:pPr>
                    <w:widowControl/>
                    <w:numPr>
                      <w:ilvl w:val="0"/>
                      <w:numId w:val="4"/>
                    </w:numPr>
                    <w:adjustRightInd w:val="0"/>
                    <w:snapToGrid w:val="0"/>
                    <w:jc w:val="center"/>
                    <w:rPr>
                      <w:rFonts w:hint="eastAsia"/>
                      <w:color w:val="auto"/>
                      <w:szCs w:val="21"/>
                    </w:rPr>
                  </w:pPr>
                </w:p>
              </w:tc>
              <w:tc>
                <w:tcPr>
                  <w:tcW w:w="1405" w:type="pct"/>
                  <w:noWrap w:val="0"/>
                  <w:vAlign w:val="center"/>
                </w:tcPr>
                <w:p w14:paraId="0260EA01">
                  <w:pPr>
                    <w:widowControl/>
                    <w:adjustRightInd w:val="0"/>
                    <w:snapToGrid w:val="0"/>
                    <w:jc w:val="center"/>
                    <w:rPr>
                      <w:rFonts w:hint="default"/>
                      <w:color w:val="auto"/>
                      <w:szCs w:val="21"/>
                      <w:lang w:val="en-US" w:eastAsia="zh-CN"/>
                    </w:rPr>
                  </w:pPr>
                  <w:r>
                    <w:rPr>
                      <w:rFonts w:hint="eastAsia"/>
                      <w:color w:val="auto"/>
                      <w:szCs w:val="21"/>
                      <w:lang w:val="en-US" w:eastAsia="zh-CN"/>
                    </w:rPr>
                    <w:t>总铅</w:t>
                  </w:r>
                </w:p>
              </w:tc>
              <w:tc>
                <w:tcPr>
                  <w:tcW w:w="1710" w:type="pct"/>
                  <w:noWrap w:val="0"/>
                  <w:vAlign w:val="center"/>
                </w:tcPr>
                <w:p w14:paraId="079B7DA4">
                  <w:pPr>
                    <w:widowControl/>
                    <w:adjustRightInd w:val="0"/>
                    <w:snapToGrid w:val="0"/>
                    <w:jc w:val="center"/>
                    <w:rPr>
                      <w:rFonts w:hint="default"/>
                      <w:color w:val="auto"/>
                      <w:szCs w:val="21"/>
                      <w:lang w:val="en-US" w:eastAsia="zh-CN"/>
                    </w:rPr>
                  </w:pPr>
                  <w:r>
                    <w:rPr>
                      <w:rFonts w:hint="eastAsia"/>
                      <w:color w:val="auto"/>
                      <w:szCs w:val="21"/>
                      <w:lang w:val="en-US" w:eastAsia="zh-CN"/>
                    </w:rPr>
                    <w:t>1.0</w:t>
                  </w:r>
                </w:p>
              </w:tc>
              <w:tc>
                <w:tcPr>
                  <w:tcW w:w="1400" w:type="pct"/>
                  <w:vMerge w:val="continue"/>
                  <w:noWrap w:val="0"/>
                  <w:vAlign w:val="center"/>
                </w:tcPr>
                <w:p w14:paraId="02293D1A">
                  <w:pPr>
                    <w:widowControl/>
                    <w:adjustRightInd w:val="0"/>
                    <w:snapToGrid w:val="0"/>
                    <w:jc w:val="center"/>
                    <w:rPr>
                      <w:rFonts w:hint="eastAsia"/>
                      <w:color w:val="auto"/>
                      <w:szCs w:val="21"/>
                    </w:rPr>
                  </w:pPr>
                </w:p>
              </w:tc>
            </w:tr>
            <w:tr w14:paraId="070E7D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84" w:type="pct"/>
                  <w:noWrap w:val="0"/>
                  <w:vAlign w:val="center"/>
                </w:tcPr>
                <w:p w14:paraId="509FF878">
                  <w:pPr>
                    <w:widowControl/>
                    <w:numPr>
                      <w:ilvl w:val="0"/>
                      <w:numId w:val="4"/>
                    </w:numPr>
                    <w:adjustRightInd w:val="0"/>
                    <w:snapToGrid w:val="0"/>
                    <w:jc w:val="center"/>
                    <w:rPr>
                      <w:rFonts w:hint="eastAsia"/>
                      <w:color w:val="auto"/>
                      <w:szCs w:val="21"/>
                    </w:rPr>
                  </w:pPr>
                </w:p>
              </w:tc>
              <w:tc>
                <w:tcPr>
                  <w:tcW w:w="1405" w:type="pct"/>
                  <w:noWrap w:val="0"/>
                  <w:vAlign w:val="center"/>
                </w:tcPr>
                <w:p w14:paraId="5ED6C752">
                  <w:pPr>
                    <w:widowControl/>
                    <w:adjustRightInd w:val="0"/>
                    <w:snapToGrid w:val="0"/>
                    <w:jc w:val="center"/>
                    <w:rPr>
                      <w:rFonts w:hint="default"/>
                      <w:color w:val="auto"/>
                      <w:szCs w:val="21"/>
                      <w:lang w:val="en-US" w:eastAsia="zh-CN"/>
                    </w:rPr>
                  </w:pPr>
                  <w:r>
                    <w:rPr>
                      <w:rFonts w:hint="eastAsia"/>
                      <w:color w:val="auto"/>
                      <w:szCs w:val="21"/>
                      <w:lang w:val="en-US" w:eastAsia="zh-CN"/>
                    </w:rPr>
                    <w:t>总镍</w:t>
                  </w:r>
                </w:p>
              </w:tc>
              <w:tc>
                <w:tcPr>
                  <w:tcW w:w="1710" w:type="pct"/>
                  <w:noWrap w:val="0"/>
                  <w:vAlign w:val="center"/>
                </w:tcPr>
                <w:p w14:paraId="08F1E01D">
                  <w:pPr>
                    <w:widowControl/>
                    <w:adjustRightInd w:val="0"/>
                    <w:snapToGrid w:val="0"/>
                    <w:jc w:val="center"/>
                    <w:rPr>
                      <w:rFonts w:hint="default"/>
                      <w:color w:val="auto"/>
                      <w:szCs w:val="21"/>
                      <w:lang w:val="en-US" w:eastAsia="zh-CN"/>
                    </w:rPr>
                  </w:pPr>
                  <w:r>
                    <w:rPr>
                      <w:rFonts w:hint="eastAsia"/>
                      <w:color w:val="auto"/>
                      <w:szCs w:val="21"/>
                      <w:lang w:val="en-US" w:eastAsia="zh-CN"/>
                    </w:rPr>
                    <w:t>1.0</w:t>
                  </w:r>
                </w:p>
              </w:tc>
              <w:tc>
                <w:tcPr>
                  <w:tcW w:w="1400" w:type="pct"/>
                  <w:vMerge w:val="continue"/>
                  <w:noWrap w:val="0"/>
                  <w:vAlign w:val="center"/>
                </w:tcPr>
                <w:p w14:paraId="550E6B51">
                  <w:pPr>
                    <w:widowControl/>
                    <w:adjustRightInd w:val="0"/>
                    <w:snapToGrid w:val="0"/>
                    <w:jc w:val="center"/>
                    <w:rPr>
                      <w:rFonts w:hint="eastAsia"/>
                      <w:color w:val="auto"/>
                      <w:szCs w:val="21"/>
                    </w:rPr>
                  </w:pPr>
                </w:p>
              </w:tc>
            </w:tr>
            <w:tr w14:paraId="4212B4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84" w:type="pct"/>
                  <w:noWrap w:val="0"/>
                  <w:vAlign w:val="center"/>
                </w:tcPr>
                <w:p w14:paraId="054FBD6B">
                  <w:pPr>
                    <w:widowControl/>
                    <w:numPr>
                      <w:ilvl w:val="0"/>
                      <w:numId w:val="4"/>
                    </w:numPr>
                    <w:adjustRightInd w:val="0"/>
                    <w:snapToGrid w:val="0"/>
                    <w:jc w:val="center"/>
                    <w:rPr>
                      <w:rFonts w:hint="eastAsia"/>
                      <w:color w:val="auto"/>
                      <w:szCs w:val="21"/>
                    </w:rPr>
                  </w:pPr>
                </w:p>
              </w:tc>
              <w:tc>
                <w:tcPr>
                  <w:tcW w:w="1405" w:type="pct"/>
                  <w:noWrap w:val="0"/>
                  <w:vAlign w:val="center"/>
                </w:tcPr>
                <w:p w14:paraId="70AE34B3">
                  <w:pPr>
                    <w:widowControl/>
                    <w:adjustRightInd w:val="0"/>
                    <w:snapToGrid w:val="0"/>
                    <w:jc w:val="center"/>
                    <w:rPr>
                      <w:rFonts w:hint="eastAsia"/>
                      <w:color w:val="auto"/>
                      <w:szCs w:val="21"/>
                      <w:lang w:val="en-US" w:eastAsia="zh-CN"/>
                    </w:rPr>
                  </w:pPr>
                  <w:r>
                    <w:rPr>
                      <w:rFonts w:hint="eastAsia"/>
                      <w:color w:val="auto"/>
                      <w:szCs w:val="21"/>
                      <w:lang w:val="en-US" w:eastAsia="zh-CN"/>
                    </w:rPr>
                    <w:t>苯并(a)芘</w:t>
                  </w:r>
                </w:p>
              </w:tc>
              <w:tc>
                <w:tcPr>
                  <w:tcW w:w="1710" w:type="pct"/>
                  <w:noWrap w:val="0"/>
                  <w:vAlign w:val="center"/>
                </w:tcPr>
                <w:p w14:paraId="6AFAB444">
                  <w:pPr>
                    <w:widowControl/>
                    <w:adjustRightInd w:val="0"/>
                    <w:snapToGrid w:val="0"/>
                    <w:jc w:val="center"/>
                    <w:rPr>
                      <w:rFonts w:hint="default"/>
                      <w:color w:val="auto"/>
                      <w:szCs w:val="21"/>
                      <w:lang w:val="en-US" w:eastAsia="zh-CN"/>
                    </w:rPr>
                  </w:pPr>
                  <w:r>
                    <w:rPr>
                      <w:rFonts w:hint="eastAsia"/>
                      <w:color w:val="auto"/>
                      <w:szCs w:val="21"/>
                      <w:lang w:val="en-US" w:eastAsia="zh-CN"/>
                    </w:rPr>
                    <w:t>0.00003</w:t>
                  </w:r>
                </w:p>
              </w:tc>
              <w:tc>
                <w:tcPr>
                  <w:tcW w:w="1400" w:type="pct"/>
                  <w:vMerge w:val="continue"/>
                  <w:noWrap w:val="0"/>
                  <w:vAlign w:val="center"/>
                </w:tcPr>
                <w:p w14:paraId="30E941DF">
                  <w:pPr>
                    <w:widowControl/>
                    <w:adjustRightInd w:val="0"/>
                    <w:snapToGrid w:val="0"/>
                    <w:jc w:val="center"/>
                    <w:rPr>
                      <w:rFonts w:hint="eastAsia"/>
                      <w:color w:val="auto"/>
                      <w:szCs w:val="21"/>
                    </w:rPr>
                  </w:pPr>
                </w:p>
              </w:tc>
            </w:tr>
            <w:tr w14:paraId="7EE964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84" w:type="pct"/>
                  <w:noWrap w:val="0"/>
                  <w:vAlign w:val="center"/>
                </w:tcPr>
                <w:p w14:paraId="10EC1E09">
                  <w:pPr>
                    <w:widowControl/>
                    <w:numPr>
                      <w:ilvl w:val="0"/>
                      <w:numId w:val="4"/>
                    </w:numPr>
                    <w:adjustRightInd w:val="0"/>
                    <w:snapToGrid w:val="0"/>
                    <w:jc w:val="center"/>
                    <w:rPr>
                      <w:rFonts w:hint="eastAsia"/>
                      <w:color w:val="auto"/>
                      <w:szCs w:val="21"/>
                    </w:rPr>
                  </w:pPr>
                </w:p>
              </w:tc>
              <w:tc>
                <w:tcPr>
                  <w:tcW w:w="1405" w:type="pct"/>
                  <w:noWrap w:val="0"/>
                  <w:vAlign w:val="center"/>
                </w:tcPr>
                <w:p w14:paraId="5A8228DB">
                  <w:pPr>
                    <w:widowControl/>
                    <w:adjustRightInd w:val="0"/>
                    <w:snapToGrid w:val="0"/>
                    <w:jc w:val="center"/>
                    <w:rPr>
                      <w:rFonts w:hint="eastAsia"/>
                      <w:color w:val="auto"/>
                      <w:szCs w:val="21"/>
                      <w:lang w:val="en-US" w:eastAsia="zh-CN"/>
                    </w:rPr>
                  </w:pPr>
                  <w:r>
                    <w:rPr>
                      <w:rFonts w:hint="eastAsia"/>
                      <w:color w:val="auto"/>
                      <w:szCs w:val="21"/>
                      <w:lang w:val="en-US" w:eastAsia="zh-CN"/>
                    </w:rPr>
                    <w:t>总铍</w:t>
                  </w:r>
                </w:p>
              </w:tc>
              <w:tc>
                <w:tcPr>
                  <w:tcW w:w="1710" w:type="pct"/>
                  <w:noWrap w:val="0"/>
                  <w:vAlign w:val="center"/>
                </w:tcPr>
                <w:p w14:paraId="4684718C">
                  <w:pPr>
                    <w:widowControl/>
                    <w:adjustRightInd w:val="0"/>
                    <w:snapToGrid w:val="0"/>
                    <w:jc w:val="center"/>
                    <w:rPr>
                      <w:rFonts w:hint="default"/>
                      <w:color w:val="auto"/>
                      <w:szCs w:val="21"/>
                      <w:lang w:val="en-US" w:eastAsia="zh-CN"/>
                    </w:rPr>
                  </w:pPr>
                  <w:r>
                    <w:rPr>
                      <w:rFonts w:hint="eastAsia"/>
                      <w:color w:val="auto"/>
                      <w:szCs w:val="21"/>
                      <w:lang w:val="en-US" w:eastAsia="zh-CN"/>
                    </w:rPr>
                    <w:t>0.005</w:t>
                  </w:r>
                </w:p>
              </w:tc>
              <w:tc>
                <w:tcPr>
                  <w:tcW w:w="1400" w:type="pct"/>
                  <w:vMerge w:val="continue"/>
                  <w:noWrap w:val="0"/>
                  <w:vAlign w:val="center"/>
                </w:tcPr>
                <w:p w14:paraId="33C80641">
                  <w:pPr>
                    <w:widowControl/>
                    <w:adjustRightInd w:val="0"/>
                    <w:snapToGrid w:val="0"/>
                    <w:jc w:val="center"/>
                    <w:rPr>
                      <w:rFonts w:hint="eastAsia"/>
                      <w:color w:val="auto"/>
                      <w:szCs w:val="21"/>
                    </w:rPr>
                  </w:pPr>
                </w:p>
              </w:tc>
            </w:tr>
            <w:tr w14:paraId="6A9631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84" w:type="pct"/>
                  <w:noWrap w:val="0"/>
                  <w:vAlign w:val="center"/>
                </w:tcPr>
                <w:p w14:paraId="30341EE1">
                  <w:pPr>
                    <w:widowControl/>
                    <w:numPr>
                      <w:ilvl w:val="0"/>
                      <w:numId w:val="4"/>
                    </w:numPr>
                    <w:adjustRightInd w:val="0"/>
                    <w:snapToGrid w:val="0"/>
                    <w:jc w:val="center"/>
                    <w:rPr>
                      <w:rFonts w:hint="eastAsia"/>
                      <w:color w:val="auto"/>
                      <w:szCs w:val="21"/>
                    </w:rPr>
                  </w:pPr>
                </w:p>
              </w:tc>
              <w:tc>
                <w:tcPr>
                  <w:tcW w:w="1405" w:type="pct"/>
                  <w:noWrap w:val="0"/>
                  <w:vAlign w:val="center"/>
                </w:tcPr>
                <w:p w14:paraId="13F3A532">
                  <w:pPr>
                    <w:widowControl/>
                    <w:adjustRightInd w:val="0"/>
                    <w:snapToGrid w:val="0"/>
                    <w:jc w:val="center"/>
                    <w:rPr>
                      <w:rFonts w:hint="eastAsia"/>
                      <w:color w:val="auto"/>
                      <w:szCs w:val="21"/>
                      <w:lang w:val="en-US" w:eastAsia="zh-CN"/>
                    </w:rPr>
                  </w:pPr>
                  <w:r>
                    <w:rPr>
                      <w:rFonts w:hint="eastAsia"/>
                      <w:color w:val="auto"/>
                      <w:szCs w:val="21"/>
                      <w:lang w:val="en-US" w:eastAsia="zh-CN"/>
                    </w:rPr>
                    <w:t>总银</w:t>
                  </w:r>
                </w:p>
              </w:tc>
              <w:tc>
                <w:tcPr>
                  <w:tcW w:w="1710" w:type="pct"/>
                  <w:noWrap w:val="0"/>
                  <w:vAlign w:val="center"/>
                </w:tcPr>
                <w:p w14:paraId="761224EE">
                  <w:pPr>
                    <w:widowControl/>
                    <w:adjustRightInd w:val="0"/>
                    <w:snapToGrid w:val="0"/>
                    <w:jc w:val="center"/>
                    <w:rPr>
                      <w:rFonts w:hint="default"/>
                      <w:color w:val="auto"/>
                      <w:szCs w:val="21"/>
                      <w:lang w:val="en-US" w:eastAsia="zh-CN"/>
                    </w:rPr>
                  </w:pPr>
                  <w:r>
                    <w:rPr>
                      <w:rFonts w:hint="eastAsia"/>
                      <w:color w:val="auto"/>
                      <w:szCs w:val="21"/>
                      <w:lang w:val="en-US" w:eastAsia="zh-CN"/>
                    </w:rPr>
                    <w:t>0.5</w:t>
                  </w:r>
                </w:p>
              </w:tc>
              <w:tc>
                <w:tcPr>
                  <w:tcW w:w="1400" w:type="pct"/>
                  <w:vMerge w:val="continue"/>
                  <w:noWrap w:val="0"/>
                  <w:vAlign w:val="center"/>
                </w:tcPr>
                <w:p w14:paraId="2F70ED83">
                  <w:pPr>
                    <w:widowControl/>
                    <w:adjustRightInd w:val="0"/>
                    <w:snapToGrid w:val="0"/>
                    <w:jc w:val="center"/>
                    <w:rPr>
                      <w:rFonts w:hint="eastAsia"/>
                      <w:color w:val="auto"/>
                      <w:szCs w:val="21"/>
                    </w:rPr>
                  </w:pPr>
                </w:p>
              </w:tc>
            </w:tr>
          </w:tbl>
          <w:p w14:paraId="1B222162">
            <w:pPr>
              <w:adjustRightInd w:val="0"/>
              <w:snapToGrid w:val="0"/>
              <w:spacing w:before="120" w:beforeLines="50" w:line="360" w:lineRule="auto"/>
              <w:ind w:firstLine="520" w:firstLineChars="200"/>
              <w:rPr>
                <w:rFonts w:hint="default" w:eastAsia="宋体"/>
                <w:color w:val="auto"/>
                <w:spacing w:val="10"/>
                <w:sz w:val="24"/>
                <w:lang w:val="en-US" w:eastAsia="zh-CN"/>
              </w:rPr>
            </w:pPr>
            <w:r>
              <w:rPr>
                <w:rFonts w:hint="eastAsia"/>
                <w:color w:val="auto"/>
                <w:spacing w:val="10"/>
                <w:sz w:val="24"/>
              </w:rPr>
              <w:t>3、</w:t>
            </w:r>
            <w:r>
              <w:rPr>
                <w:rFonts w:hint="eastAsia"/>
                <w:color w:val="auto"/>
                <w:spacing w:val="10"/>
                <w:sz w:val="24"/>
                <w:lang w:val="en-US" w:eastAsia="zh-CN"/>
              </w:rPr>
              <w:t>噪声排放标准</w:t>
            </w:r>
          </w:p>
          <w:p w14:paraId="13B02088">
            <w:pPr>
              <w:adjustRightInd w:val="0"/>
              <w:snapToGrid w:val="0"/>
              <w:spacing w:before="120" w:beforeLines="50" w:line="360" w:lineRule="auto"/>
              <w:ind w:firstLine="520" w:firstLineChars="200"/>
              <w:rPr>
                <w:color w:val="auto"/>
                <w:spacing w:val="10"/>
                <w:sz w:val="24"/>
              </w:rPr>
            </w:pPr>
            <w:r>
              <w:rPr>
                <w:rFonts w:hint="eastAsia"/>
                <w:color w:val="auto"/>
                <w:spacing w:val="10"/>
                <w:sz w:val="24"/>
              </w:rPr>
              <w:t>施工期噪声执行</w:t>
            </w:r>
            <w:r>
              <w:rPr>
                <w:color w:val="0000FF"/>
                <w:spacing w:val="10"/>
                <w:sz w:val="24"/>
              </w:rPr>
              <w:t>《建筑施工噪声排放标准》（GB12523-20</w:t>
            </w:r>
            <w:r>
              <w:rPr>
                <w:rFonts w:hint="eastAsia"/>
                <w:color w:val="0000FF"/>
                <w:spacing w:val="10"/>
                <w:sz w:val="24"/>
                <w:lang w:val="en-US" w:eastAsia="zh-CN"/>
              </w:rPr>
              <w:t>25</w:t>
            </w:r>
            <w:r>
              <w:rPr>
                <w:color w:val="0000FF"/>
                <w:spacing w:val="10"/>
                <w:sz w:val="24"/>
              </w:rPr>
              <w:t>）</w:t>
            </w:r>
            <w:r>
              <w:rPr>
                <w:rFonts w:hint="eastAsia"/>
                <w:color w:val="auto"/>
                <w:spacing w:val="10"/>
                <w:sz w:val="24"/>
              </w:rPr>
              <w:t>；运营期厂界噪声执行</w:t>
            </w:r>
            <w:r>
              <w:rPr>
                <w:color w:val="auto"/>
                <w:spacing w:val="10"/>
                <w:sz w:val="24"/>
              </w:rPr>
              <w:t>《工业企业厂界环境噪声排放标准》</w:t>
            </w:r>
            <w:r>
              <w:rPr>
                <w:rFonts w:hint="eastAsia"/>
                <w:color w:val="auto"/>
                <w:spacing w:val="10"/>
                <w:sz w:val="24"/>
              </w:rPr>
              <w:t>（</w:t>
            </w:r>
            <w:r>
              <w:rPr>
                <w:color w:val="auto"/>
                <w:spacing w:val="10"/>
                <w:sz w:val="24"/>
              </w:rPr>
              <w:t>GB12348-2008</w:t>
            </w:r>
            <w:r>
              <w:rPr>
                <w:rFonts w:hint="eastAsia"/>
                <w:color w:val="auto"/>
                <w:spacing w:val="10"/>
                <w:sz w:val="24"/>
              </w:rPr>
              <w:t>）</w:t>
            </w:r>
            <w:r>
              <w:rPr>
                <w:color w:val="auto"/>
                <w:spacing w:val="10"/>
                <w:sz w:val="24"/>
              </w:rPr>
              <w:t>中的3类标准</w:t>
            </w:r>
            <w:r>
              <w:rPr>
                <w:rFonts w:hint="eastAsia"/>
                <w:color w:val="auto"/>
                <w:spacing w:val="10"/>
                <w:sz w:val="24"/>
              </w:rPr>
              <w:t>。</w:t>
            </w:r>
          </w:p>
          <w:p w14:paraId="2E98D292">
            <w:pPr>
              <w:adjustRightInd w:val="0"/>
              <w:snapToGrid w:val="0"/>
              <w:jc w:val="center"/>
              <w:rPr>
                <w:b/>
                <w:bCs/>
                <w:color w:val="auto"/>
                <w:szCs w:val="21"/>
              </w:rPr>
            </w:pPr>
            <w:r>
              <w:rPr>
                <w:rFonts w:hint="eastAsia"/>
                <w:b/>
                <w:bCs/>
                <w:color w:val="auto"/>
                <w:szCs w:val="21"/>
              </w:rPr>
              <w:t>表</w:t>
            </w:r>
            <w:r>
              <w:rPr>
                <w:b/>
                <w:bCs/>
                <w:color w:val="auto"/>
                <w:szCs w:val="21"/>
              </w:rPr>
              <w:t>3</w:t>
            </w:r>
            <w:r>
              <w:rPr>
                <w:rFonts w:hint="eastAsia"/>
                <w:b/>
                <w:bCs/>
                <w:color w:val="auto"/>
                <w:szCs w:val="21"/>
              </w:rPr>
              <w:t>-</w:t>
            </w:r>
            <w:r>
              <w:rPr>
                <w:b/>
                <w:bCs/>
                <w:color w:val="auto"/>
                <w:szCs w:val="21"/>
              </w:rPr>
              <w:t xml:space="preserve">6   </w:t>
            </w:r>
            <w:r>
              <w:rPr>
                <w:rFonts w:hint="eastAsia"/>
                <w:b/>
                <w:bCs/>
                <w:color w:val="auto"/>
                <w:szCs w:val="21"/>
              </w:rPr>
              <w:t>厂界环境噪声排放限值</w:t>
            </w:r>
          </w:p>
          <w:tbl>
            <w:tblPr>
              <w:tblStyle w:val="2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083"/>
              <w:gridCol w:w="1348"/>
              <w:gridCol w:w="6136"/>
            </w:tblGrid>
            <w:tr w14:paraId="1B970C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1419" w:type="pct"/>
                  <w:gridSpan w:val="2"/>
                  <w:noWrap w:val="0"/>
                  <w:vAlign w:val="center"/>
                </w:tcPr>
                <w:p w14:paraId="19903DD4">
                  <w:pPr>
                    <w:widowControl/>
                    <w:adjustRightInd w:val="0"/>
                    <w:snapToGrid w:val="0"/>
                    <w:jc w:val="center"/>
                    <w:rPr>
                      <w:color w:val="auto"/>
                      <w:szCs w:val="21"/>
                    </w:rPr>
                  </w:pPr>
                  <w:r>
                    <w:rPr>
                      <w:rFonts w:hint="eastAsia"/>
                      <w:color w:val="auto"/>
                      <w:szCs w:val="21"/>
                    </w:rPr>
                    <w:t>噪声排放限值</w:t>
                  </w:r>
                  <w:r>
                    <w:rPr>
                      <w:color w:val="auto"/>
                      <w:szCs w:val="21"/>
                    </w:rPr>
                    <w:t>dB</w:t>
                  </w:r>
                  <w:r>
                    <w:rPr>
                      <w:rFonts w:hint="eastAsia"/>
                      <w:color w:val="auto"/>
                      <w:szCs w:val="21"/>
                    </w:rPr>
                    <w:t>（</w:t>
                  </w:r>
                  <w:r>
                    <w:rPr>
                      <w:color w:val="auto"/>
                      <w:szCs w:val="21"/>
                    </w:rPr>
                    <w:t>A</w:t>
                  </w:r>
                  <w:r>
                    <w:rPr>
                      <w:rFonts w:hint="eastAsia"/>
                      <w:color w:val="auto"/>
                      <w:szCs w:val="21"/>
                    </w:rPr>
                    <w:t>）</w:t>
                  </w:r>
                </w:p>
              </w:tc>
              <w:tc>
                <w:tcPr>
                  <w:tcW w:w="3581" w:type="pct"/>
                  <w:vMerge w:val="restart"/>
                  <w:noWrap w:val="0"/>
                  <w:vAlign w:val="center"/>
                </w:tcPr>
                <w:p w14:paraId="0696FE0F">
                  <w:pPr>
                    <w:widowControl/>
                    <w:adjustRightInd w:val="0"/>
                    <w:snapToGrid w:val="0"/>
                    <w:jc w:val="center"/>
                    <w:rPr>
                      <w:color w:val="auto"/>
                      <w:szCs w:val="21"/>
                    </w:rPr>
                  </w:pPr>
                  <w:r>
                    <w:rPr>
                      <w:rFonts w:hint="eastAsia"/>
                      <w:color w:val="auto"/>
                      <w:szCs w:val="21"/>
                    </w:rPr>
                    <w:t>标准来源</w:t>
                  </w:r>
                </w:p>
              </w:tc>
            </w:tr>
            <w:tr w14:paraId="78ABCC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632" w:type="pct"/>
                  <w:noWrap w:val="0"/>
                  <w:vAlign w:val="center"/>
                </w:tcPr>
                <w:p w14:paraId="3B936B97">
                  <w:pPr>
                    <w:widowControl/>
                    <w:adjustRightInd w:val="0"/>
                    <w:snapToGrid w:val="0"/>
                    <w:jc w:val="center"/>
                    <w:rPr>
                      <w:color w:val="auto"/>
                      <w:szCs w:val="21"/>
                    </w:rPr>
                  </w:pPr>
                  <w:r>
                    <w:rPr>
                      <w:rFonts w:hint="eastAsia"/>
                      <w:color w:val="auto"/>
                      <w:szCs w:val="21"/>
                    </w:rPr>
                    <w:t>昼间</w:t>
                  </w:r>
                </w:p>
              </w:tc>
              <w:tc>
                <w:tcPr>
                  <w:tcW w:w="787" w:type="pct"/>
                  <w:noWrap w:val="0"/>
                  <w:vAlign w:val="center"/>
                </w:tcPr>
                <w:p w14:paraId="5673DBB2">
                  <w:pPr>
                    <w:widowControl/>
                    <w:adjustRightInd w:val="0"/>
                    <w:snapToGrid w:val="0"/>
                    <w:jc w:val="center"/>
                    <w:rPr>
                      <w:color w:val="auto"/>
                      <w:szCs w:val="21"/>
                    </w:rPr>
                  </w:pPr>
                  <w:r>
                    <w:rPr>
                      <w:rFonts w:hint="eastAsia"/>
                      <w:color w:val="auto"/>
                      <w:szCs w:val="21"/>
                    </w:rPr>
                    <w:t>夜间</w:t>
                  </w:r>
                </w:p>
              </w:tc>
              <w:tc>
                <w:tcPr>
                  <w:tcW w:w="3581" w:type="pct"/>
                  <w:vMerge w:val="continue"/>
                  <w:noWrap w:val="0"/>
                  <w:vAlign w:val="center"/>
                </w:tcPr>
                <w:p w14:paraId="0D188AAC">
                  <w:pPr>
                    <w:widowControl/>
                    <w:adjustRightInd w:val="0"/>
                    <w:snapToGrid w:val="0"/>
                    <w:jc w:val="center"/>
                    <w:rPr>
                      <w:color w:val="auto"/>
                      <w:szCs w:val="21"/>
                    </w:rPr>
                  </w:pPr>
                </w:p>
              </w:tc>
            </w:tr>
            <w:tr w14:paraId="362C07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3" w:hRule="atLeast"/>
              </w:trPr>
              <w:tc>
                <w:tcPr>
                  <w:tcW w:w="632" w:type="pct"/>
                  <w:noWrap w:val="0"/>
                  <w:vAlign w:val="center"/>
                </w:tcPr>
                <w:p w14:paraId="6BE70D94">
                  <w:pPr>
                    <w:widowControl/>
                    <w:adjustRightInd w:val="0"/>
                    <w:snapToGrid w:val="0"/>
                    <w:jc w:val="center"/>
                    <w:rPr>
                      <w:color w:val="auto"/>
                      <w:szCs w:val="21"/>
                    </w:rPr>
                  </w:pPr>
                  <w:r>
                    <w:rPr>
                      <w:color w:val="auto"/>
                      <w:szCs w:val="21"/>
                    </w:rPr>
                    <w:t>70</w:t>
                  </w:r>
                </w:p>
              </w:tc>
              <w:tc>
                <w:tcPr>
                  <w:tcW w:w="787" w:type="pct"/>
                  <w:noWrap w:val="0"/>
                  <w:vAlign w:val="center"/>
                </w:tcPr>
                <w:p w14:paraId="15F1F0B5">
                  <w:pPr>
                    <w:widowControl/>
                    <w:adjustRightInd w:val="0"/>
                    <w:snapToGrid w:val="0"/>
                    <w:jc w:val="center"/>
                    <w:rPr>
                      <w:color w:val="auto"/>
                      <w:szCs w:val="21"/>
                    </w:rPr>
                  </w:pPr>
                  <w:r>
                    <w:rPr>
                      <w:color w:val="auto"/>
                      <w:szCs w:val="21"/>
                    </w:rPr>
                    <w:t>55</w:t>
                  </w:r>
                </w:p>
              </w:tc>
              <w:tc>
                <w:tcPr>
                  <w:tcW w:w="3581" w:type="pct"/>
                  <w:noWrap w:val="0"/>
                  <w:vAlign w:val="center"/>
                </w:tcPr>
                <w:p w14:paraId="7CF56B56">
                  <w:pPr>
                    <w:widowControl/>
                    <w:adjustRightInd w:val="0"/>
                    <w:snapToGrid w:val="0"/>
                    <w:jc w:val="center"/>
                    <w:rPr>
                      <w:color w:val="auto"/>
                      <w:szCs w:val="21"/>
                    </w:rPr>
                  </w:pPr>
                  <w:r>
                    <w:rPr>
                      <w:rFonts w:hint="eastAsia"/>
                      <w:color w:val="0000FF"/>
                      <w:szCs w:val="21"/>
                    </w:rPr>
                    <w:t>《建筑施工噪声排放标准》（</w:t>
                  </w:r>
                  <w:r>
                    <w:rPr>
                      <w:color w:val="0000FF"/>
                      <w:szCs w:val="21"/>
                    </w:rPr>
                    <w:t>GB12523-20</w:t>
                  </w:r>
                  <w:r>
                    <w:rPr>
                      <w:rFonts w:hint="eastAsia"/>
                      <w:color w:val="0000FF"/>
                      <w:szCs w:val="21"/>
                      <w:lang w:val="en-US" w:eastAsia="zh-CN"/>
                    </w:rPr>
                    <w:t>25</w:t>
                  </w:r>
                  <w:r>
                    <w:rPr>
                      <w:rFonts w:hint="eastAsia"/>
                      <w:color w:val="0000FF"/>
                      <w:szCs w:val="21"/>
                    </w:rPr>
                    <w:t>）</w:t>
                  </w:r>
                </w:p>
              </w:tc>
            </w:tr>
            <w:tr w14:paraId="0D6B03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632" w:type="pct"/>
                  <w:noWrap w:val="0"/>
                  <w:vAlign w:val="center"/>
                </w:tcPr>
                <w:p w14:paraId="5A6A21B9">
                  <w:pPr>
                    <w:widowControl/>
                    <w:adjustRightInd w:val="0"/>
                    <w:snapToGrid w:val="0"/>
                    <w:jc w:val="center"/>
                    <w:rPr>
                      <w:color w:val="auto"/>
                      <w:szCs w:val="21"/>
                    </w:rPr>
                  </w:pPr>
                  <w:r>
                    <w:rPr>
                      <w:rFonts w:hint="eastAsia"/>
                      <w:color w:val="auto"/>
                      <w:szCs w:val="21"/>
                    </w:rPr>
                    <w:t>6</w:t>
                  </w:r>
                  <w:r>
                    <w:rPr>
                      <w:color w:val="auto"/>
                      <w:szCs w:val="21"/>
                    </w:rPr>
                    <w:t>5</w:t>
                  </w:r>
                </w:p>
              </w:tc>
              <w:tc>
                <w:tcPr>
                  <w:tcW w:w="787" w:type="pct"/>
                  <w:noWrap w:val="0"/>
                  <w:vAlign w:val="center"/>
                </w:tcPr>
                <w:p w14:paraId="3EF90934">
                  <w:pPr>
                    <w:widowControl/>
                    <w:adjustRightInd w:val="0"/>
                    <w:snapToGrid w:val="0"/>
                    <w:jc w:val="center"/>
                    <w:rPr>
                      <w:color w:val="auto"/>
                      <w:szCs w:val="21"/>
                    </w:rPr>
                  </w:pPr>
                  <w:r>
                    <w:rPr>
                      <w:color w:val="auto"/>
                      <w:szCs w:val="21"/>
                    </w:rPr>
                    <w:t>55</w:t>
                  </w:r>
                </w:p>
              </w:tc>
              <w:tc>
                <w:tcPr>
                  <w:tcW w:w="3581" w:type="pct"/>
                  <w:noWrap w:val="0"/>
                  <w:vAlign w:val="center"/>
                </w:tcPr>
                <w:p w14:paraId="036C806F">
                  <w:pPr>
                    <w:widowControl/>
                    <w:adjustRightInd w:val="0"/>
                    <w:snapToGrid w:val="0"/>
                    <w:jc w:val="center"/>
                    <w:rPr>
                      <w:rFonts w:hint="eastAsia"/>
                      <w:color w:val="auto"/>
                      <w:szCs w:val="21"/>
                    </w:rPr>
                  </w:pPr>
                  <w:r>
                    <w:rPr>
                      <w:rFonts w:hint="eastAsia"/>
                      <w:color w:val="auto"/>
                      <w:szCs w:val="21"/>
                    </w:rPr>
                    <w:t>《工业企业厂界环境噪声排放标准》（</w:t>
                  </w:r>
                  <w:r>
                    <w:rPr>
                      <w:color w:val="auto"/>
                      <w:szCs w:val="21"/>
                    </w:rPr>
                    <w:t>GB12348-20</w:t>
                  </w:r>
                  <w:r>
                    <w:rPr>
                      <w:rFonts w:hint="eastAsia"/>
                      <w:color w:val="auto"/>
                      <w:szCs w:val="21"/>
                    </w:rPr>
                    <w:t>08）</w:t>
                  </w:r>
                  <w:r>
                    <w:rPr>
                      <w:color w:val="auto"/>
                      <w:szCs w:val="21"/>
                    </w:rPr>
                    <w:t>3</w:t>
                  </w:r>
                  <w:r>
                    <w:rPr>
                      <w:rFonts w:hint="eastAsia"/>
                      <w:color w:val="auto"/>
                      <w:szCs w:val="21"/>
                    </w:rPr>
                    <w:t>类</w:t>
                  </w:r>
                </w:p>
              </w:tc>
            </w:tr>
          </w:tbl>
          <w:p w14:paraId="4706F331">
            <w:pPr>
              <w:adjustRightInd w:val="0"/>
              <w:snapToGrid w:val="0"/>
              <w:spacing w:before="120" w:beforeLines="50" w:line="360" w:lineRule="auto"/>
              <w:ind w:firstLine="520" w:firstLineChars="200"/>
              <w:rPr>
                <w:rFonts w:hint="eastAsia" w:eastAsia="宋体"/>
                <w:color w:val="auto"/>
                <w:spacing w:val="10"/>
                <w:sz w:val="24"/>
                <w:lang w:val="en-US" w:eastAsia="zh-CN"/>
              </w:rPr>
            </w:pPr>
            <w:r>
              <w:rPr>
                <w:color w:val="auto"/>
                <w:spacing w:val="10"/>
                <w:sz w:val="24"/>
              </w:rPr>
              <w:t>4</w:t>
            </w:r>
            <w:r>
              <w:rPr>
                <w:rFonts w:hint="eastAsia"/>
                <w:color w:val="auto"/>
                <w:spacing w:val="10"/>
                <w:sz w:val="24"/>
              </w:rPr>
              <w:t>、</w:t>
            </w:r>
            <w:r>
              <w:rPr>
                <w:rFonts w:hint="eastAsia"/>
                <w:color w:val="auto"/>
                <w:spacing w:val="10"/>
                <w:sz w:val="24"/>
                <w:lang w:val="en-US" w:eastAsia="zh-CN"/>
              </w:rPr>
              <w:t>固体废物</w:t>
            </w:r>
          </w:p>
          <w:p w14:paraId="13B2F133">
            <w:pPr>
              <w:adjustRightInd w:val="0"/>
              <w:snapToGrid w:val="0"/>
              <w:spacing w:before="120" w:beforeLines="50" w:line="360" w:lineRule="auto"/>
              <w:ind w:firstLine="520" w:firstLineChars="200"/>
              <w:rPr>
                <w:rFonts w:hint="eastAsia"/>
                <w:color w:val="auto"/>
                <w:spacing w:val="10"/>
                <w:sz w:val="24"/>
              </w:rPr>
            </w:pPr>
            <w:r>
              <w:rPr>
                <w:color w:val="auto"/>
                <w:spacing w:val="10"/>
                <w:sz w:val="24"/>
              </w:rPr>
              <w:t>一般工业固体废物排放执行《</w:t>
            </w:r>
            <w:r>
              <w:rPr>
                <w:rFonts w:hint="eastAsia"/>
                <w:color w:val="auto"/>
                <w:spacing w:val="10"/>
                <w:sz w:val="24"/>
              </w:rPr>
              <w:t>一般工业固体废物贮存和填埋污染控制标准</w:t>
            </w:r>
            <w:r>
              <w:rPr>
                <w:color w:val="auto"/>
                <w:spacing w:val="10"/>
                <w:sz w:val="24"/>
              </w:rPr>
              <w:t>》（GB18599-2020）</w:t>
            </w:r>
            <w:r>
              <w:rPr>
                <w:rFonts w:hint="eastAsia"/>
                <w:color w:val="auto"/>
                <w:spacing w:val="10"/>
                <w:sz w:val="24"/>
              </w:rPr>
              <w:t>；危险废物暂存</w:t>
            </w:r>
            <w:r>
              <w:rPr>
                <w:rFonts w:hint="eastAsia"/>
                <w:color w:val="auto"/>
                <w:spacing w:val="10"/>
                <w:sz w:val="24"/>
                <w:lang w:val="en-US" w:eastAsia="zh-CN"/>
              </w:rPr>
              <w:t>执行</w:t>
            </w:r>
            <w:r>
              <w:rPr>
                <w:rFonts w:hint="eastAsia"/>
                <w:color w:val="auto"/>
                <w:spacing w:val="10"/>
                <w:sz w:val="24"/>
              </w:rPr>
              <w:t>《危险废物贮存污染控制标准》</w:t>
            </w:r>
            <w:r>
              <w:rPr>
                <w:rFonts w:hint="eastAsia"/>
                <w:color w:val="auto"/>
                <w:spacing w:val="10"/>
                <w:sz w:val="24"/>
                <w:lang w:val="en-US" w:eastAsia="zh-CN"/>
              </w:rPr>
              <w:t>（GB18597-2023）</w:t>
            </w:r>
            <w:r>
              <w:rPr>
                <w:color w:val="auto"/>
                <w:spacing w:val="10"/>
                <w:sz w:val="24"/>
              </w:rPr>
              <w:t>。</w:t>
            </w:r>
          </w:p>
        </w:tc>
      </w:tr>
      <w:tr w14:paraId="755C3CC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889" w:hRule="atLeast"/>
          <w:jc w:val="center"/>
        </w:trPr>
        <w:tc>
          <w:tcPr>
            <w:tcW w:w="265" w:type="pct"/>
            <w:noWrap w:val="0"/>
            <w:vAlign w:val="center"/>
          </w:tcPr>
          <w:p w14:paraId="63D1FB7D">
            <w:pPr>
              <w:adjustRightInd w:val="0"/>
              <w:snapToGrid w:val="0"/>
              <w:jc w:val="center"/>
              <w:rPr>
                <w:rFonts w:ascii="宋体" w:hAnsi="宋体" w:cs="宋体"/>
                <w:color w:val="auto"/>
                <w:kern w:val="0"/>
                <w:szCs w:val="21"/>
              </w:rPr>
            </w:pPr>
            <w:r>
              <w:rPr>
                <w:rFonts w:hint="eastAsia" w:ascii="宋体" w:hAnsi="宋体" w:cs="宋体"/>
                <w:color w:val="auto"/>
                <w:kern w:val="0"/>
                <w:sz w:val="24"/>
              </w:rPr>
              <w:t>总量控制指标</w:t>
            </w:r>
          </w:p>
        </w:tc>
        <w:tc>
          <w:tcPr>
            <w:tcW w:w="4734" w:type="pct"/>
            <w:noWrap w:val="0"/>
            <w:vAlign w:val="center"/>
          </w:tcPr>
          <w:p w14:paraId="32C512C4">
            <w:pPr>
              <w:wordWrap w:val="0"/>
              <w:topLinePunct/>
              <w:spacing w:line="360" w:lineRule="auto"/>
              <w:ind w:firstLine="480" w:firstLineChars="200"/>
              <w:rPr>
                <w:rFonts w:hint="default" w:eastAsia="宋体"/>
                <w:color w:val="auto"/>
                <w:sz w:val="24"/>
                <w:szCs w:val="24"/>
                <w:lang w:val="en-US" w:eastAsia="zh-CN"/>
              </w:rPr>
            </w:pPr>
            <w:r>
              <w:rPr>
                <w:color w:val="auto"/>
                <w:kern w:val="0"/>
                <w:sz w:val="24"/>
                <w:szCs w:val="32"/>
              </w:rPr>
              <w:t>“十四五”期间，国家将继续实施主要污染物总量控制制度，将化学需氧量、氨氮、氮氧化物、挥发性有机物等4项污染物作为约束性指标进行考核</w:t>
            </w:r>
            <w:r>
              <w:rPr>
                <w:rFonts w:hint="eastAsia"/>
                <w:color w:val="auto"/>
                <w:kern w:val="0"/>
                <w:sz w:val="24"/>
                <w:szCs w:val="32"/>
              </w:rPr>
              <w:t>。</w:t>
            </w:r>
            <w:r>
              <w:rPr>
                <w:rFonts w:hint="eastAsia"/>
                <w:color w:val="FF0000"/>
                <w:kern w:val="0"/>
                <w:sz w:val="24"/>
                <w:szCs w:val="32"/>
                <w:lang w:val="en-US" w:eastAsia="zh-CN"/>
              </w:rPr>
              <w:t>根据项目工程分析，项目无需申请总量控制指标。</w:t>
            </w:r>
          </w:p>
        </w:tc>
      </w:tr>
    </w:tbl>
    <w:p w14:paraId="6238E008">
      <w:pPr>
        <w:pStyle w:val="23"/>
        <w:jc w:val="center"/>
        <w:outlineLvl w:val="0"/>
        <w:rPr>
          <w:rFonts w:hint="eastAsia" w:ascii="黑体" w:hAnsi="黑体" w:eastAsia="黑体"/>
          <w:snapToGrid w:val="0"/>
          <w:color w:val="auto"/>
          <w:sz w:val="30"/>
          <w:szCs w:val="30"/>
        </w:rPr>
        <w:sectPr>
          <w:pgSz w:w="11907" w:h="16840"/>
          <w:pgMar w:top="1418" w:right="1418" w:bottom="1418" w:left="1418" w:header="851" w:footer="851" w:gutter="0"/>
          <w:pgBorders>
            <w:top w:val="none" w:sz="0" w:space="0"/>
            <w:left w:val="none" w:sz="0" w:space="0"/>
            <w:bottom w:val="none" w:sz="0" w:space="0"/>
            <w:right w:val="none" w:sz="0" w:space="0"/>
          </w:pgBorders>
          <w:cols w:space="720" w:num="1"/>
          <w:docGrid w:linePitch="312" w:charSpace="0"/>
        </w:sectPr>
      </w:pPr>
    </w:p>
    <w:p w14:paraId="07B45617">
      <w:pPr>
        <w:pStyle w:val="23"/>
        <w:jc w:val="center"/>
        <w:outlineLvl w:val="0"/>
        <w:rPr>
          <w:rFonts w:ascii="黑体" w:hAnsi="黑体" w:eastAsia="黑体"/>
          <w:snapToGrid w:val="0"/>
          <w:color w:val="auto"/>
          <w:sz w:val="30"/>
          <w:szCs w:val="30"/>
        </w:rPr>
      </w:pPr>
      <w:r>
        <w:rPr>
          <w:rFonts w:hint="eastAsia" w:ascii="黑体" w:hAnsi="黑体" w:eastAsia="黑体"/>
          <w:snapToGrid w:val="0"/>
          <w:color w:val="auto"/>
          <w:sz w:val="30"/>
          <w:szCs w:val="30"/>
        </w:rPr>
        <w:t>四、主要环境影响和保护措施</w:t>
      </w:r>
    </w:p>
    <w:tbl>
      <w:tblPr>
        <w:tblStyle w:val="28"/>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571"/>
        <w:gridCol w:w="8488"/>
      </w:tblGrid>
      <w:tr w14:paraId="7A94FFA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19" w:hRule="atLeast"/>
          <w:jc w:val="center"/>
        </w:trPr>
        <w:tc>
          <w:tcPr>
            <w:tcW w:w="571" w:type="dxa"/>
            <w:noWrap w:val="0"/>
            <w:tcMar>
              <w:left w:w="28" w:type="dxa"/>
              <w:right w:w="28" w:type="dxa"/>
            </w:tcMar>
            <w:vAlign w:val="center"/>
          </w:tcPr>
          <w:p w14:paraId="182D8F48">
            <w:pPr>
              <w:pStyle w:val="23"/>
              <w:adjustRightInd w:val="0"/>
              <w:snapToGrid w:val="0"/>
              <w:spacing w:before="0" w:beforeAutospacing="0" w:after="0" w:afterAutospacing="0" w:line="520" w:lineRule="exact"/>
              <w:jc w:val="center"/>
              <w:rPr>
                <w:rFonts w:hint="eastAsia" w:cs="宋体"/>
                <w:bCs/>
                <w:color w:val="auto"/>
                <w:kern w:val="2"/>
                <w:sz w:val="21"/>
                <w:szCs w:val="21"/>
              </w:rPr>
            </w:pPr>
            <w:r>
              <w:rPr>
                <w:rFonts w:hint="eastAsia" w:cs="宋体"/>
                <w:color w:val="auto"/>
                <w:szCs w:val="24"/>
              </w:rPr>
              <w:t>施工期环境保护措施</w:t>
            </w:r>
          </w:p>
        </w:tc>
        <w:tc>
          <w:tcPr>
            <w:tcW w:w="8488" w:type="dxa"/>
            <w:noWrap w:val="0"/>
            <w:vAlign w:val="center"/>
          </w:tcPr>
          <w:p w14:paraId="5A91CF2E">
            <w:pPr>
              <w:pBdr>
                <w:top w:val="none" w:color="auto" w:sz="0" w:space="1"/>
                <w:left w:val="none" w:color="auto" w:sz="0" w:space="4"/>
                <w:bottom w:val="none" w:color="auto" w:sz="0" w:space="1"/>
                <w:right w:val="none" w:color="auto" w:sz="0" w:space="4"/>
              </w:pBdr>
              <w:adjustRightInd w:val="0"/>
              <w:snapToGrid w:val="0"/>
              <w:spacing w:before="120" w:beforeLines="50" w:line="360" w:lineRule="auto"/>
              <w:rPr>
                <w:b/>
                <w:color w:val="auto"/>
                <w:szCs w:val="21"/>
              </w:rPr>
            </w:pPr>
            <w:r>
              <w:rPr>
                <w:b/>
                <w:bCs/>
                <w:color w:val="auto"/>
                <w:szCs w:val="21"/>
              </w:rPr>
              <w:t>1</w:t>
            </w:r>
            <w:r>
              <w:rPr>
                <w:rFonts w:hint="eastAsia"/>
                <w:b/>
                <w:bCs/>
                <w:color w:val="auto"/>
                <w:szCs w:val="21"/>
              </w:rPr>
              <w:t>施工</w:t>
            </w:r>
            <w:r>
              <w:rPr>
                <w:rFonts w:hint="eastAsia"/>
                <w:b/>
                <w:color w:val="auto"/>
                <w:szCs w:val="21"/>
              </w:rPr>
              <w:t>扬尘防治措施</w:t>
            </w:r>
          </w:p>
          <w:p w14:paraId="2DA2BCDD">
            <w:pPr>
              <w:spacing w:line="360" w:lineRule="auto"/>
              <w:ind w:firstLine="480" w:firstLineChars="200"/>
              <w:jc w:val="left"/>
              <w:rPr>
                <w:color w:val="auto"/>
                <w:sz w:val="24"/>
              </w:rPr>
            </w:pPr>
            <w:r>
              <w:rPr>
                <w:color w:val="auto"/>
                <w:sz w:val="24"/>
              </w:rPr>
              <w:t>本项目</w:t>
            </w:r>
            <w:r>
              <w:rPr>
                <w:rFonts w:hint="eastAsia"/>
                <w:color w:val="auto"/>
                <w:sz w:val="24"/>
              </w:rPr>
              <w:t>租赁</w:t>
            </w:r>
            <w:r>
              <w:rPr>
                <w:color w:val="auto"/>
                <w:sz w:val="24"/>
              </w:rPr>
              <w:t>已建厂房进行建设。项目施工期仅进行厂房装修及设备的安装调试等，故主要大气污染主要为材料运输、装卸、安装设施时产生的扬尘。</w:t>
            </w:r>
            <w:r>
              <w:rPr>
                <w:rFonts w:hint="eastAsia"/>
                <w:color w:val="auto"/>
                <w:sz w:val="24"/>
              </w:rPr>
              <w:t>本次环评要求建设单位</w:t>
            </w:r>
            <w:r>
              <w:rPr>
                <w:color w:val="auto"/>
                <w:sz w:val="24"/>
              </w:rPr>
              <w:t>施工期内应注意以下几点：</w:t>
            </w:r>
          </w:p>
          <w:p w14:paraId="0438A7C4">
            <w:pPr>
              <w:spacing w:line="360" w:lineRule="auto"/>
              <w:ind w:firstLine="480" w:firstLineChars="200"/>
              <w:jc w:val="left"/>
              <w:rPr>
                <w:color w:val="auto"/>
                <w:sz w:val="24"/>
              </w:rPr>
            </w:pPr>
            <w:r>
              <w:rPr>
                <w:color w:val="auto"/>
                <w:sz w:val="24"/>
              </w:rPr>
              <w:t>①项目在施工准备期应该制定合理的施工计划，严格划定作业区域，加强施工队伍环境管理</w:t>
            </w:r>
            <w:r>
              <w:rPr>
                <w:rFonts w:hint="eastAsia"/>
                <w:color w:val="auto"/>
                <w:sz w:val="24"/>
                <w:lang w:eastAsia="zh-CN"/>
              </w:rPr>
              <w:t>，把</w:t>
            </w:r>
            <w:r>
              <w:rPr>
                <w:color w:val="auto"/>
                <w:sz w:val="24"/>
              </w:rPr>
              <w:t>责任落实到位。施工人员进场前应对其进行环保培训，加强其环保意识。</w:t>
            </w:r>
          </w:p>
          <w:p w14:paraId="5F25FFEE">
            <w:pPr>
              <w:spacing w:line="360" w:lineRule="auto"/>
              <w:ind w:firstLine="480" w:firstLineChars="200"/>
              <w:jc w:val="left"/>
              <w:rPr>
                <w:color w:val="auto"/>
                <w:sz w:val="24"/>
              </w:rPr>
            </w:pPr>
            <w:r>
              <w:rPr>
                <w:color w:val="auto"/>
                <w:sz w:val="24"/>
              </w:rPr>
              <w:t>②严禁敞开式作业</w:t>
            </w:r>
            <w:r>
              <w:rPr>
                <w:rFonts w:hint="eastAsia"/>
                <w:color w:val="auto"/>
                <w:sz w:val="24"/>
              </w:rPr>
              <w:t>，</w:t>
            </w:r>
            <w:r>
              <w:rPr>
                <w:color w:val="auto"/>
                <w:sz w:val="24"/>
              </w:rPr>
              <w:t>安装时进行必要的洒水抑尘措施。</w:t>
            </w:r>
          </w:p>
          <w:p w14:paraId="22A496C3">
            <w:pPr>
              <w:spacing w:line="360" w:lineRule="auto"/>
              <w:ind w:firstLine="480" w:firstLineChars="200"/>
              <w:jc w:val="left"/>
              <w:rPr>
                <w:color w:val="auto"/>
                <w:sz w:val="24"/>
              </w:rPr>
            </w:pPr>
            <w:r>
              <w:rPr>
                <w:color w:val="auto"/>
                <w:sz w:val="24"/>
              </w:rPr>
              <w:t>③禁止露天堆放建筑材料，搬运时轻拿轻放，防止包装袋的破裂。</w:t>
            </w:r>
          </w:p>
          <w:p w14:paraId="2CC7C342">
            <w:pPr>
              <w:spacing w:line="360" w:lineRule="auto"/>
              <w:ind w:firstLine="480" w:firstLineChars="200"/>
              <w:jc w:val="left"/>
              <w:rPr>
                <w:color w:val="auto"/>
                <w:sz w:val="24"/>
              </w:rPr>
            </w:pPr>
            <w:r>
              <w:rPr>
                <w:rFonts w:hint="eastAsia" w:ascii="宋体" w:hAnsi="宋体" w:cs="宋体"/>
                <w:color w:val="auto"/>
                <w:sz w:val="24"/>
              </w:rPr>
              <w:t>④</w:t>
            </w:r>
            <w:r>
              <w:rPr>
                <w:color w:val="auto"/>
                <w:sz w:val="24"/>
              </w:rPr>
              <w:t>运输散装物料的车辆，特别是运输建筑垃圾、建筑材料等易产生扬尘物料的车辆，装载高度不得超过车槽，必须封盖严密，不得撒漏；运输车辆需控制车速。</w:t>
            </w:r>
          </w:p>
          <w:p w14:paraId="410941E0">
            <w:pPr>
              <w:pBdr>
                <w:top w:val="none" w:color="auto" w:sz="0" w:space="1"/>
                <w:left w:val="none" w:color="auto" w:sz="0" w:space="4"/>
                <w:bottom w:val="none" w:color="auto" w:sz="0" w:space="1"/>
                <w:right w:val="none" w:color="auto" w:sz="0" w:space="4"/>
              </w:pBdr>
              <w:adjustRightInd w:val="0"/>
              <w:snapToGrid w:val="0"/>
              <w:spacing w:line="360" w:lineRule="auto"/>
              <w:ind w:firstLine="480" w:firstLineChars="200"/>
              <w:rPr>
                <w:color w:val="auto"/>
                <w:szCs w:val="21"/>
              </w:rPr>
            </w:pPr>
            <w:r>
              <w:rPr>
                <w:color w:val="auto"/>
                <w:sz w:val="24"/>
              </w:rPr>
              <w:t>在采取以上施工扬尘的防治措施后，可有效的减轻扬尘污染，改善施工现场的作业环境。</w:t>
            </w:r>
            <w:r>
              <w:rPr>
                <w:rFonts w:hint="eastAsia"/>
                <w:color w:val="auto"/>
                <w:sz w:val="24"/>
              </w:rPr>
              <w:t>项目</w:t>
            </w:r>
            <w:r>
              <w:rPr>
                <w:color w:val="auto"/>
                <w:sz w:val="24"/>
              </w:rPr>
              <w:t>施工期</w:t>
            </w:r>
            <w:r>
              <w:rPr>
                <w:rFonts w:hint="eastAsia"/>
                <w:color w:val="auto"/>
                <w:sz w:val="24"/>
              </w:rPr>
              <w:t>较短</w:t>
            </w:r>
            <w:r>
              <w:rPr>
                <w:color w:val="auto"/>
                <w:sz w:val="24"/>
              </w:rPr>
              <w:t>，落实好防范措施可使扬尘危害降到最低</w:t>
            </w:r>
            <w:r>
              <w:rPr>
                <w:color w:val="auto"/>
                <w:szCs w:val="21"/>
              </w:rPr>
              <w:t>。</w:t>
            </w:r>
          </w:p>
          <w:p w14:paraId="639F01BC">
            <w:pPr>
              <w:pBdr>
                <w:top w:val="none" w:color="auto" w:sz="0" w:space="1"/>
                <w:left w:val="none" w:color="auto" w:sz="0" w:space="4"/>
                <w:bottom w:val="none" w:color="auto" w:sz="0" w:space="1"/>
                <w:right w:val="none" w:color="auto" w:sz="0" w:space="4"/>
              </w:pBdr>
              <w:tabs>
                <w:tab w:val="center" w:pos="4153"/>
                <w:tab w:val="right" w:pos="8306"/>
              </w:tabs>
              <w:adjustRightInd w:val="0"/>
              <w:snapToGrid w:val="0"/>
              <w:spacing w:line="360" w:lineRule="auto"/>
              <w:rPr>
                <w:b/>
                <w:bCs/>
                <w:color w:val="auto"/>
                <w:kern w:val="24"/>
                <w:sz w:val="24"/>
              </w:rPr>
            </w:pPr>
            <w:r>
              <w:rPr>
                <w:b/>
                <w:bCs/>
                <w:color w:val="auto"/>
                <w:kern w:val="24"/>
                <w:sz w:val="24"/>
              </w:rPr>
              <w:t>2</w:t>
            </w:r>
            <w:r>
              <w:rPr>
                <w:rFonts w:hint="eastAsia"/>
                <w:b/>
                <w:bCs/>
                <w:color w:val="auto"/>
                <w:kern w:val="24"/>
                <w:sz w:val="24"/>
              </w:rPr>
              <w:t xml:space="preserve"> 废水防治措施</w:t>
            </w:r>
          </w:p>
          <w:p w14:paraId="30C235E7">
            <w:pPr>
              <w:spacing w:line="360" w:lineRule="auto"/>
              <w:ind w:firstLine="480" w:firstLineChars="200"/>
              <w:rPr>
                <w:color w:val="auto"/>
                <w:sz w:val="24"/>
                <w:szCs w:val="32"/>
              </w:rPr>
            </w:pPr>
            <w:r>
              <w:rPr>
                <w:color w:val="auto"/>
                <w:sz w:val="24"/>
                <w:szCs w:val="32"/>
              </w:rPr>
              <w:t>施工期废水主要产生于生活污水和施工废水。本项目施工期废水主要采取如下防治措施：</w:t>
            </w:r>
          </w:p>
          <w:p w14:paraId="213983DA">
            <w:pPr>
              <w:spacing w:line="360" w:lineRule="auto"/>
              <w:ind w:firstLine="480" w:firstLineChars="200"/>
              <w:rPr>
                <w:color w:val="auto"/>
                <w:sz w:val="24"/>
                <w:szCs w:val="32"/>
              </w:rPr>
            </w:pPr>
            <w:r>
              <w:rPr>
                <w:color w:val="auto"/>
                <w:sz w:val="24"/>
                <w:szCs w:val="32"/>
              </w:rPr>
              <w:t>①施工人员生活污水：生活污水</w:t>
            </w:r>
            <w:r>
              <w:rPr>
                <w:rFonts w:hint="eastAsia"/>
                <w:color w:val="auto"/>
                <w:sz w:val="24"/>
                <w:szCs w:val="32"/>
              </w:rPr>
              <w:t>依托</w:t>
            </w:r>
            <w:r>
              <w:rPr>
                <w:rFonts w:hint="eastAsia"/>
                <w:color w:val="auto"/>
                <w:sz w:val="24"/>
                <w:szCs w:val="32"/>
                <w:lang w:val="en-US" w:eastAsia="zh-CN"/>
              </w:rPr>
              <w:t>现有办公室</w:t>
            </w:r>
            <w:r>
              <w:rPr>
                <w:rFonts w:hint="eastAsia"/>
                <w:color w:val="auto"/>
                <w:sz w:val="24"/>
                <w:szCs w:val="32"/>
              </w:rPr>
              <w:t>卫生间排入</w:t>
            </w:r>
            <w:r>
              <w:rPr>
                <w:rFonts w:hint="eastAsia"/>
                <w:color w:val="auto"/>
                <w:sz w:val="24"/>
                <w:szCs w:val="32"/>
                <w:lang w:val="en-US" w:eastAsia="zh-CN"/>
              </w:rPr>
              <w:t>租用厂房已建化粪池</w:t>
            </w:r>
            <w:r>
              <w:rPr>
                <w:color w:val="auto"/>
                <w:sz w:val="24"/>
                <w:szCs w:val="32"/>
              </w:rPr>
              <w:t>，对周围环境影响很小；</w:t>
            </w:r>
          </w:p>
          <w:p w14:paraId="290335C2">
            <w:pPr>
              <w:spacing w:line="360" w:lineRule="auto"/>
              <w:ind w:firstLine="480" w:firstLineChars="200"/>
              <w:rPr>
                <w:color w:val="auto"/>
                <w:sz w:val="24"/>
                <w:szCs w:val="32"/>
              </w:rPr>
            </w:pPr>
            <w:r>
              <w:rPr>
                <w:color w:val="auto"/>
                <w:sz w:val="24"/>
                <w:szCs w:val="32"/>
              </w:rPr>
              <w:t>②</w:t>
            </w:r>
            <w:r>
              <w:rPr>
                <w:rFonts w:hint="eastAsia"/>
                <w:color w:val="auto"/>
                <w:sz w:val="24"/>
                <w:szCs w:val="32"/>
              </w:rPr>
              <w:t>施工废水</w:t>
            </w:r>
            <w:r>
              <w:rPr>
                <w:color w:val="auto"/>
                <w:sz w:val="24"/>
                <w:szCs w:val="32"/>
              </w:rPr>
              <w:t>：施工废水主要为来自清洗设备、材料等所产生的污水，此部分污水中的污染物质主要是SS，不含有其他有毒有害物质</w:t>
            </w:r>
            <w:r>
              <w:rPr>
                <w:rFonts w:hint="eastAsia"/>
                <w:color w:val="auto"/>
                <w:sz w:val="24"/>
                <w:szCs w:val="32"/>
              </w:rPr>
              <w:t>，</w:t>
            </w:r>
            <w:r>
              <w:rPr>
                <w:color w:val="auto"/>
                <w:sz w:val="24"/>
                <w:szCs w:val="32"/>
              </w:rPr>
              <w:t>施工废水选用简易沉淀法，在施工场地临时设置1个20m</w:t>
            </w:r>
            <w:r>
              <w:rPr>
                <w:color w:val="auto"/>
                <w:sz w:val="24"/>
                <w:szCs w:val="32"/>
                <w:vertAlign w:val="superscript"/>
              </w:rPr>
              <w:t>3</w:t>
            </w:r>
            <w:r>
              <w:rPr>
                <w:color w:val="auto"/>
                <w:sz w:val="24"/>
                <w:szCs w:val="32"/>
              </w:rPr>
              <w:t>的废水沉淀池，用防水布或塑料薄膜进行防渗，沉淀两小时以上后，澄清废水回用施工</w:t>
            </w:r>
            <w:r>
              <w:rPr>
                <w:rFonts w:hint="eastAsia"/>
                <w:color w:val="auto"/>
                <w:sz w:val="24"/>
                <w:szCs w:val="32"/>
              </w:rPr>
              <w:t>。</w:t>
            </w:r>
          </w:p>
          <w:p w14:paraId="4EBE1161">
            <w:pPr>
              <w:pBdr>
                <w:top w:val="none" w:color="auto" w:sz="0" w:space="1"/>
                <w:left w:val="none" w:color="auto" w:sz="0" w:space="4"/>
                <w:bottom w:val="none" w:color="auto" w:sz="0" w:space="1"/>
                <w:right w:val="none" w:color="auto" w:sz="0" w:space="4"/>
              </w:pBdr>
              <w:tabs>
                <w:tab w:val="center" w:pos="4153"/>
                <w:tab w:val="right" w:pos="8306"/>
              </w:tabs>
              <w:adjustRightInd w:val="0"/>
              <w:snapToGrid w:val="0"/>
              <w:spacing w:line="360" w:lineRule="auto"/>
              <w:rPr>
                <w:b/>
                <w:bCs/>
                <w:color w:val="auto"/>
                <w:kern w:val="24"/>
                <w:sz w:val="24"/>
              </w:rPr>
            </w:pPr>
            <w:r>
              <w:rPr>
                <w:b/>
                <w:bCs/>
                <w:color w:val="auto"/>
                <w:kern w:val="24"/>
                <w:sz w:val="24"/>
              </w:rPr>
              <w:t>3</w:t>
            </w:r>
            <w:r>
              <w:rPr>
                <w:rFonts w:hint="eastAsia"/>
                <w:b/>
                <w:bCs/>
                <w:color w:val="auto"/>
                <w:kern w:val="24"/>
                <w:sz w:val="24"/>
              </w:rPr>
              <w:t xml:space="preserve"> 噪声防治措施</w:t>
            </w:r>
          </w:p>
          <w:p w14:paraId="4C1ACD20">
            <w:pPr>
              <w:pStyle w:val="5"/>
              <w:keepNext w:val="0"/>
              <w:keepLines w:val="0"/>
              <w:ind w:firstLine="480"/>
              <w:jc w:val="left"/>
              <w:rPr>
                <w:bCs/>
                <w:color w:val="auto"/>
                <w:sz w:val="24"/>
              </w:rPr>
            </w:pPr>
            <w:r>
              <w:rPr>
                <w:rFonts w:hint="eastAsia"/>
                <w:bCs/>
                <w:color w:val="auto"/>
                <w:sz w:val="24"/>
              </w:rPr>
              <w:t>项目无土建施工，施工期噪声主要</w:t>
            </w:r>
            <w:r>
              <w:rPr>
                <w:rFonts w:hint="eastAsia"/>
                <w:bCs/>
                <w:color w:val="auto"/>
                <w:sz w:val="24"/>
                <w:lang w:eastAsia="zh-CN"/>
              </w:rPr>
              <w:t>来自</w:t>
            </w:r>
            <w:r>
              <w:rPr>
                <w:rFonts w:hint="eastAsia"/>
                <w:bCs/>
                <w:color w:val="auto"/>
                <w:sz w:val="24"/>
              </w:rPr>
              <w:t>室内设备安装、调试及装修的噪声，厂房内设备安装调试均在厂房内进行，经厂房隔声、距离衰减，施工期噪声对</w:t>
            </w:r>
            <w:r>
              <w:rPr>
                <w:bCs/>
                <w:color w:val="auto"/>
                <w:sz w:val="24"/>
              </w:rPr>
              <w:t>周边</w:t>
            </w:r>
            <w:r>
              <w:rPr>
                <w:rFonts w:hint="eastAsia"/>
                <w:bCs/>
                <w:color w:val="auto"/>
                <w:sz w:val="24"/>
              </w:rPr>
              <w:t>声环境影响较小。</w:t>
            </w:r>
          </w:p>
          <w:p w14:paraId="283DF107">
            <w:pPr>
              <w:adjustRightInd w:val="0"/>
              <w:spacing w:line="360" w:lineRule="auto"/>
              <w:ind w:firstLine="480" w:firstLineChars="200"/>
              <w:rPr>
                <w:color w:val="auto"/>
                <w:sz w:val="24"/>
              </w:rPr>
            </w:pPr>
            <w:r>
              <w:rPr>
                <w:color w:val="auto"/>
                <w:sz w:val="24"/>
              </w:rPr>
              <w:t>为尽量减小施工噪声对周围环境的影响</w:t>
            </w:r>
            <w:r>
              <w:rPr>
                <w:rFonts w:hint="eastAsia"/>
                <w:color w:val="auto"/>
                <w:sz w:val="24"/>
              </w:rPr>
              <w:t>，本次环评提出以下噪声防治措施：</w:t>
            </w:r>
          </w:p>
          <w:p w14:paraId="4305824A">
            <w:pPr>
              <w:adjustRightInd w:val="0"/>
              <w:spacing w:line="360" w:lineRule="auto"/>
              <w:ind w:firstLine="480" w:firstLineChars="200"/>
              <w:rPr>
                <w:color w:val="auto"/>
                <w:sz w:val="24"/>
              </w:rPr>
            </w:pPr>
            <w:r>
              <w:rPr>
                <w:color w:val="auto"/>
                <w:sz w:val="24"/>
              </w:rPr>
              <w:t>①施工时选用噪声符合国家相关标准的施工设备。加强设备维护和保养，保持机械润滑，减少运行噪声。同时加强管理，以减少因施工设备维护和保养不当产生的噪声。</w:t>
            </w:r>
          </w:p>
          <w:p w14:paraId="56AF99BA">
            <w:pPr>
              <w:adjustRightInd w:val="0"/>
              <w:spacing w:line="360" w:lineRule="auto"/>
              <w:ind w:firstLine="480" w:firstLineChars="200"/>
              <w:rPr>
                <w:color w:val="auto"/>
                <w:sz w:val="24"/>
              </w:rPr>
            </w:pPr>
            <w:r>
              <w:rPr>
                <w:color w:val="auto"/>
                <w:sz w:val="24"/>
              </w:rPr>
              <w:t>②加强施工管理，优化施工场地布置，尽可能将高噪声设备远离</w:t>
            </w:r>
            <w:r>
              <w:rPr>
                <w:rFonts w:hint="eastAsia"/>
                <w:color w:val="auto"/>
                <w:sz w:val="24"/>
              </w:rPr>
              <w:t>厂界。</w:t>
            </w:r>
          </w:p>
          <w:p w14:paraId="0CF38DF6">
            <w:pPr>
              <w:adjustRightInd w:val="0"/>
              <w:spacing w:line="360" w:lineRule="auto"/>
              <w:ind w:firstLine="480" w:firstLineChars="200"/>
              <w:rPr>
                <w:color w:val="auto"/>
                <w:sz w:val="24"/>
              </w:rPr>
            </w:pPr>
            <w:r>
              <w:rPr>
                <w:color w:val="auto"/>
                <w:sz w:val="24"/>
              </w:rPr>
              <w:t>③高噪声施工设备尽量安排在日间作业，减少夜间施工量。</w:t>
            </w:r>
          </w:p>
          <w:p w14:paraId="4BD15AB6">
            <w:pPr>
              <w:pStyle w:val="91"/>
              <w:ind w:firstLine="480"/>
              <w:rPr>
                <w:color w:val="auto"/>
              </w:rPr>
            </w:pPr>
            <w:r>
              <w:rPr>
                <w:color w:val="auto"/>
              </w:rPr>
              <w:t>通过采取以上措施，施工期产生的噪声可满足《建筑施工场界环境噪声排放标准》（GB12523-2011），对周围环境影响较小。并且施工期噪声影响是一定时间、一定范围的，随着施工期的结束，噪声影响也将随之消失。</w:t>
            </w:r>
          </w:p>
          <w:p w14:paraId="1572BCB7">
            <w:pPr>
              <w:pBdr>
                <w:top w:val="none" w:color="auto" w:sz="0" w:space="1"/>
                <w:left w:val="none" w:color="auto" w:sz="0" w:space="4"/>
                <w:bottom w:val="none" w:color="auto" w:sz="0" w:space="1"/>
                <w:right w:val="none" w:color="auto" w:sz="0" w:space="4"/>
              </w:pBdr>
              <w:tabs>
                <w:tab w:val="center" w:pos="4153"/>
                <w:tab w:val="right" w:pos="8306"/>
              </w:tabs>
              <w:adjustRightInd w:val="0"/>
              <w:snapToGrid w:val="0"/>
              <w:spacing w:line="360" w:lineRule="auto"/>
              <w:rPr>
                <w:b/>
                <w:bCs/>
                <w:color w:val="auto"/>
                <w:kern w:val="24"/>
                <w:sz w:val="24"/>
              </w:rPr>
            </w:pPr>
            <w:r>
              <w:rPr>
                <w:b/>
                <w:bCs/>
                <w:color w:val="auto"/>
                <w:kern w:val="24"/>
                <w:sz w:val="24"/>
              </w:rPr>
              <w:t>4</w:t>
            </w:r>
            <w:r>
              <w:rPr>
                <w:rFonts w:hint="eastAsia"/>
                <w:b/>
                <w:bCs/>
                <w:color w:val="auto"/>
                <w:kern w:val="24"/>
                <w:sz w:val="24"/>
              </w:rPr>
              <w:t>固体废物防治措施</w:t>
            </w:r>
          </w:p>
          <w:p w14:paraId="2B123B16">
            <w:pPr>
              <w:pBdr>
                <w:top w:val="none" w:color="auto" w:sz="0" w:space="1"/>
                <w:left w:val="none" w:color="auto" w:sz="0" w:space="4"/>
                <w:bottom w:val="none" w:color="auto" w:sz="0" w:space="1"/>
                <w:right w:val="none" w:color="auto" w:sz="0" w:space="4"/>
              </w:pBdr>
              <w:adjustRightInd w:val="0"/>
              <w:snapToGrid w:val="0"/>
              <w:spacing w:line="360" w:lineRule="auto"/>
              <w:ind w:firstLine="480" w:firstLineChars="200"/>
              <w:rPr>
                <w:color w:val="auto"/>
                <w:sz w:val="24"/>
              </w:rPr>
            </w:pPr>
            <w:r>
              <w:rPr>
                <w:rFonts w:hint="eastAsia"/>
                <w:color w:val="auto"/>
                <w:sz w:val="24"/>
              </w:rPr>
              <w:t>施工期间，产生的固体废物主要有：设备安装等产生建筑垃圾和施工人员产生的生活垃圾。</w:t>
            </w:r>
          </w:p>
          <w:p w14:paraId="4DFCEBFE">
            <w:pPr>
              <w:pBdr>
                <w:top w:val="none" w:color="auto" w:sz="0" w:space="1"/>
                <w:left w:val="none" w:color="auto" w:sz="0" w:space="4"/>
                <w:bottom w:val="none" w:color="auto" w:sz="0" w:space="1"/>
                <w:right w:val="none" w:color="auto" w:sz="0" w:space="4"/>
              </w:pBdr>
              <w:adjustRightInd w:val="0"/>
              <w:snapToGrid w:val="0"/>
              <w:spacing w:line="360" w:lineRule="auto"/>
              <w:ind w:firstLine="480" w:firstLineChars="200"/>
              <w:rPr>
                <w:rFonts w:hint="eastAsia" w:eastAsia="宋体"/>
                <w:color w:val="auto"/>
                <w:sz w:val="24"/>
                <w:lang w:eastAsia="zh-CN"/>
              </w:rPr>
            </w:pPr>
            <w:r>
              <w:rPr>
                <w:rFonts w:hint="eastAsia"/>
                <w:color w:val="auto"/>
                <w:sz w:val="24"/>
              </w:rPr>
              <w:t>（1）</w:t>
            </w:r>
            <w:r>
              <w:rPr>
                <w:rFonts w:hint="eastAsia"/>
                <w:color w:val="auto"/>
                <w:sz w:val="24"/>
                <w:lang w:val="en-US" w:eastAsia="zh-CN"/>
              </w:rPr>
              <w:t>项目不涉及土建工程，仅进行实验室装修及安装设备，产生的</w:t>
            </w:r>
            <w:r>
              <w:rPr>
                <w:rFonts w:hint="eastAsia"/>
                <w:color w:val="auto"/>
                <w:sz w:val="24"/>
              </w:rPr>
              <w:t>建筑垃圾</w:t>
            </w:r>
            <w:r>
              <w:rPr>
                <w:rFonts w:hint="eastAsia"/>
                <w:color w:val="auto"/>
                <w:sz w:val="24"/>
                <w:lang w:val="en-US" w:eastAsia="zh-CN"/>
              </w:rPr>
              <w:t>主要为</w:t>
            </w:r>
            <w:r>
              <w:rPr>
                <w:b w:val="0"/>
                <w:bCs/>
                <w:color w:val="auto"/>
                <w:sz w:val="24"/>
              </w:rPr>
              <w:t>废包装材料等</w:t>
            </w:r>
            <w:r>
              <w:rPr>
                <w:rFonts w:hint="eastAsia"/>
                <w:b w:val="0"/>
                <w:bCs/>
                <w:color w:val="auto"/>
                <w:sz w:val="24"/>
              </w:rPr>
              <w:t>，</w:t>
            </w:r>
            <w:r>
              <w:rPr>
                <w:rFonts w:hint="eastAsia"/>
                <w:b w:val="0"/>
                <w:bCs/>
                <w:color w:val="auto"/>
                <w:sz w:val="24"/>
                <w:lang w:val="en-US" w:eastAsia="zh-CN"/>
              </w:rPr>
              <w:t>分类收集后</w:t>
            </w:r>
            <w:r>
              <w:rPr>
                <w:rFonts w:hint="eastAsia"/>
                <w:color w:val="auto"/>
                <w:sz w:val="24"/>
              </w:rPr>
              <w:t>外售物资回收公司</w:t>
            </w:r>
            <w:r>
              <w:rPr>
                <w:rFonts w:hint="eastAsia"/>
                <w:color w:val="auto"/>
                <w:sz w:val="24"/>
                <w:lang w:eastAsia="zh-CN"/>
              </w:rPr>
              <w:t>。</w:t>
            </w:r>
          </w:p>
          <w:p w14:paraId="514311D9">
            <w:pPr>
              <w:pBdr>
                <w:top w:val="none" w:color="auto" w:sz="0" w:space="1"/>
                <w:left w:val="none" w:color="auto" w:sz="0" w:space="4"/>
                <w:bottom w:val="none" w:color="auto" w:sz="0" w:space="1"/>
                <w:right w:val="none" w:color="auto" w:sz="0" w:space="4"/>
              </w:pBdr>
              <w:adjustRightInd w:val="0"/>
              <w:snapToGrid w:val="0"/>
              <w:spacing w:line="360" w:lineRule="auto"/>
              <w:ind w:firstLine="480" w:firstLineChars="200"/>
              <w:rPr>
                <w:color w:val="auto"/>
                <w:sz w:val="24"/>
              </w:rPr>
            </w:pPr>
            <w:r>
              <w:rPr>
                <w:rFonts w:hint="eastAsia"/>
                <w:color w:val="auto"/>
                <w:sz w:val="24"/>
              </w:rPr>
              <w:t>（2）施工人员产生的生活垃圾经园区生活垃圾桶分类收集，由环卫部门统一清运，以免对周围环境造成影响。</w:t>
            </w:r>
          </w:p>
          <w:p w14:paraId="7B154A44">
            <w:pPr>
              <w:pStyle w:val="19"/>
              <w:rPr>
                <w:color w:val="auto"/>
                <w:sz w:val="21"/>
                <w:szCs w:val="21"/>
              </w:rPr>
            </w:pPr>
          </w:p>
          <w:p w14:paraId="0CAFC70C">
            <w:pPr>
              <w:pStyle w:val="19"/>
              <w:rPr>
                <w:color w:val="auto"/>
                <w:sz w:val="21"/>
                <w:szCs w:val="21"/>
              </w:rPr>
            </w:pPr>
          </w:p>
          <w:p w14:paraId="227E6CAB">
            <w:pPr>
              <w:pStyle w:val="19"/>
              <w:rPr>
                <w:color w:val="auto"/>
                <w:sz w:val="21"/>
                <w:szCs w:val="21"/>
              </w:rPr>
            </w:pPr>
          </w:p>
          <w:p w14:paraId="656ABBEA">
            <w:pPr>
              <w:pStyle w:val="19"/>
              <w:rPr>
                <w:color w:val="auto"/>
                <w:sz w:val="21"/>
                <w:szCs w:val="21"/>
              </w:rPr>
            </w:pPr>
          </w:p>
          <w:p w14:paraId="0B047BF0">
            <w:pPr>
              <w:pStyle w:val="19"/>
              <w:rPr>
                <w:color w:val="auto"/>
                <w:sz w:val="21"/>
                <w:szCs w:val="21"/>
              </w:rPr>
            </w:pPr>
          </w:p>
          <w:p w14:paraId="3C0BECB9">
            <w:pPr>
              <w:pStyle w:val="19"/>
              <w:rPr>
                <w:color w:val="auto"/>
                <w:sz w:val="21"/>
                <w:szCs w:val="21"/>
              </w:rPr>
            </w:pPr>
          </w:p>
          <w:p w14:paraId="72F3FE1C">
            <w:pPr>
              <w:pStyle w:val="19"/>
              <w:rPr>
                <w:color w:val="auto"/>
                <w:sz w:val="21"/>
                <w:szCs w:val="21"/>
              </w:rPr>
            </w:pPr>
          </w:p>
          <w:p w14:paraId="79B13610">
            <w:pPr>
              <w:pStyle w:val="19"/>
              <w:rPr>
                <w:color w:val="auto"/>
                <w:sz w:val="21"/>
                <w:szCs w:val="21"/>
              </w:rPr>
            </w:pPr>
          </w:p>
          <w:p w14:paraId="5AAF8476">
            <w:pPr>
              <w:pStyle w:val="19"/>
              <w:rPr>
                <w:color w:val="auto"/>
                <w:sz w:val="21"/>
                <w:szCs w:val="21"/>
              </w:rPr>
            </w:pPr>
          </w:p>
          <w:p w14:paraId="68697985">
            <w:pPr>
              <w:pStyle w:val="19"/>
              <w:rPr>
                <w:color w:val="auto"/>
                <w:sz w:val="21"/>
                <w:szCs w:val="21"/>
              </w:rPr>
            </w:pPr>
          </w:p>
          <w:p w14:paraId="5721061F">
            <w:pPr>
              <w:pStyle w:val="19"/>
              <w:rPr>
                <w:color w:val="auto"/>
                <w:sz w:val="21"/>
                <w:szCs w:val="21"/>
              </w:rPr>
            </w:pPr>
          </w:p>
          <w:p w14:paraId="7D3D1C2F">
            <w:pPr>
              <w:pStyle w:val="19"/>
              <w:rPr>
                <w:color w:val="auto"/>
                <w:sz w:val="21"/>
                <w:szCs w:val="21"/>
              </w:rPr>
            </w:pPr>
          </w:p>
          <w:p w14:paraId="36411302">
            <w:pPr>
              <w:pStyle w:val="19"/>
              <w:rPr>
                <w:color w:val="auto"/>
                <w:sz w:val="21"/>
                <w:szCs w:val="21"/>
              </w:rPr>
            </w:pPr>
          </w:p>
          <w:p w14:paraId="6D553FFC">
            <w:pPr>
              <w:pStyle w:val="19"/>
              <w:rPr>
                <w:color w:val="auto"/>
                <w:sz w:val="21"/>
                <w:szCs w:val="21"/>
              </w:rPr>
            </w:pPr>
          </w:p>
          <w:p w14:paraId="41F48AE3">
            <w:pPr>
              <w:pStyle w:val="19"/>
              <w:rPr>
                <w:color w:val="auto"/>
                <w:sz w:val="21"/>
                <w:szCs w:val="21"/>
              </w:rPr>
            </w:pPr>
          </w:p>
          <w:p w14:paraId="06B35146">
            <w:pPr>
              <w:pStyle w:val="19"/>
              <w:rPr>
                <w:color w:val="auto"/>
                <w:sz w:val="21"/>
                <w:szCs w:val="21"/>
              </w:rPr>
            </w:pPr>
          </w:p>
          <w:p w14:paraId="35BE6740">
            <w:pPr>
              <w:pStyle w:val="19"/>
              <w:rPr>
                <w:color w:val="auto"/>
                <w:sz w:val="21"/>
                <w:szCs w:val="21"/>
              </w:rPr>
            </w:pPr>
          </w:p>
          <w:p w14:paraId="67A6C526">
            <w:pPr>
              <w:pStyle w:val="19"/>
              <w:rPr>
                <w:color w:val="auto"/>
                <w:sz w:val="21"/>
                <w:szCs w:val="21"/>
              </w:rPr>
            </w:pPr>
          </w:p>
          <w:p w14:paraId="036A5153">
            <w:pPr>
              <w:pStyle w:val="19"/>
              <w:rPr>
                <w:color w:val="auto"/>
                <w:sz w:val="21"/>
                <w:szCs w:val="21"/>
              </w:rPr>
            </w:pPr>
          </w:p>
          <w:p w14:paraId="62B31237">
            <w:pPr>
              <w:pStyle w:val="19"/>
              <w:rPr>
                <w:color w:val="auto"/>
                <w:sz w:val="21"/>
                <w:szCs w:val="21"/>
              </w:rPr>
            </w:pPr>
          </w:p>
          <w:p w14:paraId="031E9035">
            <w:pPr>
              <w:pStyle w:val="19"/>
              <w:rPr>
                <w:color w:val="auto"/>
                <w:sz w:val="21"/>
                <w:szCs w:val="21"/>
              </w:rPr>
            </w:pPr>
          </w:p>
          <w:p w14:paraId="04E71337">
            <w:pPr>
              <w:pStyle w:val="19"/>
              <w:rPr>
                <w:color w:val="auto"/>
                <w:sz w:val="21"/>
                <w:szCs w:val="21"/>
              </w:rPr>
            </w:pPr>
          </w:p>
          <w:p w14:paraId="4756B6B2">
            <w:pPr>
              <w:pStyle w:val="19"/>
              <w:rPr>
                <w:color w:val="auto"/>
                <w:sz w:val="21"/>
                <w:szCs w:val="21"/>
              </w:rPr>
            </w:pPr>
          </w:p>
          <w:p w14:paraId="749971AC">
            <w:pPr>
              <w:pStyle w:val="19"/>
              <w:rPr>
                <w:color w:val="auto"/>
                <w:sz w:val="21"/>
                <w:szCs w:val="21"/>
              </w:rPr>
            </w:pPr>
          </w:p>
          <w:p w14:paraId="0D8795E9">
            <w:pPr>
              <w:pStyle w:val="19"/>
              <w:rPr>
                <w:color w:val="auto"/>
                <w:sz w:val="21"/>
                <w:szCs w:val="21"/>
              </w:rPr>
            </w:pPr>
          </w:p>
          <w:p w14:paraId="3FD8A818">
            <w:pPr>
              <w:pStyle w:val="19"/>
              <w:rPr>
                <w:rFonts w:hint="eastAsia"/>
                <w:color w:val="auto"/>
                <w:sz w:val="21"/>
                <w:szCs w:val="21"/>
              </w:rPr>
            </w:pPr>
          </w:p>
        </w:tc>
      </w:tr>
    </w:tbl>
    <w:p w14:paraId="491D7EC3">
      <w:pPr>
        <w:adjustRightInd w:val="0"/>
        <w:snapToGrid w:val="0"/>
        <w:spacing w:line="520" w:lineRule="exact"/>
        <w:jc w:val="center"/>
        <w:rPr>
          <w:rFonts w:ascii="宋体" w:hAnsi="宋体" w:cs="宋体"/>
          <w:color w:val="auto"/>
          <w:kern w:val="0"/>
          <w:sz w:val="24"/>
        </w:rPr>
        <w:sectPr>
          <w:pgSz w:w="11907" w:h="16840"/>
          <w:pgMar w:top="1418" w:right="1418" w:bottom="1418" w:left="1418" w:header="851" w:footer="851" w:gutter="0"/>
          <w:pgBorders>
            <w:top w:val="none" w:sz="0" w:space="0"/>
            <w:left w:val="none" w:sz="0" w:space="0"/>
            <w:bottom w:val="none" w:sz="0" w:space="0"/>
            <w:right w:val="none" w:sz="0" w:space="0"/>
          </w:pgBorders>
          <w:cols w:space="720" w:num="1"/>
          <w:docGrid w:linePitch="312" w:charSpace="0"/>
        </w:sectPr>
      </w:pPr>
    </w:p>
    <w:tbl>
      <w:tblPr>
        <w:tblStyle w:val="28"/>
        <w:tblW w:w="5000" w:type="pct"/>
        <w:tblInd w:w="0" w:type="dxa"/>
        <w:tblBorders>
          <w:top w:val="single" w:color="auto" w:sz="4"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682"/>
        <w:gridCol w:w="8605"/>
      </w:tblGrid>
      <w:tr w14:paraId="41797587">
        <w:tblPrEx>
          <w:tblBorders>
            <w:top w:val="single" w:color="auto" w:sz="4"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521" w:hRule="atLeast"/>
        </w:trPr>
        <w:tc>
          <w:tcPr>
            <w:tcW w:w="367" w:type="pct"/>
            <w:tcBorders>
              <w:top w:val="single" w:color="auto" w:sz="4" w:space="0"/>
              <w:left w:val="single" w:color="auto" w:sz="4" w:space="0"/>
              <w:bottom w:val="single" w:color="auto" w:sz="4" w:space="0"/>
              <w:right w:val="single" w:color="auto" w:sz="4" w:space="0"/>
            </w:tcBorders>
            <w:noWrap w:val="0"/>
            <w:vAlign w:val="center"/>
          </w:tcPr>
          <w:p w14:paraId="1375CD95">
            <w:pPr>
              <w:adjustRightInd w:val="0"/>
              <w:snapToGrid w:val="0"/>
              <w:spacing w:line="520" w:lineRule="exact"/>
              <w:jc w:val="center"/>
              <w:rPr>
                <w:rFonts w:hint="eastAsia" w:ascii="宋体" w:hAnsi="宋体" w:cs="宋体"/>
                <w:color w:val="auto"/>
                <w:kern w:val="0"/>
                <w:sz w:val="24"/>
              </w:rPr>
            </w:pPr>
            <w:r>
              <w:rPr>
                <w:rFonts w:hint="eastAsia" w:ascii="宋体" w:hAnsi="宋体" w:cs="宋体"/>
                <w:color w:val="auto"/>
                <w:kern w:val="0"/>
                <w:sz w:val="24"/>
              </w:rPr>
              <w:t>运营期环境影响和保护措施</w:t>
            </w:r>
          </w:p>
        </w:tc>
        <w:tc>
          <w:tcPr>
            <w:tcW w:w="4632" w:type="pct"/>
            <w:tcBorders>
              <w:top w:val="single" w:color="auto" w:sz="4" w:space="0"/>
              <w:left w:val="single" w:color="auto" w:sz="4" w:space="0"/>
              <w:bottom w:val="single" w:color="auto" w:sz="4" w:space="0"/>
              <w:right w:val="single" w:color="auto" w:sz="4" w:space="0"/>
            </w:tcBorders>
            <w:noWrap w:val="0"/>
            <w:vAlign w:val="top"/>
          </w:tcPr>
          <w:p w14:paraId="37E6BB3A">
            <w:pPr>
              <w:pStyle w:val="71"/>
              <w:snapToGrid w:val="0"/>
              <w:spacing w:before="120" w:beforeLines="50" w:line="360" w:lineRule="auto"/>
              <w:rPr>
                <w:b/>
                <w:bCs/>
                <w:color w:val="auto"/>
                <w:sz w:val="24"/>
                <w:szCs w:val="24"/>
              </w:rPr>
            </w:pPr>
            <w:r>
              <w:rPr>
                <w:rFonts w:hint="eastAsia"/>
                <w:b/>
                <w:bCs/>
                <w:color w:val="auto"/>
                <w:sz w:val="24"/>
                <w:szCs w:val="24"/>
              </w:rPr>
              <w:t>1 大气环境影响分析和保护措施</w:t>
            </w:r>
          </w:p>
          <w:p w14:paraId="34949908">
            <w:pPr>
              <w:pStyle w:val="71"/>
              <w:snapToGrid w:val="0"/>
              <w:spacing w:line="360" w:lineRule="auto"/>
              <w:rPr>
                <w:b/>
                <w:bCs/>
                <w:color w:val="auto"/>
                <w:sz w:val="24"/>
                <w:szCs w:val="24"/>
              </w:rPr>
            </w:pPr>
            <w:r>
              <w:rPr>
                <w:rFonts w:hint="eastAsia"/>
                <w:b/>
                <w:bCs/>
                <w:color w:val="auto"/>
                <w:sz w:val="24"/>
                <w:szCs w:val="24"/>
              </w:rPr>
              <w:t>1</w:t>
            </w:r>
            <w:r>
              <w:rPr>
                <w:b/>
                <w:bCs/>
                <w:color w:val="auto"/>
                <w:sz w:val="24"/>
                <w:szCs w:val="24"/>
              </w:rPr>
              <w:t xml:space="preserve">.1 </w:t>
            </w:r>
            <w:r>
              <w:rPr>
                <w:rFonts w:hint="eastAsia"/>
                <w:b/>
                <w:bCs/>
                <w:color w:val="auto"/>
                <w:sz w:val="24"/>
                <w:szCs w:val="24"/>
              </w:rPr>
              <w:t>废气污染源源强核算</w:t>
            </w:r>
          </w:p>
          <w:p w14:paraId="3D4764C9">
            <w:pPr>
              <w:adjustRightInd w:val="0"/>
              <w:snapToGrid w:val="0"/>
              <w:spacing w:line="360" w:lineRule="auto"/>
              <w:ind w:firstLine="480"/>
              <w:rPr>
                <w:rFonts w:hint="default" w:eastAsia="宋体"/>
                <w:color w:val="auto"/>
                <w:kern w:val="24"/>
                <w:sz w:val="24"/>
                <w:lang w:val="en-US" w:eastAsia="zh-CN"/>
              </w:rPr>
            </w:pPr>
            <w:r>
              <w:rPr>
                <w:rFonts w:hint="eastAsia"/>
                <w:color w:val="auto"/>
                <w:kern w:val="24"/>
                <w:sz w:val="24"/>
              </w:rPr>
              <w:t>本项目运营期</w:t>
            </w:r>
            <w:r>
              <w:rPr>
                <w:rFonts w:hint="eastAsia"/>
                <w:color w:val="auto"/>
                <w:kern w:val="24"/>
                <w:sz w:val="24"/>
                <w:lang w:val="en-US" w:eastAsia="zh-CN"/>
              </w:rPr>
              <w:t>产生的废气污染物主要为酸性气体，以及矿物破碎处理产生的颗粒物。实验室所用器皿的敞口面积比较小，且实验过程中均位于通风橱内进行。</w:t>
            </w:r>
          </w:p>
          <w:p w14:paraId="6CAC5D00">
            <w:pPr>
              <w:adjustRightInd w:val="0"/>
              <w:snapToGrid w:val="0"/>
              <w:spacing w:line="360" w:lineRule="auto"/>
              <w:ind w:firstLine="480"/>
              <w:rPr>
                <w:rFonts w:hint="eastAsia"/>
                <w:color w:val="auto"/>
                <w:sz w:val="24"/>
                <w:lang w:val="en-US" w:eastAsia="zh-CN"/>
              </w:rPr>
            </w:pPr>
            <w:r>
              <w:rPr>
                <w:rFonts w:hint="eastAsia"/>
                <w:color w:val="auto"/>
                <w:sz w:val="24"/>
                <w:lang w:eastAsia="zh-CN"/>
              </w:rPr>
              <w:t>（</w:t>
            </w:r>
            <w:r>
              <w:rPr>
                <w:rFonts w:hint="eastAsia"/>
                <w:color w:val="auto"/>
                <w:sz w:val="24"/>
                <w:lang w:val="en-US" w:eastAsia="zh-CN"/>
              </w:rPr>
              <w:t>1</w:t>
            </w:r>
            <w:r>
              <w:rPr>
                <w:rFonts w:hint="eastAsia"/>
                <w:color w:val="auto"/>
                <w:sz w:val="24"/>
                <w:lang w:eastAsia="zh-CN"/>
              </w:rPr>
              <w:t>）</w:t>
            </w:r>
            <w:r>
              <w:rPr>
                <w:rFonts w:hint="eastAsia"/>
                <w:color w:val="auto"/>
                <w:sz w:val="24"/>
                <w:lang w:val="en-US" w:eastAsia="zh-CN"/>
              </w:rPr>
              <w:t>样品加工废气</w:t>
            </w:r>
          </w:p>
          <w:p w14:paraId="157EABEB">
            <w:pPr>
              <w:pStyle w:val="71"/>
              <w:snapToGrid w:val="0"/>
              <w:spacing w:line="360" w:lineRule="auto"/>
              <w:ind w:firstLine="480" w:firstLineChars="200"/>
              <w:rPr>
                <w:rFonts w:hint="default"/>
                <w:color w:val="auto"/>
                <w:sz w:val="24"/>
                <w:szCs w:val="24"/>
                <w:lang w:val="en-US" w:eastAsia="zh-CN"/>
              </w:rPr>
            </w:pPr>
            <w:r>
              <w:rPr>
                <w:rFonts w:hint="eastAsia"/>
                <w:color w:val="auto"/>
                <w:sz w:val="24"/>
                <w:lang w:val="en-US" w:eastAsia="zh-CN"/>
              </w:rPr>
              <w:t>本项目主要开展贵金属矿及产品、有色金属矿及产品、黑色金属矿及产品进行元素检测，需对样品进行破碎、研磨，将试样粉碎至200目，</w:t>
            </w:r>
            <w:r>
              <w:rPr>
                <w:rFonts w:hint="eastAsia"/>
                <w:color w:val="auto"/>
                <w:sz w:val="24"/>
                <w:szCs w:val="24"/>
                <w:lang w:val="en-US" w:eastAsia="zh-CN"/>
              </w:rPr>
              <w:t>使样品颗粒度满足检测条件。</w:t>
            </w:r>
            <w:r>
              <w:rPr>
                <w:rFonts w:hint="eastAsia"/>
                <w:color w:val="FF0000"/>
                <w:sz w:val="24"/>
                <w:szCs w:val="24"/>
                <w:lang w:val="en-US" w:eastAsia="zh-CN"/>
              </w:rPr>
              <w:t>项目颚式破碎机、圆盘粉碎机及棒磨机均为全封闭式作业，无废气排放，每份样品经棒磨机磨细后，需对棒磨筒进行吹气清理，此过程会产生废气。棒磨筒吹气清理在封闭式操作间通风橱工作台进行，吹气清理废气经通风橱负压收集后由通风橱连接的布袋除尘器处理，除尘后的洁净空气，通过回风管路回流至吹气系统，再次作为棒磨筒清理的吹气气源，无废气排放。</w:t>
            </w:r>
          </w:p>
          <w:p w14:paraId="02B8FE07">
            <w:pPr>
              <w:adjustRightInd w:val="0"/>
              <w:snapToGrid w:val="0"/>
              <w:spacing w:line="360" w:lineRule="auto"/>
              <w:ind w:firstLine="480"/>
              <w:rPr>
                <w:rFonts w:hint="eastAsia" w:ascii="宋体" w:hAnsi="宋体" w:cs="宋体"/>
                <w:color w:val="auto"/>
                <w:sz w:val="24"/>
              </w:rPr>
            </w:pPr>
            <w:r>
              <w:rPr>
                <w:rFonts w:hint="eastAsia"/>
                <w:color w:val="auto"/>
                <w:sz w:val="24"/>
              </w:rPr>
              <w:t>（</w:t>
            </w:r>
            <w:r>
              <w:rPr>
                <w:rFonts w:hint="eastAsia"/>
                <w:color w:val="auto"/>
                <w:sz w:val="24"/>
                <w:lang w:val="en-US" w:eastAsia="zh-CN"/>
              </w:rPr>
              <w:t>2</w:t>
            </w:r>
            <w:r>
              <w:rPr>
                <w:rFonts w:hint="eastAsia"/>
                <w:color w:val="auto"/>
                <w:sz w:val="24"/>
              </w:rPr>
              <w:t>）</w:t>
            </w:r>
            <w:r>
              <w:rPr>
                <w:rFonts w:hint="eastAsia"/>
                <w:color w:val="auto"/>
                <w:sz w:val="24"/>
                <w:lang w:val="en-US" w:eastAsia="zh-CN"/>
              </w:rPr>
              <w:t>酸性气体</w:t>
            </w:r>
          </w:p>
          <w:p w14:paraId="75B76B23">
            <w:pPr>
              <w:pStyle w:val="71"/>
              <w:snapToGrid w:val="0"/>
              <w:spacing w:line="360" w:lineRule="auto"/>
              <w:ind w:firstLine="480"/>
              <w:rPr>
                <w:rFonts w:hint="eastAsia"/>
                <w:color w:val="auto"/>
                <w:sz w:val="24"/>
                <w:szCs w:val="24"/>
              </w:rPr>
            </w:pPr>
            <w:r>
              <w:rPr>
                <w:rFonts w:hint="eastAsia"/>
                <w:color w:val="auto"/>
                <w:sz w:val="24"/>
                <w:szCs w:val="24"/>
                <w:lang w:val="en-US" w:eastAsia="zh-CN"/>
              </w:rPr>
              <w:t>本项目实验过程使用盐酸、硝酸、硫酸等物质挥发产生酸性废气。考虑酸性试剂的理化性质及年用量，本次环评主要以盐酸挥发的氯化氢、硝酸挥发的硝酸雾、硫酸挥发的硫酸雾进行分析。通过类比同类型项目，各种酸性废气在通风橱中使用挥发情况见下表：</w:t>
            </w:r>
          </w:p>
          <w:p w14:paraId="36854A5A">
            <w:pPr>
              <w:pStyle w:val="19"/>
              <w:adjustRightInd w:val="0"/>
              <w:jc w:val="center"/>
              <w:rPr>
                <w:b/>
                <w:color w:val="auto"/>
                <w:sz w:val="21"/>
                <w:szCs w:val="21"/>
              </w:rPr>
            </w:pPr>
            <w:r>
              <w:rPr>
                <w:rFonts w:hint="eastAsia"/>
                <w:b/>
                <w:color w:val="auto"/>
                <w:sz w:val="21"/>
                <w:szCs w:val="21"/>
              </w:rPr>
              <w:t>表4</w:t>
            </w:r>
            <w:r>
              <w:rPr>
                <w:b/>
                <w:color w:val="auto"/>
                <w:sz w:val="21"/>
                <w:szCs w:val="21"/>
              </w:rPr>
              <w:t>-</w:t>
            </w:r>
            <w:r>
              <w:rPr>
                <w:rFonts w:hint="eastAsia"/>
                <w:b/>
                <w:color w:val="auto"/>
                <w:sz w:val="21"/>
                <w:szCs w:val="21"/>
                <w:lang w:val="en-US" w:eastAsia="zh-CN"/>
              </w:rPr>
              <w:t>1</w:t>
            </w:r>
            <w:r>
              <w:rPr>
                <w:b/>
                <w:color w:val="auto"/>
                <w:sz w:val="21"/>
                <w:szCs w:val="21"/>
              </w:rPr>
              <w:t xml:space="preserve">  </w:t>
            </w:r>
            <w:r>
              <w:rPr>
                <w:rFonts w:hint="eastAsia"/>
                <w:b/>
                <w:color w:val="auto"/>
                <w:sz w:val="21"/>
                <w:szCs w:val="21"/>
              </w:rPr>
              <w:t>本项目</w:t>
            </w:r>
            <w:r>
              <w:rPr>
                <w:rFonts w:hint="eastAsia"/>
                <w:b/>
                <w:color w:val="auto"/>
                <w:sz w:val="21"/>
                <w:szCs w:val="21"/>
                <w:lang w:val="en-US" w:eastAsia="zh-CN"/>
              </w:rPr>
              <w:t>酸性废气产生情况</w:t>
            </w:r>
            <w:r>
              <w:rPr>
                <w:rFonts w:hint="eastAsia"/>
                <w:b/>
                <w:color w:val="auto"/>
                <w:sz w:val="21"/>
                <w:szCs w:val="21"/>
              </w:rPr>
              <w:t>一览表</w:t>
            </w:r>
          </w:p>
          <w:tbl>
            <w:tblPr>
              <w:tblStyle w:val="28"/>
              <w:tblW w:w="8397"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467"/>
              <w:gridCol w:w="883"/>
              <w:gridCol w:w="1085"/>
              <w:gridCol w:w="1315"/>
              <w:gridCol w:w="909"/>
              <w:gridCol w:w="1464"/>
              <w:gridCol w:w="1428"/>
              <w:gridCol w:w="846"/>
            </w:tblGrid>
            <w:tr w14:paraId="173C629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4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F3BEF8">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序号</w:t>
                  </w:r>
                </w:p>
              </w:tc>
              <w:tc>
                <w:tcPr>
                  <w:tcW w:w="8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D9F122">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实验试剂</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9A55159">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年用量</w:t>
                  </w:r>
                  <w:r>
                    <w:rPr>
                      <w:rFonts w:hint="eastAsia" w:ascii="Times New Roman" w:hAnsi="Times New Roman" w:eastAsia="宋体" w:cs="Times New Roman"/>
                      <w:b w:val="0"/>
                      <w:bCs w:val="0"/>
                      <w:i w:val="0"/>
                      <w:iCs w:val="0"/>
                      <w:color w:val="auto"/>
                      <w:kern w:val="0"/>
                      <w:sz w:val="21"/>
                      <w:szCs w:val="21"/>
                      <w:u w:val="none"/>
                      <w:lang w:val="en-US" w:eastAsia="zh-CN" w:bidi="ar"/>
                    </w:rPr>
                    <w:t>（L）</w:t>
                  </w:r>
                </w:p>
              </w:tc>
              <w:tc>
                <w:tcPr>
                  <w:tcW w:w="13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F57536C">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密度(g/cm³)</w:t>
                  </w:r>
                </w:p>
              </w:tc>
              <w:tc>
                <w:tcPr>
                  <w:tcW w:w="90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8739791">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年用量</w:t>
                  </w:r>
                  <w:r>
                    <w:rPr>
                      <w:rFonts w:hint="default" w:ascii="Times New Roman" w:hAnsi="Times New Roman" w:eastAsia="宋体" w:cs="Times New Roman"/>
                      <w:b w:val="0"/>
                      <w:bCs w:val="0"/>
                      <w:i w:val="0"/>
                      <w:iCs w:val="0"/>
                      <w:color w:val="auto"/>
                      <w:kern w:val="0"/>
                      <w:sz w:val="21"/>
                      <w:szCs w:val="21"/>
                      <w:u w:val="none"/>
                      <w:lang w:val="en-US" w:eastAsia="zh-CN" w:bidi="ar"/>
                    </w:rPr>
                    <w:br w:type="textWrapping"/>
                  </w:r>
                  <w:r>
                    <w:rPr>
                      <w:rFonts w:hint="default" w:ascii="Times New Roman" w:hAnsi="Times New Roman" w:eastAsia="宋体" w:cs="Times New Roman"/>
                      <w:b w:val="0"/>
                      <w:bCs w:val="0"/>
                      <w:i w:val="0"/>
                      <w:iCs w:val="0"/>
                      <w:color w:val="auto"/>
                      <w:kern w:val="0"/>
                      <w:sz w:val="21"/>
                      <w:szCs w:val="21"/>
                      <w:u w:val="none"/>
                      <w:lang w:val="en-US" w:eastAsia="zh-CN" w:bidi="ar"/>
                    </w:rPr>
                    <w:t>(kg/a)</w:t>
                  </w:r>
                </w:p>
              </w:tc>
              <w:tc>
                <w:tcPr>
                  <w:tcW w:w="14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F86205">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挥发率(%)</w:t>
                  </w:r>
                </w:p>
              </w:tc>
              <w:tc>
                <w:tcPr>
                  <w:tcW w:w="142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63CD05">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挥发量(kg/a)</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DD2244C">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污染物</w:t>
                  </w:r>
                </w:p>
              </w:tc>
            </w:tr>
            <w:tr w14:paraId="0AD4BBD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4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3749652">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1</w:t>
                  </w:r>
                </w:p>
              </w:tc>
              <w:tc>
                <w:tcPr>
                  <w:tcW w:w="8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F39D026">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盐酸</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D1C0F7">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lang w:val="en-US"/>
                    </w:rPr>
                  </w:pPr>
                  <w:r>
                    <w:rPr>
                      <w:rFonts w:hint="eastAsia" w:cs="Times New Roman"/>
                      <w:b w:val="0"/>
                      <w:bCs w:val="0"/>
                      <w:i w:val="0"/>
                      <w:iCs w:val="0"/>
                      <w:color w:val="auto"/>
                      <w:kern w:val="0"/>
                      <w:sz w:val="21"/>
                      <w:szCs w:val="21"/>
                      <w:u w:val="none"/>
                      <w:lang w:val="en-US" w:eastAsia="zh-CN" w:bidi="ar"/>
                    </w:rPr>
                    <w:t>360</w:t>
                  </w:r>
                </w:p>
              </w:tc>
              <w:tc>
                <w:tcPr>
                  <w:tcW w:w="13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1A9B3D7">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1.19</w:t>
                  </w:r>
                </w:p>
              </w:tc>
              <w:tc>
                <w:tcPr>
                  <w:tcW w:w="90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231818E">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lang w:val="en-US" w:eastAsia="zh-CN"/>
                    </w:rPr>
                  </w:pPr>
                  <w:r>
                    <w:rPr>
                      <w:rFonts w:hint="eastAsia" w:ascii="Times New Roman" w:hAnsi="Times New Roman" w:eastAsia="宋体" w:cs="Times New Roman"/>
                      <w:b w:val="0"/>
                      <w:bCs w:val="0"/>
                      <w:i w:val="0"/>
                      <w:iCs w:val="0"/>
                      <w:color w:val="auto"/>
                      <w:sz w:val="21"/>
                      <w:szCs w:val="21"/>
                      <w:u w:val="none"/>
                      <w:lang w:val="en-US" w:eastAsia="zh-CN"/>
                    </w:rPr>
                    <w:t>428.4</w:t>
                  </w:r>
                </w:p>
              </w:tc>
              <w:tc>
                <w:tcPr>
                  <w:tcW w:w="14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8D950C">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20</w:t>
                  </w:r>
                </w:p>
              </w:tc>
              <w:tc>
                <w:tcPr>
                  <w:tcW w:w="142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859EF8">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lang w:val="en-US" w:eastAsia="zh-CN"/>
                    </w:rPr>
                  </w:pPr>
                  <w:r>
                    <w:rPr>
                      <w:rFonts w:hint="eastAsia" w:ascii="Times New Roman" w:hAnsi="Times New Roman" w:eastAsia="宋体" w:cs="Times New Roman"/>
                      <w:b w:val="0"/>
                      <w:bCs w:val="0"/>
                      <w:i w:val="0"/>
                      <w:iCs w:val="0"/>
                      <w:color w:val="auto"/>
                      <w:sz w:val="21"/>
                      <w:szCs w:val="21"/>
                      <w:u w:val="none"/>
                      <w:lang w:val="en-US" w:eastAsia="zh-CN"/>
                    </w:rPr>
                    <w:t>85.68</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B38C44C">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氯化氢</w:t>
                  </w:r>
                </w:p>
              </w:tc>
            </w:tr>
            <w:tr w14:paraId="0F90D14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4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70BFF90">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2</w:t>
                  </w:r>
                </w:p>
              </w:tc>
              <w:tc>
                <w:tcPr>
                  <w:tcW w:w="8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BC56FFF">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硝酸</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DD56CE">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lang w:val="en-US" w:eastAsia="zh-CN"/>
                    </w:rPr>
                  </w:pPr>
                  <w:r>
                    <w:rPr>
                      <w:rFonts w:hint="eastAsia" w:ascii="Times New Roman" w:hAnsi="Times New Roman" w:eastAsia="宋体" w:cs="Times New Roman"/>
                      <w:b w:val="0"/>
                      <w:bCs w:val="0"/>
                      <w:i w:val="0"/>
                      <w:iCs w:val="0"/>
                      <w:color w:val="auto"/>
                      <w:sz w:val="21"/>
                      <w:szCs w:val="21"/>
                      <w:u w:val="none"/>
                      <w:lang w:val="en-US" w:eastAsia="zh-CN"/>
                    </w:rPr>
                    <w:t>120</w:t>
                  </w:r>
                </w:p>
              </w:tc>
              <w:tc>
                <w:tcPr>
                  <w:tcW w:w="13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45DB99">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1.41</w:t>
                  </w:r>
                </w:p>
              </w:tc>
              <w:tc>
                <w:tcPr>
                  <w:tcW w:w="90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AAA72A">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lang w:val="en-US" w:eastAsia="zh-CN"/>
                    </w:rPr>
                  </w:pPr>
                  <w:r>
                    <w:rPr>
                      <w:rFonts w:hint="eastAsia" w:ascii="Times New Roman" w:hAnsi="Times New Roman" w:eastAsia="宋体" w:cs="Times New Roman"/>
                      <w:b w:val="0"/>
                      <w:bCs w:val="0"/>
                      <w:i w:val="0"/>
                      <w:iCs w:val="0"/>
                      <w:color w:val="auto"/>
                      <w:sz w:val="21"/>
                      <w:szCs w:val="21"/>
                      <w:u w:val="none"/>
                      <w:lang w:val="en-US" w:eastAsia="zh-CN"/>
                    </w:rPr>
                    <w:t>169.2</w:t>
                  </w:r>
                </w:p>
              </w:tc>
              <w:tc>
                <w:tcPr>
                  <w:tcW w:w="14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0791D4">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20</w:t>
                  </w:r>
                </w:p>
              </w:tc>
              <w:tc>
                <w:tcPr>
                  <w:tcW w:w="142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D52DE2">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lang w:val="en-US" w:eastAsia="zh-CN"/>
                    </w:rPr>
                  </w:pPr>
                  <w:r>
                    <w:rPr>
                      <w:rFonts w:hint="eastAsia" w:cs="Times New Roman"/>
                      <w:b w:val="0"/>
                      <w:bCs w:val="0"/>
                      <w:i w:val="0"/>
                      <w:iCs w:val="0"/>
                      <w:color w:val="auto"/>
                      <w:sz w:val="21"/>
                      <w:szCs w:val="21"/>
                      <w:u w:val="none"/>
                      <w:lang w:val="en-US" w:eastAsia="zh-CN"/>
                    </w:rPr>
                    <w:t>33.84</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C88C98">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硝酸雾</w:t>
                  </w:r>
                </w:p>
              </w:tc>
            </w:tr>
            <w:tr w14:paraId="67BE684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46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AAA91C">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3</w:t>
                  </w:r>
                </w:p>
              </w:tc>
              <w:tc>
                <w:tcPr>
                  <w:tcW w:w="88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ECA638">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u w:val="none"/>
                      <w:lang w:val="en-US" w:eastAsia="zh-CN" w:bidi="ar-SA"/>
                    </w:rPr>
                  </w:pPr>
                  <w:r>
                    <w:rPr>
                      <w:rFonts w:hint="default" w:ascii="Times New Roman" w:hAnsi="Times New Roman" w:eastAsia="宋体" w:cs="Times New Roman"/>
                      <w:b w:val="0"/>
                      <w:bCs w:val="0"/>
                      <w:i w:val="0"/>
                      <w:iCs w:val="0"/>
                      <w:color w:val="auto"/>
                      <w:kern w:val="0"/>
                      <w:sz w:val="21"/>
                      <w:szCs w:val="21"/>
                      <w:u w:val="none"/>
                      <w:lang w:val="en-US" w:eastAsia="zh-CN" w:bidi="ar"/>
                    </w:rPr>
                    <w:t>硫酸</w:t>
                  </w:r>
                </w:p>
              </w:tc>
              <w:tc>
                <w:tcPr>
                  <w:tcW w:w="108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C06361">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u w:val="none"/>
                      <w:lang w:val="en-US" w:eastAsia="zh-CN" w:bidi="ar-SA"/>
                    </w:rPr>
                  </w:pPr>
                  <w:r>
                    <w:rPr>
                      <w:rFonts w:hint="eastAsia" w:cs="Times New Roman"/>
                      <w:b w:val="0"/>
                      <w:bCs w:val="0"/>
                      <w:i w:val="0"/>
                      <w:iCs w:val="0"/>
                      <w:color w:val="auto"/>
                      <w:kern w:val="0"/>
                      <w:sz w:val="21"/>
                      <w:szCs w:val="21"/>
                      <w:u w:val="none"/>
                      <w:lang w:val="en-US" w:eastAsia="zh-CN" w:bidi="ar"/>
                    </w:rPr>
                    <w:t>5</w:t>
                  </w:r>
                </w:p>
              </w:tc>
              <w:tc>
                <w:tcPr>
                  <w:tcW w:w="131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720B39">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kern w:val="2"/>
                      <w:sz w:val="21"/>
                      <w:szCs w:val="21"/>
                      <w:u w:val="none"/>
                      <w:lang w:val="en-US" w:eastAsia="zh-CN" w:bidi="ar-SA"/>
                    </w:rPr>
                  </w:pPr>
                  <w:r>
                    <w:rPr>
                      <w:rFonts w:hint="default" w:ascii="Times New Roman" w:hAnsi="Times New Roman" w:eastAsia="宋体" w:cs="Times New Roman"/>
                      <w:b w:val="0"/>
                      <w:bCs w:val="0"/>
                      <w:i w:val="0"/>
                      <w:iCs w:val="0"/>
                      <w:color w:val="auto"/>
                      <w:kern w:val="0"/>
                      <w:sz w:val="21"/>
                      <w:szCs w:val="21"/>
                      <w:u w:val="none"/>
                      <w:lang w:val="en-US" w:eastAsia="zh-CN" w:bidi="ar"/>
                    </w:rPr>
                    <w:t>1.84</w:t>
                  </w:r>
                </w:p>
              </w:tc>
              <w:tc>
                <w:tcPr>
                  <w:tcW w:w="90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834A39F">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lang w:val="en-US" w:eastAsia="zh-CN"/>
                    </w:rPr>
                  </w:pPr>
                  <w:r>
                    <w:rPr>
                      <w:rFonts w:hint="eastAsia" w:ascii="Times New Roman" w:hAnsi="Times New Roman" w:eastAsia="宋体" w:cs="Times New Roman"/>
                      <w:b w:val="0"/>
                      <w:bCs w:val="0"/>
                      <w:i w:val="0"/>
                      <w:iCs w:val="0"/>
                      <w:color w:val="auto"/>
                      <w:sz w:val="21"/>
                      <w:szCs w:val="21"/>
                      <w:u w:val="none"/>
                      <w:lang w:val="en-US" w:eastAsia="zh-CN"/>
                    </w:rPr>
                    <w:t>9.2</w:t>
                  </w:r>
                </w:p>
              </w:tc>
              <w:tc>
                <w:tcPr>
                  <w:tcW w:w="146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3C640D">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5</w:t>
                  </w:r>
                </w:p>
              </w:tc>
              <w:tc>
                <w:tcPr>
                  <w:tcW w:w="142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EA2FF7D">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lang w:val="en-US" w:eastAsia="zh-CN"/>
                    </w:rPr>
                  </w:pPr>
                  <w:r>
                    <w:rPr>
                      <w:rFonts w:hint="eastAsia" w:ascii="Times New Roman" w:hAnsi="Times New Roman" w:eastAsia="宋体" w:cs="Times New Roman"/>
                      <w:b w:val="0"/>
                      <w:bCs w:val="0"/>
                      <w:i w:val="0"/>
                      <w:iCs w:val="0"/>
                      <w:color w:val="auto"/>
                      <w:sz w:val="21"/>
                      <w:szCs w:val="21"/>
                      <w:u w:val="none"/>
                      <w:lang w:val="en-US" w:eastAsia="zh-CN"/>
                    </w:rPr>
                    <w:t>0.46</w:t>
                  </w:r>
                </w:p>
              </w:tc>
              <w:tc>
                <w:tcPr>
                  <w:tcW w:w="84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EB2442">
                  <w:pPr>
                    <w:keepNext w:val="0"/>
                    <w:keepLines w:val="0"/>
                    <w:widowControl/>
                    <w:suppressLineNumbers w:val="0"/>
                    <w:jc w:val="center"/>
                    <w:textAlignment w:val="center"/>
                    <w:rPr>
                      <w:rFonts w:hint="default" w:ascii="Times New Roman" w:hAnsi="Times New Roman" w:eastAsia="宋体" w:cs="Times New Roman"/>
                      <w:b w:val="0"/>
                      <w:bCs w:val="0"/>
                      <w:i w:val="0"/>
                      <w:iCs w:val="0"/>
                      <w:color w:val="auto"/>
                      <w:sz w:val="21"/>
                      <w:szCs w:val="21"/>
                      <w:u w:val="none"/>
                    </w:rPr>
                  </w:pPr>
                  <w:r>
                    <w:rPr>
                      <w:rFonts w:hint="default" w:ascii="Times New Roman" w:hAnsi="Times New Roman" w:eastAsia="宋体" w:cs="Times New Roman"/>
                      <w:b w:val="0"/>
                      <w:bCs w:val="0"/>
                      <w:i w:val="0"/>
                      <w:iCs w:val="0"/>
                      <w:color w:val="auto"/>
                      <w:kern w:val="0"/>
                      <w:sz w:val="21"/>
                      <w:szCs w:val="21"/>
                      <w:u w:val="none"/>
                      <w:lang w:val="en-US" w:eastAsia="zh-CN" w:bidi="ar"/>
                    </w:rPr>
                    <w:t>硫酸雾</w:t>
                  </w:r>
                </w:p>
              </w:tc>
            </w:tr>
          </w:tbl>
          <w:p w14:paraId="0275D21C">
            <w:pPr>
              <w:pStyle w:val="71"/>
              <w:snapToGrid w:val="0"/>
              <w:spacing w:line="360" w:lineRule="auto"/>
              <w:ind w:firstLine="480"/>
              <w:rPr>
                <w:rFonts w:hint="default"/>
                <w:color w:val="auto"/>
                <w:sz w:val="24"/>
                <w:szCs w:val="24"/>
                <w:lang w:val="en-US" w:eastAsia="zh-CN"/>
              </w:rPr>
            </w:pPr>
            <w:r>
              <w:rPr>
                <w:rFonts w:hint="eastAsia"/>
                <w:color w:val="auto"/>
                <w:sz w:val="24"/>
                <w:szCs w:val="24"/>
                <w:lang w:eastAsia="zh-CN"/>
              </w:rPr>
              <w:t>（</w:t>
            </w:r>
            <w:r>
              <w:rPr>
                <w:rFonts w:hint="eastAsia"/>
                <w:color w:val="auto"/>
                <w:sz w:val="24"/>
                <w:szCs w:val="24"/>
                <w:lang w:val="en-US" w:eastAsia="zh-CN"/>
              </w:rPr>
              <w:t>3</w:t>
            </w:r>
            <w:r>
              <w:rPr>
                <w:rFonts w:hint="eastAsia"/>
                <w:color w:val="auto"/>
                <w:sz w:val="24"/>
                <w:szCs w:val="24"/>
                <w:lang w:eastAsia="zh-CN"/>
              </w:rPr>
              <w:t>）</w:t>
            </w:r>
            <w:r>
              <w:rPr>
                <w:rFonts w:hint="eastAsia"/>
                <w:color w:val="auto"/>
                <w:sz w:val="24"/>
                <w:szCs w:val="24"/>
                <w:lang w:val="en-US" w:eastAsia="zh-CN"/>
              </w:rPr>
              <w:t>氨</w:t>
            </w:r>
          </w:p>
          <w:p w14:paraId="51E64176">
            <w:pPr>
              <w:pStyle w:val="71"/>
              <w:snapToGrid w:val="0"/>
              <w:spacing w:line="360" w:lineRule="auto"/>
              <w:ind w:firstLine="480"/>
              <w:rPr>
                <w:rFonts w:hint="eastAsia"/>
                <w:color w:val="auto"/>
                <w:sz w:val="24"/>
                <w:szCs w:val="24"/>
                <w:lang w:val="en-US" w:eastAsia="zh-CN"/>
              </w:rPr>
            </w:pPr>
            <w:r>
              <w:rPr>
                <w:rFonts w:hint="eastAsia"/>
                <w:color w:val="auto"/>
                <w:sz w:val="24"/>
                <w:szCs w:val="24"/>
                <w:lang w:val="en-US" w:eastAsia="zh-CN"/>
              </w:rPr>
              <w:t>项目在实验过程中，使用氨水等实验操作时会挥发出少量的氨气，其中氨水的年使用量约10L，密度（0.93g/cm</w:t>
            </w:r>
            <w:r>
              <w:rPr>
                <w:rFonts w:hint="eastAsia"/>
                <w:color w:val="auto"/>
                <w:sz w:val="24"/>
                <w:szCs w:val="24"/>
                <w:vertAlign w:val="superscript"/>
                <w:lang w:val="en-US" w:eastAsia="zh-CN"/>
              </w:rPr>
              <w:t>3</w:t>
            </w:r>
            <w:r>
              <w:rPr>
                <w:rFonts w:hint="eastAsia"/>
                <w:color w:val="auto"/>
                <w:sz w:val="24"/>
                <w:szCs w:val="24"/>
                <w:lang w:val="en-US" w:eastAsia="zh-CN"/>
              </w:rPr>
              <w:t>），则年使用量约为9.3kg/a。氨的挥发率按照20%计算，则项目氨产生量为1.86kg/a。</w:t>
            </w:r>
          </w:p>
          <w:p w14:paraId="504121F5">
            <w:pPr>
              <w:adjustRightInd w:val="0"/>
              <w:snapToGrid w:val="0"/>
              <w:spacing w:line="360" w:lineRule="auto"/>
              <w:ind w:firstLine="480" w:firstLineChars="200"/>
              <w:rPr>
                <w:rFonts w:hint="default" w:eastAsia="宋体"/>
                <w:color w:val="auto"/>
                <w:sz w:val="24"/>
                <w:lang w:val="en-US" w:eastAsia="zh-CN"/>
              </w:rPr>
            </w:pPr>
            <w:r>
              <w:rPr>
                <w:rFonts w:hint="eastAsia"/>
                <w:color w:val="auto"/>
                <w:sz w:val="24"/>
              </w:rPr>
              <w:t>项目产生酸</w:t>
            </w:r>
            <w:r>
              <w:rPr>
                <w:rFonts w:hint="eastAsia"/>
                <w:color w:val="auto"/>
                <w:sz w:val="24"/>
                <w:lang w:val="en-US" w:eastAsia="zh-CN"/>
              </w:rPr>
              <w:t>性</w:t>
            </w:r>
            <w:r>
              <w:rPr>
                <w:rFonts w:hint="eastAsia"/>
                <w:color w:val="auto"/>
                <w:sz w:val="24"/>
              </w:rPr>
              <w:t>废气的实验室共设置2个通风橱柜</w:t>
            </w:r>
            <w:r>
              <w:rPr>
                <w:rFonts w:hint="eastAsia"/>
                <w:color w:val="auto"/>
                <w:sz w:val="24"/>
                <w:lang w:eastAsia="zh-CN"/>
              </w:rPr>
              <w:t>（</w:t>
            </w:r>
            <w:r>
              <w:rPr>
                <w:rFonts w:hint="eastAsia"/>
                <w:color w:val="auto"/>
                <w:sz w:val="24"/>
              </w:rPr>
              <w:t>收集率90%</w:t>
            </w:r>
            <w:r>
              <w:rPr>
                <w:rFonts w:hint="eastAsia"/>
                <w:color w:val="auto"/>
                <w:sz w:val="24"/>
                <w:lang w:eastAsia="zh-CN"/>
              </w:rPr>
              <w:t>），</w:t>
            </w:r>
            <w:r>
              <w:rPr>
                <w:rFonts w:hint="eastAsia"/>
                <w:color w:val="auto"/>
                <w:sz w:val="24"/>
              </w:rPr>
              <w:t>酸</w:t>
            </w:r>
            <w:r>
              <w:rPr>
                <w:rFonts w:hint="eastAsia"/>
                <w:color w:val="auto"/>
                <w:sz w:val="24"/>
                <w:lang w:val="en-US" w:eastAsia="zh-CN"/>
              </w:rPr>
              <w:t>性</w:t>
            </w:r>
            <w:r>
              <w:rPr>
                <w:rFonts w:hint="eastAsia"/>
                <w:color w:val="auto"/>
                <w:sz w:val="24"/>
              </w:rPr>
              <w:t>废气经通风橱连接废气总管，</w:t>
            </w:r>
            <w:r>
              <w:rPr>
                <w:rFonts w:hint="eastAsia"/>
                <w:color w:val="auto"/>
                <w:sz w:val="24"/>
                <w:lang w:val="en-US" w:eastAsia="zh-CN"/>
              </w:rPr>
              <w:t>总风量15000</w:t>
            </w:r>
            <w:r>
              <w:rPr>
                <w:rFonts w:hint="default" w:ascii="Times New Roman" w:hAnsi="Times New Roman" w:eastAsia="宋体" w:cs="Times New Roman"/>
                <w:color w:val="auto"/>
                <w:kern w:val="0"/>
                <w:sz w:val="24"/>
                <w:szCs w:val="24"/>
                <w:highlight w:val="none"/>
                <w:lang w:val="en-US" w:eastAsia="zh-CN" w:bidi="ar"/>
              </w:rPr>
              <w:t>m</w:t>
            </w:r>
            <w:r>
              <w:rPr>
                <w:rFonts w:hint="default" w:ascii="Times New Roman" w:hAnsi="Times New Roman" w:eastAsia="宋体" w:cs="Times New Roman"/>
                <w:color w:val="auto"/>
                <w:kern w:val="0"/>
                <w:sz w:val="24"/>
                <w:szCs w:val="24"/>
                <w:highlight w:val="none"/>
                <w:vertAlign w:val="superscript"/>
                <w:lang w:val="en-US" w:eastAsia="zh-CN" w:bidi="ar"/>
              </w:rPr>
              <w:t>3</w:t>
            </w:r>
            <w:r>
              <w:rPr>
                <w:rFonts w:hint="default" w:ascii="Times New Roman" w:hAnsi="Times New Roman" w:eastAsia="宋体" w:cs="Times New Roman"/>
                <w:color w:val="auto"/>
                <w:kern w:val="0"/>
                <w:sz w:val="24"/>
                <w:szCs w:val="24"/>
                <w:highlight w:val="none"/>
                <w:lang w:val="en-US" w:eastAsia="zh-CN" w:bidi="ar"/>
              </w:rPr>
              <w:t>/h</w:t>
            </w:r>
            <w:r>
              <w:rPr>
                <w:rFonts w:hint="eastAsia" w:ascii="宋体" w:hAnsi="宋体" w:eastAsia="宋体" w:cs="宋体"/>
                <w:color w:val="auto"/>
                <w:kern w:val="0"/>
                <w:sz w:val="24"/>
                <w:szCs w:val="24"/>
                <w:highlight w:val="none"/>
                <w:lang w:val="en-US" w:eastAsia="zh-CN" w:bidi="ar"/>
              </w:rPr>
              <w:t>，</w:t>
            </w:r>
            <w:r>
              <w:rPr>
                <w:rFonts w:hint="eastAsia"/>
                <w:color w:val="auto"/>
                <w:sz w:val="24"/>
              </w:rPr>
              <w:t>将酸</w:t>
            </w:r>
            <w:r>
              <w:rPr>
                <w:rFonts w:hint="eastAsia"/>
                <w:color w:val="auto"/>
                <w:sz w:val="24"/>
                <w:lang w:val="en-US" w:eastAsia="zh-CN"/>
              </w:rPr>
              <w:t>性</w:t>
            </w:r>
            <w:r>
              <w:rPr>
                <w:rFonts w:hint="eastAsia"/>
                <w:color w:val="auto"/>
                <w:sz w:val="24"/>
              </w:rPr>
              <w:t>废气引至喷淋塔处理。实验室废气经收集后通过碱喷淋塔处理</w:t>
            </w:r>
            <w:r>
              <w:rPr>
                <w:rFonts w:hint="eastAsia"/>
                <w:color w:val="auto"/>
                <w:sz w:val="24"/>
                <w:lang w:eastAsia="zh-CN"/>
              </w:rPr>
              <w:t>（</w:t>
            </w:r>
            <w:r>
              <w:rPr>
                <w:rFonts w:hint="eastAsia"/>
                <w:color w:val="auto"/>
                <w:sz w:val="24"/>
                <w:lang w:val="en-US" w:eastAsia="zh-CN"/>
              </w:rPr>
              <w:t>去除效率90%</w:t>
            </w:r>
            <w:r>
              <w:rPr>
                <w:rFonts w:hint="eastAsia"/>
                <w:color w:val="auto"/>
                <w:sz w:val="24"/>
                <w:lang w:eastAsia="zh-CN"/>
              </w:rPr>
              <w:t>）</w:t>
            </w:r>
            <w:r>
              <w:rPr>
                <w:rFonts w:hint="eastAsia"/>
                <w:color w:val="auto"/>
                <w:sz w:val="24"/>
              </w:rPr>
              <w:t>后经1根</w:t>
            </w:r>
            <w:r>
              <w:rPr>
                <w:rFonts w:hint="eastAsia"/>
                <w:color w:val="auto"/>
                <w:sz w:val="24"/>
                <w:lang w:val="en-US" w:eastAsia="zh-CN"/>
              </w:rPr>
              <w:t>15</w:t>
            </w:r>
            <w:r>
              <w:rPr>
                <w:rFonts w:hint="eastAsia"/>
                <w:color w:val="auto"/>
                <w:sz w:val="24"/>
              </w:rPr>
              <w:t>m高排气筒</w:t>
            </w:r>
            <w:r>
              <w:rPr>
                <w:rFonts w:hint="eastAsia"/>
                <w:color w:val="auto"/>
                <w:sz w:val="24"/>
                <w:lang w:eastAsia="zh-CN"/>
              </w:rPr>
              <w:t>（</w:t>
            </w:r>
            <w:r>
              <w:rPr>
                <w:rFonts w:hint="eastAsia"/>
                <w:color w:val="auto"/>
                <w:sz w:val="24"/>
              </w:rPr>
              <w:t>DA00</w:t>
            </w:r>
            <w:r>
              <w:rPr>
                <w:rFonts w:hint="eastAsia"/>
                <w:color w:val="auto"/>
                <w:sz w:val="24"/>
                <w:lang w:val="en-US" w:eastAsia="zh-CN"/>
              </w:rPr>
              <w:t>1</w:t>
            </w:r>
            <w:r>
              <w:rPr>
                <w:rFonts w:hint="eastAsia"/>
                <w:color w:val="auto"/>
                <w:sz w:val="24"/>
                <w:lang w:eastAsia="zh-CN"/>
              </w:rPr>
              <w:t>）</w:t>
            </w:r>
            <w:r>
              <w:rPr>
                <w:rFonts w:hint="eastAsia"/>
                <w:color w:val="auto"/>
                <w:sz w:val="24"/>
              </w:rPr>
              <w:t>排放。</w:t>
            </w:r>
            <w:r>
              <w:rPr>
                <w:rFonts w:hint="eastAsia"/>
                <w:color w:val="auto"/>
                <w:sz w:val="24"/>
                <w:lang w:val="en-US" w:eastAsia="zh-CN"/>
              </w:rPr>
              <w:t>实验室检测时长约4h/d，年工作时长1200h。</w:t>
            </w:r>
          </w:p>
          <w:p w14:paraId="46F14A4F">
            <w:pPr>
              <w:adjustRightInd w:val="0"/>
              <w:snapToGrid w:val="0"/>
              <w:spacing w:line="360" w:lineRule="auto"/>
              <w:ind w:firstLine="480" w:firstLineChars="200"/>
              <w:rPr>
                <w:rFonts w:hint="eastAsia"/>
                <w:color w:val="auto"/>
                <w:sz w:val="24"/>
              </w:rPr>
            </w:pPr>
            <w:r>
              <w:rPr>
                <w:rFonts w:hint="eastAsia" w:ascii="Times New Roman" w:hAnsi="Times New Roman" w:eastAsia="宋体" w:cs="Times New Roman"/>
                <w:color w:val="auto"/>
                <w:kern w:val="0"/>
                <w:sz w:val="24"/>
                <w:szCs w:val="24"/>
                <w:highlight w:val="none"/>
                <w:lang w:val="en-US" w:eastAsia="zh-CN" w:bidi="ar"/>
              </w:rPr>
              <w:t>经计算，</w:t>
            </w:r>
            <w:r>
              <w:rPr>
                <w:rFonts w:hint="eastAsia"/>
                <w:color w:val="auto"/>
                <w:sz w:val="24"/>
              </w:rPr>
              <w:t>本项目废气产排情况见表4</w:t>
            </w:r>
            <w:r>
              <w:rPr>
                <w:color w:val="auto"/>
                <w:sz w:val="24"/>
              </w:rPr>
              <w:t>-</w:t>
            </w:r>
            <w:r>
              <w:rPr>
                <w:rFonts w:hint="eastAsia"/>
                <w:color w:val="auto"/>
                <w:sz w:val="24"/>
                <w:lang w:val="en-US" w:eastAsia="zh-CN"/>
              </w:rPr>
              <w:t>2</w:t>
            </w:r>
            <w:r>
              <w:rPr>
                <w:rFonts w:hint="eastAsia"/>
                <w:color w:val="auto"/>
                <w:sz w:val="24"/>
              </w:rPr>
              <w:t>。</w:t>
            </w:r>
          </w:p>
          <w:p w14:paraId="3FF48301">
            <w:pPr>
              <w:pStyle w:val="19"/>
              <w:adjustRightInd w:val="0"/>
              <w:jc w:val="center"/>
              <w:rPr>
                <w:rFonts w:hint="eastAsia"/>
                <w:b/>
                <w:color w:val="auto"/>
                <w:sz w:val="21"/>
                <w:szCs w:val="21"/>
              </w:rPr>
            </w:pPr>
          </w:p>
          <w:p w14:paraId="73898C1F">
            <w:pPr>
              <w:pStyle w:val="19"/>
              <w:adjustRightInd w:val="0"/>
              <w:jc w:val="center"/>
              <w:rPr>
                <w:b/>
                <w:color w:val="auto"/>
                <w:sz w:val="21"/>
                <w:szCs w:val="21"/>
              </w:rPr>
            </w:pPr>
            <w:r>
              <w:rPr>
                <w:rFonts w:hint="eastAsia"/>
                <w:b/>
                <w:color w:val="auto"/>
                <w:sz w:val="21"/>
                <w:szCs w:val="21"/>
              </w:rPr>
              <w:t>表4</w:t>
            </w:r>
            <w:r>
              <w:rPr>
                <w:b/>
                <w:color w:val="auto"/>
                <w:sz w:val="21"/>
                <w:szCs w:val="21"/>
              </w:rPr>
              <w:t>-</w:t>
            </w:r>
            <w:r>
              <w:rPr>
                <w:rFonts w:hint="eastAsia"/>
                <w:b/>
                <w:color w:val="auto"/>
                <w:sz w:val="21"/>
                <w:szCs w:val="21"/>
                <w:lang w:val="en-US" w:eastAsia="zh-CN"/>
              </w:rPr>
              <w:t>2</w:t>
            </w:r>
            <w:r>
              <w:rPr>
                <w:b/>
                <w:color w:val="auto"/>
                <w:sz w:val="21"/>
                <w:szCs w:val="21"/>
              </w:rPr>
              <w:t xml:space="preserve">   </w:t>
            </w:r>
            <w:r>
              <w:rPr>
                <w:rFonts w:hint="eastAsia"/>
                <w:b/>
                <w:color w:val="auto"/>
                <w:sz w:val="21"/>
                <w:szCs w:val="21"/>
              </w:rPr>
              <w:t>本项目正常工况下废气污染物产排情况一览表</w:t>
            </w:r>
          </w:p>
          <w:tbl>
            <w:tblPr>
              <w:tblStyle w:val="28"/>
              <w:tblW w:w="504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17"/>
              <w:gridCol w:w="731"/>
              <w:gridCol w:w="804"/>
              <w:gridCol w:w="798"/>
              <w:gridCol w:w="774"/>
              <w:gridCol w:w="946"/>
              <w:gridCol w:w="887"/>
              <w:gridCol w:w="721"/>
              <w:gridCol w:w="720"/>
              <w:gridCol w:w="867"/>
              <w:gridCol w:w="696"/>
            </w:tblGrid>
            <w:tr w14:paraId="08C3FD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04" w:hRule="atLeast"/>
                <w:jc w:val="center"/>
              </w:trPr>
              <w:tc>
                <w:tcPr>
                  <w:tcW w:w="305" w:type="pct"/>
                  <w:noWrap w:val="0"/>
                  <w:vAlign w:val="center"/>
                </w:tcPr>
                <w:p w14:paraId="36F2BD34">
                  <w:pPr>
                    <w:pStyle w:val="19"/>
                    <w:adjustRightInd w:val="0"/>
                    <w:jc w:val="center"/>
                    <w:rPr>
                      <w:color w:val="auto"/>
                      <w:sz w:val="21"/>
                      <w:szCs w:val="21"/>
                      <w:lang w:eastAsia="en-US"/>
                    </w:rPr>
                  </w:pPr>
                  <w:r>
                    <w:rPr>
                      <w:color w:val="auto"/>
                      <w:sz w:val="21"/>
                      <w:szCs w:val="21"/>
                      <w:lang w:eastAsia="en-US"/>
                    </w:rPr>
                    <w:t>项目</w:t>
                  </w:r>
                </w:p>
              </w:tc>
              <w:tc>
                <w:tcPr>
                  <w:tcW w:w="431" w:type="pct"/>
                  <w:noWrap w:val="0"/>
                  <w:vAlign w:val="center"/>
                </w:tcPr>
                <w:p w14:paraId="26E0915A">
                  <w:pPr>
                    <w:pStyle w:val="19"/>
                    <w:adjustRightInd w:val="0"/>
                    <w:jc w:val="center"/>
                    <w:rPr>
                      <w:color w:val="auto"/>
                      <w:sz w:val="21"/>
                      <w:szCs w:val="21"/>
                      <w:lang w:eastAsia="en-US"/>
                    </w:rPr>
                  </w:pPr>
                  <w:r>
                    <w:rPr>
                      <w:color w:val="auto"/>
                      <w:sz w:val="21"/>
                      <w:szCs w:val="21"/>
                      <w:lang w:eastAsia="en-US"/>
                    </w:rPr>
                    <w:t>污染源名称</w:t>
                  </w:r>
                </w:p>
              </w:tc>
              <w:tc>
                <w:tcPr>
                  <w:tcW w:w="475" w:type="pct"/>
                  <w:noWrap w:val="0"/>
                  <w:vAlign w:val="center"/>
                </w:tcPr>
                <w:p w14:paraId="31ECDF1C">
                  <w:pPr>
                    <w:pStyle w:val="19"/>
                    <w:adjustRightInd w:val="0"/>
                    <w:jc w:val="center"/>
                    <w:rPr>
                      <w:color w:val="auto"/>
                      <w:sz w:val="21"/>
                      <w:szCs w:val="21"/>
                      <w:lang w:eastAsia="en-US"/>
                    </w:rPr>
                  </w:pPr>
                  <w:r>
                    <w:rPr>
                      <w:color w:val="auto"/>
                      <w:sz w:val="21"/>
                      <w:szCs w:val="21"/>
                      <w:lang w:eastAsia="en-US"/>
                    </w:rPr>
                    <w:t>污染物名称</w:t>
                  </w:r>
                </w:p>
              </w:tc>
              <w:tc>
                <w:tcPr>
                  <w:tcW w:w="471" w:type="pct"/>
                  <w:noWrap w:val="0"/>
                  <w:vAlign w:val="center"/>
                </w:tcPr>
                <w:p w14:paraId="048822A3">
                  <w:pPr>
                    <w:pStyle w:val="19"/>
                    <w:adjustRightInd w:val="0"/>
                    <w:jc w:val="center"/>
                    <w:rPr>
                      <w:color w:val="auto"/>
                      <w:sz w:val="21"/>
                      <w:szCs w:val="21"/>
                      <w:lang w:eastAsia="en-US"/>
                    </w:rPr>
                  </w:pPr>
                  <w:r>
                    <w:rPr>
                      <w:color w:val="auto"/>
                      <w:sz w:val="21"/>
                      <w:szCs w:val="21"/>
                      <w:lang w:eastAsia="en-US"/>
                    </w:rPr>
                    <w:t>产生量</w:t>
                  </w:r>
                </w:p>
                <w:p w14:paraId="24CAB022">
                  <w:pPr>
                    <w:pStyle w:val="19"/>
                    <w:adjustRightInd w:val="0"/>
                    <w:jc w:val="center"/>
                    <w:rPr>
                      <w:color w:val="auto"/>
                      <w:sz w:val="21"/>
                      <w:szCs w:val="21"/>
                      <w:lang w:eastAsia="en-US"/>
                    </w:rPr>
                  </w:pPr>
                  <w:r>
                    <w:rPr>
                      <w:color w:val="auto"/>
                      <w:sz w:val="21"/>
                      <w:szCs w:val="21"/>
                      <w:lang w:eastAsia="en-US"/>
                    </w:rPr>
                    <w:t>（t/a)</w:t>
                  </w:r>
                </w:p>
              </w:tc>
              <w:tc>
                <w:tcPr>
                  <w:tcW w:w="457" w:type="pct"/>
                  <w:noWrap w:val="0"/>
                  <w:vAlign w:val="center"/>
                </w:tcPr>
                <w:p w14:paraId="36144C50">
                  <w:pPr>
                    <w:pStyle w:val="19"/>
                    <w:adjustRightInd w:val="0"/>
                    <w:jc w:val="center"/>
                    <w:rPr>
                      <w:color w:val="auto"/>
                      <w:sz w:val="21"/>
                      <w:szCs w:val="21"/>
                      <w:lang w:eastAsia="en-US"/>
                    </w:rPr>
                  </w:pPr>
                  <w:r>
                    <w:rPr>
                      <w:color w:val="auto"/>
                      <w:sz w:val="21"/>
                      <w:szCs w:val="21"/>
                      <w:lang w:eastAsia="en-US"/>
                    </w:rPr>
                    <w:t>产生速率（kg/h)</w:t>
                  </w:r>
                </w:p>
              </w:tc>
              <w:tc>
                <w:tcPr>
                  <w:tcW w:w="559" w:type="pct"/>
                  <w:noWrap w:val="0"/>
                  <w:vAlign w:val="center"/>
                </w:tcPr>
                <w:p w14:paraId="7C25FD0B">
                  <w:pPr>
                    <w:pStyle w:val="19"/>
                    <w:adjustRightInd w:val="0"/>
                    <w:jc w:val="center"/>
                    <w:rPr>
                      <w:color w:val="auto"/>
                      <w:sz w:val="21"/>
                      <w:szCs w:val="21"/>
                      <w:lang w:eastAsia="en-US"/>
                    </w:rPr>
                  </w:pPr>
                  <w:r>
                    <w:rPr>
                      <w:color w:val="auto"/>
                      <w:sz w:val="21"/>
                      <w:szCs w:val="21"/>
                      <w:lang w:eastAsia="en-US"/>
                    </w:rPr>
                    <w:t>产生浓度</w:t>
                  </w:r>
                </w:p>
                <w:p w14:paraId="2C8D087F">
                  <w:pPr>
                    <w:pStyle w:val="19"/>
                    <w:adjustRightInd w:val="0"/>
                    <w:jc w:val="center"/>
                    <w:rPr>
                      <w:color w:val="auto"/>
                      <w:sz w:val="21"/>
                      <w:szCs w:val="21"/>
                      <w:lang w:eastAsia="en-US"/>
                    </w:rPr>
                  </w:pPr>
                  <w:r>
                    <w:rPr>
                      <w:color w:val="auto"/>
                      <w:sz w:val="21"/>
                      <w:szCs w:val="21"/>
                      <w:lang w:eastAsia="en-US"/>
                    </w:rPr>
                    <w:t>（mg/m</w:t>
                  </w:r>
                  <w:r>
                    <w:rPr>
                      <w:color w:val="auto"/>
                      <w:sz w:val="21"/>
                      <w:szCs w:val="21"/>
                      <w:vertAlign w:val="superscript"/>
                      <w:lang w:eastAsia="en-US"/>
                    </w:rPr>
                    <w:t>3</w:t>
                  </w:r>
                  <w:r>
                    <w:rPr>
                      <w:rFonts w:hint="eastAsia"/>
                      <w:color w:val="auto"/>
                      <w:sz w:val="21"/>
                      <w:szCs w:val="21"/>
                      <w:lang w:eastAsia="en-US"/>
                    </w:rPr>
                    <w:t>）</w:t>
                  </w:r>
                </w:p>
              </w:tc>
              <w:tc>
                <w:tcPr>
                  <w:tcW w:w="524" w:type="pct"/>
                  <w:noWrap w:val="0"/>
                  <w:vAlign w:val="center"/>
                </w:tcPr>
                <w:p w14:paraId="6AD3472D">
                  <w:pPr>
                    <w:pStyle w:val="19"/>
                    <w:adjustRightInd w:val="0"/>
                    <w:jc w:val="center"/>
                    <w:rPr>
                      <w:color w:val="auto"/>
                      <w:sz w:val="21"/>
                      <w:szCs w:val="21"/>
                      <w:lang w:eastAsia="en-US"/>
                    </w:rPr>
                  </w:pPr>
                  <w:r>
                    <w:rPr>
                      <w:color w:val="auto"/>
                      <w:sz w:val="21"/>
                      <w:szCs w:val="21"/>
                      <w:lang w:eastAsia="en-US"/>
                    </w:rPr>
                    <w:t>处理方式</w:t>
                  </w:r>
                </w:p>
              </w:tc>
              <w:tc>
                <w:tcPr>
                  <w:tcW w:w="426" w:type="pct"/>
                  <w:noWrap w:val="0"/>
                  <w:vAlign w:val="center"/>
                </w:tcPr>
                <w:p w14:paraId="08DE862C">
                  <w:pPr>
                    <w:pStyle w:val="19"/>
                    <w:adjustRightInd w:val="0"/>
                    <w:jc w:val="center"/>
                    <w:rPr>
                      <w:color w:val="auto"/>
                      <w:sz w:val="21"/>
                      <w:szCs w:val="21"/>
                      <w:lang w:eastAsia="en-US"/>
                    </w:rPr>
                  </w:pPr>
                  <w:r>
                    <w:rPr>
                      <w:color w:val="auto"/>
                      <w:sz w:val="21"/>
                      <w:szCs w:val="21"/>
                      <w:lang w:eastAsia="en-US"/>
                    </w:rPr>
                    <w:t>排放量</w:t>
                  </w:r>
                </w:p>
                <w:p w14:paraId="5E199555">
                  <w:pPr>
                    <w:pStyle w:val="19"/>
                    <w:adjustRightInd w:val="0"/>
                    <w:jc w:val="center"/>
                    <w:rPr>
                      <w:color w:val="auto"/>
                      <w:sz w:val="21"/>
                      <w:szCs w:val="21"/>
                      <w:lang w:eastAsia="en-US"/>
                    </w:rPr>
                  </w:pPr>
                  <w:r>
                    <w:rPr>
                      <w:color w:val="auto"/>
                      <w:sz w:val="21"/>
                      <w:szCs w:val="21"/>
                      <w:lang w:eastAsia="en-US"/>
                    </w:rPr>
                    <w:t>（t/a)</w:t>
                  </w:r>
                </w:p>
              </w:tc>
              <w:tc>
                <w:tcPr>
                  <w:tcW w:w="425" w:type="pct"/>
                  <w:noWrap w:val="0"/>
                  <w:vAlign w:val="center"/>
                </w:tcPr>
                <w:p w14:paraId="7D2E79A3">
                  <w:pPr>
                    <w:pStyle w:val="19"/>
                    <w:adjustRightInd w:val="0"/>
                    <w:jc w:val="center"/>
                    <w:rPr>
                      <w:color w:val="auto"/>
                      <w:sz w:val="21"/>
                      <w:szCs w:val="21"/>
                      <w:lang w:eastAsia="en-US"/>
                    </w:rPr>
                  </w:pPr>
                  <w:r>
                    <w:rPr>
                      <w:color w:val="auto"/>
                      <w:sz w:val="21"/>
                      <w:szCs w:val="21"/>
                      <w:lang w:eastAsia="en-US"/>
                    </w:rPr>
                    <w:t>排放速率</w:t>
                  </w:r>
                </w:p>
                <w:p w14:paraId="6B6A220C">
                  <w:pPr>
                    <w:pStyle w:val="19"/>
                    <w:adjustRightInd w:val="0"/>
                    <w:jc w:val="center"/>
                    <w:rPr>
                      <w:color w:val="auto"/>
                      <w:sz w:val="21"/>
                      <w:szCs w:val="21"/>
                      <w:lang w:eastAsia="en-US"/>
                    </w:rPr>
                  </w:pPr>
                  <w:r>
                    <w:rPr>
                      <w:color w:val="auto"/>
                      <w:sz w:val="21"/>
                      <w:szCs w:val="21"/>
                      <w:lang w:eastAsia="en-US"/>
                    </w:rPr>
                    <w:t>（kg/h)</w:t>
                  </w:r>
                </w:p>
              </w:tc>
              <w:tc>
                <w:tcPr>
                  <w:tcW w:w="512" w:type="pct"/>
                  <w:noWrap w:val="0"/>
                  <w:vAlign w:val="center"/>
                </w:tcPr>
                <w:p w14:paraId="12A7AA55">
                  <w:pPr>
                    <w:pStyle w:val="19"/>
                    <w:adjustRightInd w:val="0"/>
                    <w:jc w:val="center"/>
                    <w:rPr>
                      <w:color w:val="auto"/>
                      <w:sz w:val="21"/>
                      <w:szCs w:val="21"/>
                      <w:lang w:eastAsia="en-US"/>
                    </w:rPr>
                  </w:pPr>
                  <w:r>
                    <w:rPr>
                      <w:color w:val="auto"/>
                      <w:sz w:val="21"/>
                      <w:szCs w:val="21"/>
                      <w:lang w:eastAsia="en-US"/>
                    </w:rPr>
                    <w:t>排放浓度（mg/m</w:t>
                  </w:r>
                  <w:r>
                    <w:rPr>
                      <w:color w:val="auto"/>
                      <w:sz w:val="21"/>
                      <w:szCs w:val="21"/>
                      <w:vertAlign w:val="superscript"/>
                      <w:lang w:eastAsia="en-US"/>
                    </w:rPr>
                    <w:t>3</w:t>
                  </w:r>
                  <w:r>
                    <w:rPr>
                      <w:color w:val="auto"/>
                      <w:sz w:val="21"/>
                      <w:szCs w:val="21"/>
                      <w:lang w:eastAsia="en-US"/>
                    </w:rPr>
                    <w:t>)</w:t>
                  </w:r>
                </w:p>
              </w:tc>
              <w:tc>
                <w:tcPr>
                  <w:tcW w:w="411" w:type="pct"/>
                  <w:noWrap w:val="0"/>
                  <w:vAlign w:val="center"/>
                </w:tcPr>
                <w:p w14:paraId="457574EF">
                  <w:pPr>
                    <w:pStyle w:val="19"/>
                    <w:adjustRightInd w:val="0"/>
                    <w:jc w:val="center"/>
                    <w:rPr>
                      <w:rFonts w:hint="eastAsia" w:eastAsia="宋体"/>
                      <w:color w:val="auto"/>
                      <w:sz w:val="21"/>
                      <w:szCs w:val="21"/>
                      <w:lang w:val="en-US" w:eastAsia="zh-CN"/>
                    </w:rPr>
                  </w:pPr>
                  <w:r>
                    <w:rPr>
                      <w:rFonts w:hint="eastAsia"/>
                      <w:color w:val="auto"/>
                      <w:sz w:val="21"/>
                      <w:szCs w:val="21"/>
                      <w:lang w:val="en-US" w:eastAsia="zh-CN"/>
                    </w:rPr>
                    <w:t>排放标准</w:t>
                  </w:r>
                </w:p>
              </w:tc>
            </w:tr>
            <w:tr w14:paraId="72CF50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0" w:hRule="atLeast"/>
                <w:jc w:val="center"/>
              </w:trPr>
              <w:tc>
                <w:tcPr>
                  <w:tcW w:w="305" w:type="pct"/>
                  <w:vMerge w:val="restart"/>
                  <w:noWrap w:val="0"/>
                  <w:vAlign w:val="center"/>
                </w:tcPr>
                <w:p w14:paraId="5F4B26E6">
                  <w:pPr>
                    <w:pStyle w:val="19"/>
                    <w:adjustRightInd w:val="0"/>
                    <w:jc w:val="center"/>
                    <w:rPr>
                      <w:rFonts w:hint="eastAsia"/>
                      <w:color w:val="auto"/>
                      <w:sz w:val="21"/>
                      <w:szCs w:val="21"/>
                    </w:rPr>
                  </w:pPr>
                  <w:r>
                    <w:rPr>
                      <w:rFonts w:hint="eastAsia"/>
                      <w:color w:val="auto"/>
                      <w:sz w:val="21"/>
                      <w:szCs w:val="21"/>
                    </w:rPr>
                    <w:t>有组织</w:t>
                  </w:r>
                </w:p>
              </w:tc>
              <w:tc>
                <w:tcPr>
                  <w:tcW w:w="431" w:type="pct"/>
                  <w:vMerge w:val="restart"/>
                  <w:noWrap w:val="0"/>
                  <w:vAlign w:val="center"/>
                </w:tcPr>
                <w:p w14:paraId="0563F778">
                  <w:pPr>
                    <w:pStyle w:val="19"/>
                    <w:adjustRightInd w:val="0"/>
                    <w:jc w:val="center"/>
                    <w:rPr>
                      <w:rFonts w:hint="default"/>
                      <w:color w:val="auto"/>
                      <w:sz w:val="21"/>
                      <w:szCs w:val="21"/>
                      <w:lang w:val="en-US"/>
                    </w:rPr>
                  </w:pPr>
                  <w:r>
                    <w:rPr>
                      <w:rFonts w:hint="eastAsia"/>
                      <w:color w:val="auto"/>
                      <w:sz w:val="21"/>
                      <w:szCs w:val="21"/>
                      <w:lang w:val="en-US" w:eastAsia="zh-CN"/>
                    </w:rPr>
                    <w:t>DA001</w:t>
                  </w:r>
                </w:p>
              </w:tc>
              <w:tc>
                <w:tcPr>
                  <w:tcW w:w="475" w:type="pct"/>
                  <w:noWrap w:val="0"/>
                  <w:vAlign w:val="center"/>
                </w:tcPr>
                <w:p w14:paraId="6B866B5F">
                  <w:pPr>
                    <w:pStyle w:val="19"/>
                    <w:adjustRightInd w:val="0"/>
                    <w:jc w:val="center"/>
                    <w:rPr>
                      <w:color w:val="auto"/>
                      <w:sz w:val="21"/>
                      <w:szCs w:val="21"/>
                      <w:lang w:eastAsia="en-US"/>
                    </w:rPr>
                  </w:pPr>
                  <w:r>
                    <w:rPr>
                      <w:rFonts w:hint="eastAsia"/>
                      <w:color w:val="auto"/>
                      <w:sz w:val="21"/>
                      <w:szCs w:val="21"/>
                    </w:rPr>
                    <w:t>HCl</w:t>
                  </w:r>
                </w:p>
              </w:tc>
              <w:tc>
                <w:tcPr>
                  <w:tcW w:w="471" w:type="pct"/>
                  <w:noWrap w:val="0"/>
                  <w:vAlign w:val="center"/>
                </w:tcPr>
                <w:p w14:paraId="09D21143">
                  <w:pPr>
                    <w:pStyle w:val="19"/>
                    <w:adjustRightInd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0.0771</w:t>
                  </w:r>
                </w:p>
              </w:tc>
              <w:tc>
                <w:tcPr>
                  <w:tcW w:w="457" w:type="pct"/>
                  <w:noWrap w:val="0"/>
                  <w:vAlign w:val="center"/>
                </w:tcPr>
                <w:p w14:paraId="1007EC03">
                  <w:pPr>
                    <w:pStyle w:val="19"/>
                    <w:adjustRightInd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0.0643</w:t>
                  </w:r>
                </w:p>
              </w:tc>
              <w:tc>
                <w:tcPr>
                  <w:tcW w:w="559" w:type="pct"/>
                  <w:noWrap w:val="0"/>
                  <w:vAlign w:val="center"/>
                </w:tcPr>
                <w:p w14:paraId="1C3392DB">
                  <w:pPr>
                    <w:pStyle w:val="19"/>
                    <w:adjustRightInd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4.284</w:t>
                  </w:r>
                </w:p>
              </w:tc>
              <w:tc>
                <w:tcPr>
                  <w:tcW w:w="524" w:type="pct"/>
                  <w:vMerge w:val="restart"/>
                  <w:noWrap w:val="0"/>
                  <w:vAlign w:val="center"/>
                </w:tcPr>
                <w:p w14:paraId="3504A268">
                  <w:pPr>
                    <w:pStyle w:val="19"/>
                    <w:adjustRightInd w:val="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通风橱+碱液喷淋吸收</w:t>
                  </w:r>
                </w:p>
              </w:tc>
              <w:tc>
                <w:tcPr>
                  <w:tcW w:w="426" w:type="pct"/>
                  <w:noWrap w:val="0"/>
                  <w:vAlign w:val="center"/>
                </w:tcPr>
                <w:p w14:paraId="796F60C0">
                  <w:pPr>
                    <w:pStyle w:val="19"/>
                    <w:adjustRightInd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0.0077</w:t>
                  </w:r>
                </w:p>
              </w:tc>
              <w:tc>
                <w:tcPr>
                  <w:tcW w:w="425" w:type="pct"/>
                  <w:noWrap w:val="0"/>
                  <w:vAlign w:val="center"/>
                </w:tcPr>
                <w:p w14:paraId="63B244C7">
                  <w:pPr>
                    <w:pStyle w:val="19"/>
                    <w:adjustRightInd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0.0064</w:t>
                  </w:r>
                </w:p>
              </w:tc>
              <w:tc>
                <w:tcPr>
                  <w:tcW w:w="512" w:type="pct"/>
                  <w:noWrap w:val="0"/>
                  <w:vAlign w:val="center"/>
                </w:tcPr>
                <w:p w14:paraId="492FDDD9">
                  <w:pPr>
                    <w:pStyle w:val="19"/>
                    <w:adjustRightInd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0.4284</w:t>
                  </w:r>
                </w:p>
              </w:tc>
              <w:tc>
                <w:tcPr>
                  <w:tcW w:w="411" w:type="pct"/>
                  <w:noWrap w:val="0"/>
                  <w:vAlign w:val="center"/>
                </w:tcPr>
                <w:p w14:paraId="7AE6FA7B">
                  <w:pPr>
                    <w:pStyle w:val="19"/>
                    <w:adjustRightInd w:val="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100</w:t>
                  </w:r>
                </w:p>
              </w:tc>
            </w:tr>
            <w:tr w14:paraId="0F930B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1" w:hRule="atLeast"/>
                <w:jc w:val="center"/>
              </w:trPr>
              <w:tc>
                <w:tcPr>
                  <w:tcW w:w="305" w:type="pct"/>
                  <w:vMerge w:val="continue"/>
                  <w:noWrap w:val="0"/>
                  <w:vAlign w:val="center"/>
                </w:tcPr>
                <w:p w14:paraId="3D1E3466">
                  <w:pPr>
                    <w:pStyle w:val="19"/>
                    <w:adjustRightInd w:val="0"/>
                    <w:jc w:val="center"/>
                    <w:rPr>
                      <w:rFonts w:hint="eastAsia"/>
                      <w:color w:val="auto"/>
                      <w:sz w:val="21"/>
                      <w:szCs w:val="21"/>
                    </w:rPr>
                  </w:pPr>
                </w:p>
              </w:tc>
              <w:tc>
                <w:tcPr>
                  <w:tcW w:w="431" w:type="pct"/>
                  <w:vMerge w:val="continue"/>
                  <w:noWrap w:val="0"/>
                  <w:vAlign w:val="center"/>
                </w:tcPr>
                <w:p w14:paraId="4D8D1886">
                  <w:pPr>
                    <w:pStyle w:val="19"/>
                    <w:adjustRightInd w:val="0"/>
                    <w:jc w:val="center"/>
                    <w:rPr>
                      <w:rFonts w:hint="eastAsia"/>
                      <w:color w:val="auto"/>
                      <w:sz w:val="21"/>
                      <w:szCs w:val="21"/>
                    </w:rPr>
                  </w:pPr>
                </w:p>
              </w:tc>
              <w:tc>
                <w:tcPr>
                  <w:tcW w:w="475" w:type="pct"/>
                  <w:noWrap w:val="0"/>
                  <w:vAlign w:val="center"/>
                </w:tcPr>
                <w:p w14:paraId="07BBF75A">
                  <w:pPr>
                    <w:pStyle w:val="19"/>
                    <w:adjustRightInd w:val="0"/>
                    <w:jc w:val="center"/>
                    <w:rPr>
                      <w:rFonts w:hint="eastAsia"/>
                      <w:color w:val="auto"/>
                      <w:sz w:val="21"/>
                      <w:szCs w:val="21"/>
                    </w:rPr>
                  </w:pPr>
                  <w:r>
                    <w:rPr>
                      <w:rFonts w:hint="eastAsia"/>
                      <w:color w:val="auto"/>
                      <w:sz w:val="21"/>
                      <w:szCs w:val="21"/>
                      <w:lang w:val="en-US" w:eastAsia="zh-CN"/>
                    </w:rPr>
                    <w:t>硝酸雾</w:t>
                  </w:r>
                </w:p>
              </w:tc>
              <w:tc>
                <w:tcPr>
                  <w:tcW w:w="471" w:type="pct"/>
                  <w:noWrap w:val="0"/>
                  <w:vAlign w:val="center"/>
                </w:tcPr>
                <w:p w14:paraId="7950A0CF">
                  <w:pPr>
                    <w:pStyle w:val="19"/>
                    <w:adjustRightInd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0.03</w:t>
                  </w:r>
                  <w:r>
                    <w:rPr>
                      <w:rFonts w:hint="eastAsia" w:cs="Times New Roman"/>
                      <w:color w:val="auto"/>
                      <w:sz w:val="21"/>
                      <w:szCs w:val="21"/>
                      <w:lang w:val="en-US" w:eastAsia="zh-CN"/>
                    </w:rPr>
                    <w:t>0</w:t>
                  </w:r>
                  <w:r>
                    <w:rPr>
                      <w:rFonts w:hint="eastAsia" w:ascii="Times New Roman" w:hAnsi="Times New Roman" w:eastAsia="宋体" w:cs="Times New Roman"/>
                      <w:color w:val="auto"/>
                      <w:sz w:val="21"/>
                      <w:szCs w:val="21"/>
                      <w:lang w:val="en-US" w:eastAsia="zh-CN"/>
                    </w:rPr>
                    <w:t>5</w:t>
                  </w:r>
                </w:p>
              </w:tc>
              <w:tc>
                <w:tcPr>
                  <w:tcW w:w="457" w:type="pct"/>
                  <w:noWrap w:val="0"/>
                  <w:vAlign w:val="center"/>
                </w:tcPr>
                <w:p w14:paraId="6B8A4AA8">
                  <w:pPr>
                    <w:pStyle w:val="19"/>
                    <w:adjustRightInd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w:t>
                  </w:r>
                  <w:r>
                    <w:rPr>
                      <w:rFonts w:hint="eastAsia" w:cs="Times New Roman"/>
                      <w:color w:val="auto"/>
                      <w:sz w:val="21"/>
                      <w:szCs w:val="21"/>
                      <w:lang w:val="en-US" w:eastAsia="zh-CN"/>
                    </w:rPr>
                    <w:t>254</w:t>
                  </w:r>
                </w:p>
              </w:tc>
              <w:tc>
                <w:tcPr>
                  <w:tcW w:w="559" w:type="pct"/>
                  <w:noWrap w:val="0"/>
                  <w:vAlign w:val="center"/>
                </w:tcPr>
                <w:p w14:paraId="3CFBC143">
                  <w:pPr>
                    <w:pStyle w:val="19"/>
                    <w:adjustRightInd w:val="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1.692</w:t>
                  </w:r>
                </w:p>
              </w:tc>
              <w:tc>
                <w:tcPr>
                  <w:tcW w:w="524" w:type="pct"/>
                  <w:vMerge w:val="continue"/>
                  <w:noWrap w:val="0"/>
                  <w:vAlign w:val="center"/>
                </w:tcPr>
                <w:p w14:paraId="7DCDC707">
                  <w:pPr>
                    <w:pStyle w:val="19"/>
                    <w:adjustRightInd w:val="0"/>
                    <w:jc w:val="center"/>
                    <w:rPr>
                      <w:rFonts w:hint="eastAsia" w:ascii="Times New Roman" w:hAnsi="Times New Roman" w:eastAsia="宋体" w:cs="Times New Roman"/>
                      <w:color w:val="auto"/>
                      <w:sz w:val="21"/>
                      <w:szCs w:val="21"/>
                      <w:lang w:val="en-US" w:eastAsia="zh-CN"/>
                    </w:rPr>
                  </w:pPr>
                </w:p>
              </w:tc>
              <w:tc>
                <w:tcPr>
                  <w:tcW w:w="426" w:type="pct"/>
                  <w:noWrap w:val="0"/>
                  <w:vAlign w:val="center"/>
                </w:tcPr>
                <w:p w14:paraId="3B50F4AB">
                  <w:pPr>
                    <w:pStyle w:val="19"/>
                    <w:adjustRightInd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0.003</w:t>
                  </w:r>
                  <w:r>
                    <w:rPr>
                      <w:rFonts w:hint="eastAsia" w:cs="Times New Roman"/>
                      <w:color w:val="auto"/>
                      <w:sz w:val="21"/>
                      <w:szCs w:val="21"/>
                      <w:lang w:val="en-US" w:eastAsia="zh-CN"/>
                    </w:rPr>
                    <w:t>05</w:t>
                  </w:r>
                </w:p>
              </w:tc>
              <w:tc>
                <w:tcPr>
                  <w:tcW w:w="425" w:type="pct"/>
                  <w:noWrap w:val="0"/>
                  <w:vAlign w:val="center"/>
                </w:tcPr>
                <w:p w14:paraId="439D5A4B">
                  <w:pPr>
                    <w:pStyle w:val="19"/>
                    <w:adjustRightInd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0.00</w:t>
                  </w:r>
                  <w:r>
                    <w:rPr>
                      <w:rFonts w:hint="eastAsia" w:cs="Times New Roman"/>
                      <w:color w:val="auto"/>
                      <w:sz w:val="21"/>
                      <w:szCs w:val="21"/>
                      <w:lang w:val="en-US" w:eastAsia="zh-CN"/>
                    </w:rPr>
                    <w:t>254</w:t>
                  </w:r>
                </w:p>
              </w:tc>
              <w:tc>
                <w:tcPr>
                  <w:tcW w:w="512" w:type="pct"/>
                  <w:noWrap w:val="0"/>
                  <w:vAlign w:val="center"/>
                </w:tcPr>
                <w:p w14:paraId="7B74100D">
                  <w:pPr>
                    <w:pStyle w:val="19"/>
                    <w:adjustRightInd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w:t>
                  </w:r>
                  <w:r>
                    <w:rPr>
                      <w:rFonts w:hint="eastAsia" w:cs="Times New Roman"/>
                      <w:color w:val="auto"/>
                      <w:sz w:val="21"/>
                      <w:szCs w:val="21"/>
                      <w:lang w:val="en-US" w:eastAsia="zh-CN"/>
                    </w:rPr>
                    <w:t>169</w:t>
                  </w:r>
                </w:p>
              </w:tc>
              <w:tc>
                <w:tcPr>
                  <w:tcW w:w="411" w:type="pct"/>
                  <w:noWrap w:val="0"/>
                  <w:vAlign w:val="center"/>
                </w:tcPr>
                <w:p w14:paraId="1C3DC556">
                  <w:pPr>
                    <w:pStyle w:val="19"/>
                    <w:adjustRightInd w:val="0"/>
                    <w:jc w:val="center"/>
                    <w:rPr>
                      <w:rFonts w:hint="default" w:ascii="Times New Roman" w:hAnsi="Times New Roman" w:eastAsia="宋体" w:cs="Times New Roman"/>
                      <w:color w:val="auto"/>
                      <w:sz w:val="21"/>
                      <w:szCs w:val="21"/>
                      <w:lang w:val="en-US" w:eastAsia="zh-CN"/>
                    </w:rPr>
                  </w:pPr>
                  <w:r>
                    <w:rPr>
                      <w:rFonts w:hint="eastAsia" w:cs="Times New Roman"/>
                      <w:color w:val="FF0000"/>
                      <w:sz w:val="21"/>
                      <w:szCs w:val="21"/>
                      <w:lang w:val="en-US" w:eastAsia="zh-CN"/>
                    </w:rPr>
                    <w:t>240</w:t>
                  </w:r>
                </w:p>
              </w:tc>
            </w:tr>
            <w:tr w14:paraId="40EB33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1" w:hRule="atLeast"/>
                <w:jc w:val="center"/>
              </w:trPr>
              <w:tc>
                <w:tcPr>
                  <w:tcW w:w="305" w:type="pct"/>
                  <w:vMerge w:val="continue"/>
                  <w:noWrap w:val="0"/>
                  <w:vAlign w:val="center"/>
                </w:tcPr>
                <w:p w14:paraId="33B7E067">
                  <w:pPr>
                    <w:pStyle w:val="19"/>
                    <w:adjustRightInd w:val="0"/>
                    <w:jc w:val="center"/>
                    <w:rPr>
                      <w:rFonts w:hint="eastAsia"/>
                      <w:color w:val="auto"/>
                      <w:sz w:val="21"/>
                      <w:szCs w:val="21"/>
                    </w:rPr>
                  </w:pPr>
                </w:p>
              </w:tc>
              <w:tc>
                <w:tcPr>
                  <w:tcW w:w="431" w:type="pct"/>
                  <w:vMerge w:val="continue"/>
                  <w:noWrap w:val="0"/>
                  <w:vAlign w:val="center"/>
                </w:tcPr>
                <w:p w14:paraId="1A2EC971">
                  <w:pPr>
                    <w:pStyle w:val="19"/>
                    <w:adjustRightInd w:val="0"/>
                    <w:jc w:val="center"/>
                    <w:rPr>
                      <w:rFonts w:hint="default" w:eastAsia="宋体"/>
                      <w:color w:val="auto"/>
                      <w:sz w:val="21"/>
                      <w:szCs w:val="21"/>
                      <w:lang w:val="en-US" w:eastAsia="zh-CN"/>
                    </w:rPr>
                  </w:pPr>
                </w:p>
              </w:tc>
              <w:tc>
                <w:tcPr>
                  <w:tcW w:w="475" w:type="pct"/>
                  <w:noWrap w:val="0"/>
                  <w:vAlign w:val="center"/>
                </w:tcPr>
                <w:p w14:paraId="13B822A2">
                  <w:pPr>
                    <w:pStyle w:val="19"/>
                    <w:adjustRightInd w:val="0"/>
                    <w:jc w:val="center"/>
                    <w:rPr>
                      <w:rFonts w:hint="eastAsia" w:eastAsia="宋体"/>
                      <w:color w:val="auto"/>
                      <w:sz w:val="21"/>
                      <w:szCs w:val="21"/>
                      <w:lang w:val="en-US" w:eastAsia="zh-CN"/>
                    </w:rPr>
                  </w:pPr>
                  <w:r>
                    <w:rPr>
                      <w:rFonts w:hint="default" w:ascii="Times New Roman" w:hAnsi="Times New Roman" w:eastAsia="宋体" w:cs="Times New Roman"/>
                      <w:b w:val="0"/>
                      <w:bCs w:val="0"/>
                      <w:i w:val="0"/>
                      <w:iCs w:val="0"/>
                      <w:color w:val="auto"/>
                      <w:kern w:val="0"/>
                      <w:sz w:val="21"/>
                      <w:szCs w:val="21"/>
                      <w:u w:val="none"/>
                      <w:lang w:val="en-US" w:eastAsia="zh-CN" w:bidi="ar"/>
                    </w:rPr>
                    <w:t>硫酸雾</w:t>
                  </w:r>
                </w:p>
              </w:tc>
              <w:tc>
                <w:tcPr>
                  <w:tcW w:w="471" w:type="pct"/>
                  <w:noWrap w:val="0"/>
                  <w:vAlign w:val="center"/>
                </w:tcPr>
                <w:p w14:paraId="19FDAEFD">
                  <w:pPr>
                    <w:pStyle w:val="19"/>
                    <w:adjustRightInd w:val="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0.0004</w:t>
                  </w:r>
                </w:p>
              </w:tc>
              <w:tc>
                <w:tcPr>
                  <w:tcW w:w="457" w:type="pct"/>
                  <w:noWrap w:val="0"/>
                  <w:vAlign w:val="center"/>
                </w:tcPr>
                <w:p w14:paraId="53B4CC55">
                  <w:pPr>
                    <w:pStyle w:val="19"/>
                    <w:adjustRightInd w:val="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0.0003</w:t>
                  </w:r>
                </w:p>
              </w:tc>
              <w:tc>
                <w:tcPr>
                  <w:tcW w:w="559" w:type="pct"/>
                  <w:noWrap w:val="0"/>
                  <w:vAlign w:val="center"/>
                </w:tcPr>
                <w:p w14:paraId="61E637FE">
                  <w:pPr>
                    <w:pStyle w:val="19"/>
                    <w:adjustRightInd w:val="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0.023</w:t>
                  </w:r>
                </w:p>
              </w:tc>
              <w:tc>
                <w:tcPr>
                  <w:tcW w:w="524" w:type="pct"/>
                  <w:vMerge w:val="continue"/>
                  <w:noWrap w:val="0"/>
                  <w:vAlign w:val="center"/>
                </w:tcPr>
                <w:p w14:paraId="4817E59D">
                  <w:pPr>
                    <w:pStyle w:val="19"/>
                    <w:adjustRightInd w:val="0"/>
                    <w:jc w:val="center"/>
                    <w:rPr>
                      <w:rFonts w:hint="eastAsia" w:ascii="Times New Roman" w:hAnsi="Times New Roman" w:eastAsia="宋体" w:cs="Times New Roman"/>
                      <w:color w:val="auto"/>
                      <w:sz w:val="21"/>
                      <w:szCs w:val="21"/>
                      <w:lang w:val="en-US" w:eastAsia="zh-CN"/>
                    </w:rPr>
                  </w:pPr>
                </w:p>
              </w:tc>
              <w:tc>
                <w:tcPr>
                  <w:tcW w:w="426" w:type="pct"/>
                  <w:noWrap w:val="0"/>
                  <w:vAlign w:val="center"/>
                </w:tcPr>
                <w:p w14:paraId="254FC8FF">
                  <w:pPr>
                    <w:pStyle w:val="19"/>
                    <w:adjustRightInd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0.0000</w:t>
                  </w:r>
                  <w:r>
                    <w:rPr>
                      <w:rFonts w:hint="eastAsia" w:cs="Times New Roman"/>
                      <w:color w:val="auto"/>
                      <w:sz w:val="21"/>
                      <w:szCs w:val="21"/>
                      <w:lang w:val="en-US" w:eastAsia="zh-CN"/>
                    </w:rPr>
                    <w:t>4</w:t>
                  </w:r>
                </w:p>
              </w:tc>
              <w:tc>
                <w:tcPr>
                  <w:tcW w:w="425" w:type="pct"/>
                  <w:noWrap w:val="0"/>
                  <w:vAlign w:val="center"/>
                </w:tcPr>
                <w:p w14:paraId="2BC8380A">
                  <w:pPr>
                    <w:pStyle w:val="19"/>
                    <w:adjustRightInd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0.0000</w:t>
                  </w:r>
                  <w:r>
                    <w:rPr>
                      <w:rFonts w:hint="eastAsia" w:cs="Times New Roman"/>
                      <w:color w:val="auto"/>
                      <w:sz w:val="21"/>
                      <w:szCs w:val="21"/>
                      <w:lang w:val="en-US" w:eastAsia="zh-CN"/>
                    </w:rPr>
                    <w:t>3</w:t>
                  </w:r>
                </w:p>
              </w:tc>
              <w:tc>
                <w:tcPr>
                  <w:tcW w:w="512" w:type="pct"/>
                  <w:noWrap w:val="0"/>
                  <w:vAlign w:val="center"/>
                </w:tcPr>
                <w:p w14:paraId="51D2F7FC">
                  <w:pPr>
                    <w:pStyle w:val="19"/>
                    <w:adjustRightInd w:val="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0.0023</w:t>
                  </w:r>
                </w:p>
              </w:tc>
              <w:tc>
                <w:tcPr>
                  <w:tcW w:w="411" w:type="pct"/>
                  <w:noWrap w:val="0"/>
                  <w:vAlign w:val="center"/>
                </w:tcPr>
                <w:p w14:paraId="3E6D3AA3">
                  <w:pPr>
                    <w:pStyle w:val="19"/>
                    <w:adjustRightInd w:val="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45</w:t>
                  </w:r>
                </w:p>
              </w:tc>
            </w:tr>
            <w:tr w14:paraId="511400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1" w:hRule="atLeast"/>
                <w:jc w:val="center"/>
              </w:trPr>
              <w:tc>
                <w:tcPr>
                  <w:tcW w:w="305" w:type="pct"/>
                  <w:vMerge w:val="continue"/>
                  <w:noWrap w:val="0"/>
                  <w:vAlign w:val="center"/>
                </w:tcPr>
                <w:p w14:paraId="7BDE36FF">
                  <w:pPr>
                    <w:pStyle w:val="19"/>
                    <w:adjustRightInd w:val="0"/>
                    <w:jc w:val="center"/>
                    <w:rPr>
                      <w:rFonts w:hint="eastAsia"/>
                      <w:color w:val="auto"/>
                      <w:sz w:val="21"/>
                      <w:szCs w:val="21"/>
                    </w:rPr>
                  </w:pPr>
                </w:p>
              </w:tc>
              <w:tc>
                <w:tcPr>
                  <w:tcW w:w="431" w:type="pct"/>
                  <w:vMerge w:val="continue"/>
                  <w:noWrap w:val="0"/>
                  <w:vAlign w:val="center"/>
                </w:tcPr>
                <w:p w14:paraId="141653A8">
                  <w:pPr>
                    <w:pStyle w:val="19"/>
                    <w:adjustRightInd w:val="0"/>
                    <w:jc w:val="center"/>
                    <w:rPr>
                      <w:rFonts w:hint="default" w:eastAsia="宋体"/>
                      <w:color w:val="auto"/>
                      <w:sz w:val="21"/>
                      <w:szCs w:val="21"/>
                      <w:lang w:val="en-US" w:eastAsia="zh-CN"/>
                    </w:rPr>
                  </w:pPr>
                </w:p>
              </w:tc>
              <w:tc>
                <w:tcPr>
                  <w:tcW w:w="475" w:type="pct"/>
                  <w:noWrap w:val="0"/>
                  <w:vAlign w:val="center"/>
                </w:tcPr>
                <w:p w14:paraId="6AC90C8F">
                  <w:pPr>
                    <w:pStyle w:val="19"/>
                    <w:adjustRightInd w:val="0"/>
                    <w:jc w:val="center"/>
                    <w:rPr>
                      <w:rFonts w:hint="default" w:eastAsia="宋体"/>
                      <w:color w:val="auto"/>
                      <w:sz w:val="21"/>
                      <w:szCs w:val="21"/>
                      <w:lang w:val="en-US" w:eastAsia="zh-CN"/>
                    </w:rPr>
                  </w:pPr>
                  <w:r>
                    <w:rPr>
                      <w:rFonts w:hint="eastAsia" w:eastAsia="宋体"/>
                      <w:color w:val="auto"/>
                      <w:sz w:val="21"/>
                      <w:szCs w:val="21"/>
                      <w:lang w:val="en-US" w:eastAsia="zh-CN"/>
                    </w:rPr>
                    <w:t>氨</w:t>
                  </w:r>
                </w:p>
              </w:tc>
              <w:tc>
                <w:tcPr>
                  <w:tcW w:w="471" w:type="pct"/>
                  <w:noWrap w:val="0"/>
                  <w:vAlign w:val="center"/>
                </w:tcPr>
                <w:p w14:paraId="640FE608">
                  <w:pPr>
                    <w:pStyle w:val="19"/>
                    <w:adjustRightInd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0.0017</w:t>
                  </w:r>
                </w:p>
              </w:tc>
              <w:tc>
                <w:tcPr>
                  <w:tcW w:w="457" w:type="pct"/>
                  <w:noWrap w:val="0"/>
                  <w:vAlign w:val="center"/>
                </w:tcPr>
                <w:p w14:paraId="5D10D84A">
                  <w:pPr>
                    <w:pStyle w:val="19"/>
                    <w:adjustRightInd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0.0014</w:t>
                  </w:r>
                </w:p>
              </w:tc>
              <w:tc>
                <w:tcPr>
                  <w:tcW w:w="559" w:type="pct"/>
                  <w:noWrap w:val="0"/>
                  <w:vAlign w:val="center"/>
                </w:tcPr>
                <w:p w14:paraId="6AB30BFE">
                  <w:pPr>
                    <w:pStyle w:val="19"/>
                    <w:adjustRightInd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0.093</w:t>
                  </w:r>
                </w:p>
              </w:tc>
              <w:tc>
                <w:tcPr>
                  <w:tcW w:w="524" w:type="pct"/>
                  <w:vMerge w:val="continue"/>
                  <w:noWrap w:val="0"/>
                  <w:vAlign w:val="center"/>
                </w:tcPr>
                <w:p w14:paraId="378740A7">
                  <w:pPr>
                    <w:pStyle w:val="19"/>
                    <w:adjustRightInd w:val="0"/>
                    <w:jc w:val="center"/>
                    <w:rPr>
                      <w:rFonts w:hint="eastAsia" w:ascii="Times New Roman" w:hAnsi="Times New Roman" w:eastAsia="宋体" w:cs="Times New Roman"/>
                      <w:color w:val="auto"/>
                      <w:sz w:val="21"/>
                      <w:szCs w:val="21"/>
                      <w:lang w:val="en-US" w:eastAsia="zh-CN"/>
                    </w:rPr>
                  </w:pPr>
                </w:p>
              </w:tc>
              <w:tc>
                <w:tcPr>
                  <w:tcW w:w="426" w:type="pct"/>
                  <w:noWrap w:val="0"/>
                  <w:vAlign w:val="center"/>
                </w:tcPr>
                <w:p w14:paraId="55186150">
                  <w:pPr>
                    <w:pStyle w:val="19"/>
                    <w:adjustRightInd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0.0002</w:t>
                  </w:r>
                </w:p>
              </w:tc>
              <w:tc>
                <w:tcPr>
                  <w:tcW w:w="425" w:type="pct"/>
                  <w:noWrap w:val="0"/>
                  <w:vAlign w:val="center"/>
                </w:tcPr>
                <w:p w14:paraId="7167FB02">
                  <w:pPr>
                    <w:pStyle w:val="19"/>
                    <w:adjustRightInd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0.0001</w:t>
                  </w:r>
                </w:p>
              </w:tc>
              <w:tc>
                <w:tcPr>
                  <w:tcW w:w="512" w:type="pct"/>
                  <w:noWrap w:val="0"/>
                  <w:vAlign w:val="center"/>
                </w:tcPr>
                <w:p w14:paraId="3A1233F1">
                  <w:pPr>
                    <w:pStyle w:val="19"/>
                    <w:adjustRightInd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0.0093</w:t>
                  </w:r>
                </w:p>
              </w:tc>
              <w:tc>
                <w:tcPr>
                  <w:tcW w:w="411" w:type="pct"/>
                  <w:noWrap w:val="0"/>
                  <w:vAlign w:val="center"/>
                </w:tcPr>
                <w:p w14:paraId="1AF841AF">
                  <w:pPr>
                    <w:pStyle w:val="19"/>
                    <w:adjustRightInd w:val="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w:t>
                  </w:r>
                </w:p>
              </w:tc>
            </w:tr>
            <w:tr w14:paraId="41CC09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0" w:hRule="atLeast"/>
                <w:jc w:val="center"/>
              </w:trPr>
              <w:tc>
                <w:tcPr>
                  <w:tcW w:w="737" w:type="pct"/>
                  <w:gridSpan w:val="2"/>
                  <w:vMerge w:val="restart"/>
                  <w:noWrap w:val="0"/>
                  <w:vAlign w:val="center"/>
                </w:tcPr>
                <w:p w14:paraId="5EDA7AE4">
                  <w:pPr>
                    <w:pStyle w:val="19"/>
                    <w:adjustRightInd w:val="0"/>
                    <w:jc w:val="center"/>
                    <w:rPr>
                      <w:rFonts w:hint="eastAsia"/>
                      <w:color w:val="auto"/>
                      <w:sz w:val="21"/>
                      <w:szCs w:val="21"/>
                    </w:rPr>
                  </w:pPr>
                  <w:r>
                    <w:rPr>
                      <w:rFonts w:hint="eastAsia"/>
                      <w:color w:val="auto"/>
                      <w:sz w:val="21"/>
                      <w:szCs w:val="21"/>
                    </w:rPr>
                    <w:t>无组织排放</w:t>
                  </w:r>
                </w:p>
              </w:tc>
              <w:tc>
                <w:tcPr>
                  <w:tcW w:w="475" w:type="pct"/>
                  <w:noWrap w:val="0"/>
                  <w:vAlign w:val="center"/>
                </w:tcPr>
                <w:p w14:paraId="5BBECACD">
                  <w:pPr>
                    <w:pStyle w:val="19"/>
                    <w:adjustRightInd w:val="0"/>
                    <w:jc w:val="center"/>
                    <w:rPr>
                      <w:rFonts w:hint="eastAsia"/>
                      <w:color w:val="auto"/>
                      <w:sz w:val="21"/>
                      <w:szCs w:val="21"/>
                    </w:rPr>
                  </w:pPr>
                  <w:r>
                    <w:rPr>
                      <w:rFonts w:hint="eastAsia"/>
                      <w:color w:val="auto"/>
                      <w:sz w:val="21"/>
                      <w:szCs w:val="21"/>
                    </w:rPr>
                    <w:t>HCl</w:t>
                  </w:r>
                </w:p>
              </w:tc>
              <w:tc>
                <w:tcPr>
                  <w:tcW w:w="471" w:type="pct"/>
                  <w:noWrap w:val="0"/>
                  <w:vAlign w:val="center"/>
                </w:tcPr>
                <w:p w14:paraId="13BD52E9">
                  <w:pPr>
                    <w:pStyle w:val="19"/>
                    <w:adjustRightInd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0.0086</w:t>
                  </w:r>
                </w:p>
              </w:tc>
              <w:tc>
                <w:tcPr>
                  <w:tcW w:w="457" w:type="pct"/>
                  <w:noWrap w:val="0"/>
                  <w:vAlign w:val="center"/>
                </w:tcPr>
                <w:p w14:paraId="7B66CE82">
                  <w:pPr>
                    <w:pStyle w:val="19"/>
                    <w:adjustRightInd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0.0071</w:t>
                  </w:r>
                </w:p>
              </w:tc>
              <w:tc>
                <w:tcPr>
                  <w:tcW w:w="559" w:type="pct"/>
                  <w:noWrap w:val="0"/>
                  <w:vAlign w:val="center"/>
                </w:tcPr>
                <w:p w14:paraId="6382B9B9">
                  <w:pPr>
                    <w:pStyle w:val="19"/>
                    <w:adjustRightInd w:val="0"/>
                    <w:jc w:val="center"/>
                    <w:rPr>
                      <w:rFonts w:hint="eastAsia"/>
                      <w:color w:val="auto"/>
                      <w:sz w:val="21"/>
                      <w:szCs w:val="21"/>
                    </w:rPr>
                  </w:pPr>
                  <w:r>
                    <w:rPr>
                      <w:rFonts w:hint="eastAsia"/>
                      <w:color w:val="auto"/>
                      <w:sz w:val="21"/>
                      <w:szCs w:val="21"/>
                    </w:rPr>
                    <w:t>/</w:t>
                  </w:r>
                </w:p>
              </w:tc>
              <w:tc>
                <w:tcPr>
                  <w:tcW w:w="524" w:type="pct"/>
                  <w:vMerge w:val="restart"/>
                  <w:noWrap w:val="0"/>
                  <w:vAlign w:val="center"/>
                </w:tcPr>
                <w:p w14:paraId="33883926">
                  <w:pPr>
                    <w:pStyle w:val="77"/>
                    <w:adjustRightInd w:val="0"/>
                    <w:snapToGrid w:val="0"/>
                    <w:spacing w:before="0"/>
                    <w:rPr>
                      <w:rFonts w:hint="eastAsia" w:cs="Times New Roman"/>
                      <w:color w:val="auto"/>
                      <w:sz w:val="21"/>
                      <w:szCs w:val="21"/>
                      <w:lang w:eastAsia="zh-CN"/>
                    </w:rPr>
                  </w:pPr>
                  <w:r>
                    <w:rPr>
                      <w:rFonts w:hint="eastAsia" w:cs="Times New Roman"/>
                      <w:color w:val="auto"/>
                      <w:sz w:val="21"/>
                      <w:szCs w:val="21"/>
                      <w:lang w:val="en-US" w:eastAsia="zh-CN"/>
                    </w:rPr>
                    <w:t>实验室</w:t>
                  </w:r>
                  <w:r>
                    <w:rPr>
                      <w:rFonts w:hint="eastAsia" w:cs="Times New Roman"/>
                      <w:color w:val="auto"/>
                      <w:sz w:val="21"/>
                      <w:szCs w:val="21"/>
                      <w:lang w:eastAsia="zh-CN"/>
                    </w:rPr>
                    <w:t>封闭</w:t>
                  </w:r>
                </w:p>
              </w:tc>
              <w:tc>
                <w:tcPr>
                  <w:tcW w:w="426" w:type="pct"/>
                  <w:shd w:val="clear" w:color="auto" w:fill="auto"/>
                  <w:noWrap w:val="0"/>
                  <w:vAlign w:val="center"/>
                </w:tcPr>
                <w:p w14:paraId="59BE2317">
                  <w:pPr>
                    <w:pStyle w:val="19"/>
                    <w:adjustRightInd w:val="0"/>
                    <w:jc w:val="center"/>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0.0086</w:t>
                  </w:r>
                </w:p>
              </w:tc>
              <w:tc>
                <w:tcPr>
                  <w:tcW w:w="425" w:type="pct"/>
                  <w:noWrap w:val="0"/>
                  <w:vAlign w:val="center"/>
                </w:tcPr>
                <w:p w14:paraId="6A5028F6">
                  <w:pPr>
                    <w:pStyle w:val="19"/>
                    <w:adjustRightInd w:val="0"/>
                    <w:jc w:val="center"/>
                    <w:rPr>
                      <w:rFonts w:hint="eastAsia"/>
                      <w:color w:val="auto"/>
                      <w:sz w:val="21"/>
                      <w:szCs w:val="21"/>
                    </w:rPr>
                  </w:pPr>
                  <w:r>
                    <w:rPr>
                      <w:rFonts w:hint="eastAsia" w:ascii="Times New Roman" w:hAnsi="Times New Roman" w:eastAsia="宋体" w:cs="Times New Roman"/>
                      <w:color w:val="auto"/>
                      <w:sz w:val="21"/>
                      <w:szCs w:val="21"/>
                      <w:lang w:val="en-US" w:eastAsia="zh-CN"/>
                    </w:rPr>
                    <w:t>0.0071</w:t>
                  </w:r>
                </w:p>
              </w:tc>
              <w:tc>
                <w:tcPr>
                  <w:tcW w:w="512" w:type="pct"/>
                  <w:noWrap w:val="0"/>
                  <w:vAlign w:val="center"/>
                </w:tcPr>
                <w:p w14:paraId="1DC5FEC6">
                  <w:pPr>
                    <w:pStyle w:val="19"/>
                    <w:adjustRightInd w:val="0"/>
                    <w:jc w:val="center"/>
                    <w:rPr>
                      <w:rFonts w:hint="eastAsia"/>
                      <w:color w:val="auto"/>
                      <w:sz w:val="21"/>
                      <w:szCs w:val="21"/>
                    </w:rPr>
                  </w:pPr>
                  <w:r>
                    <w:rPr>
                      <w:rFonts w:hint="eastAsia"/>
                      <w:color w:val="auto"/>
                      <w:sz w:val="21"/>
                      <w:szCs w:val="21"/>
                    </w:rPr>
                    <w:t>/</w:t>
                  </w:r>
                </w:p>
              </w:tc>
              <w:tc>
                <w:tcPr>
                  <w:tcW w:w="411" w:type="pct"/>
                  <w:noWrap w:val="0"/>
                  <w:vAlign w:val="center"/>
                </w:tcPr>
                <w:p w14:paraId="528AE379">
                  <w:pPr>
                    <w:pStyle w:val="19"/>
                    <w:adjustRightInd w:val="0"/>
                    <w:jc w:val="center"/>
                    <w:rPr>
                      <w:rFonts w:hint="default" w:eastAsia="宋体"/>
                      <w:color w:val="auto"/>
                      <w:sz w:val="21"/>
                      <w:szCs w:val="21"/>
                      <w:lang w:val="en-US" w:eastAsia="zh-CN"/>
                    </w:rPr>
                  </w:pPr>
                  <w:r>
                    <w:rPr>
                      <w:rFonts w:hint="eastAsia"/>
                      <w:color w:val="auto"/>
                      <w:sz w:val="21"/>
                      <w:szCs w:val="21"/>
                      <w:lang w:val="en-US" w:eastAsia="zh-CN"/>
                    </w:rPr>
                    <w:t>0.2</w:t>
                  </w:r>
                </w:p>
              </w:tc>
            </w:tr>
            <w:tr w14:paraId="5B5D67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1" w:hRule="atLeast"/>
                <w:jc w:val="center"/>
              </w:trPr>
              <w:tc>
                <w:tcPr>
                  <w:tcW w:w="737" w:type="pct"/>
                  <w:gridSpan w:val="2"/>
                  <w:vMerge w:val="continue"/>
                  <w:noWrap w:val="0"/>
                  <w:vAlign w:val="center"/>
                </w:tcPr>
                <w:p w14:paraId="589D487E">
                  <w:pPr>
                    <w:pStyle w:val="19"/>
                    <w:adjustRightInd w:val="0"/>
                    <w:jc w:val="center"/>
                    <w:rPr>
                      <w:rFonts w:hint="eastAsia"/>
                      <w:color w:val="auto"/>
                      <w:sz w:val="21"/>
                      <w:szCs w:val="21"/>
                    </w:rPr>
                  </w:pPr>
                </w:p>
              </w:tc>
              <w:tc>
                <w:tcPr>
                  <w:tcW w:w="475" w:type="pct"/>
                  <w:noWrap w:val="0"/>
                  <w:vAlign w:val="center"/>
                </w:tcPr>
                <w:p w14:paraId="5C5DC3BA">
                  <w:pPr>
                    <w:pStyle w:val="19"/>
                    <w:adjustRightInd w:val="0"/>
                    <w:jc w:val="center"/>
                    <w:rPr>
                      <w:rFonts w:hint="eastAsia"/>
                      <w:color w:val="auto"/>
                      <w:sz w:val="21"/>
                      <w:szCs w:val="21"/>
                    </w:rPr>
                  </w:pPr>
                  <w:r>
                    <w:rPr>
                      <w:rFonts w:hint="eastAsia"/>
                      <w:color w:val="auto"/>
                      <w:sz w:val="21"/>
                      <w:szCs w:val="21"/>
                      <w:lang w:val="en-US" w:eastAsia="zh-CN"/>
                    </w:rPr>
                    <w:t>硝酸雾</w:t>
                  </w:r>
                </w:p>
              </w:tc>
              <w:tc>
                <w:tcPr>
                  <w:tcW w:w="471" w:type="pct"/>
                  <w:noWrap w:val="0"/>
                  <w:vAlign w:val="center"/>
                </w:tcPr>
                <w:p w14:paraId="0717598B">
                  <w:pPr>
                    <w:pStyle w:val="19"/>
                    <w:adjustRightInd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0.00</w:t>
                  </w:r>
                  <w:r>
                    <w:rPr>
                      <w:rFonts w:hint="eastAsia" w:cs="Times New Roman"/>
                      <w:color w:val="auto"/>
                      <w:sz w:val="21"/>
                      <w:szCs w:val="21"/>
                      <w:lang w:val="en-US" w:eastAsia="zh-CN"/>
                    </w:rPr>
                    <w:t>34</w:t>
                  </w:r>
                </w:p>
              </w:tc>
              <w:tc>
                <w:tcPr>
                  <w:tcW w:w="457" w:type="pct"/>
                  <w:noWrap w:val="0"/>
                  <w:vAlign w:val="center"/>
                </w:tcPr>
                <w:p w14:paraId="74EE2178">
                  <w:pPr>
                    <w:pStyle w:val="19"/>
                    <w:adjustRightInd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0.00</w:t>
                  </w:r>
                  <w:r>
                    <w:rPr>
                      <w:rFonts w:hint="eastAsia" w:cs="Times New Roman"/>
                      <w:color w:val="auto"/>
                      <w:sz w:val="21"/>
                      <w:szCs w:val="21"/>
                      <w:lang w:val="en-US" w:eastAsia="zh-CN"/>
                    </w:rPr>
                    <w:t>28</w:t>
                  </w:r>
                </w:p>
              </w:tc>
              <w:tc>
                <w:tcPr>
                  <w:tcW w:w="559" w:type="pct"/>
                  <w:noWrap w:val="0"/>
                  <w:vAlign w:val="center"/>
                </w:tcPr>
                <w:p w14:paraId="77CBBF59">
                  <w:pPr>
                    <w:pStyle w:val="19"/>
                    <w:adjustRightInd w:val="0"/>
                    <w:jc w:val="center"/>
                    <w:rPr>
                      <w:rFonts w:hint="eastAsia"/>
                      <w:color w:val="auto"/>
                      <w:sz w:val="21"/>
                      <w:szCs w:val="21"/>
                    </w:rPr>
                  </w:pPr>
                  <w:r>
                    <w:rPr>
                      <w:rFonts w:hint="eastAsia"/>
                      <w:color w:val="auto"/>
                      <w:sz w:val="21"/>
                      <w:szCs w:val="21"/>
                    </w:rPr>
                    <w:t>/</w:t>
                  </w:r>
                </w:p>
              </w:tc>
              <w:tc>
                <w:tcPr>
                  <w:tcW w:w="524" w:type="pct"/>
                  <w:vMerge w:val="continue"/>
                  <w:noWrap w:val="0"/>
                  <w:vAlign w:val="center"/>
                </w:tcPr>
                <w:p w14:paraId="44370314">
                  <w:pPr>
                    <w:pStyle w:val="77"/>
                    <w:adjustRightInd w:val="0"/>
                    <w:snapToGrid w:val="0"/>
                    <w:spacing w:before="0"/>
                    <w:rPr>
                      <w:rFonts w:hint="eastAsia" w:cs="Times New Roman"/>
                      <w:color w:val="auto"/>
                      <w:sz w:val="21"/>
                      <w:szCs w:val="21"/>
                      <w:lang w:eastAsia="zh-CN"/>
                    </w:rPr>
                  </w:pPr>
                </w:p>
              </w:tc>
              <w:tc>
                <w:tcPr>
                  <w:tcW w:w="426" w:type="pct"/>
                  <w:shd w:val="clear" w:color="auto" w:fill="auto"/>
                  <w:noWrap w:val="0"/>
                  <w:vAlign w:val="center"/>
                </w:tcPr>
                <w:p w14:paraId="431E3D47">
                  <w:pPr>
                    <w:pStyle w:val="19"/>
                    <w:adjustRightInd w:val="0"/>
                    <w:jc w:val="center"/>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0.00</w:t>
                  </w:r>
                  <w:r>
                    <w:rPr>
                      <w:rFonts w:hint="eastAsia" w:cs="Times New Roman"/>
                      <w:color w:val="auto"/>
                      <w:sz w:val="21"/>
                      <w:szCs w:val="21"/>
                      <w:lang w:val="en-US" w:eastAsia="zh-CN"/>
                    </w:rPr>
                    <w:t>34</w:t>
                  </w:r>
                </w:p>
              </w:tc>
              <w:tc>
                <w:tcPr>
                  <w:tcW w:w="425" w:type="pct"/>
                  <w:noWrap w:val="0"/>
                  <w:vAlign w:val="center"/>
                </w:tcPr>
                <w:p w14:paraId="2922C6A0">
                  <w:pPr>
                    <w:pStyle w:val="19"/>
                    <w:adjustRightInd w:val="0"/>
                    <w:jc w:val="center"/>
                    <w:rPr>
                      <w:rFonts w:hint="eastAsia"/>
                      <w:color w:val="auto"/>
                      <w:sz w:val="21"/>
                      <w:szCs w:val="21"/>
                    </w:rPr>
                  </w:pPr>
                  <w:r>
                    <w:rPr>
                      <w:rFonts w:hint="eastAsia" w:ascii="Times New Roman" w:hAnsi="Times New Roman" w:eastAsia="宋体" w:cs="Times New Roman"/>
                      <w:color w:val="auto"/>
                      <w:sz w:val="21"/>
                      <w:szCs w:val="21"/>
                      <w:lang w:val="en-US" w:eastAsia="zh-CN"/>
                    </w:rPr>
                    <w:t>0.00</w:t>
                  </w:r>
                  <w:r>
                    <w:rPr>
                      <w:rFonts w:hint="eastAsia" w:cs="Times New Roman"/>
                      <w:color w:val="auto"/>
                      <w:sz w:val="21"/>
                      <w:szCs w:val="21"/>
                      <w:lang w:val="en-US" w:eastAsia="zh-CN"/>
                    </w:rPr>
                    <w:t>28</w:t>
                  </w:r>
                </w:p>
              </w:tc>
              <w:tc>
                <w:tcPr>
                  <w:tcW w:w="512" w:type="pct"/>
                  <w:noWrap w:val="0"/>
                  <w:vAlign w:val="center"/>
                </w:tcPr>
                <w:p w14:paraId="5F194FB6">
                  <w:pPr>
                    <w:pStyle w:val="19"/>
                    <w:adjustRightInd w:val="0"/>
                    <w:jc w:val="center"/>
                    <w:rPr>
                      <w:rFonts w:hint="eastAsia"/>
                      <w:color w:val="auto"/>
                      <w:sz w:val="21"/>
                      <w:szCs w:val="21"/>
                    </w:rPr>
                  </w:pPr>
                </w:p>
              </w:tc>
              <w:tc>
                <w:tcPr>
                  <w:tcW w:w="411" w:type="pct"/>
                  <w:noWrap w:val="0"/>
                  <w:vAlign w:val="center"/>
                </w:tcPr>
                <w:p w14:paraId="708EC236">
                  <w:pPr>
                    <w:pStyle w:val="19"/>
                    <w:adjustRightInd w:val="0"/>
                    <w:jc w:val="center"/>
                    <w:rPr>
                      <w:rFonts w:hint="default" w:eastAsia="宋体"/>
                      <w:color w:val="auto"/>
                      <w:sz w:val="21"/>
                      <w:szCs w:val="21"/>
                      <w:lang w:val="en-US" w:eastAsia="zh-CN"/>
                    </w:rPr>
                  </w:pPr>
                  <w:r>
                    <w:rPr>
                      <w:rFonts w:hint="eastAsia"/>
                      <w:color w:val="auto"/>
                      <w:sz w:val="21"/>
                      <w:szCs w:val="21"/>
                      <w:lang w:val="en-US" w:eastAsia="zh-CN"/>
                    </w:rPr>
                    <w:t>0.12</w:t>
                  </w:r>
                </w:p>
              </w:tc>
            </w:tr>
            <w:tr w14:paraId="3A1F40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1" w:hRule="atLeast"/>
                <w:jc w:val="center"/>
              </w:trPr>
              <w:tc>
                <w:tcPr>
                  <w:tcW w:w="737" w:type="pct"/>
                  <w:gridSpan w:val="2"/>
                  <w:vMerge w:val="continue"/>
                  <w:noWrap w:val="0"/>
                  <w:vAlign w:val="center"/>
                </w:tcPr>
                <w:p w14:paraId="54325778">
                  <w:pPr>
                    <w:pStyle w:val="19"/>
                    <w:adjustRightInd w:val="0"/>
                    <w:jc w:val="center"/>
                    <w:rPr>
                      <w:rFonts w:hint="eastAsia"/>
                      <w:color w:val="auto"/>
                      <w:sz w:val="21"/>
                      <w:szCs w:val="21"/>
                    </w:rPr>
                  </w:pPr>
                </w:p>
              </w:tc>
              <w:tc>
                <w:tcPr>
                  <w:tcW w:w="475" w:type="pct"/>
                  <w:noWrap w:val="0"/>
                  <w:vAlign w:val="center"/>
                </w:tcPr>
                <w:p w14:paraId="76BCB0F9">
                  <w:pPr>
                    <w:pStyle w:val="19"/>
                    <w:adjustRightInd w:val="0"/>
                    <w:jc w:val="center"/>
                    <w:rPr>
                      <w:rFonts w:hint="eastAsia"/>
                      <w:color w:val="auto"/>
                      <w:sz w:val="21"/>
                      <w:szCs w:val="21"/>
                    </w:rPr>
                  </w:pPr>
                  <w:r>
                    <w:rPr>
                      <w:rFonts w:hint="default" w:ascii="Times New Roman" w:hAnsi="Times New Roman" w:eastAsia="宋体" w:cs="Times New Roman"/>
                      <w:b w:val="0"/>
                      <w:bCs w:val="0"/>
                      <w:i w:val="0"/>
                      <w:iCs w:val="0"/>
                      <w:color w:val="auto"/>
                      <w:kern w:val="0"/>
                      <w:sz w:val="21"/>
                      <w:szCs w:val="21"/>
                      <w:u w:val="none"/>
                      <w:lang w:val="en-US" w:eastAsia="zh-CN" w:bidi="ar"/>
                    </w:rPr>
                    <w:t>硫酸雾</w:t>
                  </w:r>
                </w:p>
              </w:tc>
              <w:tc>
                <w:tcPr>
                  <w:tcW w:w="471" w:type="pct"/>
                  <w:noWrap w:val="0"/>
                  <w:vAlign w:val="center"/>
                </w:tcPr>
                <w:p w14:paraId="2CA367BC">
                  <w:pPr>
                    <w:pStyle w:val="19"/>
                    <w:adjustRightInd w:val="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0.00005</w:t>
                  </w:r>
                </w:p>
              </w:tc>
              <w:tc>
                <w:tcPr>
                  <w:tcW w:w="457" w:type="pct"/>
                  <w:noWrap w:val="0"/>
                  <w:vAlign w:val="center"/>
                </w:tcPr>
                <w:p w14:paraId="621EBA0A">
                  <w:pPr>
                    <w:pStyle w:val="19"/>
                    <w:adjustRightInd w:val="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0.00004</w:t>
                  </w:r>
                </w:p>
              </w:tc>
              <w:tc>
                <w:tcPr>
                  <w:tcW w:w="559" w:type="pct"/>
                  <w:noWrap w:val="0"/>
                  <w:vAlign w:val="center"/>
                </w:tcPr>
                <w:p w14:paraId="5D249BB9">
                  <w:pPr>
                    <w:pStyle w:val="19"/>
                    <w:adjustRightInd w:val="0"/>
                    <w:jc w:val="center"/>
                    <w:rPr>
                      <w:rFonts w:hint="eastAsia"/>
                      <w:color w:val="auto"/>
                      <w:sz w:val="21"/>
                      <w:szCs w:val="21"/>
                    </w:rPr>
                  </w:pPr>
                  <w:r>
                    <w:rPr>
                      <w:rFonts w:hint="eastAsia"/>
                      <w:color w:val="auto"/>
                      <w:sz w:val="21"/>
                      <w:szCs w:val="21"/>
                    </w:rPr>
                    <w:t>/</w:t>
                  </w:r>
                </w:p>
              </w:tc>
              <w:tc>
                <w:tcPr>
                  <w:tcW w:w="524" w:type="pct"/>
                  <w:vMerge w:val="continue"/>
                  <w:noWrap w:val="0"/>
                  <w:vAlign w:val="center"/>
                </w:tcPr>
                <w:p w14:paraId="0AF635A3">
                  <w:pPr>
                    <w:pStyle w:val="77"/>
                    <w:adjustRightInd w:val="0"/>
                    <w:snapToGrid w:val="0"/>
                    <w:spacing w:before="0"/>
                    <w:rPr>
                      <w:rFonts w:hint="eastAsia" w:cs="Times New Roman"/>
                      <w:color w:val="auto"/>
                      <w:sz w:val="21"/>
                      <w:szCs w:val="21"/>
                      <w:lang w:eastAsia="zh-CN"/>
                    </w:rPr>
                  </w:pPr>
                </w:p>
              </w:tc>
              <w:tc>
                <w:tcPr>
                  <w:tcW w:w="426" w:type="pct"/>
                  <w:shd w:val="clear" w:color="auto" w:fill="auto"/>
                  <w:noWrap w:val="0"/>
                  <w:vAlign w:val="center"/>
                </w:tcPr>
                <w:p w14:paraId="7043B6D9">
                  <w:pPr>
                    <w:pStyle w:val="19"/>
                    <w:adjustRightInd w:val="0"/>
                    <w:jc w:val="center"/>
                    <w:rPr>
                      <w:rFonts w:hint="eastAsia"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sz w:val="21"/>
                      <w:szCs w:val="21"/>
                      <w:lang w:val="en-US" w:eastAsia="zh-CN"/>
                    </w:rPr>
                    <w:t>0.00005</w:t>
                  </w:r>
                </w:p>
              </w:tc>
              <w:tc>
                <w:tcPr>
                  <w:tcW w:w="425" w:type="pct"/>
                  <w:noWrap w:val="0"/>
                  <w:vAlign w:val="center"/>
                </w:tcPr>
                <w:p w14:paraId="4AB62301">
                  <w:pPr>
                    <w:pStyle w:val="19"/>
                    <w:adjustRightInd w:val="0"/>
                    <w:jc w:val="center"/>
                    <w:rPr>
                      <w:rFonts w:hint="eastAsia"/>
                      <w:color w:val="auto"/>
                      <w:sz w:val="21"/>
                      <w:szCs w:val="21"/>
                      <w:lang w:val="en-US" w:eastAsia="zh-CN"/>
                    </w:rPr>
                  </w:pPr>
                  <w:r>
                    <w:rPr>
                      <w:rFonts w:hint="eastAsia" w:ascii="Times New Roman" w:hAnsi="Times New Roman" w:eastAsia="宋体" w:cs="Times New Roman"/>
                      <w:color w:val="auto"/>
                      <w:sz w:val="21"/>
                      <w:szCs w:val="21"/>
                      <w:lang w:val="en-US" w:eastAsia="zh-CN"/>
                    </w:rPr>
                    <w:t>0.00004</w:t>
                  </w:r>
                </w:p>
              </w:tc>
              <w:tc>
                <w:tcPr>
                  <w:tcW w:w="512" w:type="pct"/>
                  <w:noWrap w:val="0"/>
                  <w:vAlign w:val="center"/>
                </w:tcPr>
                <w:p w14:paraId="64578011">
                  <w:pPr>
                    <w:pStyle w:val="19"/>
                    <w:adjustRightInd w:val="0"/>
                    <w:jc w:val="center"/>
                    <w:rPr>
                      <w:rFonts w:hint="eastAsia"/>
                      <w:color w:val="auto"/>
                      <w:sz w:val="21"/>
                      <w:szCs w:val="21"/>
                    </w:rPr>
                  </w:pPr>
                  <w:r>
                    <w:rPr>
                      <w:rFonts w:hint="eastAsia"/>
                      <w:color w:val="auto"/>
                      <w:sz w:val="21"/>
                      <w:szCs w:val="21"/>
                    </w:rPr>
                    <w:t>/</w:t>
                  </w:r>
                </w:p>
              </w:tc>
              <w:tc>
                <w:tcPr>
                  <w:tcW w:w="411" w:type="pct"/>
                  <w:noWrap w:val="0"/>
                  <w:vAlign w:val="center"/>
                </w:tcPr>
                <w:p w14:paraId="4069214A">
                  <w:pPr>
                    <w:pStyle w:val="19"/>
                    <w:adjustRightInd w:val="0"/>
                    <w:jc w:val="center"/>
                    <w:rPr>
                      <w:rFonts w:hint="default" w:eastAsia="宋体"/>
                      <w:color w:val="auto"/>
                      <w:sz w:val="21"/>
                      <w:szCs w:val="21"/>
                      <w:lang w:val="en-US" w:eastAsia="zh-CN"/>
                    </w:rPr>
                  </w:pPr>
                  <w:r>
                    <w:rPr>
                      <w:rFonts w:hint="eastAsia"/>
                      <w:color w:val="auto"/>
                      <w:sz w:val="21"/>
                      <w:szCs w:val="21"/>
                      <w:lang w:val="en-US" w:eastAsia="zh-CN"/>
                    </w:rPr>
                    <w:t>1.2</w:t>
                  </w:r>
                </w:p>
              </w:tc>
            </w:tr>
            <w:tr w14:paraId="547B67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1" w:hRule="atLeast"/>
                <w:jc w:val="center"/>
              </w:trPr>
              <w:tc>
                <w:tcPr>
                  <w:tcW w:w="737" w:type="pct"/>
                  <w:gridSpan w:val="2"/>
                  <w:vMerge w:val="continue"/>
                  <w:noWrap w:val="0"/>
                  <w:vAlign w:val="center"/>
                </w:tcPr>
                <w:p w14:paraId="02FB9793">
                  <w:pPr>
                    <w:pStyle w:val="19"/>
                    <w:adjustRightInd w:val="0"/>
                    <w:jc w:val="center"/>
                    <w:rPr>
                      <w:rFonts w:hint="eastAsia"/>
                      <w:color w:val="auto"/>
                      <w:sz w:val="21"/>
                      <w:szCs w:val="21"/>
                    </w:rPr>
                  </w:pPr>
                </w:p>
              </w:tc>
              <w:tc>
                <w:tcPr>
                  <w:tcW w:w="475" w:type="pct"/>
                  <w:noWrap w:val="0"/>
                  <w:vAlign w:val="center"/>
                </w:tcPr>
                <w:p w14:paraId="7794B4C1">
                  <w:pPr>
                    <w:pStyle w:val="19"/>
                    <w:adjustRightInd w:val="0"/>
                    <w:jc w:val="center"/>
                    <w:rPr>
                      <w:rFonts w:hint="default" w:eastAsia="宋体"/>
                      <w:color w:val="auto"/>
                      <w:sz w:val="21"/>
                      <w:szCs w:val="21"/>
                      <w:lang w:val="en-US" w:eastAsia="zh-CN"/>
                    </w:rPr>
                  </w:pPr>
                  <w:r>
                    <w:rPr>
                      <w:rFonts w:hint="eastAsia"/>
                      <w:color w:val="auto"/>
                      <w:sz w:val="21"/>
                      <w:szCs w:val="21"/>
                      <w:lang w:val="en-US" w:eastAsia="zh-CN"/>
                    </w:rPr>
                    <w:t>氨</w:t>
                  </w:r>
                </w:p>
              </w:tc>
              <w:tc>
                <w:tcPr>
                  <w:tcW w:w="471" w:type="pct"/>
                  <w:noWrap w:val="0"/>
                  <w:vAlign w:val="center"/>
                </w:tcPr>
                <w:p w14:paraId="5CEF5AA3">
                  <w:pPr>
                    <w:pStyle w:val="19"/>
                    <w:adjustRightInd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0.0002</w:t>
                  </w:r>
                </w:p>
              </w:tc>
              <w:tc>
                <w:tcPr>
                  <w:tcW w:w="457" w:type="pct"/>
                  <w:noWrap w:val="0"/>
                  <w:vAlign w:val="center"/>
                </w:tcPr>
                <w:p w14:paraId="7DB5BB2B">
                  <w:pPr>
                    <w:pStyle w:val="19"/>
                    <w:adjustRightInd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0.0002</w:t>
                  </w:r>
                </w:p>
              </w:tc>
              <w:tc>
                <w:tcPr>
                  <w:tcW w:w="559" w:type="pct"/>
                  <w:noWrap w:val="0"/>
                  <w:vAlign w:val="center"/>
                </w:tcPr>
                <w:p w14:paraId="10970D24">
                  <w:pPr>
                    <w:pStyle w:val="19"/>
                    <w:adjustRightInd w:val="0"/>
                    <w:jc w:val="center"/>
                    <w:rPr>
                      <w:rFonts w:hint="eastAsia"/>
                      <w:color w:val="auto"/>
                      <w:sz w:val="21"/>
                      <w:szCs w:val="21"/>
                    </w:rPr>
                  </w:pPr>
                  <w:r>
                    <w:rPr>
                      <w:rFonts w:hint="eastAsia"/>
                      <w:color w:val="auto"/>
                      <w:sz w:val="21"/>
                      <w:szCs w:val="21"/>
                    </w:rPr>
                    <w:t>/</w:t>
                  </w:r>
                </w:p>
              </w:tc>
              <w:tc>
                <w:tcPr>
                  <w:tcW w:w="524" w:type="pct"/>
                  <w:vMerge w:val="continue"/>
                  <w:noWrap w:val="0"/>
                  <w:vAlign w:val="center"/>
                </w:tcPr>
                <w:p w14:paraId="6DB08F34">
                  <w:pPr>
                    <w:pStyle w:val="77"/>
                    <w:adjustRightInd w:val="0"/>
                    <w:snapToGrid w:val="0"/>
                    <w:spacing w:before="0"/>
                    <w:rPr>
                      <w:rFonts w:hint="eastAsia" w:cs="Times New Roman"/>
                      <w:color w:val="auto"/>
                      <w:sz w:val="21"/>
                      <w:szCs w:val="21"/>
                      <w:lang w:eastAsia="zh-CN"/>
                    </w:rPr>
                  </w:pPr>
                </w:p>
              </w:tc>
              <w:tc>
                <w:tcPr>
                  <w:tcW w:w="426" w:type="pct"/>
                  <w:noWrap w:val="0"/>
                  <w:vAlign w:val="center"/>
                </w:tcPr>
                <w:p w14:paraId="115C6456">
                  <w:pPr>
                    <w:pStyle w:val="19"/>
                    <w:adjustRightInd w:val="0"/>
                    <w:jc w:val="center"/>
                    <w:rPr>
                      <w:rFonts w:hint="eastAsia"/>
                      <w:color w:val="auto"/>
                      <w:sz w:val="21"/>
                      <w:szCs w:val="21"/>
                    </w:rPr>
                  </w:pPr>
                  <w:r>
                    <w:rPr>
                      <w:rFonts w:hint="eastAsia" w:ascii="Times New Roman" w:hAnsi="Times New Roman" w:eastAsia="宋体" w:cs="Times New Roman"/>
                      <w:color w:val="auto"/>
                      <w:sz w:val="21"/>
                      <w:szCs w:val="21"/>
                      <w:lang w:val="en-US" w:eastAsia="zh-CN"/>
                    </w:rPr>
                    <w:t>0.0002</w:t>
                  </w:r>
                </w:p>
              </w:tc>
              <w:tc>
                <w:tcPr>
                  <w:tcW w:w="425" w:type="pct"/>
                  <w:noWrap w:val="0"/>
                  <w:vAlign w:val="center"/>
                </w:tcPr>
                <w:p w14:paraId="0103C57F">
                  <w:pPr>
                    <w:pStyle w:val="19"/>
                    <w:adjustRightInd w:val="0"/>
                    <w:jc w:val="center"/>
                    <w:rPr>
                      <w:rFonts w:hint="eastAsia"/>
                      <w:color w:val="auto"/>
                      <w:sz w:val="21"/>
                      <w:szCs w:val="21"/>
                    </w:rPr>
                  </w:pPr>
                  <w:r>
                    <w:rPr>
                      <w:rFonts w:hint="eastAsia" w:ascii="Times New Roman" w:hAnsi="Times New Roman" w:eastAsia="宋体" w:cs="Times New Roman"/>
                      <w:color w:val="auto"/>
                      <w:sz w:val="21"/>
                      <w:szCs w:val="21"/>
                      <w:lang w:val="en-US" w:eastAsia="zh-CN"/>
                    </w:rPr>
                    <w:t>0.0002</w:t>
                  </w:r>
                </w:p>
              </w:tc>
              <w:tc>
                <w:tcPr>
                  <w:tcW w:w="512" w:type="pct"/>
                  <w:noWrap w:val="0"/>
                  <w:vAlign w:val="center"/>
                </w:tcPr>
                <w:p w14:paraId="3816294A">
                  <w:pPr>
                    <w:pStyle w:val="19"/>
                    <w:adjustRightInd w:val="0"/>
                    <w:jc w:val="center"/>
                    <w:rPr>
                      <w:rFonts w:hint="eastAsia"/>
                      <w:color w:val="auto"/>
                      <w:sz w:val="21"/>
                      <w:szCs w:val="21"/>
                    </w:rPr>
                  </w:pPr>
                  <w:r>
                    <w:rPr>
                      <w:rFonts w:hint="eastAsia"/>
                      <w:color w:val="auto"/>
                      <w:sz w:val="21"/>
                      <w:szCs w:val="21"/>
                    </w:rPr>
                    <w:t>/</w:t>
                  </w:r>
                </w:p>
              </w:tc>
              <w:tc>
                <w:tcPr>
                  <w:tcW w:w="411" w:type="pct"/>
                  <w:noWrap w:val="0"/>
                  <w:vAlign w:val="center"/>
                </w:tcPr>
                <w:p w14:paraId="3B4D701B">
                  <w:pPr>
                    <w:pStyle w:val="19"/>
                    <w:adjustRightInd w:val="0"/>
                    <w:jc w:val="center"/>
                    <w:rPr>
                      <w:rFonts w:hint="default" w:eastAsia="宋体"/>
                      <w:color w:val="auto"/>
                      <w:sz w:val="21"/>
                      <w:szCs w:val="21"/>
                      <w:lang w:val="en-US" w:eastAsia="zh-CN"/>
                    </w:rPr>
                  </w:pPr>
                  <w:r>
                    <w:rPr>
                      <w:rFonts w:hint="eastAsia"/>
                      <w:color w:val="auto"/>
                      <w:sz w:val="21"/>
                      <w:szCs w:val="21"/>
                      <w:lang w:val="en-US" w:eastAsia="zh-CN"/>
                    </w:rPr>
                    <w:t>1.5</w:t>
                  </w:r>
                </w:p>
              </w:tc>
            </w:tr>
          </w:tbl>
          <w:p w14:paraId="13DE8EC4">
            <w:pPr>
              <w:adjustRightInd w:val="0"/>
              <w:snapToGrid w:val="0"/>
              <w:spacing w:line="360" w:lineRule="auto"/>
              <w:ind w:firstLine="480" w:firstLineChars="200"/>
              <w:rPr>
                <w:color w:val="auto"/>
                <w:sz w:val="24"/>
              </w:rPr>
            </w:pPr>
            <w:r>
              <w:rPr>
                <w:rFonts w:hint="eastAsia"/>
                <w:color w:val="auto"/>
                <w:sz w:val="24"/>
              </w:rPr>
              <w:t>（4）非正常工况</w:t>
            </w:r>
          </w:p>
          <w:p w14:paraId="6D3D1D45">
            <w:pPr>
              <w:adjustRightInd w:val="0"/>
              <w:snapToGrid w:val="0"/>
              <w:spacing w:line="360" w:lineRule="auto"/>
              <w:ind w:firstLine="480" w:firstLineChars="200"/>
              <w:rPr>
                <w:rFonts w:hint="eastAsia"/>
                <w:bCs/>
                <w:color w:val="auto"/>
                <w:sz w:val="24"/>
              </w:rPr>
            </w:pPr>
            <w:r>
              <w:rPr>
                <w:rFonts w:hint="eastAsia"/>
                <w:bCs/>
                <w:color w:val="auto"/>
                <w:sz w:val="24"/>
              </w:rPr>
              <w:t>本项目非正常工况主要考虑废气处理设施运转异常时，处理效率下降导致污染物排放，发生频率不超过</w:t>
            </w:r>
            <w:r>
              <w:rPr>
                <w:bCs/>
                <w:color w:val="auto"/>
                <w:sz w:val="24"/>
              </w:rPr>
              <w:t>1</w:t>
            </w:r>
            <w:r>
              <w:rPr>
                <w:rFonts w:hint="eastAsia"/>
                <w:bCs/>
                <w:color w:val="auto"/>
                <w:sz w:val="24"/>
              </w:rPr>
              <w:t>次</w:t>
            </w:r>
            <w:r>
              <w:rPr>
                <w:bCs/>
                <w:color w:val="auto"/>
                <w:sz w:val="24"/>
              </w:rPr>
              <w:t>/a</w:t>
            </w:r>
            <w:r>
              <w:rPr>
                <w:rFonts w:hint="eastAsia"/>
                <w:bCs/>
                <w:color w:val="auto"/>
                <w:sz w:val="24"/>
              </w:rPr>
              <w:t>。非正常工况下污染物排放情况见表4</w:t>
            </w:r>
            <w:r>
              <w:rPr>
                <w:bCs/>
                <w:color w:val="auto"/>
                <w:sz w:val="24"/>
              </w:rPr>
              <w:t>-</w:t>
            </w:r>
            <w:r>
              <w:rPr>
                <w:rFonts w:hint="eastAsia"/>
                <w:bCs/>
                <w:color w:val="auto"/>
                <w:sz w:val="24"/>
                <w:lang w:val="en-US" w:eastAsia="zh-CN"/>
              </w:rPr>
              <w:t>3</w:t>
            </w:r>
            <w:r>
              <w:rPr>
                <w:rFonts w:hint="eastAsia"/>
                <w:bCs/>
                <w:color w:val="auto"/>
                <w:sz w:val="24"/>
              </w:rPr>
              <w:t>。</w:t>
            </w:r>
          </w:p>
          <w:p w14:paraId="05EFA859">
            <w:pPr>
              <w:pStyle w:val="19"/>
              <w:adjustRightInd w:val="0"/>
              <w:jc w:val="center"/>
              <w:rPr>
                <w:b/>
                <w:color w:val="FF0000"/>
                <w:sz w:val="21"/>
                <w:szCs w:val="21"/>
              </w:rPr>
            </w:pPr>
            <w:r>
              <w:rPr>
                <w:rFonts w:hint="eastAsia"/>
                <w:b/>
                <w:color w:val="FF0000"/>
                <w:sz w:val="21"/>
                <w:szCs w:val="21"/>
              </w:rPr>
              <w:t>表4</w:t>
            </w:r>
            <w:r>
              <w:rPr>
                <w:b/>
                <w:color w:val="FF0000"/>
                <w:sz w:val="21"/>
                <w:szCs w:val="21"/>
              </w:rPr>
              <w:t>-</w:t>
            </w:r>
            <w:r>
              <w:rPr>
                <w:rFonts w:hint="eastAsia"/>
                <w:b/>
                <w:color w:val="FF0000"/>
                <w:sz w:val="21"/>
                <w:szCs w:val="21"/>
                <w:lang w:val="en-US" w:eastAsia="zh-CN"/>
              </w:rPr>
              <w:t>3</w:t>
            </w:r>
            <w:r>
              <w:rPr>
                <w:b/>
                <w:color w:val="FF0000"/>
                <w:sz w:val="21"/>
                <w:szCs w:val="21"/>
              </w:rPr>
              <w:t xml:space="preserve">   </w:t>
            </w:r>
            <w:r>
              <w:rPr>
                <w:rFonts w:hint="eastAsia"/>
                <w:b/>
                <w:color w:val="FF0000"/>
                <w:sz w:val="21"/>
                <w:szCs w:val="21"/>
              </w:rPr>
              <w:t>非正常工况废气污染物产排情况一览表</w:t>
            </w:r>
          </w:p>
          <w:tbl>
            <w:tblPr>
              <w:tblStyle w:val="2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88"/>
              <w:gridCol w:w="785"/>
              <w:gridCol w:w="916"/>
              <w:gridCol w:w="897"/>
              <w:gridCol w:w="788"/>
              <w:gridCol w:w="788"/>
              <w:gridCol w:w="788"/>
              <w:gridCol w:w="788"/>
              <w:gridCol w:w="1055"/>
              <w:gridCol w:w="786"/>
            </w:tblGrid>
            <w:tr w14:paraId="7EC997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70" w:type="pct"/>
                  <w:noWrap w:val="0"/>
                  <w:vAlign w:val="center"/>
                </w:tcPr>
                <w:p w14:paraId="5AEBBB67">
                  <w:pPr>
                    <w:pStyle w:val="19"/>
                    <w:adjustRightInd w:val="0"/>
                    <w:jc w:val="center"/>
                    <w:rPr>
                      <w:color w:val="auto"/>
                      <w:sz w:val="20"/>
                      <w:szCs w:val="20"/>
                    </w:rPr>
                  </w:pPr>
                  <w:r>
                    <w:rPr>
                      <w:rFonts w:hint="eastAsia"/>
                      <w:color w:val="auto"/>
                      <w:sz w:val="20"/>
                      <w:szCs w:val="20"/>
                    </w:rPr>
                    <w:t>排放源</w:t>
                  </w:r>
                </w:p>
              </w:tc>
              <w:tc>
                <w:tcPr>
                  <w:tcW w:w="468" w:type="pct"/>
                  <w:noWrap w:val="0"/>
                  <w:vAlign w:val="center"/>
                </w:tcPr>
                <w:p w14:paraId="09D77A93">
                  <w:pPr>
                    <w:pStyle w:val="19"/>
                    <w:adjustRightInd w:val="0"/>
                    <w:jc w:val="center"/>
                    <w:rPr>
                      <w:color w:val="auto"/>
                      <w:sz w:val="20"/>
                      <w:szCs w:val="20"/>
                    </w:rPr>
                  </w:pPr>
                  <w:r>
                    <w:rPr>
                      <w:rFonts w:hint="eastAsia"/>
                      <w:color w:val="auto"/>
                      <w:sz w:val="20"/>
                      <w:szCs w:val="20"/>
                    </w:rPr>
                    <w:t>污染物名称</w:t>
                  </w:r>
                </w:p>
              </w:tc>
              <w:tc>
                <w:tcPr>
                  <w:tcW w:w="546" w:type="pct"/>
                  <w:noWrap w:val="0"/>
                  <w:vAlign w:val="center"/>
                </w:tcPr>
                <w:p w14:paraId="725EC9DC">
                  <w:pPr>
                    <w:pStyle w:val="19"/>
                    <w:adjustRightInd w:val="0"/>
                    <w:jc w:val="center"/>
                    <w:rPr>
                      <w:color w:val="auto"/>
                      <w:sz w:val="20"/>
                      <w:szCs w:val="20"/>
                    </w:rPr>
                  </w:pPr>
                  <w:r>
                    <w:rPr>
                      <w:rFonts w:hint="eastAsia"/>
                      <w:color w:val="auto"/>
                      <w:sz w:val="20"/>
                      <w:szCs w:val="20"/>
                    </w:rPr>
                    <w:t>排气量</w:t>
                  </w:r>
                </w:p>
                <w:p w14:paraId="7970C4AF">
                  <w:pPr>
                    <w:pStyle w:val="19"/>
                    <w:adjustRightInd w:val="0"/>
                    <w:jc w:val="center"/>
                    <w:rPr>
                      <w:color w:val="auto"/>
                      <w:sz w:val="20"/>
                      <w:szCs w:val="20"/>
                    </w:rPr>
                  </w:pPr>
                  <w:r>
                    <w:rPr>
                      <w:rFonts w:hint="eastAsia"/>
                      <w:color w:val="auto"/>
                      <w:sz w:val="20"/>
                      <w:szCs w:val="20"/>
                    </w:rPr>
                    <w:t>（m</w:t>
                  </w:r>
                  <w:r>
                    <w:rPr>
                      <w:color w:val="auto"/>
                      <w:sz w:val="20"/>
                      <w:szCs w:val="20"/>
                      <w:vertAlign w:val="superscript"/>
                    </w:rPr>
                    <w:t>3</w:t>
                  </w:r>
                  <w:r>
                    <w:rPr>
                      <w:color w:val="auto"/>
                      <w:sz w:val="20"/>
                      <w:szCs w:val="20"/>
                    </w:rPr>
                    <w:t>/</w:t>
                  </w:r>
                  <w:r>
                    <w:rPr>
                      <w:rFonts w:hint="eastAsia"/>
                      <w:color w:val="auto"/>
                      <w:sz w:val="20"/>
                      <w:szCs w:val="20"/>
                    </w:rPr>
                    <w:t>h）</w:t>
                  </w:r>
                </w:p>
              </w:tc>
              <w:tc>
                <w:tcPr>
                  <w:tcW w:w="535" w:type="pct"/>
                  <w:noWrap w:val="0"/>
                  <w:vAlign w:val="center"/>
                </w:tcPr>
                <w:p w14:paraId="1AB862B5">
                  <w:pPr>
                    <w:pStyle w:val="19"/>
                    <w:adjustRightInd w:val="0"/>
                    <w:jc w:val="center"/>
                    <w:rPr>
                      <w:color w:val="auto"/>
                      <w:sz w:val="20"/>
                      <w:szCs w:val="20"/>
                    </w:rPr>
                  </w:pPr>
                  <w:r>
                    <w:rPr>
                      <w:rFonts w:hint="eastAsia"/>
                      <w:color w:val="auto"/>
                      <w:sz w:val="20"/>
                      <w:szCs w:val="20"/>
                    </w:rPr>
                    <w:t>产生速率（kg</w:t>
                  </w:r>
                  <w:r>
                    <w:rPr>
                      <w:color w:val="auto"/>
                      <w:sz w:val="20"/>
                      <w:szCs w:val="20"/>
                    </w:rPr>
                    <w:t>/h</w:t>
                  </w:r>
                  <w:r>
                    <w:rPr>
                      <w:rFonts w:hint="eastAsia"/>
                      <w:color w:val="auto"/>
                      <w:sz w:val="20"/>
                      <w:szCs w:val="20"/>
                    </w:rPr>
                    <w:t>）</w:t>
                  </w:r>
                </w:p>
              </w:tc>
              <w:tc>
                <w:tcPr>
                  <w:tcW w:w="470" w:type="pct"/>
                  <w:noWrap w:val="0"/>
                  <w:vAlign w:val="center"/>
                </w:tcPr>
                <w:p w14:paraId="56D11BDB">
                  <w:pPr>
                    <w:pStyle w:val="19"/>
                    <w:adjustRightInd w:val="0"/>
                    <w:jc w:val="center"/>
                    <w:rPr>
                      <w:rFonts w:hint="eastAsia"/>
                      <w:color w:val="auto"/>
                      <w:sz w:val="20"/>
                      <w:szCs w:val="20"/>
                    </w:rPr>
                  </w:pPr>
                  <w:r>
                    <w:rPr>
                      <w:rFonts w:hint="eastAsia"/>
                      <w:color w:val="auto"/>
                      <w:sz w:val="20"/>
                      <w:szCs w:val="20"/>
                    </w:rPr>
                    <w:t>治理措施</w:t>
                  </w:r>
                </w:p>
              </w:tc>
              <w:tc>
                <w:tcPr>
                  <w:tcW w:w="470" w:type="pct"/>
                  <w:noWrap w:val="0"/>
                  <w:vAlign w:val="center"/>
                </w:tcPr>
                <w:p w14:paraId="338859AE">
                  <w:pPr>
                    <w:pStyle w:val="19"/>
                    <w:adjustRightInd w:val="0"/>
                    <w:jc w:val="center"/>
                    <w:rPr>
                      <w:color w:val="auto"/>
                      <w:sz w:val="20"/>
                      <w:szCs w:val="20"/>
                    </w:rPr>
                  </w:pPr>
                  <w:r>
                    <w:rPr>
                      <w:rFonts w:hint="eastAsia"/>
                      <w:color w:val="auto"/>
                      <w:sz w:val="20"/>
                      <w:szCs w:val="20"/>
                    </w:rPr>
                    <w:t>去除率</w:t>
                  </w:r>
                </w:p>
              </w:tc>
              <w:tc>
                <w:tcPr>
                  <w:tcW w:w="470" w:type="pct"/>
                  <w:noWrap w:val="0"/>
                  <w:vAlign w:val="center"/>
                </w:tcPr>
                <w:p w14:paraId="3C68BD3B">
                  <w:pPr>
                    <w:pStyle w:val="19"/>
                    <w:adjustRightInd w:val="0"/>
                    <w:jc w:val="center"/>
                    <w:rPr>
                      <w:rFonts w:hint="eastAsia"/>
                      <w:color w:val="auto"/>
                      <w:sz w:val="20"/>
                      <w:szCs w:val="20"/>
                    </w:rPr>
                  </w:pPr>
                  <w:r>
                    <w:rPr>
                      <w:rFonts w:hint="eastAsia"/>
                      <w:color w:val="auto"/>
                      <w:sz w:val="20"/>
                      <w:szCs w:val="20"/>
                    </w:rPr>
                    <w:t>频次</w:t>
                  </w:r>
                </w:p>
              </w:tc>
              <w:tc>
                <w:tcPr>
                  <w:tcW w:w="470" w:type="pct"/>
                  <w:noWrap w:val="0"/>
                  <w:vAlign w:val="center"/>
                </w:tcPr>
                <w:p w14:paraId="0AD7734A">
                  <w:pPr>
                    <w:pStyle w:val="19"/>
                    <w:adjustRightInd w:val="0"/>
                    <w:jc w:val="center"/>
                    <w:rPr>
                      <w:rFonts w:hint="eastAsia"/>
                      <w:color w:val="auto"/>
                      <w:sz w:val="20"/>
                      <w:szCs w:val="20"/>
                    </w:rPr>
                  </w:pPr>
                  <w:r>
                    <w:rPr>
                      <w:rFonts w:hint="eastAsia"/>
                      <w:color w:val="auto"/>
                      <w:sz w:val="20"/>
                      <w:szCs w:val="20"/>
                    </w:rPr>
                    <w:t>持续时间</w:t>
                  </w:r>
                </w:p>
              </w:tc>
              <w:tc>
                <w:tcPr>
                  <w:tcW w:w="629" w:type="pct"/>
                  <w:noWrap w:val="0"/>
                  <w:vAlign w:val="center"/>
                </w:tcPr>
                <w:p w14:paraId="5C368E2E">
                  <w:pPr>
                    <w:pStyle w:val="19"/>
                    <w:adjustRightInd w:val="0"/>
                    <w:jc w:val="center"/>
                    <w:rPr>
                      <w:color w:val="auto"/>
                      <w:sz w:val="20"/>
                      <w:szCs w:val="20"/>
                    </w:rPr>
                  </w:pPr>
                  <w:r>
                    <w:rPr>
                      <w:rFonts w:hint="eastAsia"/>
                      <w:color w:val="auto"/>
                      <w:sz w:val="20"/>
                      <w:szCs w:val="20"/>
                    </w:rPr>
                    <w:t>排放浓度（mg</w:t>
                  </w:r>
                  <w:r>
                    <w:rPr>
                      <w:color w:val="auto"/>
                      <w:sz w:val="20"/>
                      <w:szCs w:val="20"/>
                    </w:rPr>
                    <w:t>/</w:t>
                  </w:r>
                  <w:r>
                    <w:rPr>
                      <w:rFonts w:hint="eastAsia"/>
                      <w:color w:val="auto"/>
                      <w:sz w:val="20"/>
                      <w:szCs w:val="20"/>
                    </w:rPr>
                    <w:t>m</w:t>
                  </w:r>
                  <w:r>
                    <w:rPr>
                      <w:color w:val="auto"/>
                      <w:sz w:val="20"/>
                      <w:szCs w:val="20"/>
                      <w:vertAlign w:val="superscript"/>
                    </w:rPr>
                    <w:t>3</w:t>
                  </w:r>
                  <w:r>
                    <w:rPr>
                      <w:rFonts w:hint="eastAsia"/>
                      <w:color w:val="auto"/>
                      <w:sz w:val="20"/>
                      <w:szCs w:val="20"/>
                    </w:rPr>
                    <w:t>）</w:t>
                  </w:r>
                </w:p>
              </w:tc>
              <w:tc>
                <w:tcPr>
                  <w:tcW w:w="469" w:type="pct"/>
                  <w:noWrap w:val="0"/>
                  <w:vAlign w:val="center"/>
                </w:tcPr>
                <w:p w14:paraId="41391F3E">
                  <w:pPr>
                    <w:pStyle w:val="19"/>
                    <w:adjustRightInd w:val="0"/>
                    <w:jc w:val="center"/>
                    <w:rPr>
                      <w:rFonts w:hint="eastAsia"/>
                      <w:color w:val="auto"/>
                      <w:sz w:val="20"/>
                      <w:szCs w:val="20"/>
                    </w:rPr>
                  </w:pPr>
                  <w:r>
                    <w:rPr>
                      <w:rFonts w:hint="eastAsia"/>
                      <w:color w:val="auto"/>
                      <w:sz w:val="20"/>
                      <w:szCs w:val="20"/>
                    </w:rPr>
                    <w:t>排放量（kg）</w:t>
                  </w:r>
                </w:p>
              </w:tc>
            </w:tr>
            <w:tr w14:paraId="4C7765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70" w:type="pct"/>
                  <w:vMerge w:val="restart"/>
                  <w:noWrap w:val="0"/>
                  <w:vAlign w:val="center"/>
                </w:tcPr>
                <w:p w14:paraId="05838098">
                  <w:pPr>
                    <w:pStyle w:val="19"/>
                    <w:adjustRightInd w:val="0"/>
                    <w:jc w:val="center"/>
                    <w:rPr>
                      <w:rFonts w:hint="eastAsia" w:eastAsia="宋体"/>
                      <w:color w:val="auto"/>
                      <w:sz w:val="20"/>
                      <w:szCs w:val="20"/>
                      <w:lang w:val="en-US" w:eastAsia="zh-CN"/>
                    </w:rPr>
                  </w:pPr>
                  <w:r>
                    <w:rPr>
                      <w:rFonts w:hint="eastAsia"/>
                      <w:color w:val="FF0000"/>
                      <w:sz w:val="20"/>
                      <w:szCs w:val="20"/>
                    </w:rPr>
                    <w:t>DA</w:t>
                  </w:r>
                  <w:r>
                    <w:rPr>
                      <w:color w:val="FF0000"/>
                      <w:sz w:val="20"/>
                      <w:szCs w:val="20"/>
                    </w:rPr>
                    <w:t>00</w:t>
                  </w:r>
                  <w:r>
                    <w:rPr>
                      <w:rFonts w:hint="eastAsia"/>
                      <w:color w:val="FF0000"/>
                      <w:sz w:val="20"/>
                      <w:szCs w:val="20"/>
                      <w:lang w:val="en-US" w:eastAsia="zh-CN"/>
                    </w:rPr>
                    <w:t>1</w:t>
                  </w:r>
                </w:p>
              </w:tc>
              <w:tc>
                <w:tcPr>
                  <w:tcW w:w="468" w:type="pct"/>
                  <w:noWrap w:val="0"/>
                  <w:vAlign w:val="center"/>
                </w:tcPr>
                <w:p w14:paraId="14D06523">
                  <w:pPr>
                    <w:pStyle w:val="19"/>
                    <w:adjustRightInd w:val="0"/>
                    <w:jc w:val="center"/>
                    <w:rPr>
                      <w:color w:val="auto"/>
                      <w:sz w:val="20"/>
                      <w:szCs w:val="20"/>
                      <w:lang w:eastAsia="en-US"/>
                    </w:rPr>
                  </w:pPr>
                  <w:r>
                    <w:rPr>
                      <w:rFonts w:hint="eastAsia"/>
                      <w:color w:val="auto"/>
                      <w:sz w:val="20"/>
                      <w:szCs w:val="20"/>
                    </w:rPr>
                    <w:t>HCl</w:t>
                  </w:r>
                </w:p>
              </w:tc>
              <w:tc>
                <w:tcPr>
                  <w:tcW w:w="546" w:type="pct"/>
                  <w:vMerge w:val="restart"/>
                  <w:noWrap w:val="0"/>
                  <w:vAlign w:val="center"/>
                </w:tcPr>
                <w:p w14:paraId="71E8B715">
                  <w:pPr>
                    <w:pStyle w:val="19"/>
                    <w:adjustRightInd w:val="0"/>
                    <w:jc w:val="center"/>
                    <w:rPr>
                      <w:rFonts w:hint="default" w:eastAsia="宋体"/>
                      <w:color w:val="auto"/>
                      <w:sz w:val="20"/>
                      <w:szCs w:val="20"/>
                      <w:lang w:val="en-US" w:eastAsia="zh-CN"/>
                    </w:rPr>
                  </w:pPr>
                  <w:r>
                    <w:rPr>
                      <w:rFonts w:hint="eastAsia"/>
                      <w:color w:val="auto"/>
                      <w:sz w:val="20"/>
                      <w:szCs w:val="20"/>
                      <w:lang w:val="en-US" w:eastAsia="zh-CN"/>
                    </w:rPr>
                    <w:t>15000</w:t>
                  </w:r>
                </w:p>
              </w:tc>
              <w:tc>
                <w:tcPr>
                  <w:tcW w:w="535" w:type="pct"/>
                  <w:noWrap w:val="0"/>
                  <w:vAlign w:val="center"/>
                </w:tcPr>
                <w:p w14:paraId="4E2D93B1">
                  <w:pPr>
                    <w:pStyle w:val="19"/>
                    <w:adjustRightInd w:val="0"/>
                    <w:jc w:val="center"/>
                    <w:rPr>
                      <w:rFonts w:hint="default"/>
                      <w:color w:val="auto"/>
                      <w:sz w:val="20"/>
                      <w:szCs w:val="20"/>
                      <w:lang w:val="en-US" w:eastAsia="zh-CN"/>
                    </w:rPr>
                  </w:pPr>
                  <w:r>
                    <w:rPr>
                      <w:rFonts w:hint="eastAsia"/>
                      <w:color w:val="auto"/>
                      <w:sz w:val="20"/>
                      <w:szCs w:val="20"/>
                      <w:lang w:val="en-US" w:eastAsia="zh-CN"/>
                    </w:rPr>
                    <w:t>0.0643</w:t>
                  </w:r>
                </w:p>
              </w:tc>
              <w:tc>
                <w:tcPr>
                  <w:tcW w:w="470" w:type="pct"/>
                  <w:vMerge w:val="restart"/>
                  <w:noWrap w:val="0"/>
                  <w:vAlign w:val="center"/>
                </w:tcPr>
                <w:p w14:paraId="51D179F6">
                  <w:pPr>
                    <w:pStyle w:val="19"/>
                    <w:adjustRightInd w:val="0"/>
                    <w:jc w:val="center"/>
                    <w:rPr>
                      <w:rFonts w:hint="eastAsia" w:eastAsia="宋体"/>
                      <w:color w:val="auto"/>
                      <w:sz w:val="20"/>
                      <w:szCs w:val="20"/>
                      <w:lang w:eastAsia="zh-CN"/>
                    </w:rPr>
                  </w:pPr>
                  <w:r>
                    <w:rPr>
                      <w:rFonts w:hint="eastAsia"/>
                      <w:color w:val="auto"/>
                      <w:sz w:val="20"/>
                      <w:szCs w:val="20"/>
                    </w:rPr>
                    <w:t>集气罩+二级碱液喷淋</w:t>
                  </w:r>
                  <w:r>
                    <w:rPr>
                      <w:rFonts w:hint="eastAsia"/>
                      <w:color w:val="auto"/>
                      <w:sz w:val="20"/>
                      <w:szCs w:val="20"/>
                      <w:lang w:val="en-US" w:eastAsia="zh-CN"/>
                    </w:rPr>
                    <w:t>塔</w:t>
                  </w:r>
                </w:p>
              </w:tc>
              <w:tc>
                <w:tcPr>
                  <w:tcW w:w="470" w:type="pct"/>
                  <w:vMerge w:val="restart"/>
                  <w:noWrap w:val="0"/>
                  <w:vAlign w:val="center"/>
                </w:tcPr>
                <w:p w14:paraId="7C4F22F7">
                  <w:pPr>
                    <w:pStyle w:val="19"/>
                    <w:adjustRightInd w:val="0"/>
                    <w:jc w:val="center"/>
                    <w:rPr>
                      <w:rFonts w:hint="eastAsia"/>
                      <w:color w:val="auto"/>
                      <w:sz w:val="20"/>
                      <w:szCs w:val="20"/>
                    </w:rPr>
                  </w:pPr>
                  <w:r>
                    <w:rPr>
                      <w:color w:val="auto"/>
                      <w:sz w:val="20"/>
                      <w:szCs w:val="20"/>
                    </w:rPr>
                    <w:t>50</w:t>
                  </w:r>
                  <w:r>
                    <w:rPr>
                      <w:rFonts w:hint="eastAsia"/>
                      <w:color w:val="auto"/>
                      <w:sz w:val="20"/>
                      <w:szCs w:val="20"/>
                    </w:rPr>
                    <w:t>%</w:t>
                  </w:r>
                </w:p>
              </w:tc>
              <w:tc>
                <w:tcPr>
                  <w:tcW w:w="470" w:type="pct"/>
                  <w:vMerge w:val="restart"/>
                  <w:noWrap w:val="0"/>
                  <w:vAlign w:val="center"/>
                </w:tcPr>
                <w:p w14:paraId="75D7E315">
                  <w:pPr>
                    <w:pStyle w:val="19"/>
                    <w:adjustRightInd w:val="0"/>
                    <w:jc w:val="center"/>
                    <w:rPr>
                      <w:color w:val="auto"/>
                      <w:sz w:val="20"/>
                      <w:szCs w:val="20"/>
                    </w:rPr>
                  </w:pPr>
                  <w:r>
                    <w:rPr>
                      <w:rFonts w:hint="eastAsia"/>
                      <w:color w:val="auto"/>
                      <w:sz w:val="20"/>
                      <w:szCs w:val="20"/>
                    </w:rPr>
                    <w:t>1次/a</w:t>
                  </w:r>
                </w:p>
              </w:tc>
              <w:tc>
                <w:tcPr>
                  <w:tcW w:w="470" w:type="pct"/>
                  <w:vMerge w:val="restart"/>
                  <w:noWrap w:val="0"/>
                  <w:vAlign w:val="center"/>
                </w:tcPr>
                <w:p w14:paraId="45E564C0">
                  <w:pPr>
                    <w:pStyle w:val="19"/>
                    <w:adjustRightInd w:val="0"/>
                    <w:jc w:val="center"/>
                    <w:rPr>
                      <w:color w:val="auto"/>
                      <w:sz w:val="20"/>
                      <w:szCs w:val="20"/>
                    </w:rPr>
                  </w:pPr>
                  <w:r>
                    <w:rPr>
                      <w:rFonts w:hint="eastAsia"/>
                      <w:color w:val="auto"/>
                      <w:sz w:val="20"/>
                      <w:szCs w:val="20"/>
                    </w:rPr>
                    <w:t>2h</w:t>
                  </w:r>
                </w:p>
              </w:tc>
              <w:tc>
                <w:tcPr>
                  <w:tcW w:w="629" w:type="pct"/>
                  <w:noWrap w:val="0"/>
                  <w:vAlign w:val="center"/>
                </w:tcPr>
                <w:p w14:paraId="71AFD747">
                  <w:pPr>
                    <w:pStyle w:val="19"/>
                    <w:adjustRightInd w:val="0"/>
                    <w:jc w:val="center"/>
                    <w:rPr>
                      <w:rFonts w:hint="default"/>
                      <w:color w:val="auto"/>
                      <w:sz w:val="20"/>
                      <w:szCs w:val="20"/>
                      <w:lang w:val="en-US" w:eastAsia="zh-CN"/>
                    </w:rPr>
                  </w:pPr>
                  <w:r>
                    <w:rPr>
                      <w:rFonts w:hint="eastAsia"/>
                      <w:color w:val="auto"/>
                      <w:sz w:val="20"/>
                      <w:szCs w:val="20"/>
                      <w:lang w:val="en-US" w:eastAsia="zh-CN"/>
                    </w:rPr>
                    <w:t>2.1417</w:t>
                  </w:r>
                </w:p>
              </w:tc>
              <w:tc>
                <w:tcPr>
                  <w:tcW w:w="469" w:type="pct"/>
                  <w:noWrap w:val="0"/>
                  <w:vAlign w:val="center"/>
                </w:tcPr>
                <w:p w14:paraId="1C3D8E6A">
                  <w:pPr>
                    <w:pStyle w:val="19"/>
                    <w:adjustRightInd w:val="0"/>
                    <w:jc w:val="center"/>
                    <w:rPr>
                      <w:rFonts w:hint="default"/>
                      <w:color w:val="auto"/>
                      <w:sz w:val="20"/>
                      <w:szCs w:val="20"/>
                      <w:lang w:val="en-US" w:eastAsia="zh-CN"/>
                    </w:rPr>
                  </w:pPr>
                  <w:r>
                    <w:rPr>
                      <w:rFonts w:hint="eastAsia"/>
                      <w:color w:val="auto"/>
                      <w:sz w:val="20"/>
                      <w:szCs w:val="20"/>
                      <w:lang w:val="en-US" w:eastAsia="zh-CN"/>
                    </w:rPr>
                    <w:t>0.0643</w:t>
                  </w:r>
                </w:p>
              </w:tc>
            </w:tr>
            <w:tr w14:paraId="5793A4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70" w:type="pct"/>
                  <w:vMerge w:val="continue"/>
                  <w:noWrap w:val="0"/>
                  <w:vAlign w:val="center"/>
                </w:tcPr>
                <w:p w14:paraId="4EA1F163">
                  <w:pPr>
                    <w:pStyle w:val="19"/>
                    <w:adjustRightInd w:val="0"/>
                    <w:jc w:val="center"/>
                    <w:rPr>
                      <w:rFonts w:hint="eastAsia"/>
                      <w:color w:val="auto"/>
                      <w:sz w:val="20"/>
                      <w:szCs w:val="20"/>
                    </w:rPr>
                  </w:pPr>
                </w:p>
              </w:tc>
              <w:tc>
                <w:tcPr>
                  <w:tcW w:w="468" w:type="pct"/>
                  <w:noWrap w:val="0"/>
                  <w:vAlign w:val="center"/>
                </w:tcPr>
                <w:p w14:paraId="791F1565">
                  <w:pPr>
                    <w:pStyle w:val="19"/>
                    <w:adjustRightInd w:val="0"/>
                    <w:jc w:val="center"/>
                    <w:rPr>
                      <w:rFonts w:hint="eastAsia"/>
                      <w:color w:val="auto"/>
                      <w:sz w:val="20"/>
                      <w:szCs w:val="20"/>
                    </w:rPr>
                  </w:pPr>
                  <w:r>
                    <w:rPr>
                      <w:rFonts w:hint="eastAsia"/>
                      <w:color w:val="auto"/>
                      <w:sz w:val="20"/>
                      <w:szCs w:val="20"/>
                      <w:lang w:val="en-US" w:eastAsia="zh-CN"/>
                    </w:rPr>
                    <w:t>硝酸雾</w:t>
                  </w:r>
                </w:p>
              </w:tc>
              <w:tc>
                <w:tcPr>
                  <w:tcW w:w="546" w:type="pct"/>
                  <w:vMerge w:val="continue"/>
                  <w:noWrap w:val="0"/>
                  <w:vAlign w:val="center"/>
                </w:tcPr>
                <w:p w14:paraId="619353A3">
                  <w:pPr>
                    <w:pStyle w:val="19"/>
                    <w:adjustRightInd w:val="0"/>
                    <w:jc w:val="center"/>
                    <w:rPr>
                      <w:rFonts w:hint="eastAsia"/>
                      <w:color w:val="auto"/>
                      <w:sz w:val="20"/>
                      <w:szCs w:val="20"/>
                    </w:rPr>
                  </w:pPr>
                </w:p>
              </w:tc>
              <w:tc>
                <w:tcPr>
                  <w:tcW w:w="535" w:type="pct"/>
                  <w:noWrap w:val="0"/>
                  <w:vAlign w:val="center"/>
                </w:tcPr>
                <w:p w14:paraId="517E0337">
                  <w:pPr>
                    <w:pStyle w:val="19"/>
                    <w:adjustRightInd w:val="0"/>
                    <w:jc w:val="center"/>
                    <w:rPr>
                      <w:rFonts w:hint="default"/>
                      <w:color w:val="auto"/>
                      <w:sz w:val="20"/>
                      <w:szCs w:val="20"/>
                      <w:lang w:val="en-US" w:eastAsia="zh-CN"/>
                    </w:rPr>
                  </w:pPr>
                  <w:r>
                    <w:rPr>
                      <w:rFonts w:hint="eastAsia"/>
                      <w:color w:val="auto"/>
                      <w:sz w:val="20"/>
                      <w:szCs w:val="20"/>
                      <w:lang w:val="en-US" w:eastAsia="zh-CN"/>
                    </w:rPr>
                    <w:t>0.0254</w:t>
                  </w:r>
                </w:p>
              </w:tc>
              <w:tc>
                <w:tcPr>
                  <w:tcW w:w="470" w:type="pct"/>
                  <w:vMerge w:val="continue"/>
                  <w:noWrap w:val="0"/>
                  <w:vAlign w:val="center"/>
                </w:tcPr>
                <w:p w14:paraId="19A6AD5E">
                  <w:pPr>
                    <w:pStyle w:val="19"/>
                    <w:adjustRightInd w:val="0"/>
                    <w:jc w:val="center"/>
                    <w:rPr>
                      <w:rFonts w:hint="eastAsia"/>
                      <w:color w:val="auto"/>
                      <w:sz w:val="20"/>
                      <w:szCs w:val="20"/>
                    </w:rPr>
                  </w:pPr>
                </w:p>
              </w:tc>
              <w:tc>
                <w:tcPr>
                  <w:tcW w:w="470" w:type="pct"/>
                  <w:vMerge w:val="continue"/>
                  <w:noWrap w:val="0"/>
                  <w:vAlign w:val="center"/>
                </w:tcPr>
                <w:p w14:paraId="5AD4D4D4">
                  <w:pPr>
                    <w:pStyle w:val="19"/>
                    <w:adjustRightInd w:val="0"/>
                    <w:jc w:val="center"/>
                    <w:rPr>
                      <w:color w:val="auto"/>
                      <w:sz w:val="20"/>
                      <w:szCs w:val="20"/>
                    </w:rPr>
                  </w:pPr>
                </w:p>
              </w:tc>
              <w:tc>
                <w:tcPr>
                  <w:tcW w:w="470" w:type="pct"/>
                  <w:vMerge w:val="continue"/>
                  <w:noWrap w:val="0"/>
                  <w:vAlign w:val="center"/>
                </w:tcPr>
                <w:p w14:paraId="50190274">
                  <w:pPr>
                    <w:pStyle w:val="19"/>
                    <w:adjustRightInd w:val="0"/>
                    <w:jc w:val="center"/>
                    <w:rPr>
                      <w:rFonts w:hint="eastAsia"/>
                      <w:color w:val="auto"/>
                      <w:sz w:val="20"/>
                      <w:szCs w:val="20"/>
                    </w:rPr>
                  </w:pPr>
                </w:p>
              </w:tc>
              <w:tc>
                <w:tcPr>
                  <w:tcW w:w="470" w:type="pct"/>
                  <w:vMerge w:val="continue"/>
                  <w:noWrap w:val="0"/>
                  <w:vAlign w:val="center"/>
                </w:tcPr>
                <w:p w14:paraId="51C1EC45">
                  <w:pPr>
                    <w:pStyle w:val="19"/>
                    <w:adjustRightInd w:val="0"/>
                    <w:jc w:val="center"/>
                    <w:rPr>
                      <w:rFonts w:hint="eastAsia"/>
                      <w:color w:val="auto"/>
                      <w:sz w:val="20"/>
                      <w:szCs w:val="20"/>
                    </w:rPr>
                  </w:pPr>
                </w:p>
              </w:tc>
              <w:tc>
                <w:tcPr>
                  <w:tcW w:w="629" w:type="pct"/>
                  <w:noWrap w:val="0"/>
                  <w:vAlign w:val="center"/>
                </w:tcPr>
                <w:p w14:paraId="13A85102">
                  <w:pPr>
                    <w:pStyle w:val="19"/>
                    <w:adjustRightInd w:val="0"/>
                    <w:jc w:val="center"/>
                    <w:rPr>
                      <w:rFonts w:hint="default"/>
                      <w:color w:val="auto"/>
                      <w:sz w:val="20"/>
                      <w:szCs w:val="20"/>
                      <w:lang w:val="en-US" w:eastAsia="zh-CN"/>
                    </w:rPr>
                  </w:pPr>
                  <w:r>
                    <w:rPr>
                      <w:rFonts w:hint="eastAsia"/>
                      <w:color w:val="auto"/>
                      <w:sz w:val="20"/>
                      <w:szCs w:val="20"/>
                      <w:lang w:val="en-US" w:eastAsia="zh-CN"/>
                    </w:rPr>
                    <w:t>0.846</w:t>
                  </w:r>
                </w:p>
              </w:tc>
              <w:tc>
                <w:tcPr>
                  <w:tcW w:w="469" w:type="pct"/>
                  <w:noWrap w:val="0"/>
                  <w:vAlign w:val="center"/>
                </w:tcPr>
                <w:p w14:paraId="4FBF4217">
                  <w:pPr>
                    <w:pStyle w:val="19"/>
                    <w:adjustRightInd w:val="0"/>
                    <w:jc w:val="center"/>
                    <w:rPr>
                      <w:rFonts w:hint="default"/>
                      <w:color w:val="auto"/>
                      <w:sz w:val="20"/>
                      <w:szCs w:val="20"/>
                      <w:lang w:val="en-US" w:eastAsia="zh-CN"/>
                    </w:rPr>
                  </w:pPr>
                  <w:r>
                    <w:rPr>
                      <w:rFonts w:hint="eastAsia"/>
                      <w:color w:val="auto"/>
                      <w:sz w:val="20"/>
                      <w:szCs w:val="20"/>
                      <w:lang w:val="en-US" w:eastAsia="zh-CN"/>
                    </w:rPr>
                    <w:t>0.0508</w:t>
                  </w:r>
                </w:p>
              </w:tc>
            </w:tr>
            <w:tr w14:paraId="22C099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70" w:type="pct"/>
                  <w:vMerge w:val="continue"/>
                  <w:noWrap w:val="0"/>
                  <w:vAlign w:val="center"/>
                </w:tcPr>
                <w:p w14:paraId="5C8A8C51">
                  <w:pPr>
                    <w:pStyle w:val="19"/>
                    <w:adjustRightInd w:val="0"/>
                    <w:jc w:val="center"/>
                    <w:rPr>
                      <w:rFonts w:hint="eastAsia"/>
                      <w:color w:val="auto"/>
                      <w:sz w:val="20"/>
                      <w:szCs w:val="20"/>
                    </w:rPr>
                  </w:pPr>
                </w:p>
              </w:tc>
              <w:tc>
                <w:tcPr>
                  <w:tcW w:w="468" w:type="pct"/>
                  <w:noWrap w:val="0"/>
                  <w:vAlign w:val="center"/>
                </w:tcPr>
                <w:p w14:paraId="5261D913">
                  <w:pPr>
                    <w:pStyle w:val="19"/>
                    <w:adjustRightInd w:val="0"/>
                    <w:jc w:val="center"/>
                    <w:rPr>
                      <w:rFonts w:hint="eastAsia" w:eastAsia="宋体"/>
                      <w:color w:val="auto"/>
                      <w:sz w:val="20"/>
                      <w:szCs w:val="20"/>
                      <w:lang w:val="en-US" w:eastAsia="zh-CN"/>
                    </w:rPr>
                  </w:pPr>
                  <w:r>
                    <w:rPr>
                      <w:rFonts w:hint="default" w:ascii="Times New Roman" w:hAnsi="Times New Roman" w:eastAsia="宋体" w:cs="Times New Roman"/>
                      <w:b w:val="0"/>
                      <w:bCs w:val="0"/>
                      <w:i w:val="0"/>
                      <w:iCs w:val="0"/>
                      <w:color w:val="auto"/>
                      <w:kern w:val="0"/>
                      <w:sz w:val="20"/>
                      <w:szCs w:val="20"/>
                      <w:u w:val="none"/>
                      <w:lang w:val="en-US" w:eastAsia="zh-CN" w:bidi="ar"/>
                    </w:rPr>
                    <w:t>硫酸雾</w:t>
                  </w:r>
                </w:p>
              </w:tc>
              <w:tc>
                <w:tcPr>
                  <w:tcW w:w="546" w:type="pct"/>
                  <w:vMerge w:val="continue"/>
                  <w:noWrap w:val="0"/>
                  <w:vAlign w:val="center"/>
                </w:tcPr>
                <w:p w14:paraId="7082E2E1">
                  <w:pPr>
                    <w:pStyle w:val="19"/>
                    <w:adjustRightInd w:val="0"/>
                    <w:jc w:val="center"/>
                    <w:rPr>
                      <w:rFonts w:hint="eastAsia"/>
                      <w:color w:val="auto"/>
                      <w:sz w:val="20"/>
                      <w:szCs w:val="20"/>
                    </w:rPr>
                  </w:pPr>
                </w:p>
              </w:tc>
              <w:tc>
                <w:tcPr>
                  <w:tcW w:w="535" w:type="pct"/>
                  <w:noWrap w:val="0"/>
                  <w:vAlign w:val="center"/>
                </w:tcPr>
                <w:p w14:paraId="4DE6B04C">
                  <w:pPr>
                    <w:pStyle w:val="19"/>
                    <w:adjustRightInd w:val="0"/>
                    <w:jc w:val="center"/>
                    <w:rPr>
                      <w:rFonts w:hint="default"/>
                      <w:color w:val="auto"/>
                      <w:sz w:val="20"/>
                      <w:szCs w:val="20"/>
                      <w:lang w:val="en-US" w:eastAsia="zh-CN"/>
                    </w:rPr>
                  </w:pPr>
                  <w:r>
                    <w:rPr>
                      <w:rFonts w:hint="eastAsia"/>
                      <w:color w:val="auto"/>
                      <w:sz w:val="20"/>
                      <w:szCs w:val="20"/>
                      <w:lang w:val="en-US" w:eastAsia="zh-CN"/>
                    </w:rPr>
                    <w:t>0.0003</w:t>
                  </w:r>
                </w:p>
              </w:tc>
              <w:tc>
                <w:tcPr>
                  <w:tcW w:w="470" w:type="pct"/>
                  <w:vMerge w:val="continue"/>
                  <w:noWrap w:val="0"/>
                  <w:vAlign w:val="center"/>
                </w:tcPr>
                <w:p w14:paraId="38CAE938">
                  <w:pPr>
                    <w:pStyle w:val="19"/>
                    <w:adjustRightInd w:val="0"/>
                    <w:jc w:val="center"/>
                    <w:rPr>
                      <w:rFonts w:hint="eastAsia"/>
                      <w:color w:val="auto"/>
                      <w:sz w:val="20"/>
                      <w:szCs w:val="20"/>
                    </w:rPr>
                  </w:pPr>
                </w:p>
              </w:tc>
              <w:tc>
                <w:tcPr>
                  <w:tcW w:w="470" w:type="pct"/>
                  <w:vMerge w:val="continue"/>
                  <w:noWrap w:val="0"/>
                  <w:vAlign w:val="center"/>
                </w:tcPr>
                <w:p w14:paraId="662AF072">
                  <w:pPr>
                    <w:pStyle w:val="19"/>
                    <w:adjustRightInd w:val="0"/>
                    <w:jc w:val="center"/>
                    <w:rPr>
                      <w:color w:val="auto"/>
                      <w:sz w:val="20"/>
                      <w:szCs w:val="20"/>
                    </w:rPr>
                  </w:pPr>
                </w:p>
              </w:tc>
              <w:tc>
                <w:tcPr>
                  <w:tcW w:w="470" w:type="pct"/>
                  <w:vMerge w:val="continue"/>
                  <w:noWrap w:val="0"/>
                  <w:vAlign w:val="center"/>
                </w:tcPr>
                <w:p w14:paraId="1424B43A">
                  <w:pPr>
                    <w:pStyle w:val="19"/>
                    <w:adjustRightInd w:val="0"/>
                    <w:jc w:val="center"/>
                    <w:rPr>
                      <w:rFonts w:hint="eastAsia"/>
                      <w:color w:val="auto"/>
                      <w:sz w:val="20"/>
                      <w:szCs w:val="20"/>
                    </w:rPr>
                  </w:pPr>
                </w:p>
              </w:tc>
              <w:tc>
                <w:tcPr>
                  <w:tcW w:w="470" w:type="pct"/>
                  <w:vMerge w:val="continue"/>
                  <w:noWrap w:val="0"/>
                  <w:vAlign w:val="center"/>
                </w:tcPr>
                <w:p w14:paraId="2E8750A1">
                  <w:pPr>
                    <w:pStyle w:val="19"/>
                    <w:adjustRightInd w:val="0"/>
                    <w:jc w:val="center"/>
                    <w:rPr>
                      <w:rFonts w:hint="eastAsia"/>
                      <w:color w:val="auto"/>
                      <w:sz w:val="20"/>
                      <w:szCs w:val="20"/>
                    </w:rPr>
                  </w:pPr>
                </w:p>
              </w:tc>
              <w:tc>
                <w:tcPr>
                  <w:tcW w:w="629" w:type="pct"/>
                  <w:noWrap w:val="0"/>
                  <w:vAlign w:val="center"/>
                </w:tcPr>
                <w:p w14:paraId="67C5E186">
                  <w:pPr>
                    <w:pStyle w:val="19"/>
                    <w:adjustRightInd w:val="0"/>
                    <w:jc w:val="center"/>
                    <w:rPr>
                      <w:rFonts w:hint="default"/>
                      <w:color w:val="auto"/>
                      <w:sz w:val="20"/>
                      <w:szCs w:val="20"/>
                      <w:lang w:val="en-US" w:eastAsia="zh-CN"/>
                    </w:rPr>
                  </w:pPr>
                  <w:r>
                    <w:rPr>
                      <w:rFonts w:hint="eastAsia"/>
                      <w:color w:val="auto"/>
                      <w:sz w:val="20"/>
                      <w:szCs w:val="20"/>
                      <w:lang w:val="en-US" w:eastAsia="zh-CN"/>
                    </w:rPr>
                    <w:t>0.0111</w:t>
                  </w:r>
                </w:p>
              </w:tc>
              <w:tc>
                <w:tcPr>
                  <w:tcW w:w="469" w:type="pct"/>
                  <w:noWrap w:val="0"/>
                  <w:vAlign w:val="center"/>
                </w:tcPr>
                <w:p w14:paraId="6A81803E">
                  <w:pPr>
                    <w:pStyle w:val="19"/>
                    <w:adjustRightInd w:val="0"/>
                    <w:jc w:val="center"/>
                    <w:rPr>
                      <w:rFonts w:hint="default"/>
                      <w:color w:val="auto"/>
                      <w:sz w:val="20"/>
                      <w:szCs w:val="20"/>
                      <w:lang w:val="en-US" w:eastAsia="zh-CN"/>
                    </w:rPr>
                  </w:pPr>
                  <w:r>
                    <w:rPr>
                      <w:rFonts w:hint="eastAsia"/>
                      <w:color w:val="auto"/>
                      <w:sz w:val="20"/>
                      <w:szCs w:val="20"/>
                      <w:lang w:val="en-US" w:eastAsia="zh-CN"/>
                    </w:rPr>
                    <w:t>0.0003</w:t>
                  </w:r>
                </w:p>
              </w:tc>
            </w:tr>
            <w:tr w14:paraId="22B8C0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70" w:type="pct"/>
                  <w:vMerge w:val="continue"/>
                  <w:noWrap w:val="0"/>
                  <w:vAlign w:val="center"/>
                </w:tcPr>
                <w:p w14:paraId="2DB98712">
                  <w:pPr>
                    <w:pStyle w:val="19"/>
                    <w:adjustRightInd w:val="0"/>
                    <w:jc w:val="center"/>
                    <w:rPr>
                      <w:rFonts w:hint="eastAsia"/>
                      <w:color w:val="auto"/>
                      <w:sz w:val="20"/>
                      <w:szCs w:val="20"/>
                    </w:rPr>
                  </w:pPr>
                </w:p>
              </w:tc>
              <w:tc>
                <w:tcPr>
                  <w:tcW w:w="468" w:type="pct"/>
                  <w:noWrap w:val="0"/>
                  <w:vAlign w:val="center"/>
                </w:tcPr>
                <w:p w14:paraId="21D1400C">
                  <w:pPr>
                    <w:pStyle w:val="19"/>
                    <w:adjustRightInd w:val="0"/>
                    <w:jc w:val="center"/>
                    <w:rPr>
                      <w:color w:val="auto"/>
                      <w:sz w:val="20"/>
                      <w:szCs w:val="20"/>
                      <w:vertAlign w:val="subscript"/>
                    </w:rPr>
                  </w:pPr>
                  <w:r>
                    <w:rPr>
                      <w:rFonts w:hint="eastAsia" w:eastAsia="宋体"/>
                      <w:color w:val="auto"/>
                      <w:sz w:val="20"/>
                      <w:szCs w:val="20"/>
                      <w:lang w:val="en-US" w:eastAsia="zh-CN"/>
                    </w:rPr>
                    <w:t>氨</w:t>
                  </w:r>
                </w:p>
              </w:tc>
              <w:tc>
                <w:tcPr>
                  <w:tcW w:w="546" w:type="pct"/>
                  <w:vMerge w:val="continue"/>
                  <w:noWrap w:val="0"/>
                  <w:vAlign w:val="center"/>
                </w:tcPr>
                <w:p w14:paraId="7B80C0F9">
                  <w:pPr>
                    <w:pStyle w:val="19"/>
                    <w:adjustRightInd w:val="0"/>
                    <w:jc w:val="center"/>
                    <w:rPr>
                      <w:color w:val="auto"/>
                      <w:sz w:val="20"/>
                      <w:szCs w:val="20"/>
                    </w:rPr>
                  </w:pPr>
                </w:p>
              </w:tc>
              <w:tc>
                <w:tcPr>
                  <w:tcW w:w="535" w:type="pct"/>
                  <w:noWrap w:val="0"/>
                  <w:vAlign w:val="center"/>
                </w:tcPr>
                <w:p w14:paraId="1C6E9A6E">
                  <w:pPr>
                    <w:pStyle w:val="19"/>
                    <w:adjustRightInd w:val="0"/>
                    <w:jc w:val="center"/>
                    <w:rPr>
                      <w:rFonts w:hint="eastAsia"/>
                      <w:color w:val="auto"/>
                      <w:sz w:val="20"/>
                      <w:szCs w:val="20"/>
                      <w:lang w:val="en-US" w:eastAsia="zh-CN"/>
                    </w:rPr>
                  </w:pPr>
                  <w:r>
                    <w:rPr>
                      <w:rFonts w:hint="eastAsia"/>
                      <w:color w:val="auto"/>
                      <w:sz w:val="20"/>
                      <w:szCs w:val="20"/>
                      <w:lang w:val="en-US" w:eastAsia="zh-CN"/>
                    </w:rPr>
                    <w:t>0.0014</w:t>
                  </w:r>
                </w:p>
              </w:tc>
              <w:tc>
                <w:tcPr>
                  <w:tcW w:w="470" w:type="pct"/>
                  <w:vMerge w:val="continue"/>
                  <w:noWrap w:val="0"/>
                  <w:vAlign w:val="center"/>
                </w:tcPr>
                <w:p w14:paraId="1B59FFFB">
                  <w:pPr>
                    <w:pStyle w:val="19"/>
                    <w:adjustRightInd w:val="0"/>
                    <w:jc w:val="center"/>
                    <w:rPr>
                      <w:rFonts w:hint="eastAsia"/>
                      <w:color w:val="auto"/>
                      <w:sz w:val="20"/>
                      <w:szCs w:val="20"/>
                    </w:rPr>
                  </w:pPr>
                </w:p>
              </w:tc>
              <w:tc>
                <w:tcPr>
                  <w:tcW w:w="470" w:type="pct"/>
                  <w:vMerge w:val="continue"/>
                  <w:noWrap w:val="0"/>
                  <w:vAlign w:val="center"/>
                </w:tcPr>
                <w:p w14:paraId="63176F82">
                  <w:pPr>
                    <w:pStyle w:val="19"/>
                    <w:adjustRightInd w:val="0"/>
                    <w:jc w:val="center"/>
                    <w:rPr>
                      <w:rFonts w:hint="eastAsia"/>
                      <w:color w:val="auto"/>
                      <w:sz w:val="20"/>
                      <w:szCs w:val="20"/>
                    </w:rPr>
                  </w:pPr>
                </w:p>
              </w:tc>
              <w:tc>
                <w:tcPr>
                  <w:tcW w:w="470" w:type="pct"/>
                  <w:vMerge w:val="continue"/>
                  <w:noWrap w:val="0"/>
                  <w:vAlign w:val="center"/>
                </w:tcPr>
                <w:p w14:paraId="61F0EDFF">
                  <w:pPr>
                    <w:pStyle w:val="19"/>
                    <w:adjustRightInd w:val="0"/>
                    <w:jc w:val="center"/>
                    <w:rPr>
                      <w:rFonts w:hint="eastAsia"/>
                      <w:color w:val="auto"/>
                      <w:sz w:val="20"/>
                      <w:szCs w:val="20"/>
                    </w:rPr>
                  </w:pPr>
                </w:p>
              </w:tc>
              <w:tc>
                <w:tcPr>
                  <w:tcW w:w="470" w:type="pct"/>
                  <w:vMerge w:val="continue"/>
                  <w:noWrap w:val="0"/>
                  <w:vAlign w:val="center"/>
                </w:tcPr>
                <w:p w14:paraId="25B72A66">
                  <w:pPr>
                    <w:pStyle w:val="19"/>
                    <w:adjustRightInd w:val="0"/>
                    <w:jc w:val="center"/>
                    <w:rPr>
                      <w:rFonts w:hint="eastAsia"/>
                      <w:color w:val="auto"/>
                      <w:sz w:val="20"/>
                      <w:szCs w:val="20"/>
                    </w:rPr>
                  </w:pPr>
                </w:p>
              </w:tc>
              <w:tc>
                <w:tcPr>
                  <w:tcW w:w="629" w:type="pct"/>
                  <w:noWrap w:val="0"/>
                  <w:vAlign w:val="center"/>
                </w:tcPr>
                <w:p w14:paraId="4684435D">
                  <w:pPr>
                    <w:pStyle w:val="19"/>
                    <w:adjustRightInd w:val="0"/>
                    <w:jc w:val="center"/>
                    <w:rPr>
                      <w:rFonts w:hint="eastAsia"/>
                      <w:color w:val="auto"/>
                      <w:sz w:val="20"/>
                      <w:szCs w:val="20"/>
                      <w:lang w:val="en-US" w:eastAsia="zh-CN"/>
                    </w:rPr>
                  </w:pPr>
                  <w:r>
                    <w:rPr>
                      <w:rFonts w:hint="eastAsia"/>
                      <w:color w:val="auto"/>
                      <w:sz w:val="20"/>
                      <w:szCs w:val="20"/>
                      <w:lang w:val="en-US" w:eastAsia="zh-CN"/>
                    </w:rPr>
                    <w:t>0.0472</w:t>
                  </w:r>
                </w:p>
              </w:tc>
              <w:tc>
                <w:tcPr>
                  <w:tcW w:w="469" w:type="pct"/>
                  <w:noWrap w:val="0"/>
                  <w:vAlign w:val="center"/>
                </w:tcPr>
                <w:p w14:paraId="6755A690">
                  <w:pPr>
                    <w:pStyle w:val="19"/>
                    <w:adjustRightInd w:val="0"/>
                    <w:jc w:val="center"/>
                    <w:rPr>
                      <w:rFonts w:hint="eastAsia"/>
                      <w:color w:val="auto"/>
                      <w:sz w:val="20"/>
                      <w:szCs w:val="20"/>
                      <w:lang w:val="en-US" w:eastAsia="zh-CN"/>
                    </w:rPr>
                  </w:pPr>
                  <w:r>
                    <w:rPr>
                      <w:rFonts w:hint="eastAsia"/>
                      <w:color w:val="auto"/>
                      <w:sz w:val="20"/>
                      <w:szCs w:val="20"/>
                      <w:lang w:val="en-US" w:eastAsia="zh-CN"/>
                    </w:rPr>
                    <w:t>0.0014</w:t>
                  </w:r>
                </w:p>
              </w:tc>
            </w:tr>
          </w:tbl>
          <w:p w14:paraId="77CFD5AC">
            <w:pPr>
              <w:pStyle w:val="71"/>
              <w:snapToGrid w:val="0"/>
              <w:spacing w:line="360" w:lineRule="auto"/>
              <w:rPr>
                <w:b/>
                <w:bCs/>
                <w:color w:val="auto"/>
                <w:sz w:val="24"/>
                <w:szCs w:val="24"/>
              </w:rPr>
            </w:pPr>
            <w:r>
              <w:rPr>
                <w:rFonts w:hint="eastAsia"/>
                <w:b/>
                <w:bCs/>
                <w:color w:val="auto"/>
                <w:sz w:val="24"/>
                <w:szCs w:val="24"/>
              </w:rPr>
              <w:t>1</w:t>
            </w:r>
            <w:r>
              <w:rPr>
                <w:b/>
                <w:bCs/>
                <w:color w:val="auto"/>
                <w:sz w:val="24"/>
                <w:szCs w:val="24"/>
              </w:rPr>
              <w:t xml:space="preserve">.2 </w:t>
            </w:r>
            <w:r>
              <w:rPr>
                <w:rFonts w:hint="eastAsia"/>
                <w:b/>
                <w:bCs/>
                <w:color w:val="auto"/>
                <w:sz w:val="24"/>
                <w:szCs w:val="24"/>
              </w:rPr>
              <w:t>排放口基本情况</w:t>
            </w:r>
          </w:p>
          <w:p w14:paraId="268362F0">
            <w:pPr>
              <w:adjustRightInd w:val="0"/>
              <w:snapToGrid w:val="0"/>
              <w:spacing w:line="360" w:lineRule="auto"/>
              <w:ind w:firstLine="480" w:firstLineChars="200"/>
              <w:rPr>
                <w:rFonts w:hint="default" w:eastAsia="宋体"/>
                <w:color w:val="auto"/>
                <w:sz w:val="24"/>
                <w:lang w:val="en-US" w:eastAsia="zh-CN"/>
              </w:rPr>
            </w:pPr>
            <w:r>
              <w:rPr>
                <w:rFonts w:hint="eastAsia"/>
                <w:color w:val="auto"/>
                <w:sz w:val="24"/>
                <w:lang w:eastAsia="zh-CN"/>
              </w:rPr>
              <w:t>（</w:t>
            </w:r>
            <w:r>
              <w:rPr>
                <w:rFonts w:hint="eastAsia"/>
                <w:color w:val="auto"/>
                <w:sz w:val="24"/>
                <w:lang w:val="en-US" w:eastAsia="zh-CN"/>
              </w:rPr>
              <w:t>1</w:t>
            </w:r>
            <w:r>
              <w:rPr>
                <w:rFonts w:hint="eastAsia"/>
                <w:color w:val="auto"/>
                <w:sz w:val="24"/>
                <w:lang w:eastAsia="zh-CN"/>
              </w:rPr>
              <w:t>）</w:t>
            </w:r>
            <w:r>
              <w:rPr>
                <w:rFonts w:hint="eastAsia"/>
                <w:color w:val="auto"/>
                <w:sz w:val="24"/>
                <w:lang w:val="en-US" w:eastAsia="zh-CN"/>
              </w:rPr>
              <w:t>排放口基本情况</w:t>
            </w:r>
          </w:p>
          <w:p w14:paraId="63B283C7">
            <w:pPr>
              <w:adjustRightInd w:val="0"/>
              <w:snapToGrid w:val="0"/>
              <w:spacing w:line="360" w:lineRule="auto"/>
              <w:ind w:firstLine="480" w:firstLineChars="200"/>
              <w:rPr>
                <w:color w:val="FF0000"/>
                <w:sz w:val="24"/>
              </w:rPr>
            </w:pPr>
            <w:r>
              <w:rPr>
                <w:rFonts w:hint="eastAsia"/>
                <w:color w:val="FF0000"/>
                <w:sz w:val="24"/>
              </w:rPr>
              <w:t>本项目有组织排放口共</w:t>
            </w:r>
            <w:r>
              <w:rPr>
                <w:rFonts w:hint="eastAsia"/>
                <w:color w:val="FF0000"/>
                <w:sz w:val="24"/>
                <w:lang w:val="en-US" w:eastAsia="zh-CN"/>
              </w:rPr>
              <w:t>1</w:t>
            </w:r>
            <w:r>
              <w:rPr>
                <w:rFonts w:hint="eastAsia"/>
                <w:color w:val="FF0000"/>
                <w:sz w:val="24"/>
              </w:rPr>
              <w:t>处，</w:t>
            </w:r>
            <w:r>
              <w:rPr>
                <w:rFonts w:hint="eastAsia"/>
                <w:color w:val="FF0000"/>
                <w:sz w:val="24"/>
                <w:lang w:val="en-US" w:eastAsia="zh-CN"/>
              </w:rPr>
              <w:t>碱液喷淋塔</w:t>
            </w:r>
            <w:r>
              <w:rPr>
                <w:rFonts w:hint="eastAsia"/>
                <w:color w:val="FF0000"/>
                <w:sz w:val="24"/>
              </w:rPr>
              <w:t>排气筒DA</w:t>
            </w:r>
            <w:r>
              <w:rPr>
                <w:color w:val="FF0000"/>
                <w:sz w:val="24"/>
              </w:rPr>
              <w:t>00</w:t>
            </w:r>
            <w:r>
              <w:rPr>
                <w:rFonts w:hint="eastAsia"/>
                <w:color w:val="FF0000"/>
                <w:sz w:val="24"/>
                <w:lang w:val="en-US" w:eastAsia="zh-CN"/>
              </w:rPr>
              <w:t>1</w:t>
            </w:r>
            <w:r>
              <w:rPr>
                <w:rFonts w:hint="eastAsia"/>
                <w:color w:val="FF0000"/>
                <w:sz w:val="24"/>
              </w:rPr>
              <w:t>。有组织</w:t>
            </w:r>
            <w:r>
              <w:rPr>
                <w:color w:val="FF0000"/>
                <w:sz w:val="24"/>
              </w:rPr>
              <w:t>废气</w:t>
            </w:r>
            <w:r>
              <w:rPr>
                <w:rFonts w:hint="eastAsia"/>
                <w:color w:val="FF0000"/>
                <w:sz w:val="24"/>
              </w:rPr>
              <w:t>排放口基本情况见表4</w:t>
            </w:r>
            <w:r>
              <w:rPr>
                <w:color w:val="FF0000"/>
                <w:sz w:val="24"/>
              </w:rPr>
              <w:t>-</w:t>
            </w:r>
            <w:r>
              <w:rPr>
                <w:rFonts w:hint="eastAsia"/>
                <w:color w:val="FF0000"/>
                <w:sz w:val="24"/>
                <w:lang w:val="en-US" w:eastAsia="zh-CN"/>
              </w:rPr>
              <w:t>4</w:t>
            </w:r>
            <w:r>
              <w:rPr>
                <w:rFonts w:hint="eastAsia"/>
                <w:color w:val="FF0000"/>
                <w:sz w:val="24"/>
              </w:rPr>
              <w:t>。</w:t>
            </w:r>
          </w:p>
          <w:p w14:paraId="2B4783C6">
            <w:pPr>
              <w:pStyle w:val="19"/>
              <w:adjustRightInd w:val="0"/>
              <w:jc w:val="center"/>
              <w:rPr>
                <w:b/>
                <w:color w:val="FF0000"/>
                <w:sz w:val="21"/>
                <w:szCs w:val="21"/>
              </w:rPr>
            </w:pPr>
            <w:r>
              <w:rPr>
                <w:rFonts w:hint="eastAsia"/>
                <w:b/>
                <w:color w:val="FF0000"/>
                <w:sz w:val="21"/>
                <w:szCs w:val="21"/>
              </w:rPr>
              <w:t>表4</w:t>
            </w:r>
            <w:r>
              <w:rPr>
                <w:b/>
                <w:color w:val="FF0000"/>
                <w:sz w:val="21"/>
                <w:szCs w:val="21"/>
              </w:rPr>
              <w:t>-</w:t>
            </w:r>
            <w:r>
              <w:rPr>
                <w:rFonts w:hint="eastAsia"/>
                <w:b/>
                <w:color w:val="FF0000"/>
                <w:sz w:val="21"/>
                <w:szCs w:val="21"/>
                <w:lang w:val="en-US" w:eastAsia="zh-CN"/>
              </w:rPr>
              <w:t>4</w:t>
            </w:r>
            <w:r>
              <w:rPr>
                <w:b/>
                <w:color w:val="FF0000"/>
                <w:sz w:val="21"/>
                <w:szCs w:val="21"/>
              </w:rPr>
              <w:t xml:space="preserve">   </w:t>
            </w:r>
            <w:r>
              <w:rPr>
                <w:rFonts w:hint="eastAsia"/>
                <w:b/>
                <w:color w:val="FF0000"/>
                <w:sz w:val="21"/>
                <w:szCs w:val="21"/>
              </w:rPr>
              <w:t>废气排放口基本情况一览表</w:t>
            </w:r>
          </w:p>
          <w:tbl>
            <w:tblPr>
              <w:tblStyle w:val="2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7"/>
              <w:gridCol w:w="613"/>
              <w:gridCol w:w="654"/>
              <w:gridCol w:w="786"/>
              <w:gridCol w:w="1760"/>
              <w:gridCol w:w="1354"/>
              <w:gridCol w:w="2355"/>
            </w:tblGrid>
            <w:tr w14:paraId="6EFBF9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3" w:hRule="atLeast"/>
              </w:trPr>
              <w:tc>
                <w:tcPr>
                  <w:tcW w:w="857" w:type="dxa"/>
                  <w:vMerge w:val="restart"/>
                  <w:noWrap w:val="0"/>
                  <w:vAlign w:val="center"/>
                </w:tcPr>
                <w:p w14:paraId="5BD34AFC">
                  <w:pPr>
                    <w:pStyle w:val="19"/>
                    <w:adjustRightInd w:val="0"/>
                    <w:jc w:val="center"/>
                    <w:rPr>
                      <w:rFonts w:hint="eastAsia"/>
                      <w:color w:val="auto"/>
                      <w:sz w:val="20"/>
                      <w:szCs w:val="20"/>
                    </w:rPr>
                  </w:pPr>
                  <w:r>
                    <w:rPr>
                      <w:rFonts w:hint="eastAsia"/>
                      <w:color w:val="auto"/>
                      <w:sz w:val="20"/>
                      <w:szCs w:val="20"/>
                    </w:rPr>
                    <w:t>排气筒编号</w:t>
                  </w:r>
                </w:p>
              </w:tc>
              <w:tc>
                <w:tcPr>
                  <w:tcW w:w="5167" w:type="dxa"/>
                  <w:gridSpan w:val="5"/>
                  <w:noWrap w:val="0"/>
                  <w:vAlign w:val="center"/>
                </w:tcPr>
                <w:p w14:paraId="6902C67B">
                  <w:pPr>
                    <w:pStyle w:val="19"/>
                    <w:adjustRightInd w:val="0"/>
                    <w:jc w:val="center"/>
                    <w:rPr>
                      <w:rFonts w:hint="eastAsia"/>
                      <w:color w:val="auto"/>
                      <w:sz w:val="20"/>
                      <w:szCs w:val="20"/>
                    </w:rPr>
                  </w:pPr>
                  <w:r>
                    <w:rPr>
                      <w:rFonts w:hint="eastAsia"/>
                      <w:color w:val="auto"/>
                      <w:sz w:val="20"/>
                      <w:szCs w:val="20"/>
                    </w:rPr>
                    <w:t>排放口基本情况</w:t>
                  </w:r>
                </w:p>
              </w:tc>
              <w:tc>
                <w:tcPr>
                  <w:tcW w:w="2355" w:type="dxa"/>
                  <w:vMerge w:val="restart"/>
                  <w:noWrap w:val="0"/>
                  <w:vAlign w:val="center"/>
                </w:tcPr>
                <w:p w14:paraId="36A09F50">
                  <w:pPr>
                    <w:pStyle w:val="19"/>
                    <w:adjustRightInd w:val="0"/>
                    <w:jc w:val="center"/>
                    <w:rPr>
                      <w:rFonts w:hint="eastAsia"/>
                      <w:color w:val="auto"/>
                      <w:sz w:val="20"/>
                      <w:szCs w:val="20"/>
                    </w:rPr>
                  </w:pPr>
                  <w:r>
                    <w:rPr>
                      <w:rFonts w:hint="eastAsia"/>
                      <w:color w:val="auto"/>
                      <w:sz w:val="20"/>
                      <w:szCs w:val="20"/>
                    </w:rPr>
                    <w:t>排放标准</w:t>
                  </w:r>
                </w:p>
              </w:tc>
            </w:tr>
            <w:tr w14:paraId="0019F4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4" w:hRule="atLeast"/>
              </w:trPr>
              <w:tc>
                <w:tcPr>
                  <w:tcW w:w="857" w:type="dxa"/>
                  <w:vMerge w:val="continue"/>
                  <w:noWrap w:val="0"/>
                  <w:vAlign w:val="center"/>
                </w:tcPr>
                <w:p w14:paraId="26AB5B1D">
                  <w:pPr>
                    <w:pStyle w:val="19"/>
                    <w:adjustRightInd w:val="0"/>
                    <w:jc w:val="center"/>
                    <w:rPr>
                      <w:rFonts w:hint="eastAsia"/>
                      <w:color w:val="auto"/>
                      <w:sz w:val="20"/>
                      <w:szCs w:val="20"/>
                    </w:rPr>
                  </w:pPr>
                </w:p>
              </w:tc>
              <w:tc>
                <w:tcPr>
                  <w:tcW w:w="613" w:type="dxa"/>
                  <w:noWrap w:val="0"/>
                  <w:vAlign w:val="center"/>
                </w:tcPr>
                <w:p w14:paraId="4A3357EF">
                  <w:pPr>
                    <w:pStyle w:val="19"/>
                    <w:adjustRightInd w:val="0"/>
                    <w:jc w:val="center"/>
                    <w:rPr>
                      <w:rFonts w:hint="eastAsia"/>
                      <w:color w:val="auto"/>
                      <w:sz w:val="20"/>
                      <w:szCs w:val="20"/>
                    </w:rPr>
                  </w:pPr>
                  <w:r>
                    <w:rPr>
                      <w:rFonts w:hint="eastAsia"/>
                      <w:color w:val="auto"/>
                      <w:sz w:val="20"/>
                      <w:szCs w:val="20"/>
                    </w:rPr>
                    <w:t>高度</w:t>
                  </w:r>
                </w:p>
              </w:tc>
              <w:tc>
                <w:tcPr>
                  <w:tcW w:w="654" w:type="dxa"/>
                  <w:noWrap w:val="0"/>
                  <w:vAlign w:val="center"/>
                </w:tcPr>
                <w:p w14:paraId="59157294">
                  <w:pPr>
                    <w:pStyle w:val="19"/>
                    <w:adjustRightInd w:val="0"/>
                    <w:jc w:val="center"/>
                    <w:rPr>
                      <w:rFonts w:hint="eastAsia"/>
                      <w:color w:val="auto"/>
                      <w:sz w:val="20"/>
                      <w:szCs w:val="20"/>
                    </w:rPr>
                  </w:pPr>
                  <w:r>
                    <w:rPr>
                      <w:rFonts w:hint="eastAsia"/>
                      <w:color w:val="auto"/>
                      <w:sz w:val="20"/>
                      <w:szCs w:val="20"/>
                      <w:lang w:val="en-US" w:eastAsia="zh-CN"/>
                    </w:rPr>
                    <w:t>直径</w:t>
                  </w:r>
                </w:p>
              </w:tc>
              <w:tc>
                <w:tcPr>
                  <w:tcW w:w="786" w:type="dxa"/>
                  <w:noWrap w:val="0"/>
                  <w:vAlign w:val="center"/>
                </w:tcPr>
                <w:p w14:paraId="1F50F26B">
                  <w:pPr>
                    <w:pStyle w:val="19"/>
                    <w:adjustRightInd w:val="0"/>
                    <w:jc w:val="center"/>
                    <w:rPr>
                      <w:rFonts w:hint="eastAsia"/>
                      <w:color w:val="auto"/>
                      <w:sz w:val="20"/>
                      <w:szCs w:val="20"/>
                    </w:rPr>
                  </w:pPr>
                  <w:r>
                    <w:rPr>
                      <w:rFonts w:hint="eastAsia"/>
                      <w:color w:val="auto"/>
                      <w:sz w:val="20"/>
                      <w:szCs w:val="20"/>
                    </w:rPr>
                    <w:t>温度</w:t>
                  </w:r>
                </w:p>
              </w:tc>
              <w:tc>
                <w:tcPr>
                  <w:tcW w:w="1760" w:type="dxa"/>
                  <w:noWrap w:val="0"/>
                  <w:vAlign w:val="center"/>
                </w:tcPr>
                <w:p w14:paraId="3CA876C1">
                  <w:pPr>
                    <w:pStyle w:val="19"/>
                    <w:adjustRightInd w:val="0"/>
                    <w:jc w:val="center"/>
                    <w:rPr>
                      <w:rFonts w:hint="default" w:eastAsia="宋体"/>
                      <w:color w:val="auto"/>
                      <w:sz w:val="20"/>
                      <w:szCs w:val="20"/>
                      <w:lang w:val="en-US" w:eastAsia="zh-CN"/>
                    </w:rPr>
                  </w:pPr>
                  <w:r>
                    <w:rPr>
                      <w:rFonts w:hint="eastAsia"/>
                      <w:color w:val="auto"/>
                      <w:sz w:val="20"/>
                      <w:szCs w:val="20"/>
                      <w:lang w:val="en-US" w:eastAsia="zh-CN"/>
                    </w:rPr>
                    <w:t>排放口地理坐标</w:t>
                  </w:r>
                </w:p>
              </w:tc>
              <w:tc>
                <w:tcPr>
                  <w:tcW w:w="1354" w:type="dxa"/>
                  <w:noWrap w:val="0"/>
                  <w:vAlign w:val="center"/>
                </w:tcPr>
                <w:p w14:paraId="57436EF2">
                  <w:pPr>
                    <w:pStyle w:val="19"/>
                    <w:adjustRightInd w:val="0"/>
                    <w:jc w:val="center"/>
                    <w:rPr>
                      <w:rFonts w:hint="eastAsia"/>
                      <w:color w:val="auto"/>
                      <w:sz w:val="20"/>
                      <w:szCs w:val="20"/>
                    </w:rPr>
                  </w:pPr>
                  <w:r>
                    <w:rPr>
                      <w:rFonts w:hint="eastAsia"/>
                      <w:color w:val="auto"/>
                      <w:sz w:val="20"/>
                      <w:szCs w:val="20"/>
                    </w:rPr>
                    <w:t>类型</w:t>
                  </w:r>
                </w:p>
              </w:tc>
              <w:tc>
                <w:tcPr>
                  <w:tcW w:w="2355" w:type="dxa"/>
                  <w:vMerge w:val="continue"/>
                  <w:noWrap w:val="0"/>
                  <w:vAlign w:val="center"/>
                </w:tcPr>
                <w:p w14:paraId="4D037E57">
                  <w:pPr>
                    <w:pStyle w:val="19"/>
                    <w:adjustRightInd w:val="0"/>
                    <w:jc w:val="center"/>
                    <w:rPr>
                      <w:rFonts w:hint="eastAsia"/>
                      <w:color w:val="auto"/>
                      <w:sz w:val="20"/>
                      <w:szCs w:val="20"/>
                    </w:rPr>
                  </w:pPr>
                </w:p>
              </w:tc>
            </w:tr>
            <w:tr w14:paraId="64A1A6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4" w:hRule="atLeast"/>
              </w:trPr>
              <w:tc>
                <w:tcPr>
                  <w:tcW w:w="857" w:type="dxa"/>
                  <w:noWrap w:val="0"/>
                  <w:vAlign w:val="center"/>
                </w:tcPr>
                <w:p w14:paraId="6EBF696B">
                  <w:pPr>
                    <w:pStyle w:val="19"/>
                    <w:adjustRightInd w:val="0"/>
                    <w:jc w:val="center"/>
                    <w:rPr>
                      <w:rFonts w:hint="eastAsia" w:eastAsia="宋体"/>
                      <w:color w:val="auto"/>
                      <w:sz w:val="20"/>
                      <w:szCs w:val="20"/>
                      <w:lang w:eastAsia="zh-CN"/>
                    </w:rPr>
                  </w:pPr>
                  <w:r>
                    <w:rPr>
                      <w:rFonts w:hint="eastAsia"/>
                      <w:color w:val="FF0000"/>
                      <w:sz w:val="20"/>
                      <w:szCs w:val="20"/>
                    </w:rPr>
                    <w:t>DA</w:t>
                  </w:r>
                  <w:r>
                    <w:rPr>
                      <w:color w:val="FF0000"/>
                      <w:sz w:val="20"/>
                      <w:szCs w:val="20"/>
                    </w:rPr>
                    <w:t>00</w:t>
                  </w:r>
                  <w:r>
                    <w:rPr>
                      <w:rFonts w:hint="eastAsia"/>
                      <w:color w:val="FF0000"/>
                      <w:sz w:val="20"/>
                      <w:szCs w:val="20"/>
                      <w:lang w:val="en-US" w:eastAsia="zh-CN"/>
                    </w:rPr>
                    <w:t>1</w:t>
                  </w:r>
                </w:p>
              </w:tc>
              <w:tc>
                <w:tcPr>
                  <w:tcW w:w="613" w:type="dxa"/>
                  <w:noWrap w:val="0"/>
                  <w:vAlign w:val="center"/>
                </w:tcPr>
                <w:p w14:paraId="2B624052">
                  <w:pPr>
                    <w:pStyle w:val="19"/>
                    <w:adjustRightInd w:val="0"/>
                    <w:jc w:val="center"/>
                    <w:rPr>
                      <w:color w:val="auto"/>
                      <w:sz w:val="20"/>
                      <w:szCs w:val="20"/>
                    </w:rPr>
                  </w:pPr>
                  <w:r>
                    <w:rPr>
                      <w:rFonts w:hint="eastAsia"/>
                      <w:color w:val="auto"/>
                      <w:sz w:val="20"/>
                      <w:szCs w:val="20"/>
                    </w:rPr>
                    <w:t>1</w:t>
                  </w:r>
                  <w:r>
                    <w:rPr>
                      <w:color w:val="auto"/>
                      <w:sz w:val="20"/>
                      <w:szCs w:val="20"/>
                    </w:rPr>
                    <w:t>5</w:t>
                  </w:r>
                  <w:r>
                    <w:rPr>
                      <w:rFonts w:hint="eastAsia"/>
                      <w:color w:val="auto"/>
                      <w:sz w:val="20"/>
                      <w:szCs w:val="20"/>
                    </w:rPr>
                    <w:t>m</w:t>
                  </w:r>
                </w:p>
              </w:tc>
              <w:tc>
                <w:tcPr>
                  <w:tcW w:w="654" w:type="dxa"/>
                  <w:noWrap w:val="0"/>
                  <w:vAlign w:val="center"/>
                </w:tcPr>
                <w:p w14:paraId="4E32A70E">
                  <w:pPr>
                    <w:pStyle w:val="19"/>
                    <w:adjustRightInd w:val="0"/>
                    <w:jc w:val="center"/>
                    <w:rPr>
                      <w:rFonts w:hint="eastAsia"/>
                      <w:color w:val="auto"/>
                      <w:sz w:val="20"/>
                      <w:szCs w:val="20"/>
                    </w:rPr>
                  </w:pPr>
                  <w:r>
                    <w:rPr>
                      <w:rFonts w:hint="eastAsia"/>
                      <w:color w:val="auto"/>
                      <w:sz w:val="20"/>
                      <w:szCs w:val="20"/>
                      <w:lang w:val="en-US" w:eastAsia="zh-CN"/>
                    </w:rPr>
                    <w:t>0.6</w:t>
                  </w:r>
                  <w:r>
                    <w:rPr>
                      <w:rFonts w:hint="eastAsia"/>
                      <w:color w:val="auto"/>
                      <w:sz w:val="20"/>
                      <w:szCs w:val="20"/>
                    </w:rPr>
                    <w:t>m</w:t>
                  </w:r>
                </w:p>
              </w:tc>
              <w:tc>
                <w:tcPr>
                  <w:tcW w:w="786" w:type="dxa"/>
                  <w:noWrap w:val="0"/>
                  <w:vAlign w:val="center"/>
                </w:tcPr>
                <w:p w14:paraId="66C902F1">
                  <w:pPr>
                    <w:pStyle w:val="19"/>
                    <w:adjustRightInd w:val="0"/>
                    <w:jc w:val="center"/>
                    <w:rPr>
                      <w:rFonts w:hint="eastAsia"/>
                      <w:color w:val="auto"/>
                      <w:sz w:val="20"/>
                      <w:szCs w:val="20"/>
                    </w:rPr>
                  </w:pPr>
                  <w:r>
                    <w:rPr>
                      <w:rFonts w:hint="eastAsia"/>
                      <w:color w:val="auto"/>
                      <w:sz w:val="20"/>
                      <w:szCs w:val="20"/>
                      <w:lang w:val="en-US" w:eastAsia="zh-CN"/>
                    </w:rPr>
                    <w:t>25</w:t>
                  </w:r>
                  <w:r>
                    <w:rPr>
                      <w:rFonts w:hint="eastAsia"/>
                      <w:color w:val="auto"/>
                      <w:sz w:val="20"/>
                      <w:szCs w:val="20"/>
                    </w:rPr>
                    <w:t>℃</w:t>
                  </w:r>
                </w:p>
              </w:tc>
              <w:tc>
                <w:tcPr>
                  <w:tcW w:w="1760" w:type="dxa"/>
                  <w:noWrap w:val="0"/>
                  <w:vAlign w:val="center"/>
                </w:tcPr>
                <w:p w14:paraId="74786E1A">
                  <w:pPr>
                    <w:pStyle w:val="19"/>
                    <w:adjustRightInd w:val="0"/>
                    <w:jc w:val="center"/>
                    <w:rPr>
                      <w:rFonts w:hint="default" w:ascii="Times New Roman" w:hAnsi="Times New Roman" w:eastAsia="宋体" w:cs="Times New Roman"/>
                      <w:color w:val="auto"/>
                      <w:sz w:val="20"/>
                      <w:szCs w:val="20"/>
                      <w:lang w:eastAsia="zh-CN"/>
                    </w:rPr>
                  </w:pPr>
                  <w:r>
                    <w:rPr>
                      <w:rFonts w:hint="default" w:ascii="Times New Roman" w:hAnsi="Times New Roman" w:cs="Times New Roman"/>
                      <w:color w:val="auto"/>
                      <w:sz w:val="20"/>
                      <w:szCs w:val="20"/>
                      <w:lang w:val="en-US" w:eastAsia="zh-CN"/>
                    </w:rPr>
                    <w:t>E</w:t>
                  </w:r>
                  <w:r>
                    <w:rPr>
                      <w:rFonts w:hint="default" w:ascii="Times New Roman" w:hAnsi="Times New Roman" w:cs="Times New Roman"/>
                      <w:color w:val="auto"/>
                      <w:sz w:val="20"/>
                      <w:szCs w:val="20"/>
                    </w:rPr>
                    <w:t>87°0′10.699″</w:t>
                  </w:r>
                  <w:r>
                    <w:rPr>
                      <w:rFonts w:hint="default" w:ascii="Times New Roman" w:hAnsi="Times New Roman" w:cs="Times New Roman"/>
                      <w:color w:val="auto"/>
                      <w:sz w:val="20"/>
                      <w:szCs w:val="20"/>
                      <w:lang w:eastAsia="zh-CN"/>
                    </w:rPr>
                    <w:t>，</w:t>
                  </w:r>
                  <w:r>
                    <w:rPr>
                      <w:rFonts w:hint="default" w:ascii="Times New Roman" w:hAnsi="Times New Roman" w:cs="Times New Roman"/>
                      <w:color w:val="auto"/>
                      <w:sz w:val="20"/>
                      <w:szCs w:val="20"/>
                      <w:lang w:val="en-US" w:eastAsia="zh-CN"/>
                    </w:rPr>
                    <w:t>N</w:t>
                  </w:r>
                  <w:r>
                    <w:rPr>
                      <w:rFonts w:hint="default" w:ascii="Times New Roman" w:hAnsi="Times New Roman" w:cs="Times New Roman"/>
                      <w:color w:val="auto"/>
                      <w:sz w:val="20"/>
                      <w:szCs w:val="20"/>
                    </w:rPr>
                    <w:t>44°6′29.107″</w:t>
                  </w:r>
                </w:p>
              </w:tc>
              <w:tc>
                <w:tcPr>
                  <w:tcW w:w="1354" w:type="dxa"/>
                  <w:noWrap w:val="0"/>
                  <w:vAlign w:val="center"/>
                </w:tcPr>
                <w:p w14:paraId="58B3614C">
                  <w:pPr>
                    <w:pStyle w:val="19"/>
                    <w:adjustRightInd w:val="0"/>
                    <w:jc w:val="center"/>
                    <w:rPr>
                      <w:rFonts w:hint="eastAsia"/>
                      <w:color w:val="auto"/>
                      <w:sz w:val="20"/>
                      <w:szCs w:val="20"/>
                    </w:rPr>
                  </w:pPr>
                  <w:r>
                    <w:rPr>
                      <w:rFonts w:hint="eastAsia"/>
                      <w:color w:val="auto"/>
                      <w:sz w:val="20"/>
                      <w:szCs w:val="20"/>
                    </w:rPr>
                    <w:t>一般排放口</w:t>
                  </w:r>
                </w:p>
              </w:tc>
              <w:tc>
                <w:tcPr>
                  <w:tcW w:w="2355" w:type="dxa"/>
                  <w:noWrap w:val="0"/>
                  <w:vAlign w:val="center"/>
                </w:tcPr>
                <w:p w14:paraId="2C04F901">
                  <w:pPr>
                    <w:pStyle w:val="19"/>
                    <w:adjustRightInd w:val="0"/>
                    <w:jc w:val="center"/>
                    <w:rPr>
                      <w:rFonts w:hint="eastAsia"/>
                      <w:color w:val="auto"/>
                      <w:sz w:val="20"/>
                      <w:szCs w:val="20"/>
                    </w:rPr>
                  </w:pPr>
                  <w:r>
                    <w:rPr>
                      <w:rFonts w:hint="eastAsia"/>
                      <w:color w:val="auto"/>
                      <w:sz w:val="20"/>
                      <w:szCs w:val="20"/>
                      <w:lang w:val="en-US" w:eastAsia="zh-CN"/>
                    </w:rPr>
                    <w:t>《大气污染物综合排放标准》（GB16297-1996）中表2新污染源大气污染物排放限值</w:t>
                  </w:r>
                </w:p>
              </w:tc>
            </w:tr>
          </w:tbl>
          <w:p w14:paraId="5DF9F514">
            <w:pPr>
              <w:adjustRightInd w:val="0"/>
              <w:snapToGrid w:val="0"/>
              <w:spacing w:before="120" w:beforeLines="50" w:line="360" w:lineRule="auto"/>
              <w:ind w:firstLine="480" w:firstLineChars="200"/>
              <w:rPr>
                <w:rFonts w:hint="eastAsia" w:ascii="Times New Roman" w:hAnsi="Times New Roman" w:eastAsia="宋体" w:cs="Times New Roman"/>
                <w:color w:val="auto"/>
                <w:sz w:val="24"/>
              </w:rPr>
            </w:pPr>
            <w:r>
              <w:rPr>
                <w:rFonts w:hint="eastAsia" w:ascii="Times New Roman" w:hAnsi="Times New Roman" w:eastAsia="宋体" w:cs="Times New Roman"/>
                <w:color w:val="auto"/>
                <w:sz w:val="24"/>
                <w:lang w:val="en-US" w:eastAsia="zh-CN"/>
              </w:rPr>
              <w:t>（2）排气筒设置合理性分析</w:t>
            </w:r>
          </w:p>
          <w:p w14:paraId="5DCAB54A">
            <w:pPr>
              <w:adjustRightInd w:val="0"/>
              <w:snapToGrid w:val="0"/>
              <w:spacing w:line="360" w:lineRule="auto"/>
              <w:ind w:firstLine="480" w:firstLineChars="200"/>
              <w:rPr>
                <w:rFonts w:hint="default" w:ascii="Times New Roman" w:hAnsi="Times New Roman" w:eastAsia="宋体" w:cs="Times New Roman"/>
                <w:color w:val="auto"/>
                <w:sz w:val="24"/>
                <w:lang w:val="en-US"/>
              </w:rPr>
            </w:pPr>
            <w:r>
              <w:rPr>
                <w:rFonts w:hint="eastAsia" w:ascii="Times New Roman" w:hAnsi="Times New Roman" w:eastAsia="宋体" w:cs="Times New Roman"/>
                <w:color w:val="auto"/>
                <w:sz w:val="24"/>
                <w:lang w:val="en-US" w:eastAsia="zh-CN"/>
              </w:rPr>
              <w:t>排气筒高度应按规范要求设置，末端治理设施的进、出口要设置采样口并配备便于采样的设施（包括人梯和平台）。严格控制企业排气筒数量，同类废气尽可能合并。本项目设置</w:t>
            </w:r>
            <w:r>
              <w:rPr>
                <w:rFonts w:hint="eastAsia" w:cs="Times New Roman"/>
                <w:color w:val="auto"/>
                <w:sz w:val="24"/>
                <w:lang w:val="en-US" w:eastAsia="zh-CN"/>
              </w:rPr>
              <w:t>1</w:t>
            </w:r>
            <w:r>
              <w:rPr>
                <w:rFonts w:hint="eastAsia" w:ascii="Times New Roman" w:hAnsi="Times New Roman" w:eastAsia="宋体" w:cs="Times New Roman"/>
                <w:color w:val="auto"/>
                <w:sz w:val="24"/>
                <w:lang w:val="en-US" w:eastAsia="zh-CN"/>
              </w:rPr>
              <w:t>根排气筒，高度为15m。污染物</w:t>
            </w:r>
            <w:r>
              <w:rPr>
                <w:rFonts w:hint="eastAsia" w:cs="Times New Roman"/>
                <w:color w:val="auto"/>
                <w:sz w:val="24"/>
                <w:lang w:val="en-US" w:eastAsia="zh-CN"/>
              </w:rPr>
              <w:t>不</w:t>
            </w:r>
            <w:r>
              <w:rPr>
                <w:rFonts w:hint="eastAsia" w:ascii="Times New Roman" w:hAnsi="Times New Roman" w:eastAsia="宋体" w:cs="Times New Roman"/>
                <w:color w:val="auto"/>
                <w:sz w:val="24"/>
                <w:lang w:val="en-US" w:eastAsia="zh-CN"/>
              </w:rPr>
              <w:t>存在同类废气</w:t>
            </w:r>
            <w:r>
              <w:rPr>
                <w:rFonts w:hint="eastAsia" w:cs="Times New Roman"/>
                <w:color w:val="auto"/>
                <w:sz w:val="24"/>
                <w:lang w:val="en-US" w:eastAsia="zh-CN"/>
              </w:rPr>
              <w:t>，合理可行</w:t>
            </w:r>
            <w:r>
              <w:rPr>
                <w:rFonts w:hint="eastAsia" w:ascii="Times New Roman" w:hAnsi="Times New Roman" w:eastAsia="宋体" w:cs="Times New Roman"/>
                <w:color w:val="auto"/>
                <w:sz w:val="24"/>
                <w:lang w:val="en-US" w:eastAsia="zh-CN"/>
              </w:rPr>
              <w:t>。</w:t>
            </w:r>
          </w:p>
          <w:p w14:paraId="62904881">
            <w:pPr>
              <w:adjustRightInd w:val="0"/>
              <w:snapToGrid w:val="0"/>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高度可行性：</w:t>
            </w:r>
          </w:p>
          <w:p w14:paraId="2270D747">
            <w:pPr>
              <w:adjustRightInd w:val="0"/>
              <w:snapToGrid w:val="0"/>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本项目生产车间建筑物高度约12.5m，本项目排气筒设置为15m，可以保证废气有效扩散，高度是合理可行的。</w:t>
            </w:r>
          </w:p>
          <w:p w14:paraId="2ACBC689">
            <w:pPr>
              <w:adjustRightInd w:val="0"/>
              <w:snapToGrid w:val="0"/>
              <w:spacing w:line="360" w:lineRule="auto"/>
              <w:ind w:firstLine="480" w:firstLineChars="200"/>
              <w:rPr>
                <w:rFonts w:hint="eastAsia"/>
                <w:b/>
                <w:bCs/>
                <w:color w:val="auto"/>
                <w:sz w:val="24"/>
                <w:szCs w:val="24"/>
              </w:rPr>
            </w:pPr>
            <w:r>
              <w:rPr>
                <w:rFonts w:hint="eastAsia" w:ascii="Times New Roman" w:hAnsi="Times New Roman" w:eastAsia="宋体" w:cs="Times New Roman"/>
                <w:color w:val="auto"/>
                <w:sz w:val="24"/>
                <w:lang w:val="en-US" w:eastAsia="zh-CN"/>
              </w:rPr>
              <w:t>综合分析，建设项目排气筒设置是合理可行的。</w:t>
            </w:r>
          </w:p>
          <w:p w14:paraId="763AB9A2">
            <w:pPr>
              <w:pStyle w:val="71"/>
              <w:snapToGrid w:val="0"/>
              <w:spacing w:before="120" w:beforeLines="50" w:line="360" w:lineRule="auto"/>
              <w:rPr>
                <w:rFonts w:hint="eastAsia"/>
                <w:b/>
                <w:bCs/>
                <w:color w:val="auto"/>
                <w:sz w:val="24"/>
                <w:szCs w:val="24"/>
              </w:rPr>
            </w:pPr>
            <w:r>
              <w:rPr>
                <w:rFonts w:hint="eastAsia"/>
                <w:b/>
                <w:bCs/>
                <w:color w:val="auto"/>
                <w:sz w:val="24"/>
                <w:szCs w:val="24"/>
              </w:rPr>
              <w:t>1</w:t>
            </w:r>
            <w:r>
              <w:rPr>
                <w:b/>
                <w:bCs/>
                <w:color w:val="auto"/>
                <w:sz w:val="24"/>
                <w:szCs w:val="24"/>
              </w:rPr>
              <w:t>.</w:t>
            </w:r>
            <w:r>
              <w:rPr>
                <w:rFonts w:hint="eastAsia"/>
                <w:b/>
                <w:bCs/>
                <w:color w:val="auto"/>
                <w:sz w:val="24"/>
                <w:szCs w:val="24"/>
                <w:lang w:val="en-US" w:eastAsia="zh-CN"/>
              </w:rPr>
              <w:t>3</w:t>
            </w:r>
            <w:r>
              <w:rPr>
                <w:b/>
                <w:bCs/>
                <w:color w:val="auto"/>
                <w:sz w:val="24"/>
                <w:szCs w:val="24"/>
              </w:rPr>
              <w:t xml:space="preserve"> </w:t>
            </w:r>
            <w:r>
              <w:rPr>
                <w:rFonts w:hint="eastAsia"/>
                <w:b/>
                <w:bCs/>
                <w:color w:val="auto"/>
                <w:sz w:val="24"/>
                <w:szCs w:val="24"/>
              </w:rPr>
              <w:t>废气达标排放可行性分析</w:t>
            </w:r>
          </w:p>
          <w:p w14:paraId="09858E6D">
            <w:pPr>
              <w:adjustRightInd w:val="0"/>
              <w:snapToGrid w:val="0"/>
              <w:spacing w:line="360" w:lineRule="auto"/>
              <w:ind w:firstLine="480" w:firstLineChars="200"/>
              <w:rPr>
                <w:rFonts w:hint="eastAsia"/>
                <w:color w:val="auto"/>
                <w:sz w:val="24"/>
              </w:rPr>
            </w:pPr>
            <w:r>
              <w:rPr>
                <w:rFonts w:hint="eastAsia"/>
                <w:color w:val="auto"/>
                <w:sz w:val="24"/>
              </w:rPr>
              <w:t>1、达标可行性</w:t>
            </w:r>
          </w:p>
          <w:p w14:paraId="66F629AB">
            <w:pPr>
              <w:adjustRightInd w:val="0"/>
              <w:snapToGrid w:val="0"/>
              <w:spacing w:line="360" w:lineRule="auto"/>
              <w:ind w:firstLine="480" w:firstLineChars="200"/>
              <w:rPr>
                <w:rFonts w:hint="eastAsia"/>
                <w:color w:val="auto"/>
                <w:sz w:val="24"/>
              </w:rPr>
            </w:pPr>
            <w:r>
              <w:rPr>
                <w:rFonts w:hint="eastAsia"/>
                <w:color w:val="auto"/>
                <w:sz w:val="24"/>
              </w:rPr>
              <w:t>本项目废气主要污染源为HCl</w:t>
            </w:r>
            <w:r>
              <w:rPr>
                <w:rFonts w:hint="eastAsia"/>
                <w:color w:val="auto"/>
                <w:sz w:val="24"/>
                <w:lang w:eastAsia="zh-CN"/>
              </w:rPr>
              <w:t>、</w:t>
            </w:r>
            <w:r>
              <w:rPr>
                <w:rFonts w:hint="eastAsia"/>
                <w:color w:val="auto"/>
                <w:sz w:val="24"/>
                <w:lang w:val="en-US" w:eastAsia="zh-CN"/>
              </w:rPr>
              <w:t>硝酸雾、硫酸雾和氨</w:t>
            </w:r>
            <w:r>
              <w:rPr>
                <w:rFonts w:hint="eastAsia"/>
                <w:color w:val="auto"/>
                <w:sz w:val="24"/>
              </w:rPr>
              <w:t>。经工程分析可知，本项目</w:t>
            </w:r>
            <w:r>
              <w:rPr>
                <w:rFonts w:hint="eastAsia"/>
                <w:color w:val="auto"/>
                <w:sz w:val="24"/>
                <w:lang w:val="en-US" w:eastAsia="zh-CN"/>
              </w:rPr>
              <w:t>酸性气体</w:t>
            </w:r>
            <w:r>
              <w:rPr>
                <w:rFonts w:hint="eastAsia"/>
                <w:color w:val="auto"/>
                <w:sz w:val="24"/>
              </w:rPr>
              <w:t>经</w:t>
            </w:r>
            <w:r>
              <w:rPr>
                <w:rFonts w:hint="eastAsia"/>
                <w:color w:val="auto"/>
                <w:sz w:val="24"/>
                <w:lang w:val="en-US" w:eastAsia="zh-CN"/>
              </w:rPr>
              <w:t>通风橱</w:t>
            </w:r>
            <w:r>
              <w:rPr>
                <w:rFonts w:hint="eastAsia"/>
                <w:color w:val="auto"/>
                <w:sz w:val="24"/>
              </w:rPr>
              <w:t>收集+碱液喷淋</w:t>
            </w:r>
            <w:r>
              <w:rPr>
                <w:rFonts w:hint="eastAsia"/>
                <w:color w:val="auto"/>
                <w:sz w:val="24"/>
                <w:lang w:val="en-US" w:eastAsia="zh-CN"/>
              </w:rPr>
              <w:t>塔</w:t>
            </w:r>
            <w:r>
              <w:rPr>
                <w:rFonts w:hint="eastAsia"/>
                <w:color w:val="auto"/>
                <w:sz w:val="24"/>
              </w:rPr>
              <w:t>处理后由1</w:t>
            </w:r>
            <w:r>
              <w:rPr>
                <w:color w:val="auto"/>
                <w:sz w:val="24"/>
              </w:rPr>
              <w:t>5</w:t>
            </w:r>
            <w:r>
              <w:rPr>
                <w:rFonts w:hint="eastAsia"/>
                <w:color w:val="auto"/>
                <w:sz w:val="24"/>
              </w:rPr>
              <w:t>m排气筒（DA</w:t>
            </w:r>
            <w:r>
              <w:rPr>
                <w:color w:val="auto"/>
                <w:sz w:val="24"/>
              </w:rPr>
              <w:t>00</w:t>
            </w:r>
            <w:r>
              <w:rPr>
                <w:rFonts w:hint="eastAsia"/>
                <w:color w:val="auto"/>
                <w:sz w:val="24"/>
                <w:lang w:val="en-US" w:eastAsia="zh-CN"/>
              </w:rPr>
              <w:t>1</w:t>
            </w:r>
            <w:r>
              <w:rPr>
                <w:rFonts w:hint="eastAsia"/>
                <w:color w:val="auto"/>
                <w:sz w:val="24"/>
              </w:rPr>
              <w:t>）排放，HCl</w:t>
            </w:r>
            <w:r>
              <w:rPr>
                <w:rFonts w:hint="eastAsia"/>
                <w:color w:val="auto"/>
                <w:sz w:val="24"/>
                <w:lang w:eastAsia="zh-CN"/>
              </w:rPr>
              <w:t>、</w:t>
            </w:r>
            <w:r>
              <w:rPr>
                <w:rFonts w:hint="eastAsia"/>
                <w:color w:val="auto"/>
                <w:sz w:val="24"/>
                <w:lang w:val="en-US" w:eastAsia="zh-CN"/>
              </w:rPr>
              <w:t>硝酸雾、硫酸雾</w:t>
            </w:r>
            <w:r>
              <w:rPr>
                <w:rFonts w:hint="eastAsia"/>
                <w:color w:val="auto"/>
                <w:sz w:val="24"/>
              </w:rPr>
              <w:t>排放浓度满足</w:t>
            </w:r>
            <w:r>
              <w:rPr>
                <w:rFonts w:hint="eastAsia"/>
                <w:color w:val="auto"/>
                <w:sz w:val="24"/>
                <w:lang w:val="en-US" w:eastAsia="zh-CN"/>
              </w:rPr>
              <w:t>《大气污染物综合排放标准》（GB16297-1996）中表2污染物排放限值</w:t>
            </w:r>
            <w:r>
              <w:rPr>
                <w:rFonts w:hint="eastAsia"/>
                <w:color w:val="auto"/>
                <w:sz w:val="24"/>
              </w:rPr>
              <w:t>（</w:t>
            </w:r>
            <w:r>
              <w:rPr>
                <w:rFonts w:hint="eastAsia"/>
                <w:color w:val="FF0000"/>
                <w:sz w:val="24"/>
              </w:rPr>
              <w:t>H</w:t>
            </w:r>
            <w:r>
              <w:rPr>
                <w:color w:val="FF0000"/>
                <w:sz w:val="24"/>
              </w:rPr>
              <w:t>Cl</w:t>
            </w:r>
            <w:r>
              <w:rPr>
                <w:rFonts w:hint="eastAsia"/>
                <w:color w:val="FF0000"/>
                <w:sz w:val="24"/>
              </w:rPr>
              <w:t>：</w:t>
            </w:r>
            <w:r>
              <w:rPr>
                <w:rFonts w:hint="eastAsia"/>
                <w:color w:val="FF0000"/>
                <w:sz w:val="24"/>
                <w:lang w:val="en-US" w:eastAsia="zh-CN"/>
              </w:rPr>
              <w:t>100</w:t>
            </w:r>
            <w:r>
              <w:rPr>
                <w:rFonts w:hint="eastAsia"/>
                <w:color w:val="FF0000"/>
                <w:sz w:val="24"/>
              </w:rPr>
              <w:t>mg</w:t>
            </w:r>
            <w:r>
              <w:rPr>
                <w:color w:val="FF0000"/>
                <w:sz w:val="24"/>
              </w:rPr>
              <w:t>/</w:t>
            </w:r>
            <w:r>
              <w:rPr>
                <w:rFonts w:hint="eastAsia"/>
                <w:color w:val="FF0000"/>
                <w:sz w:val="24"/>
              </w:rPr>
              <w:t>m</w:t>
            </w:r>
            <w:r>
              <w:rPr>
                <w:color w:val="FF0000"/>
                <w:sz w:val="24"/>
                <w:vertAlign w:val="superscript"/>
              </w:rPr>
              <w:t>3</w:t>
            </w:r>
            <w:r>
              <w:rPr>
                <w:rFonts w:hint="eastAsia"/>
                <w:color w:val="FF0000"/>
                <w:sz w:val="24"/>
              </w:rPr>
              <w:t>，</w:t>
            </w:r>
            <w:r>
              <w:rPr>
                <w:rFonts w:hint="eastAsia"/>
                <w:color w:val="FF0000"/>
                <w:sz w:val="24"/>
                <w:lang w:val="en-US" w:eastAsia="zh-CN"/>
              </w:rPr>
              <w:t>硝酸雾（以NO</w:t>
            </w:r>
            <w:r>
              <w:rPr>
                <w:rFonts w:hint="eastAsia"/>
                <w:color w:val="FF0000"/>
                <w:sz w:val="24"/>
                <w:vertAlign w:val="subscript"/>
                <w:lang w:val="en-US" w:eastAsia="zh-CN"/>
              </w:rPr>
              <w:t>X</w:t>
            </w:r>
            <w:r>
              <w:rPr>
                <w:rFonts w:hint="eastAsia"/>
                <w:color w:val="FF0000"/>
                <w:sz w:val="24"/>
                <w:lang w:val="en-US" w:eastAsia="zh-CN"/>
              </w:rPr>
              <w:t>计）</w:t>
            </w:r>
            <w:r>
              <w:rPr>
                <w:rFonts w:hint="eastAsia"/>
                <w:color w:val="FF0000"/>
                <w:sz w:val="24"/>
              </w:rPr>
              <w:t>：</w:t>
            </w:r>
            <w:r>
              <w:rPr>
                <w:rFonts w:hint="eastAsia"/>
                <w:color w:val="FF0000"/>
                <w:sz w:val="24"/>
                <w:lang w:val="en-US" w:eastAsia="zh-CN"/>
              </w:rPr>
              <w:t>240</w:t>
            </w:r>
            <w:r>
              <w:rPr>
                <w:rFonts w:hint="eastAsia"/>
                <w:color w:val="FF0000"/>
                <w:sz w:val="24"/>
              </w:rPr>
              <w:t>mg</w:t>
            </w:r>
            <w:r>
              <w:rPr>
                <w:color w:val="FF0000"/>
                <w:sz w:val="24"/>
              </w:rPr>
              <w:t>/</w:t>
            </w:r>
            <w:r>
              <w:rPr>
                <w:rFonts w:hint="eastAsia"/>
                <w:color w:val="FF0000"/>
                <w:sz w:val="24"/>
              </w:rPr>
              <w:t>m</w:t>
            </w:r>
            <w:r>
              <w:rPr>
                <w:color w:val="FF0000"/>
                <w:sz w:val="24"/>
                <w:vertAlign w:val="superscript"/>
              </w:rPr>
              <w:t>3</w:t>
            </w:r>
            <w:r>
              <w:rPr>
                <w:rFonts w:hint="eastAsia"/>
                <w:color w:val="auto"/>
                <w:sz w:val="24"/>
              </w:rPr>
              <w:t>，</w:t>
            </w:r>
            <w:r>
              <w:rPr>
                <w:rFonts w:hint="eastAsia"/>
                <w:color w:val="auto"/>
                <w:sz w:val="24"/>
                <w:lang w:val="en-US" w:eastAsia="zh-CN"/>
              </w:rPr>
              <w:t>硫酸雾：45</w:t>
            </w:r>
            <w:r>
              <w:rPr>
                <w:rFonts w:hint="eastAsia"/>
                <w:color w:val="auto"/>
                <w:sz w:val="24"/>
              </w:rPr>
              <w:t>mg</w:t>
            </w:r>
            <w:r>
              <w:rPr>
                <w:color w:val="auto"/>
                <w:sz w:val="24"/>
              </w:rPr>
              <w:t>/</w:t>
            </w:r>
            <w:r>
              <w:rPr>
                <w:rFonts w:hint="eastAsia"/>
                <w:color w:val="auto"/>
                <w:sz w:val="24"/>
              </w:rPr>
              <w:t>m</w:t>
            </w:r>
            <w:r>
              <w:rPr>
                <w:color w:val="auto"/>
                <w:sz w:val="24"/>
                <w:vertAlign w:val="superscript"/>
              </w:rPr>
              <w:t>3</w:t>
            </w:r>
            <w:r>
              <w:rPr>
                <w:rFonts w:hint="eastAsia"/>
                <w:color w:val="auto"/>
                <w:sz w:val="24"/>
              </w:rPr>
              <w:t>）</w:t>
            </w:r>
            <w:r>
              <w:rPr>
                <w:rFonts w:hint="eastAsia"/>
                <w:color w:val="auto"/>
                <w:sz w:val="24"/>
                <w:lang w:eastAsia="zh-CN"/>
              </w:rPr>
              <w:t>，</w:t>
            </w:r>
            <w:r>
              <w:rPr>
                <w:rFonts w:hint="eastAsia"/>
                <w:color w:val="auto"/>
                <w:sz w:val="24"/>
                <w:lang w:val="en-US" w:eastAsia="zh-CN"/>
              </w:rPr>
              <w:t>氨排放浓度满足《恶臭污染物排放标准》（GB14554-93）表2标准限值（氨：4.9kg/h）</w:t>
            </w:r>
            <w:r>
              <w:rPr>
                <w:rFonts w:hint="eastAsia"/>
                <w:color w:val="auto"/>
                <w:sz w:val="24"/>
              </w:rPr>
              <w:t>。</w:t>
            </w:r>
          </w:p>
          <w:p w14:paraId="70221FC0">
            <w:pPr>
              <w:adjustRightInd w:val="0"/>
              <w:snapToGrid w:val="0"/>
              <w:spacing w:line="360" w:lineRule="auto"/>
              <w:ind w:firstLine="480" w:firstLineChars="200"/>
              <w:rPr>
                <w:rFonts w:hint="eastAsia"/>
                <w:color w:val="auto"/>
                <w:sz w:val="24"/>
              </w:rPr>
            </w:pPr>
            <w:r>
              <w:rPr>
                <w:rFonts w:hint="eastAsia"/>
                <w:color w:val="auto"/>
                <w:sz w:val="24"/>
              </w:rPr>
              <w:t>本项目无组织废气污染物主要为</w:t>
            </w:r>
            <w:r>
              <w:rPr>
                <w:rFonts w:hint="eastAsia"/>
                <w:color w:val="auto"/>
                <w:sz w:val="24"/>
                <w:lang w:val="en-US" w:eastAsia="zh-CN"/>
              </w:rPr>
              <w:t>有组织未收集完全逸散出的</w:t>
            </w:r>
            <w:r>
              <w:rPr>
                <w:rFonts w:hint="eastAsia"/>
                <w:color w:val="auto"/>
                <w:sz w:val="24"/>
              </w:rPr>
              <w:t>HCl</w:t>
            </w:r>
            <w:r>
              <w:rPr>
                <w:rFonts w:hint="eastAsia"/>
                <w:color w:val="auto"/>
                <w:sz w:val="24"/>
                <w:lang w:eastAsia="zh-CN"/>
              </w:rPr>
              <w:t>、</w:t>
            </w:r>
            <w:r>
              <w:rPr>
                <w:rFonts w:hint="eastAsia"/>
                <w:color w:val="auto"/>
                <w:sz w:val="24"/>
                <w:lang w:val="en-US" w:eastAsia="zh-CN"/>
              </w:rPr>
              <w:t>硝酸雾、硫酸雾和氨</w:t>
            </w:r>
            <w:r>
              <w:rPr>
                <w:rFonts w:hint="eastAsia"/>
                <w:color w:val="auto"/>
                <w:sz w:val="24"/>
                <w:lang w:eastAsia="zh-CN"/>
              </w:rPr>
              <w:t>。</w:t>
            </w:r>
            <w:r>
              <w:rPr>
                <w:rFonts w:hint="eastAsia"/>
                <w:color w:val="auto"/>
                <w:sz w:val="24"/>
                <w:lang w:val="en-US" w:eastAsia="zh-CN"/>
              </w:rPr>
              <w:t>实验室</w:t>
            </w:r>
            <w:r>
              <w:rPr>
                <w:rFonts w:hint="eastAsia"/>
                <w:color w:val="auto"/>
                <w:sz w:val="24"/>
              </w:rPr>
              <w:t>采取进出</w:t>
            </w:r>
            <w:r>
              <w:rPr>
                <w:rFonts w:hint="eastAsia"/>
                <w:color w:val="auto"/>
                <w:sz w:val="24"/>
                <w:lang w:val="en-US" w:eastAsia="zh-CN"/>
              </w:rPr>
              <w:t>实验室</w:t>
            </w:r>
            <w:r>
              <w:rPr>
                <w:rFonts w:hint="eastAsia"/>
                <w:color w:val="auto"/>
                <w:sz w:val="24"/>
              </w:rPr>
              <w:t>封闭等措施后，厂界HCl</w:t>
            </w:r>
            <w:r>
              <w:rPr>
                <w:rFonts w:hint="eastAsia"/>
                <w:color w:val="auto"/>
                <w:sz w:val="24"/>
                <w:lang w:eastAsia="zh-CN"/>
              </w:rPr>
              <w:t>、</w:t>
            </w:r>
            <w:r>
              <w:rPr>
                <w:rFonts w:hint="eastAsia"/>
                <w:color w:val="auto"/>
                <w:sz w:val="24"/>
                <w:lang w:val="en-US" w:eastAsia="zh-CN"/>
              </w:rPr>
              <w:t>硝酸雾、硫酸雾</w:t>
            </w:r>
            <w:r>
              <w:rPr>
                <w:rFonts w:hint="eastAsia"/>
                <w:color w:val="auto"/>
                <w:sz w:val="24"/>
              </w:rPr>
              <w:t>无组织排放满足</w:t>
            </w:r>
            <w:r>
              <w:rPr>
                <w:rFonts w:hint="eastAsia"/>
                <w:color w:val="auto"/>
                <w:sz w:val="24"/>
                <w:lang w:val="en-US" w:eastAsia="zh-CN"/>
              </w:rPr>
              <w:t>《大气污染物综合排放标准》（GB16297-1996）中表2污染物排放限值</w:t>
            </w:r>
            <w:r>
              <w:rPr>
                <w:rFonts w:hint="eastAsia"/>
                <w:color w:val="auto"/>
                <w:sz w:val="24"/>
                <w:lang w:eastAsia="zh-CN"/>
              </w:rPr>
              <w:t>，</w:t>
            </w:r>
            <w:r>
              <w:rPr>
                <w:rFonts w:hint="eastAsia"/>
                <w:color w:val="auto"/>
                <w:sz w:val="24"/>
                <w:lang w:val="en-US" w:eastAsia="zh-CN"/>
              </w:rPr>
              <w:t>氨</w:t>
            </w:r>
            <w:r>
              <w:rPr>
                <w:rFonts w:hint="eastAsia"/>
                <w:color w:val="auto"/>
                <w:sz w:val="24"/>
              </w:rPr>
              <w:t>无组织排放满足《恶臭污染物排放标准》（GB14554-93）</w:t>
            </w:r>
            <w:r>
              <w:rPr>
                <w:rFonts w:hint="eastAsia"/>
                <w:color w:val="auto"/>
                <w:sz w:val="24"/>
                <w:lang w:eastAsia="zh-CN"/>
              </w:rPr>
              <w:t>（</w:t>
            </w:r>
            <w:r>
              <w:rPr>
                <w:rFonts w:hint="eastAsia"/>
                <w:color w:val="auto"/>
                <w:sz w:val="24"/>
                <w:lang w:val="en-US" w:eastAsia="zh-CN"/>
              </w:rPr>
              <w:t>氨：1.5</w:t>
            </w:r>
            <w:r>
              <w:rPr>
                <w:rFonts w:hint="eastAsia"/>
                <w:color w:val="auto"/>
                <w:sz w:val="24"/>
              </w:rPr>
              <w:t>mg</w:t>
            </w:r>
            <w:r>
              <w:rPr>
                <w:color w:val="auto"/>
                <w:sz w:val="24"/>
              </w:rPr>
              <w:t>/</w:t>
            </w:r>
            <w:r>
              <w:rPr>
                <w:rFonts w:hint="eastAsia"/>
                <w:color w:val="auto"/>
                <w:sz w:val="24"/>
              </w:rPr>
              <w:t>m</w:t>
            </w:r>
            <w:r>
              <w:rPr>
                <w:color w:val="auto"/>
                <w:sz w:val="24"/>
                <w:vertAlign w:val="superscript"/>
              </w:rPr>
              <w:t>3</w:t>
            </w:r>
            <w:r>
              <w:rPr>
                <w:rFonts w:hint="eastAsia"/>
                <w:color w:val="auto"/>
                <w:sz w:val="24"/>
                <w:lang w:eastAsia="zh-CN"/>
              </w:rPr>
              <w:t>）</w:t>
            </w:r>
            <w:r>
              <w:rPr>
                <w:rFonts w:hint="eastAsia"/>
                <w:color w:val="auto"/>
                <w:sz w:val="24"/>
              </w:rPr>
              <w:t>。</w:t>
            </w:r>
          </w:p>
          <w:p w14:paraId="708958C8">
            <w:pPr>
              <w:adjustRightInd w:val="0"/>
              <w:snapToGrid w:val="0"/>
              <w:spacing w:line="360" w:lineRule="auto"/>
              <w:ind w:firstLine="480" w:firstLineChars="200"/>
              <w:rPr>
                <w:color w:val="auto"/>
                <w:sz w:val="24"/>
              </w:rPr>
            </w:pPr>
            <w:r>
              <w:rPr>
                <w:rFonts w:hint="eastAsia"/>
                <w:color w:val="auto"/>
                <w:sz w:val="24"/>
              </w:rPr>
              <w:t>2、技术可行性</w:t>
            </w:r>
          </w:p>
          <w:p w14:paraId="4177E66E">
            <w:pPr>
              <w:adjustRightInd w:val="0"/>
              <w:snapToGrid w:val="0"/>
              <w:spacing w:line="360" w:lineRule="auto"/>
              <w:ind w:firstLine="480" w:firstLineChars="200"/>
              <w:rPr>
                <w:rFonts w:hint="eastAsia"/>
                <w:color w:val="auto"/>
                <w:sz w:val="24"/>
                <w:lang w:val="en-US" w:eastAsia="zh-CN"/>
              </w:rPr>
            </w:pPr>
            <w:r>
              <w:rPr>
                <w:rFonts w:hint="eastAsia"/>
                <w:color w:val="auto"/>
                <w:sz w:val="24"/>
                <w:lang w:eastAsia="zh-CN"/>
              </w:rPr>
              <w:t>（</w:t>
            </w:r>
            <w:r>
              <w:rPr>
                <w:rFonts w:hint="eastAsia"/>
                <w:color w:val="auto"/>
                <w:sz w:val="24"/>
                <w:lang w:val="en-US" w:eastAsia="zh-CN"/>
              </w:rPr>
              <w:t>1</w:t>
            </w:r>
            <w:r>
              <w:rPr>
                <w:rFonts w:hint="eastAsia"/>
                <w:color w:val="auto"/>
                <w:sz w:val="24"/>
                <w:lang w:eastAsia="zh-CN"/>
              </w:rPr>
              <w:t>）</w:t>
            </w:r>
            <w:r>
              <w:rPr>
                <w:rFonts w:hint="eastAsia"/>
                <w:color w:val="auto"/>
                <w:sz w:val="24"/>
                <w:lang w:val="en-US" w:eastAsia="zh-CN"/>
              </w:rPr>
              <w:t>样品加工废气处理措施可行性</w:t>
            </w:r>
          </w:p>
          <w:p w14:paraId="6A2E7910">
            <w:pPr>
              <w:adjustRightInd w:val="0"/>
              <w:snapToGrid w:val="0"/>
              <w:spacing w:line="360" w:lineRule="auto"/>
              <w:ind w:firstLine="480" w:firstLineChars="200"/>
              <w:rPr>
                <w:rFonts w:hint="eastAsia"/>
                <w:color w:val="FF0000"/>
                <w:sz w:val="24"/>
                <w:szCs w:val="24"/>
                <w:lang w:val="en-US" w:eastAsia="zh-CN"/>
              </w:rPr>
            </w:pPr>
            <w:r>
              <w:rPr>
                <w:rFonts w:hint="eastAsia"/>
                <w:color w:val="auto"/>
                <w:sz w:val="24"/>
                <w:lang w:val="en-US" w:eastAsia="zh-CN"/>
              </w:rPr>
              <w:t>项目样品加工主要为破碎、研磨，项目使用全封闭式设备，破碎研磨无废气排放。</w:t>
            </w:r>
            <w:r>
              <w:rPr>
                <w:rFonts w:hint="eastAsia"/>
                <w:color w:val="FF0000"/>
                <w:sz w:val="24"/>
                <w:szCs w:val="24"/>
                <w:lang w:val="en-US" w:eastAsia="zh-CN"/>
              </w:rPr>
              <w:t>每份样品经棒磨机磨细后，需对棒磨筒进行吹气清理，此过程会产生废气。棒磨筒吹气清理在封闭式操作间通风橱工作台进行，吹气清理废气经通风橱负压收集后由通风橱连接的布袋除尘器处理，除尘后的洁净空气，通过回风管路回流至吹气系统，再次作为棒磨筒清理的吹气气源，无废气排放。通风橱为微负压密闭设计，完全包围棒磨筒吹扫作业区域，避免粉尘外溢。</w:t>
            </w:r>
          </w:p>
          <w:p w14:paraId="7A707F51">
            <w:pPr>
              <w:adjustRightInd w:val="0"/>
              <w:snapToGrid w:val="0"/>
              <w:spacing w:line="360" w:lineRule="auto"/>
              <w:ind w:firstLine="480" w:firstLineChars="200"/>
              <w:rPr>
                <w:rFonts w:hint="default"/>
                <w:color w:val="FF0000"/>
                <w:sz w:val="24"/>
                <w:lang w:val="en-US" w:eastAsia="zh-CN"/>
              </w:rPr>
            </w:pPr>
            <w:r>
              <w:rPr>
                <w:rFonts w:hint="eastAsia"/>
                <w:color w:val="FF0000"/>
                <w:sz w:val="24"/>
                <w:lang w:val="en-US" w:eastAsia="zh-CN"/>
              </w:rPr>
              <w:t>布袋除尘器粉尘治理技术成熟，已在全国多数产尘企业得到了广泛应用。其特点是以过滤机理作为除尘的主要机理，是一种干式高效率袋式除尘器，根据选用的滤料和设计的参数不同，袋式除尘器的效率可达很高（99.9%以上），它适用于捕集细小、干燥、非纤维性粉尘。滤袋采用纺织的滤布或非纺织的毡制成，利用纤维织物的过滤作用对含尘气体进行过滤，当含尘气体进入袋式除尘器，颗粒大、比重大的粉尘，由于重力的作用沉降下来，落入灰斗，含有较细小粉尘的气体在通过滤料时，粉尘被阻留，使气体得到净化。净化后空气仅含微量洁净空气，空气洁净度完全满足吹气回用要求，可直接替代新鲜压缩空气用于吹气清理，通风橱+布袋除尘器+循环风管为通用成熟标准设备，工艺成熟运维简单，技术可行。</w:t>
            </w:r>
          </w:p>
          <w:p w14:paraId="7184AD15">
            <w:pPr>
              <w:adjustRightInd w:val="0"/>
              <w:snapToGrid w:val="0"/>
              <w:spacing w:line="360" w:lineRule="auto"/>
              <w:ind w:firstLine="480" w:firstLineChars="200"/>
              <w:rPr>
                <w:rFonts w:hint="default" w:eastAsia="宋体"/>
                <w:color w:val="auto"/>
                <w:sz w:val="24"/>
                <w:lang w:val="en-US" w:eastAsia="zh-CN"/>
              </w:rPr>
            </w:pPr>
            <w:r>
              <w:rPr>
                <w:rFonts w:hint="eastAsia"/>
                <w:color w:val="auto"/>
                <w:sz w:val="24"/>
                <w:lang w:eastAsia="zh-CN"/>
              </w:rPr>
              <w:t>（</w:t>
            </w:r>
            <w:r>
              <w:rPr>
                <w:rFonts w:hint="eastAsia"/>
                <w:color w:val="auto"/>
                <w:sz w:val="24"/>
                <w:lang w:val="en-US" w:eastAsia="zh-CN"/>
              </w:rPr>
              <w:t>2</w:t>
            </w:r>
            <w:r>
              <w:rPr>
                <w:rFonts w:hint="eastAsia"/>
                <w:color w:val="auto"/>
                <w:sz w:val="24"/>
                <w:lang w:eastAsia="zh-CN"/>
              </w:rPr>
              <w:t>）</w:t>
            </w:r>
            <w:r>
              <w:rPr>
                <w:rFonts w:hint="eastAsia"/>
                <w:color w:val="auto"/>
                <w:sz w:val="24"/>
                <w:lang w:val="en-US" w:eastAsia="zh-CN"/>
              </w:rPr>
              <w:t>酸性废气处理措施可行性</w:t>
            </w:r>
          </w:p>
          <w:p w14:paraId="2DC5281A">
            <w:pPr>
              <w:adjustRightInd w:val="0"/>
              <w:snapToGrid w:val="0"/>
              <w:spacing w:line="360" w:lineRule="auto"/>
              <w:ind w:firstLine="480" w:firstLineChars="200"/>
              <w:rPr>
                <w:color w:val="auto"/>
                <w:sz w:val="24"/>
              </w:rPr>
            </w:pPr>
            <w:r>
              <w:rPr>
                <w:rFonts w:hint="eastAsia"/>
                <w:color w:val="auto"/>
                <w:sz w:val="24"/>
              </w:rPr>
              <w:t>本项目酸洗废气采用</w:t>
            </w:r>
            <w:r>
              <w:rPr>
                <w:rFonts w:hint="eastAsia"/>
                <w:color w:val="auto"/>
                <w:sz w:val="24"/>
                <w:lang w:val="en-US" w:eastAsia="zh-CN"/>
              </w:rPr>
              <w:t>通风橱</w:t>
            </w:r>
            <w:r>
              <w:rPr>
                <w:rFonts w:hint="eastAsia"/>
                <w:color w:val="auto"/>
                <w:sz w:val="24"/>
              </w:rPr>
              <w:t>收集经碱液喷淋吸收处理后由1</w:t>
            </w:r>
            <w:r>
              <w:rPr>
                <w:color w:val="auto"/>
                <w:sz w:val="24"/>
              </w:rPr>
              <w:t>5</w:t>
            </w:r>
            <w:r>
              <w:rPr>
                <w:rFonts w:hint="eastAsia"/>
                <w:color w:val="auto"/>
                <w:sz w:val="24"/>
              </w:rPr>
              <w:t>m排气筒排放。</w:t>
            </w:r>
          </w:p>
          <w:p w14:paraId="65D4D7DC">
            <w:pPr>
              <w:adjustRightInd w:val="0"/>
              <w:snapToGrid w:val="0"/>
              <w:spacing w:line="360" w:lineRule="auto"/>
              <w:ind w:firstLine="480" w:firstLineChars="200"/>
              <w:rPr>
                <w:rFonts w:hint="eastAsia"/>
                <w:color w:val="auto"/>
                <w:sz w:val="24"/>
              </w:rPr>
            </w:pPr>
            <w:r>
              <w:rPr>
                <w:rFonts w:hint="eastAsia"/>
                <w:color w:val="auto"/>
                <w:sz w:val="24"/>
                <w:lang w:val="en-US" w:eastAsia="zh-CN"/>
              </w:rPr>
              <w:t>碱液喷淋塔：喷淋塔中和法是根据酸碱中和的原理，将酸性废气在喷淋塔中与碱性材料中和。氯化氢、硝酸雾、氨均易溶于水，建设单位对拟建项目产生的酸碱废气收集后，引入喷淋洗涤塔进行处理。喷淋洗涤塔是一种效率高、压力损失较低的吸收设备，该净化装置由净化液贮槽、自动加药泵和主体部分组成。其工作原理为，在车间产生的废气，收集的废气由吸风支管汇入排风主管，进入水淋系统，在主体部分中装有填料，废气通过引风机作用在管箱中上升，采用的吸收液从喷淋装置分配到填料上形成薄膜层，产生较大的气液接触面。废气中污染物在填料表面被传质、吸收，随着填料层逐级下降，最后进入气液分离箱，未吸收气体进入下一级，液体由管道排入净化液贮槽，贮槽中采用pH值显示控制自动加药泵配置吸收液，吸收液可循环使用。定期添加液碱使喷淋液保持在一定的碱性状态（pH大于10），不会造成废气因喷淋液偏差而造成处理效果不均匀和遗漏处理的现象。最后由抽风机的抽吸作用将已经处理合格的废气向外排放。本套装置单级碱液喷淋塔采用2层喷淋+1层收水器的结构形式；单层填料高度800mm，收水器采用折流板三沟带肋收水器。将pH跟计量泵联动，pH范围设置在9-11，低于9自动开启计量泵，高于11停止计量泵。</w:t>
            </w:r>
          </w:p>
          <w:p w14:paraId="7B96013D">
            <w:pPr>
              <w:adjustRightInd w:val="0"/>
              <w:snapToGrid w:val="0"/>
              <w:spacing w:line="360" w:lineRule="auto"/>
              <w:ind w:firstLine="480" w:firstLineChars="200"/>
              <w:rPr>
                <w:rFonts w:hint="eastAsia"/>
                <w:color w:val="auto"/>
                <w:sz w:val="24"/>
              </w:rPr>
            </w:pPr>
            <w:r>
              <w:rPr>
                <w:rFonts w:hint="eastAsia"/>
                <w:color w:val="auto"/>
                <w:sz w:val="24"/>
                <w:lang w:val="en-US" w:eastAsia="zh-CN"/>
              </w:rPr>
              <w:t>喷淋洗涤塔具有耐腐蚀性能优异、传质性能良好、不易结垢和安装维护简便等特点。该技术适用于酸洗、钝化等工序产生的酸性气体的净化。喷淋洗涤塔的设计净化效率为95％，净化后的气体经15m高排气筒达标排放。吸收液循环使用，运行一段时间后（每月排放一次）排入污水处理站进行处理。</w:t>
            </w:r>
          </w:p>
          <w:p w14:paraId="11C27CED">
            <w:pPr>
              <w:adjustRightInd w:val="0"/>
              <w:snapToGrid w:val="0"/>
              <w:spacing w:line="360" w:lineRule="auto"/>
              <w:ind w:firstLine="480" w:firstLineChars="200"/>
              <w:rPr>
                <w:rFonts w:hint="eastAsia"/>
                <w:color w:val="auto"/>
                <w:sz w:val="24"/>
              </w:rPr>
            </w:pPr>
            <w:r>
              <w:rPr>
                <w:rFonts w:hint="eastAsia"/>
                <w:color w:val="auto"/>
                <w:sz w:val="24"/>
              </w:rPr>
              <w:t>厂区无组织排放控制措施主要为</w:t>
            </w:r>
            <w:r>
              <w:rPr>
                <w:rFonts w:hint="eastAsia"/>
                <w:color w:val="auto"/>
                <w:sz w:val="24"/>
                <w:lang w:val="en-US" w:eastAsia="zh-CN"/>
              </w:rPr>
              <w:t>实验室</w:t>
            </w:r>
            <w:r>
              <w:rPr>
                <w:rFonts w:hint="eastAsia"/>
                <w:color w:val="auto"/>
                <w:sz w:val="24"/>
              </w:rPr>
              <w:t>封闭，</w:t>
            </w:r>
            <w:r>
              <w:rPr>
                <w:rFonts w:hint="eastAsia"/>
                <w:color w:val="auto"/>
                <w:sz w:val="24"/>
                <w:lang w:val="en-US" w:eastAsia="zh-CN"/>
              </w:rPr>
              <w:t>实验配置药品在通风橱内进行</w:t>
            </w:r>
            <w:r>
              <w:rPr>
                <w:rFonts w:hint="eastAsia"/>
                <w:color w:val="auto"/>
                <w:sz w:val="24"/>
              </w:rPr>
              <w:t>，</w:t>
            </w:r>
            <w:r>
              <w:rPr>
                <w:color w:val="auto"/>
                <w:sz w:val="24"/>
              </w:rPr>
              <w:t>使用抽风系统维持密闭房内的负压状态，避免废气外逸。</w:t>
            </w:r>
          </w:p>
          <w:p w14:paraId="7729E9D4">
            <w:pPr>
              <w:adjustRightInd w:val="0"/>
              <w:snapToGrid w:val="0"/>
              <w:spacing w:line="360" w:lineRule="auto"/>
              <w:ind w:firstLine="480" w:firstLineChars="200"/>
              <w:rPr>
                <w:rFonts w:hint="eastAsia"/>
                <w:color w:val="auto"/>
                <w:sz w:val="24"/>
              </w:rPr>
            </w:pPr>
            <w:r>
              <w:rPr>
                <w:rFonts w:hint="eastAsia"/>
                <w:color w:val="auto"/>
                <w:sz w:val="24"/>
              </w:rPr>
              <w:t>综上所述，本项目废气治理措施技术可行。</w:t>
            </w:r>
          </w:p>
          <w:p w14:paraId="434204D4">
            <w:pPr>
              <w:pStyle w:val="71"/>
              <w:snapToGrid w:val="0"/>
              <w:spacing w:before="120" w:beforeLines="50" w:line="360" w:lineRule="auto"/>
              <w:rPr>
                <w:rFonts w:hint="eastAsia" w:eastAsia="宋体"/>
                <w:b/>
                <w:bCs/>
                <w:color w:val="auto"/>
                <w:sz w:val="24"/>
                <w:szCs w:val="24"/>
                <w:lang w:val="en-US" w:eastAsia="zh-CN"/>
              </w:rPr>
            </w:pPr>
            <w:r>
              <w:rPr>
                <w:rFonts w:hint="eastAsia"/>
                <w:b/>
                <w:bCs/>
                <w:color w:val="auto"/>
                <w:sz w:val="24"/>
                <w:szCs w:val="24"/>
              </w:rPr>
              <w:t>1</w:t>
            </w:r>
            <w:r>
              <w:rPr>
                <w:b/>
                <w:bCs/>
                <w:color w:val="auto"/>
                <w:sz w:val="24"/>
                <w:szCs w:val="24"/>
              </w:rPr>
              <w:t>.</w:t>
            </w:r>
            <w:r>
              <w:rPr>
                <w:rFonts w:hint="eastAsia"/>
                <w:b/>
                <w:bCs/>
                <w:color w:val="auto"/>
                <w:sz w:val="24"/>
                <w:szCs w:val="24"/>
                <w:lang w:val="en-US" w:eastAsia="zh-CN"/>
              </w:rPr>
              <w:t>4监测要求</w:t>
            </w:r>
          </w:p>
          <w:p w14:paraId="64562983">
            <w:pPr>
              <w:keepNext w:val="0"/>
              <w:keepLines w:val="0"/>
              <w:pageBreakBefore w:val="0"/>
              <w:widowControl w:val="0"/>
              <w:suppressLineNumbers w:val="0"/>
              <w:kinsoku/>
              <w:wordWrap/>
              <w:bidi w:val="0"/>
              <w:adjustRightInd/>
              <w:snapToGrid/>
              <w:spacing w:before="0" w:beforeAutospacing="0" w:after="0" w:afterAutospacing="0" w:line="360" w:lineRule="auto"/>
              <w:ind w:left="0" w:right="0" w:firstLine="480" w:firstLineChars="200"/>
              <w:jc w:val="both"/>
              <w:rPr>
                <w:rFonts w:hint="default" w:ascii="Times New Roman" w:hAnsi="Times New Roman" w:eastAsia="宋体" w:cs="Times New Roman"/>
                <w:b/>
                <w:bCs/>
                <w:color w:val="auto"/>
                <w:sz w:val="24"/>
                <w:szCs w:val="24"/>
                <w:lang w:val="en-US" w:eastAsia="zh-CN"/>
              </w:rPr>
            </w:pPr>
            <w:r>
              <w:rPr>
                <w:rFonts w:hint="default"/>
                <w:color w:val="auto"/>
                <w:sz w:val="24"/>
                <w:lang w:val="en-US" w:eastAsia="zh-CN"/>
              </w:rPr>
              <w:t>根据</w:t>
            </w:r>
            <w:r>
              <w:rPr>
                <w:rFonts w:hint="eastAsia"/>
                <w:color w:val="auto"/>
                <w:sz w:val="24"/>
                <w:lang w:val="en-US" w:eastAsia="zh-CN"/>
              </w:rPr>
              <w:t>《排污单位自行监</w:t>
            </w:r>
            <w:bookmarkStart w:id="6" w:name="_GoBack"/>
            <w:bookmarkEnd w:id="6"/>
            <w:r>
              <w:rPr>
                <w:rFonts w:hint="eastAsia"/>
                <w:color w:val="auto"/>
                <w:sz w:val="24"/>
                <w:lang w:val="en-US" w:eastAsia="zh-CN"/>
              </w:rPr>
              <w:t>测技术指南 总则》</w:t>
            </w:r>
            <w:r>
              <w:rPr>
                <w:rFonts w:hint="default"/>
                <w:color w:val="auto"/>
                <w:sz w:val="24"/>
              </w:rPr>
              <w:fldChar w:fldCharType="begin"/>
            </w:r>
            <w:r>
              <w:rPr>
                <w:rFonts w:hint="default"/>
                <w:color w:val="auto"/>
                <w:sz w:val="24"/>
              </w:rPr>
              <w:instrText xml:space="preserve"> HYPERLINK "https://sthj.ln.gov.cn/sthj/attachDir/2024/01/2024010610192398063.pdf" </w:instrText>
            </w:r>
            <w:r>
              <w:rPr>
                <w:rFonts w:hint="default"/>
                <w:color w:val="auto"/>
                <w:sz w:val="24"/>
              </w:rPr>
              <w:fldChar w:fldCharType="separate"/>
            </w:r>
            <w:r>
              <w:rPr>
                <w:rFonts w:hint="default"/>
                <w:color w:val="auto"/>
                <w:sz w:val="24"/>
              </w:rPr>
              <w:t>（HJ</w:t>
            </w:r>
            <w:r>
              <w:rPr>
                <w:rFonts w:hint="eastAsia"/>
                <w:color w:val="auto"/>
                <w:sz w:val="24"/>
                <w:lang w:val="en-US" w:eastAsia="zh-CN"/>
              </w:rPr>
              <w:t>819</w:t>
            </w:r>
            <w:r>
              <w:rPr>
                <w:rFonts w:hint="default"/>
                <w:color w:val="auto"/>
                <w:sz w:val="24"/>
              </w:rPr>
              <w:t>—201</w:t>
            </w:r>
            <w:r>
              <w:rPr>
                <w:rFonts w:hint="eastAsia"/>
                <w:color w:val="auto"/>
                <w:sz w:val="24"/>
                <w:lang w:val="en-US" w:eastAsia="zh-CN"/>
              </w:rPr>
              <w:t>7</w:t>
            </w:r>
            <w:r>
              <w:rPr>
                <w:rFonts w:hint="default"/>
                <w:color w:val="auto"/>
                <w:sz w:val="24"/>
              </w:rPr>
              <w:fldChar w:fldCharType="end"/>
            </w:r>
            <w:r>
              <w:rPr>
                <w:rFonts w:hint="eastAsia"/>
                <w:color w:val="auto"/>
                <w:sz w:val="24"/>
              </w:rPr>
              <w:t>）</w:t>
            </w:r>
            <w:r>
              <w:rPr>
                <w:rFonts w:hint="eastAsia"/>
                <w:color w:val="auto"/>
                <w:sz w:val="24"/>
                <w:lang w:eastAsia="zh-CN"/>
              </w:rPr>
              <w:t>，</w:t>
            </w:r>
            <w:r>
              <w:rPr>
                <w:rFonts w:hint="default"/>
                <w:color w:val="auto"/>
                <w:sz w:val="24"/>
              </w:rPr>
              <w:t>并结合项目运营期间大气污染物排放特点，制定本项目</w:t>
            </w:r>
            <w:r>
              <w:rPr>
                <w:rFonts w:hint="eastAsia"/>
                <w:color w:val="auto"/>
                <w:sz w:val="24"/>
              </w:rPr>
              <w:t>大气</w:t>
            </w:r>
            <w:r>
              <w:rPr>
                <w:rFonts w:hint="default"/>
                <w:color w:val="auto"/>
                <w:sz w:val="24"/>
              </w:rPr>
              <w:t>污染源自行监测计划如下表</w:t>
            </w:r>
            <w:r>
              <w:rPr>
                <w:rFonts w:hint="eastAsia" w:ascii="Times New Roman" w:hAnsi="Times New Roman" w:eastAsia="宋体" w:cs="Times New Roman"/>
                <w:color w:val="auto"/>
                <w:sz w:val="24"/>
                <w:szCs w:val="24"/>
                <w:lang w:val="en-US" w:eastAsia="zh-CN"/>
              </w:rPr>
              <w:t>。</w:t>
            </w:r>
          </w:p>
          <w:p w14:paraId="6705352D">
            <w:pPr>
              <w:pStyle w:val="94"/>
              <w:keepNext w:val="0"/>
              <w:keepLines w:val="0"/>
              <w:suppressLineNumbers w:val="0"/>
              <w:spacing w:before="0" w:beforeAutospacing="0" w:after="0" w:afterAutospacing="0"/>
              <w:ind w:left="0" w:right="0" w:firstLine="0" w:firstLineChars="0"/>
              <w:jc w:val="center"/>
              <w:rPr>
                <w:rFonts w:hint="default" w:ascii="Times New Roman" w:hAnsi="Times New Roman" w:eastAsia="宋体" w:cs="Times New Roman"/>
                <w:b/>
                <w:bCs/>
                <w:color w:val="auto"/>
                <w:sz w:val="21"/>
                <w:szCs w:val="21"/>
                <w:lang w:eastAsia="zh-CN"/>
              </w:rPr>
            </w:pPr>
            <w:r>
              <w:rPr>
                <w:rFonts w:hint="default" w:ascii="Times New Roman" w:hAnsi="Times New Roman" w:eastAsia="宋体" w:cs="Times New Roman"/>
                <w:b/>
                <w:bCs/>
                <w:color w:val="auto"/>
                <w:sz w:val="21"/>
                <w:szCs w:val="21"/>
                <w:lang w:val="en-US" w:eastAsia="zh-CN"/>
              </w:rPr>
              <w:t>表</w:t>
            </w:r>
            <w:r>
              <w:rPr>
                <w:rFonts w:hint="eastAsia" w:ascii="Times New Roman" w:hAnsi="Times New Roman" w:eastAsia="宋体" w:cs="Times New Roman"/>
                <w:b/>
                <w:bCs/>
                <w:color w:val="auto"/>
                <w:sz w:val="21"/>
                <w:szCs w:val="21"/>
                <w:lang w:val="en-US" w:eastAsia="zh-CN"/>
              </w:rPr>
              <w:t>4-</w:t>
            </w:r>
            <w:r>
              <w:rPr>
                <w:rFonts w:hint="eastAsia" w:cs="Times New Roman"/>
                <w:b/>
                <w:bCs/>
                <w:color w:val="auto"/>
                <w:sz w:val="21"/>
                <w:szCs w:val="21"/>
                <w:lang w:val="en-US" w:eastAsia="zh-CN"/>
              </w:rPr>
              <w:t>5</w:t>
            </w:r>
            <w:r>
              <w:rPr>
                <w:rFonts w:hint="eastAsia" w:ascii="Times New Roman" w:hAnsi="Times New Roman" w:eastAsia="宋体" w:cs="Times New Roman"/>
                <w:b/>
                <w:bCs/>
                <w:color w:val="auto"/>
                <w:sz w:val="21"/>
                <w:szCs w:val="21"/>
                <w:lang w:val="en-US" w:eastAsia="zh-CN"/>
              </w:rPr>
              <w:t xml:space="preserve"> </w:t>
            </w:r>
            <w:r>
              <w:rPr>
                <w:rFonts w:hint="default" w:ascii="Times New Roman" w:hAnsi="Times New Roman" w:eastAsia="宋体" w:cs="Times New Roman"/>
                <w:b/>
                <w:bCs/>
                <w:color w:val="auto"/>
                <w:sz w:val="21"/>
                <w:szCs w:val="21"/>
                <w:lang w:val="en-US" w:eastAsia="zh-CN"/>
              </w:rPr>
              <w:t xml:space="preserve"> 运营期废气监测</w:t>
            </w:r>
            <w:r>
              <w:rPr>
                <w:rFonts w:hint="eastAsia" w:ascii="Times New Roman" w:hAnsi="Times New Roman" w:eastAsia="宋体" w:cs="Times New Roman"/>
                <w:b/>
                <w:bCs/>
                <w:color w:val="auto"/>
                <w:sz w:val="21"/>
                <w:szCs w:val="21"/>
                <w:lang w:val="en-US" w:eastAsia="zh-CN"/>
              </w:rPr>
              <w:t>要求</w:t>
            </w:r>
            <w:r>
              <w:rPr>
                <w:rFonts w:hint="default" w:ascii="Times New Roman" w:hAnsi="Times New Roman" w:eastAsia="宋体" w:cs="Times New Roman"/>
                <w:b/>
                <w:bCs/>
                <w:color w:val="auto"/>
                <w:sz w:val="21"/>
                <w:szCs w:val="21"/>
                <w:lang w:val="en-US" w:eastAsia="zh-CN"/>
              </w:rPr>
              <w:t>表</w:t>
            </w:r>
          </w:p>
          <w:tbl>
            <w:tblPr>
              <w:tblStyle w:val="28"/>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74"/>
              <w:gridCol w:w="1500"/>
              <w:gridCol w:w="1150"/>
              <w:gridCol w:w="4452"/>
            </w:tblGrid>
            <w:tr w14:paraId="22545C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blHeader/>
                <w:jc w:val="center"/>
              </w:trPr>
              <w:tc>
                <w:tcPr>
                  <w:tcW w:w="760" w:type="pct"/>
                  <w:tcBorders>
                    <w:tl2br w:val="nil"/>
                    <w:tr2bl w:val="nil"/>
                  </w:tcBorders>
                  <w:noWrap w:val="0"/>
                  <w:vAlign w:val="center"/>
                </w:tcPr>
                <w:p w14:paraId="3D82B89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lang w:val="en-US"/>
                    </w:rPr>
                  </w:pPr>
                  <w:r>
                    <w:rPr>
                      <w:rFonts w:hint="default" w:ascii="Times New Roman" w:hAnsi="Times New Roman" w:eastAsia="宋体" w:cs="Times New Roman"/>
                      <w:b w:val="0"/>
                      <w:bCs w:val="0"/>
                      <w:color w:val="auto"/>
                      <w:sz w:val="21"/>
                      <w:szCs w:val="21"/>
                      <w:lang w:val="en-US" w:eastAsia="zh-CN"/>
                    </w:rPr>
                    <w:t>监测点</w:t>
                  </w:r>
                  <w:r>
                    <w:rPr>
                      <w:rFonts w:hint="eastAsia" w:cs="Times New Roman"/>
                      <w:b w:val="0"/>
                      <w:bCs w:val="0"/>
                      <w:color w:val="auto"/>
                      <w:sz w:val="21"/>
                      <w:szCs w:val="21"/>
                      <w:lang w:val="en-US" w:eastAsia="zh-CN"/>
                    </w:rPr>
                    <w:t>位</w:t>
                  </w:r>
                </w:p>
              </w:tc>
              <w:tc>
                <w:tcPr>
                  <w:tcW w:w="895" w:type="pct"/>
                  <w:tcBorders>
                    <w:tl2br w:val="nil"/>
                    <w:tr2bl w:val="nil"/>
                  </w:tcBorders>
                  <w:noWrap w:val="0"/>
                  <w:vAlign w:val="center"/>
                </w:tcPr>
                <w:p w14:paraId="74928D6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lang w:val="en-US" w:eastAsia="zh-CN"/>
                    </w:rPr>
                    <w:t>监测项目</w:t>
                  </w:r>
                </w:p>
              </w:tc>
              <w:tc>
                <w:tcPr>
                  <w:tcW w:w="686" w:type="pct"/>
                  <w:tcBorders>
                    <w:tl2br w:val="nil"/>
                    <w:tr2bl w:val="nil"/>
                  </w:tcBorders>
                  <w:noWrap w:val="0"/>
                  <w:vAlign w:val="center"/>
                </w:tcPr>
                <w:p w14:paraId="30FAE05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lang w:val="en-US" w:eastAsia="zh-CN"/>
                    </w:rPr>
                  </w:pPr>
                  <w:r>
                    <w:rPr>
                      <w:rFonts w:hint="default" w:ascii="Times New Roman" w:hAnsi="Times New Roman" w:eastAsia="宋体" w:cs="Times New Roman"/>
                      <w:b w:val="0"/>
                      <w:bCs w:val="0"/>
                      <w:color w:val="auto"/>
                      <w:sz w:val="21"/>
                      <w:szCs w:val="21"/>
                      <w:lang w:val="en-US" w:eastAsia="zh-CN"/>
                    </w:rPr>
                    <w:t>监测频次</w:t>
                  </w:r>
                </w:p>
              </w:tc>
              <w:tc>
                <w:tcPr>
                  <w:tcW w:w="2657" w:type="pct"/>
                  <w:tcBorders>
                    <w:tl2br w:val="nil"/>
                    <w:tr2bl w:val="nil"/>
                  </w:tcBorders>
                  <w:noWrap w:val="0"/>
                  <w:vAlign w:val="center"/>
                </w:tcPr>
                <w:p w14:paraId="722730A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lang w:val="en-US" w:eastAsia="zh-CN"/>
                    </w:rPr>
                    <w:t>执行标准</w:t>
                  </w:r>
                </w:p>
              </w:tc>
            </w:tr>
            <w:tr w14:paraId="409FF3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blHeader/>
                <w:jc w:val="center"/>
              </w:trPr>
              <w:tc>
                <w:tcPr>
                  <w:tcW w:w="760" w:type="pct"/>
                  <w:vMerge w:val="restart"/>
                  <w:tcBorders>
                    <w:tl2br w:val="nil"/>
                    <w:tr2bl w:val="nil"/>
                  </w:tcBorders>
                  <w:noWrap w:val="0"/>
                  <w:vAlign w:val="center"/>
                </w:tcPr>
                <w:p w14:paraId="72455F2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cs="Times New Roman"/>
                      <w:color w:val="auto"/>
                      <w:sz w:val="21"/>
                      <w:szCs w:val="21"/>
                      <w:lang w:val="en-US" w:eastAsia="zh-CN"/>
                    </w:rPr>
                  </w:pPr>
                  <w:r>
                    <w:rPr>
                      <w:rFonts w:hint="eastAsia" w:cs="Times New Roman"/>
                      <w:color w:val="auto"/>
                      <w:sz w:val="21"/>
                      <w:szCs w:val="21"/>
                      <w:lang w:val="en-US" w:eastAsia="zh-CN"/>
                    </w:rPr>
                    <w:t>DA001排气筒</w:t>
                  </w:r>
                </w:p>
              </w:tc>
              <w:tc>
                <w:tcPr>
                  <w:tcW w:w="895" w:type="pct"/>
                  <w:tcBorders>
                    <w:tl2br w:val="nil"/>
                    <w:tr2bl w:val="nil"/>
                  </w:tcBorders>
                  <w:noWrap w:val="0"/>
                  <w:vAlign w:val="center"/>
                </w:tcPr>
                <w:p w14:paraId="43DEACB3">
                  <w:pPr>
                    <w:pStyle w:val="77"/>
                    <w:adjustRightInd w:val="0"/>
                    <w:snapToGrid w:val="0"/>
                    <w:rPr>
                      <w:rFonts w:hint="eastAsia" w:ascii="Times New Roman" w:hAnsi="Times New Roman" w:eastAsia="宋体" w:cs="Times New Roman"/>
                      <w:color w:val="auto"/>
                      <w:sz w:val="21"/>
                      <w:szCs w:val="21"/>
                      <w:lang w:val="en-US" w:eastAsia="zh-CN"/>
                    </w:rPr>
                  </w:pPr>
                  <w:r>
                    <w:rPr>
                      <w:rFonts w:hint="eastAsia" w:cs="Times New Roman"/>
                      <w:color w:val="auto"/>
                      <w:kern w:val="2"/>
                      <w:sz w:val="21"/>
                      <w:szCs w:val="21"/>
                      <w:lang w:eastAsia="zh-CN"/>
                    </w:rPr>
                    <w:t>氯化氢</w:t>
                  </w:r>
                </w:p>
              </w:tc>
              <w:tc>
                <w:tcPr>
                  <w:tcW w:w="686" w:type="pct"/>
                  <w:tcBorders>
                    <w:tl2br w:val="nil"/>
                    <w:tr2bl w:val="nil"/>
                  </w:tcBorders>
                  <w:noWrap w:val="0"/>
                  <w:vAlign w:val="center"/>
                </w:tcPr>
                <w:p w14:paraId="6832425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1次/年</w:t>
                  </w:r>
                </w:p>
              </w:tc>
              <w:tc>
                <w:tcPr>
                  <w:tcW w:w="2657" w:type="pct"/>
                  <w:vMerge w:val="restart"/>
                  <w:tcBorders>
                    <w:tl2br w:val="nil"/>
                    <w:tr2bl w:val="nil"/>
                  </w:tcBorders>
                  <w:noWrap w:val="0"/>
                  <w:vAlign w:val="center"/>
                </w:tcPr>
                <w:p w14:paraId="5209A86A">
                  <w:pPr>
                    <w:pStyle w:val="77"/>
                    <w:keepNext w:val="0"/>
                    <w:keepLines w:val="0"/>
                    <w:pageBreakBefore w:val="0"/>
                    <w:widowControl w:val="0"/>
                    <w:kinsoku/>
                    <w:wordWrap w:val="0"/>
                    <w:overflowPunct/>
                    <w:topLinePunct w:val="0"/>
                    <w:autoSpaceDE/>
                    <w:autoSpaceDN/>
                    <w:bidi w:val="0"/>
                    <w:adjustRightInd w:val="0"/>
                    <w:snapToGrid w:val="0"/>
                    <w:spacing w:before="0"/>
                    <w:textAlignment w:val="auto"/>
                    <w:rPr>
                      <w:rFonts w:hint="default" w:ascii="Times New Roman" w:hAnsi="Times New Roman" w:eastAsia="宋体" w:cs="Times New Roman"/>
                      <w:b w:val="0"/>
                      <w:bCs w:val="0"/>
                      <w:color w:val="auto"/>
                      <w:kern w:val="2"/>
                      <w:sz w:val="21"/>
                      <w:szCs w:val="21"/>
                      <w:lang w:val="en-US" w:eastAsia="zh-CN"/>
                    </w:rPr>
                  </w:pPr>
                  <w:r>
                    <w:rPr>
                      <w:rFonts w:hint="eastAsia"/>
                      <w:color w:val="auto"/>
                      <w:sz w:val="21"/>
                      <w:szCs w:val="21"/>
                      <w:lang w:val="en-US" w:eastAsia="zh-CN"/>
                    </w:rPr>
                    <w:t>《大气污染物综合排放标准》（GB16297-1996）中表2新污染源大气污染物排放限值</w:t>
                  </w:r>
                </w:p>
              </w:tc>
            </w:tr>
            <w:tr w14:paraId="09A115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 w:hRule="atLeast"/>
                <w:tblHeader/>
                <w:jc w:val="center"/>
              </w:trPr>
              <w:tc>
                <w:tcPr>
                  <w:tcW w:w="760" w:type="pct"/>
                  <w:vMerge w:val="continue"/>
                  <w:tcBorders>
                    <w:tl2br w:val="nil"/>
                    <w:tr2bl w:val="nil"/>
                  </w:tcBorders>
                  <w:noWrap w:val="0"/>
                  <w:vAlign w:val="center"/>
                </w:tcPr>
                <w:p w14:paraId="5320A29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p>
              </w:tc>
              <w:tc>
                <w:tcPr>
                  <w:tcW w:w="895" w:type="pct"/>
                  <w:tcBorders>
                    <w:tl2br w:val="nil"/>
                    <w:tr2bl w:val="nil"/>
                  </w:tcBorders>
                  <w:noWrap w:val="0"/>
                  <w:vAlign w:val="center"/>
                </w:tcPr>
                <w:p w14:paraId="53D3AA3C">
                  <w:pPr>
                    <w:pStyle w:val="77"/>
                    <w:adjustRightInd w:val="0"/>
                    <w:snapToGrid w:val="0"/>
                    <w:rPr>
                      <w:rFonts w:hint="default" w:cs="Times New Roman"/>
                      <w:color w:val="auto"/>
                      <w:sz w:val="21"/>
                      <w:szCs w:val="21"/>
                      <w:lang w:val="en-US" w:eastAsia="zh-CN"/>
                    </w:rPr>
                  </w:pPr>
                  <w:r>
                    <w:rPr>
                      <w:rFonts w:hint="eastAsia" w:cs="Times New Roman"/>
                      <w:color w:val="auto"/>
                      <w:sz w:val="21"/>
                      <w:szCs w:val="21"/>
                      <w:lang w:val="en-US" w:eastAsia="zh-CN"/>
                    </w:rPr>
                    <w:t>硝酸雾</w:t>
                  </w:r>
                </w:p>
              </w:tc>
              <w:tc>
                <w:tcPr>
                  <w:tcW w:w="686" w:type="pct"/>
                  <w:tcBorders>
                    <w:tl2br w:val="nil"/>
                    <w:tr2bl w:val="nil"/>
                  </w:tcBorders>
                  <w:noWrap w:val="0"/>
                  <w:vAlign w:val="center"/>
                </w:tcPr>
                <w:p w14:paraId="4B668E4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1次/年</w:t>
                  </w:r>
                </w:p>
              </w:tc>
              <w:tc>
                <w:tcPr>
                  <w:tcW w:w="2657" w:type="pct"/>
                  <w:vMerge w:val="continue"/>
                  <w:tcBorders>
                    <w:tl2br w:val="nil"/>
                    <w:tr2bl w:val="nil"/>
                  </w:tcBorders>
                  <w:noWrap w:val="0"/>
                  <w:vAlign w:val="center"/>
                </w:tcPr>
                <w:p w14:paraId="06FA258F">
                  <w:pPr>
                    <w:keepNext w:val="0"/>
                    <w:keepLines w:val="0"/>
                    <w:pageBreakBefore w:val="0"/>
                    <w:widowControl w:val="0"/>
                    <w:suppressLineNumbers w:val="0"/>
                    <w:kinsoku/>
                    <w:wordWrap w:val="0"/>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kern w:val="2"/>
                      <w:sz w:val="21"/>
                      <w:szCs w:val="21"/>
                      <w:lang w:val="en-US" w:eastAsia="zh-CN"/>
                    </w:rPr>
                  </w:pPr>
                </w:p>
              </w:tc>
            </w:tr>
            <w:tr w14:paraId="4844BB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blHeader/>
                <w:jc w:val="center"/>
              </w:trPr>
              <w:tc>
                <w:tcPr>
                  <w:tcW w:w="760" w:type="pct"/>
                  <w:vMerge w:val="continue"/>
                  <w:tcBorders>
                    <w:tl2br w:val="nil"/>
                    <w:tr2bl w:val="nil"/>
                  </w:tcBorders>
                  <w:noWrap w:val="0"/>
                  <w:vAlign w:val="center"/>
                </w:tcPr>
                <w:p w14:paraId="33ABB2D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p>
              </w:tc>
              <w:tc>
                <w:tcPr>
                  <w:tcW w:w="895" w:type="pct"/>
                  <w:tcBorders>
                    <w:tl2br w:val="nil"/>
                    <w:tr2bl w:val="nil"/>
                  </w:tcBorders>
                  <w:noWrap w:val="0"/>
                  <w:vAlign w:val="center"/>
                </w:tcPr>
                <w:p w14:paraId="691A3A4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cs="Times New Roman"/>
                      <w:color w:val="auto"/>
                      <w:sz w:val="21"/>
                      <w:szCs w:val="21"/>
                      <w:lang w:val="en-US" w:eastAsia="zh-CN"/>
                    </w:rPr>
                  </w:pPr>
                  <w:r>
                    <w:rPr>
                      <w:rFonts w:hint="eastAsia" w:cs="Times New Roman"/>
                      <w:color w:val="auto"/>
                      <w:kern w:val="2"/>
                      <w:sz w:val="21"/>
                      <w:szCs w:val="21"/>
                      <w:lang w:val="en-US" w:eastAsia="zh-CN"/>
                    </w:rPr>
                    <w:t>硫酸雾</w:t>
                  </w:r>
                </w:p>
              </w:tc>
              <w:tc>
                <w:tcPr>
                  <w:tcW w:w="686" w:type="pct"/>
                  <w:tcBorders>
                    <w:tl2br w:val="nil"/>
                    <w:tr2bl w:val="nil"/>
                  </w:tcBorders>
                  <w:noWrap w:val="0"/>
                  <w:vAlign w:val="center"/>
                </w:tcPr>
                <w:p w14:paraId="5686914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cs="Times New Roman"/>
                      <w:color w:val="auto"/>
                      <w:sz w:val="21"/>
                      <w:szCs w:val="21"/>
                      <w:lang w:val="en-US" w:eastAsia="zh-CN"/>
                    </w:rPr>
                  </w:pPr>
                  <w:r>
                    <w:rPr>
                      <w:rFonts w:hint="eastAsia" w:cs="Times New Roman"/>
                      <w:color w:val="auto"/>
                      <w:sz w:val="21"/>
                      <w:szCs w:val="21"/>
                      <w:lang w:val="en-US" w:eastAsia="zh-CN"/>
                    </w:rPr>
                    <w:t>1次/年</w:t>
                  </w:r>
                </w:p>
              </w:tc>
              <w:tc>
                <w:tcPr>
                  <w:tcW w:w="2657" w:type="pct"/>
                  <w:vMerge w:val="continue"/>
                  <w:tcBorders>
                    <w:tl2br w:val="nil"/>
                    <w:tr2bl w:val="nil"/>
                  </w:tcBorders>
                  <w:noWrap w:val="0"/>
                  <w:vAlign w:val="center"/>
                </w:tcPr>
                <w:p w14:paraId="3C3AA800">
                  <w:pPr>
                    <w:pStyle w:val="77"/>
                    <w:keepNext w:val="0"/>
                    <w:keepLines w:val="0"/>
                    <w:pageBreakBefore w:val="0"/>
                    <w:widowControl w:val="0"/>
                    <w:kinsoku/>
                    <w:wordWrap w:val="0"/>
                    <w:overflowPunct/>
                    <w:topLinePunct w:val="0"/>
                    <w:autoSpaceDE/>
                    <w:autoSpaceDN/>
                    <w:bidi w:val="0"/>
                    <w:adjustRightInd w:val="0"/>
                    <w:snapToGrid w:val="0"/>
                    <w:spacing w:before="0"/>
                    <w:textAlignment w:val="auto"/>
                    <w:rPr>
                      <w:rFonts w:hint="default" w:ascii="Times New Roman" w:hAnsi="Times New Roman" w:eastAsia="宋体" w:cs="Times New Roman"/>
                      <w:b w:val="0"/>
                      <w:bCs w:val="0"/>
                      <w:color w:val="auto"/>
                      <w:kern w:val="2"/>
                      <w:sz w:val="21"/>
                      <w:szCs w:val="21"/>
                      <w:lang w:val="en-US" w:eastAsia="zh-CN"/>
                    </w:rPr>
                  </w:pPr>
                </w:p>
              </w:tc>
            </w:tr>
            <w:tr w14:paraId="402BDF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blHeader/>
                <w:jc w:val="center"/>
              </w:trPr>
              <w:tc>
                <w:tcPr>
                  <w:tcW w:w="760" w:type="pct"/>
                  <w:vMerge w:val="continue"/>
                  <w:tcBorders>
                    <w:tl2br w:val="nil"/>
                    <w:tr2bl w:val="nil"/>
                  </w:tcBorders>
                  <w:noWrap w:val="0"/>
                  <w:vAlign w:val="center"/>
                </w:tcPr>
                <w:p w14:paraId="4F714E8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cs="Times New Roman"/>
                      <w:color w:val="auto"/>
                      <w:sz w:val="21"/>
                      <w:szCs w:val="21"/>
                      <w:lang w:val="en-US" w:eastAsia="zh-CN"/>
                    </w:rPr>
                  </w:pPr>
                </w:p>
              </w:tc>
              <w:tc>
                <w:tcPr>
                  <w:tcW w:w="895" w:type="pct"/>
                  <w:tcBorders>
                    <w:tl2br w:val="nil"/>
                    <w:tr2bl w:val="nil"/>
                  </w:tcBorders>
                  <w:noWrap w:val="0"/>
                  <w:vAlign w:val="center"/>
                </w:tcPr>
                <w:p w14:paraId="7793ADD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cs="Times New Roman"/>
                      <w:color w:val="auto"/>
                      <w:sz w:val="21"/>
                      <w:szCs w:val="21"/>
                      <w:lang w:val="en-US" w:eastAsia="zh-CN"/>
                    </w:rPr>
                  </w:pPr>
                  <w:r>
                    <w:rPr>
                      <w:rFonts w:hint="eastAsia" w:cs="Times New Roman"/>
                      <w:color w:val="auto"/>
                      <w:sz w:val="21"/>
                      <w:szCs w:val="21"/>
                      <w:lang w:val="en-US" w:eastAsia="zh-CN"/>
                    </w:rPr>
                    <w:t>氨</w:t>
                  </w:r>
                </w:p>
              </w:tc>
              <w:tc>
                <w:tcPr>
                  <w:tcW w:w="686" w:type="pct"/>
                  <w:tcBorders>
                    <w:tl2br w:val="nil"/>
                    <w:tr2bl w:val="nil"/>
                  </w:tcBorders>
                  <w:noWrap w:val="0"/>
                  <w:vAlign w:val="center"/>
                </w:tcPr>
                <w:p w14:paraId="3CD9230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cs="Times New Roman"/>
                      <w:color w:val="auto"/>
                      <w:sz w:val="21"/>
                      <w:szCs w:val="21"/>
                      <w:lang w:val="en-US" w:eastAsia="zh-CN"/>
                    </w:rPr>
                  </w:pPr>
                  <w:r>
                    <w:rPr>
                      <w:rFonts w:hint="eastAsia" w:cs="Times New Roman"/>
                      <w:color w:val="auto"/>
                      <w:sz w:val="21"/>
                      <w:szCs w:val="21"/>
                      <w:lang w:val="en-US" w:eastAsia="zh-CN"/>
                    </w:rPr>
                    <w:t>1次/年</w:t>
                  </w:r>
                </w:p>
              </w:tc>
              <w:tc>
                <w:tcPr>
                  <w:tcW w:w="2657" w:type="pct"/>
                  <w:tcBorders>
                    <w:tl2br w:val="nil"/>
                    <w:tr2bl w:val="nil"/>
                  </w:tcBorders>
                  <w:noWrap w:val="0"/>
                  <w:vAlign w:val="center"/>
                </w:tcPr>
                <w:p w14:paraId="47DBA4EB">
                  <w:pPr>
                    <w:keepNext w:val="0"/>
                    <w:keepLines w:val="0"/>
                    <w:pageBreakBefore w:val="0"/>
                    <w:widowControl w:val="0"/>
                    <w:pBdr>
                      <w:top w:val="none" w:color="auto" w:sz="0" w:space="1"/>
                      <w:left w:val="none" w:color="auto" w:sz="0" w:space="4"/>
                      <w:bottom w:val="none" w:color="auto" w:sz="0" w:space="1"/>
                      <w:right w:val="none" w:color="auto" w:sz="0" w:space="4"/>
                    </w:pBdr>
                    <w:kinsoku/>
                    <w:wordWrap w:val="0"/>
                    <w:overflowPunct/>
                    <w:topLinePunct w:val="0"/>
                    <w:autoSpaceDE/>
                    <w:autoSpaceDN/>
                    <w:bidi w:val="0"/>
                    <w:adjustRightInd w:val="0"/>
                    <w:snapToGrid w:val="0"/>
                    <w:jc w:val="center"/>
                    <w:textAlignment w:val="auto"/>
                    <w:rPr>
                      <w:rFonts w:hint="default" w:ascii="Times New Roman" w:hAnsi="Times New Roman" w:eastAsia="宋体" w:cs="Times New Roman"/>
                      <w:b w:val="0"/>
                      <w:bCs w:val="0"/>
                      <w:color w:val="auto"/>
                      <w:kern w:val="2"/>
                      <w:sz w:val="21"/>
                      <w:szCs w:val="21"/>
                      <w:lang w:val="en-US" w:eastAsia="zh-CN"/>
                    </w:rPr>
                  </w:pPr>
                  <w:r>
                    <w:rPr>
                      <w:rFonts w:hint="eastAsia"/>
                      <w:color w:val="auto"/>
                      <w:sz w:val="21"/>
                      <w:szCs w:val="21"/>
                      <w:lang w:eastAsia="zh-CN"/>
                    </w:rPr>
                    <w:t>《恶臭污染物排放标准》（GB</w:t>
                  </w:r>
                  <w:r>
                    <w:rPr>
                      <w:color w:val="auto"/>
                      <w:sz w:val="21"/>
                      <w:szCs w:val="21"/>
                      <w:lang w:eastAsia="zh-CN"/>
                    </w:rPr>
                    <w:t>14554-93</w:t>
                  </w:r>
                  <w:r>
                    <w:rPr>
                      <w:rFonts w:hint="eastAsia"/>
                      <w:color w:val="auto"/>
                      <w:sz w:val="21"/>
                      <w:szCs w:val="21"/>
                      <w:lang w:eastAsia="zh-CN"/>
                    </w:rPr>
                    <w:t>）</w:t>
                  </w:r>
                </w:p>
              </w:tc>
            </w:tr>
            <w:tr w14:paraId="1E65F9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atLeast"/>
                <w:tblHeader/>
                <w:jc w:val="center"/>
              </w:trPr>
              <w:tc>
                <w:tcPr>
                  <w:tcW w:w="760" w:type="pct"/>
                  <w:vMerge w:val="restart"/>
                  <w:tcBorders>
                    <w:tl2br w:val="nil"/>
                    <w:tr2bl w:val="nil"/>
                  </w:tcBorders>
                  <w:noWrap w:val="0"/>
                  <w:vAlign w:val="center"/>
                </w:tcPr>
                <w:p w14:paraId="7B7C6B7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厂界</w:t>
                  </w:r>
                </w:p>
              </w:tc>
              <w:tc>
                <w:tcPr>
                  <w:tcW w:w="895" w:type="pct"/>
                  <w:tcBorders>
                    <w:tl2br w:val="nil"/>
                    <w:tr2bl w:val="nil"/>
                  </w:tcBorders>
                  <w:noWrap w:val="0"/>
                  <w:vAlign w:val="center"/>
                </w:tcPr>
                <w:p w14:paraId="1C91F7B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cs="Times New Roman"/>
                      <w:color w:val="auto"/>
                      <w:sz w:val="21"/>
                      <w:szCs w:val="21"/>
                      <w:lang w:val="en-US" w:eastAsia="zh-CN"/>
                    </w:rPr>
                  </w:pPr>
                  <w:r>
                    <w:rPr>
                      <w:rFonts w:hint="eastAsia" w:cs="Times New Roman"/>
                      <w:color w:val="auto"/>
                      <w:kern w:val="2"/>
                      <w:sz w:val="21"/>
                      <w:szCs w:val="21"/>
                      <w:lang w:eastAsia="zh-CN"/>
                    </w:rPr>
                    <w:t>氯化氢、</w:t>
                  </w:r>
                  <w:r>
                    <w:rPr>
                      <w:rFonts w:hint="eastAsia" w:cs="Times New Roman"/>
                      <w:color w:val="auto"/>
                      <w:sz w:val="21"/>
                      <w:szCs w:val="21"/>
                      <w:lang w:val="en-US" w:eastAsia="zh-CN"/>
                    </w:rPr>
                    <w:t>硝酸雾、</w:t>
                  </w:r>
                  <w:r>
                    <w:rPr>
                      <w:rFonts w:hint="eastAsia" w:cs="Times New Roman"/>
                      <w:color w:val="auto"/>
                      <w:kern w:val="2"/>
                      <w:sz w:val="21"/>
                      <w:szCs w:val="21"/>
                      <w:lang w:val="en-US" w:eastAsia="zh-CN"/>
                    </w:rPr>
                    <w:t>硫酸雾</w:t>
                  </w:r>
                </w:p>
              </w:tc>
              <w:tc>
                <w:tcPr>
                  <w:tcW w:w="686" w:type="pct"/>
                  <w:tcBorders>
                    <w:tl2br w:val="nil"/>
                    <w:tr2bl w:val="nil"/>
                  </w:tcBorders>
                  <w:noWrap w:val="0"/>
                  <w:vAlign w:val="center"/>
                </w:tcPr>
                <w:p w14:paraId="572040A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cs="Times New Roman"/>
                      <w:color w:val="auto"/>
                      <w:sz w:val="21"/>
                      <w:szCs w:val="21"/>
                      <w:lang w:val="en-US" w:eastAsia="zh-CN"/>
                    </w:rPr>
                  </w:pPr>
                  <w:r>
                    <w:rPr>
                      <w:rFonts w:hint="eastAsia" w:cs="Times New Roman"/>
                      <w:color w:val="auto"/>
                      <w:sz w:val="21"/>
                      <w:szCs w:val="21"/>
                      <w:lang w:val="en-US" w:eastAsia="zh-CN"/>
                    </w:rPr>
                    <w:t>1次/年</w:t>
                  </w:r>
                </w:p>
              </w:tc>
              <w:tc>
                <w:tcPr>
                  <w:tcW w:w="2657" w:type="pct"/>
                  <w:tcBorders>
                    <w:tl2br w:val="nil"/>
                    <w:tr2bl w:val="nil"/>
                  </w:tcBorders>
                  <w:noWrap w:val="0"/>
                  <w:vAlign w:val="center"/>
                </w:tcPr>
                <w:p w14:paraId="05FC6558">
                  <w:pPr>
                    <w:keepNext w:val="0"/>
                    <w:keepLines w:val="0"/>
                    <w:pageBreakBefore w:val="0"/>
                    <w:widowControl w:val="0"/>
                    <w:pBdr>
                      <w:top w:val="none" w:color="auto" w:sz="0" w:space="1"/>
                      <w:left w:val="none" w:color="auto" w:sz="0" w:space="4"/>
                      <w:bottom w:val="none" w:color="auto" w:sz="0" w:space="1"/>
                      <w:right w:val="none" w:color="auto" w:sz="0" w:space="4"/>
                    </w:pBdr>
                    <w:kinsoku/>
                    <w:wordWrap w:val="0"/>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lang w:val="en-US" w:eastAsia="zh-CN"/>
                    </w:rPr>
                  </w:pPr>
                  <w:r>
                    <w:rPr>
                      <w:rFonts w:hint="eastAsia"/>
                      <w:color w:val="auto"/>
                      <w:sz w:val="21"/>
                      <w:szCs w:val="21"/>
                      <w:lang w:val="en-US" w:eastAsia="zh-CN"/>
                    </w:rPr>
                    <w:t>《大气污染物综合排放标准》（GB16297-1996）中表2新污染源大气污染物排放限值</w:t>
                  </w:r>
                </w:p>
              </w:tc>
            </w:tr>
            <w:tr w14:paraId="44C2A5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blHeader/>
                <w:jc w:val="center"/>
              </w:trPr>
              <w:tc>
                <w:tcPr>
                  <w:tcW w:w="760" w:type="pct"/>
                  <w:vMerge w:val="continue"/>
                  <w:tcBorders>
                    <w:tl2br w:val="nil"/>
                    <w:tr2bl w:val="nil"/>
                  </w:tcBorders>
                  <w:noWrap w:val="0"/>
                  <w:vAlign w:val="center"/>
                </w:tcPr>
                <w:p w14:paraId="75AD916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lang w:val="en-US" w:eastAsia="zh-CN"/>
                    </w:rPr>
                  </w:pPr>
                </w:p>
              </w:tc>
              <w:tc>
                <w:tcPr>
                  <w:tcW w:w="895" w:type="pct"/>
                  <w:tcBorders>
                    <w:tl2br w:val="nil"/>
                    <w:tr2bl w:val="nil"/>
                  </w:tcBorders>
                  <w:noWrap w:val="0"/>
                  <w:vAlign w:val="center"/>
                </w:tcPr>
                <w:p w14:paraId="7DB264E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cs="Times New Roman"/>
                      <w:color w:val="auto"/>
                      <w:sz w:val="21"/>
                      <w:szCs w:val="21"/>
                      <w:lang w:val="en-US" w:eastAsia="zh-CN"/>
                    </w:rPr>
                  </w:pPr>
                  <w:r>
                    <w:rPr>
                      <w:rFonts w:hint="eastAsia" w:cs="Times New Roman"/>
                      <w:color w:val="auto"/>
                      <w:sz w:val="21"/>
                      <w:szCs w:val="21"/>
                      <w:lang w:val="en-US" w:eastAsia="zh-CN"/>
                    </w:rPr>
                    <w:t>氨</w:t>
                  </w:r>
                </w:p>
              </w:tc>
              <w:tc>
                <w:tcPr>
                  <w:tcW w:w="686" w:type="pct"/>
                  <w:tcBorders>
                    <w:tl2br w:val="nil"/>
                    <w:tr2bl w:val="nil"/>
                  </w:tcBorders>
                  <w:noWrap w:val="0"/>
                  <w:vAlign w:val="center"/>
                </w:tcPr>
                <w:p w14:paraId="574E938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cs="Times New Roman"/>
                      <w:color w:val="auto"/>
                      <w:sz w:val="21"/>
                      <w:szCs w:val="21"/>
                      <w:lang w:val="en-US" w:eastAsia="zh-CN"/>
                    </w:rPr>
                  </w:pPr>
                  <w:r>
                    <w:rPr>
                      <w:rFonts w:hint="eastAsia" w:cs="Times New Roman"/>
                      <w:color w:val="auto"/>
                      <w:sz w:val="21"/>
                      <w:szCs w:val="21"/>
                      <w:lang w:val="en-US" w:eastAsia="zh-CN"/>
                    </w:rPr>
                    <w:t>1次/年</w:t>
                  </w:r>
                </w:p>
              </w:tc>
              <w:tc>
                <w:tcPr>
                  <w:tcW w:w="2657" w:type="pct"/>
                  <w:tcBorders>
                    <w:tl2br w:val="nil"/>
                    <w:tr2bl w:val="nil"/>
                  </w:tcBorders>
                  <w:noWrap w:val="0"/>
                  <w:vAlign w:val="center"/>
                </w:tcPr>
                <w:p w14:paraId="558245B2">
                  <w:pPr>
                    <w:keepNext w:val="0"/>
                    <w:keepLines w:val="0"/>
                    <w:pageBreakBefore w:val="0"/>
                    <w:widowControl w:val="0"/>
                    <w:pBdr>
                      <w:top w:val="none" w:color="auto" w:sz="0" w:space="1"/>
                      <w:left w:val="none" w:color="auto" w:sz="0" w:space="4"/>
                      <w:bottom w:val="none" w:color="auto" w:sz="0" w:space="1"/>
                      <w:right w:val="none" w:color="auto" w:sz="0" w:space="4"/>
                    </w:pBdr>
                    <w:kinsoku/>
                    <w:wordWrap w:val="0"/>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Cs w:val="21"/>
                      <w:lang w:val="en-US" w:eastAsia="zh-CN"/>
                    </w:rPr>
                  </w:pPr>
                  <w:r>
                    <w:rPr>
                      <w:rFonts w:hint="eastAsia" w:ascii="Times New Roman" w:hAnsi="Times New Roman" w:eastAsia="宋体" w:cs="Times New Roman"/>
                      <w:color w:val="auto"/>
                      <w:kern w:val="0"/>
                      <w:szCs w:val="21"/>
                    </w:rPr>
                    <w:t>《恶臭污染物排放标准》（GB14554-93）</w:t>
                  </w:r>
                </w:p>
              </w:tc>
            </w:tr>
          </w:tbl>
          <w:p w14:paraId="5E2A58A0">
            <w:pPr>
              <w:pStyle w:val="71"/>
              <w:snapToGrid w:val="0"/>
              <w:spacing w:line="360" w:lineRule="auto"/>
              <w:rPr>
                <w:b/>
                <w:bCs/>
                <w:color w:val="auto"/>
                <w:sz w:val="24"/>
                <w:szCs w:val="24"/>
              </w:rPr>
            </w:pPr>
            <w:r>
              <w:rPr>
                <w:rFonts w:hint="eastAsia"/>
                <w:b/>
                <w:bCs/>
                <w:color w:val="auto"/>
                <w:sz w:val="24"/>
                <w:szCs w:val="24"/>
              </w:rPr>
              <w:t>1</w:t>
            </w:r>
            <w:r>
              <w:rPr>
                <w:b/>
                <w:bCs/>
                <w:color w:val="auto"/>
                <w:sz w:val="24"/>
                <w:szCs w:val="24"/>
              </w:rPr>
              <w:t>.</w:t>
            </w:r>
            <w:r>
              <w:rPr>
                <w:rFonts w:hint="eastAsia"/>
                <w:b/>
                <w:bCs/>
                <w:color w:val="auto"/>
                <w:sz w:val="24"/>
                <w:szCs w:val="24"/>
                <w:lang w:val="en-US" w:eastAsia="zh-CN"/>
              </w:rPr>
              <w:t>5</w:t>
            </w:r>
            <w:r>
              <w:rPr>
                <w:rFonts w:hint="eastAsia"/>
                <w:b/>
                <w:bCs/>
                <w:color w:val="auto"/>
                <w:sz w:val="24"/>
                <w:szCs w:val="24"/>
              </w:rPr>
              <w:t>大气环境影响</w:t>
            </w:r>
          </w:p>
          <w:p w14:paraId="300B5237">
            <w:pPr>
              <w:adjustRightInd w:val="0"/>
              <w:snapToGrid w:val="0"/>
              <w:spacing w:line="360" w:lineRule="auto"/>
              <w:ind w:firstLine="480" w:firstLineChars="200"/>
              <w:rPr>
                <w:color w:val="auto"/>
                <w:sz w:val="24"/>
              </w:rPr>
            </w:pPr>
            <w:r>
              <w:rPr>
                <w:rFonts w:hint="eastAsia"/>
                <w:color w:val="auto"/>
                <w:sz w:val="24"/>
              </w:rPr>
              <w:t>本项目主要污染物包括颗粒物、氯化氢</w:t>
            </w:r>
            <w:r>
              <w:rPr>
                <w:rFonts w:hint="eastAsia"/>
                <w:color w:val="auto"/>
                <w:sz w:val="24"/>
                <w:lang w:eastAsia="zh-CN"/>
              </w:rPr>
              <w:t>、</w:t>
            </w:r>
            <w:r>
              <w:rPr>
                <w:rFonts w:hint="eastAsia"/>
                <w:color w:val="auto"/>
                <w:sz w:val="24"/>
                <w:lang w:val="en-US" w:eastAsia="zh-CN"/>
              </w:rPr>
              <w:t>硝酸雾、硫酸</w:t>
            </w:r>
            <w:r>
              <w:rPr>
                <w:rFonts w:hint="eastAsia"/>
                <w:color w:val="auto"/>
                <w:sz w:val="24"/>
              </w:rPr>
              <w:t>雾</w:t>
            </w:r>
            <w:r>
              <w:rPr>
                <w:rFonts w:hint="eastAsia"/>
                <w:color w:val="auto"/>
                <w:sz w:val="24"/>
                <w:lang w:val="en-US" w:eastAsia="zh-CN"/>
              </w:rPr>
              <w:t>和氨</w:t>
            </w:r>
            <w:r>
              <w:rPr>
                <w:rFonts w:hint="eastAsia"/>
                <w:color w:val="auto"/>
                <w:sz w:val="24"/>
              </w:rPr>
              <w:t>，</w:t>
            </w:r>
            <w:r>
              <w:rPr>
                <w:rFonts w:hint="eastAsia"/>
                <w:color w:val="auto"/>
                <w:sz w:val="24"/>
                <w:lang w:val="en-US" w:eastAsia="zh-CN"/>
              </w:rPr>
              <w:t>棒磨筒吹气清理颗粒物经通风橱收集后通过布袋除尘器处理后</w:t>
            </w:r>
            <w:r>
              <w:rPr>
                <w:rFonts w:hint="eastAsia"/>
                <w:color w:val="FF0000"/>
                <w:sz w:val="24"/>
                <w:szCs w:val="24"/>
                <w:lang w:val="en-US" w:eastAsia="zh-CN"/>
              </w:rPr>
              <w:t>通过回风管路回流至吹气系统，再次作为棒磨筒清理的吹气气源，无废气排放至外环境。</w:t>
            </w:r>
            <w:r>
              <w:rPr>
                <w:rFonts w:hint="eastAsia"/>
                <w:color w:val="auto"/>
                <w:sz w:val="24"/>
              </w:rPr>
              <w:t>酸性废气采用“</w:t>
            </w:r>
            <w:r>
              <w:rPr>
                <w:rFonts w:hint="eastAsia"/>
                <w:color w:val="auto"/>
                <w:sz w:val="24"/>
                <w:lang w:val="en-US" w:eastAsia="zh-CN"/>
              </w:rPr>
              <w:t>通风橱</w:t>
            </w:r>
            <w:r>
              <w:rPr>
                <w:rFonts w:hint="eastAsia"/>
                <w:color w:val="auto"/>
                <w:sz w:val="24"/>
              </w:rPr>
              <w:t>+碱液喷淋吸收”的工艺处理后经</w:t>
            </w:r>
            <w:r>
              <w:rPr>
                <w:color w:val="auto"/>
                <w:sz w:val="24"/>
              </w:rPr>
              <w:t>15</w:t>
            </w:r>
            <w:r>
              <w:rPr>
                <w:rFonts w:hint="eastAsia"/>
                <w:color w:val="auto"/>
                <w:sz w:val="24"/>
              </w:rPr>
              <w:t>m排气筒有组织排放；</w:t>
            </w:r>
            <w:r>
              <w:rPr>
                <w:rFonts w:hint="eastAsia"/>
                <w:color w:val="auto"/>
                <w:sz w:val="24"/>
                <w:lang w:val="en-US" w:eastAsia="zh-CN"/>
              </w:rPr>
              <w:t>检测过程实验室</w:t>
            </w:r>
            <w:r>
              <w:rPr>
                <w:rFonts w:hint="eastAsia"/>
                <w:color w:val="auto"/>
                <w:sz w:val="24"/>
              </w:rPr>
              <w:t>采取封闭措施。</w:t>
            </w:r>
          </w:p>
          <w:p w14:paraId="2354D3C8">
            <w:pPr>
              <w:adjustRightInd w:val="0"/>
              <w:snapToGrid w:val="0"/>
              <w:spacing w:line="360" w:lineRule="auto"/>
              <w:ind w:firstLine="480" w:firstLineChars="200"/>
              <w:rPr>
                <w:rFonts w:hint="eastAsia"/>
                <w:color w:val="auto"/>
                <w:sz w:val="24"/>
              </w:rPr>
            </w:pPr>
            <w:r>
              <w:rPr>
                <w:rFonts w:hint="eastAsia"/>
                <w:color w:val="auto"/>
                <w:sz w:val="24"/>
              </w:rPr>
              <w:t>综上所述，本项目有组织和无组织废气治理措施均属于可行技术，氯化氢</w:t>
            </w:r>
            <w:r>
              <w:rPr>
                <w:rFonts w:hint="eastAsia"/>
                <w:color w:val="auto"/>
                <w:sz w:val="24"/>
                <w:lang w:eastAsia="zh-CN"/>
              </w:rPr>
              <w:t>、</w:t>
            </w:r>
            <w:r>
              <w:rPr>
                <w:rFonts w:hint="eastAsia"/>
                <w:color w:val="auto"/>
                <w:sz w:val="24"/>
                <w:lang w:val="en-US" w:eastAsia="zh-CN"/>
              </w:rPr>
              <w:t>硝酸雾、硫酸</w:t>
            </w:r>
            <w:r>
              <w:rPr>
                <w:rFonts w:hint="eastAsia"/>
                <w:color w:val="auto"/>
                <w:sz w:val="24"/>
              </w:rPr>
              <w:t>雾排放满足</w:t>
            </w:r>
            <w:r>
              <w:rPr>
                <w:rFonts w:hint="eastAsia"/>
                <w:color w:val="auto"/>
                <w:sz w:val="24"/>
                <w:lang w:val="en-US" w:eastAsia="zh-CN"/>
              </w:rPr>
              <w:t>《大气污染物综合排放标准》（GB16297-1996）中表2新污染源大气污染物排放限值</w:t>
            </w:r>
            <w:r>
              <w:rPr>
                <w:rFonts w:hint="eastAsia"/>
                <w:color w:val="auto"/>
                <w:sz w:val="24"/>
              </w:rPr>
              <w:t>，</w:t>
            </w:r>
            <w:r>
              <w:rPr>
                <w:rFonts w:hint="eastAsia"/>
                <w:color w:val="auto"/>
                <w:sz w:val="24"/>
                <w:lang w:val="en-US" w:eastAsia="zh-CN"/>
              </w:rPr>
              <w:t>氨排放《恶臭污染物排放标准》（GB14554-93）</w:t>
            </w:r>
            <w:r>
              <w:rPr>
                <w:rFonts w:hint="eastAsia"/>
                <w:color w:val="auto"/>
                <w:sz w:val="24"/>
              </w:rPr>
              <w:t>，且项目厂界外</w:t>
            </w:r>
            <w:r>
              <w:rPr>
                <w:color w:val="auto"/>
                <w:sz w:val="24"/>
              </w:rPr>
              <w:t>500m范围内无自然保护区、风景名胜区、文化区和农村地区人群较集中的区域等环境保护目标</w:t>
            </w:r>
            <w:r>
              <w:rPr>
                <w:rFonts w:hint="eastAsia"/>
                <w:color w:val="auto"/>
                <w:sz w:val="24"/>
              </w:rPr>
              <w:t>。因此，本项目建设运行后，对周围大气环境影响较小。</w:t>
            </w:r>
          </w:p>
          <w:p w14:paraId="7EB83055">
            <w:pPr>
              <w:pStyle w:val="71"/>
              <w:snapToGrid w:val="0"/>
              <w:spacing w:line="360" w:lineRule="auto"/>
              <w:rPr>
                <w:b/>
                <w:bCs/>
                <w:color w:val="auto"/>
                <w:sz w:val="24"/>
                <w:szCs w:val="24"/>
              </w:rPr>
            </w:pPr>
            <w:r>
              <w:rPr>
                <w:b/>
                <w:bCs/>
                <w:color w:val="auto"/>
                <w:sz w:val="24"/>
                <w:szCs w:val="24"/>
              </w:rPr>
              <w:t>2</w:t>
            </w:r>
            <w:r>
              <w:rPr>
                <w:rFonts w:hint="eastAsia"/>
                <w:b/>
                <w:bCs/>
                <w:color w:val="auto"/>
                <w:sz w:val="24"/>
                <w:szCs w:val="24"/>
              </w:rPr>
              <w:t xml:space="preserve"> 水环境影响分析和保护措施</w:t>
            </w:r>
          </w:p>
          <w:p w14:paraId="38A73528">
            <w:pPr>
              <w:pStyle w:val="71"/>
              <w:snapToGrid w:val="0"/>
              <w:spacing w:line="360" w:lineRule="auto"/>
              <w:rPr>
                <w:rFonts w:hint="eastAsia"/>
                <w:color w:val="auto"/>
                <w:sz w:val="24"/>
                <w:szCs w:val="24"/>
              </w:rPr>
            </w:pPr>
            <w:r>
              <w:rPr>
                <w:rFonts w:hint="eastAsia"/>
                <w:b/>
                <w:bCs/>
                <w:color w:val="auto"/>
                <w:sz w:val="24"/>
                <w:szCs w:val="24"/>
              </w:rPr>
              <w:t>2</w:t>
            </w:r>
            <w:r>
              <w:rPr>
                <w:b/>
                <w:bCs/>
                <w:color w:val="auto"/>
                <w:sz w:val="24"/>
                <w:szCs w:val="24"/>
              </w:rPr>
              <w:t>.1</w:t>
            </w:r>
            <w:r>
              <w:rPr>
                <w:rFonts w:hint="eastAsia"/>
                <w:b/>
                <w:bCs/>
                <w:color w:val="auto"/>
                <w:sz w:val="24"/>
                <w:szCs w:val="24"/>
              </w:rPr>
              <w:t>污染源强分析</w:t>
            </w:r>
          </w:p>
          <w:p w14:paraId="32397085">
            <w:pPr>
              <w:adjustRightInd w:val="0"/>
              <w:snapToGrid w:val="0"/>
              <w:spacing w:line="360" w:lineRule="auto"/>
              <w:ind w:firstLine="480" w:firstLineChars="200"/>
              <w:rPr>
                <w:rFonts w:hint="default" w:eastAsia="宋体"/>
                <w:color w:val="auto"/>
                <w:sz w:val="24"/>
                <w:lang w:val="en-US" w:eastAsia="zh-CN"/>
              </w:rPr>
            </w:pPr>
            <w:r>
              <w:rPr>
                <w:rFonts w:hint="eastAsia"/>
                <w:color w:val="auto"/>
                <w:sz w:val="24"/>
              </w:rPr>
              <w:t>本项目产生的污水主要有纯水制备装置浓水、检测废水、实验器皿清洗废水、喷淋塔废水、生活污水等，</w:t>
            </w:r>
            <w:r>
              <w:rPr>
                <w:rFonts w:hint="eastAsia"/>
                <w:color w:val="auto"/>
                <w:sz w:val="24"/>
                <w:lang w:val="en-US" w:eastAsia="zh-CN"/>
              </w:rPr>
              <w:t>实验</w:t>
            </w:r>
            <w:r>
              <w:rPr>
                <w:rFonts w:hint="eastAsia"/>
                <w:color w:val="auto"/>
                <w:sz w:val="24"/>
              </w:rPr>
              <w:t>溶液由纯水制备而来，废液分类收集，作为危废处理，其他废水进入一体化污水处理设备处理。</w:t>
            </w:r>
            <w:r>
              <w:rPr>
                <w:rFonts w:hint="eastAsia"/>
                <w:color w:val="auto"/>
                <w:sz w:val="24"/>
                <w:lang w:val="en-US" w:eastAsia="zh-CN"/>
              </w:rPr>
              <w:t>项目为检测服务业，检测设备主要为分光光度计，不产生设备清洗废水，样品加工</w:t>
            </w:r>
            <w:r>
              <w:rPr>
                <w:rFonts w:hint="eastAsia"/>
                <w:color w:val="auto"/>
                <w:kern w:val="0"/>
                <w:sz w:val="24"/>
                <w:lang w:val="en-US" w:eastAsia="zh-CN"/>
              </w:rPr>
              <w:t>颚式破碎机</w:t>
            </w:r>
            <w:r>
              <w:rPr>
                <w:rFonts w:hint="eastAsia"/>
                <w:color w:val="auto"/>
                <w:kern w:val="0"/>
                <w:sz w:val="24"/>
              </w:rPr>
              <w:t>、圆盘破碎机、</w:t>
            </w:r>
            <w:r>
              <w:rPr>
                <w:rFonts w:hint="eastAsia"/>
                <w:color w:val="auto"/>
                <w:kern w:val="0"/>
                <w:sz w:val="24"/>
                <w:lang w:val="en-US" w:eastAsia="zh-CN"/>
              </w:rPr>
              <w:t>棒磨</w:t>
            </w:r>
            <w:r>
              <w:rPr>
                <w:rFonts w:hint="eastAsia"/>
                <w:color w:val="auto"/>
                <w:kern w:val="0"/>
                <w:sz w:val="24"/>
              </w:rPr>
              <w:t>机</w:t>
            </w:r>
            <w:r>
              <w:rPr>
                <w:rFonts w:hint="eastAsia"/>
                <w:color w:val="auto"/>
                <w:kern w:val="0"/>
                <w:sz w:val="24"/>
                <w:lang w:val="en-US" w:eastAsia="zh-CN"/>
              </w:rPr>
              <w:t>为干式破碎、</w:t>
            </w:r>
            <w:r>
              <w:rPr>
                <w:rFonts w:ascii="宋体" w:hAnsi="宋体" w:eastAsia="宋体" w:cs="宋体"/>
                <w:color w:val="auto"/>
                <w:sz w:val="24"/>
                <w:szCs w:val="24"/>
              </w:rPr>
              <w:t>干磨设备</w:t>
            </w:r>
            <w:r>
              <w:rPr>
                <w:rFonts w:hint="eastAsia" w:ascii="宋体" w:hAnsi="宋体" w:eastAsia="宋体" w:cs="宋体"/>
                <w:color w:val="auto"/>
                <w:sz w:val="24"/>
                <w:szCs w:val="24"/>
                <w:lang w:eastAsia="zh-CN"/>
              </w:rPr>
              <w:t>，</w:t>
            </w:r>
            <w:r>
              <w:rPr>
                <w:rFonts w:ascii="宋体" w:hAnsi="宋体" w:eastAsia="宋体" w:cs="宋体"/>
                <w:color w:val="auto"/>
                <w:sz w:val="24"/>
                <w:szCs w:val="24"/>
              </w:rPr>
              <w:t>生产运行不需要设备清洗，不产生设备清洗废水</w:t>
            </w: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lang w:val="en-US" w:eastAsia="zh-CN"/>
              </w:rPr>
              <w:t>项目不属于工业生产，实验室仅日常打扫拖地面，不产生地面冲洗废水。</w:t>
            </w:r>
          </w:p>
          <w:p w14:paraId="1634E247">
            <w:pPr>
              <w:tabs>
                <w:tab w:val="left" w:pos="900"/>
              </w:tabs>
              <w:adjustRightInd w:val="0"/>
              <w:snapToGrid w:val="0"/>
              <w:spacing w:line="360" w:lineRule="auto"/>
              <w:ind w:firstLine="482"/>
              <w:rPr>
                <w:rFonts w:hint="default" w:eastAsia="宋体"/>
                <w:color w:val="auto"/>
                <w:sz w:val="24"/>
                <w:lang w:val="en-US" w:eastAsia="zh-CN"/>
              </w:rPr>
            </w:pPr>
            <w:r>
              <w:rPr>
                <w:rFonts w:hint="eastAsia"/>
                <w:color w:val="auto"/>
                <w:sz w:val="24"/>
                <w:lang w:eastAsia="zh-CN"/>
              </w:rPr>
              <w:t>（</w:t>
            </w:r>
            <w:r>
              <w:rPr>
                <w:rFonts w:hint="eastAsia"/>
                <w:color w:val="auto"/>
                <w:sz w:val="24"/>
                <w:lang w:val="en-US" w:eastAsia="zh-CN"/>
              </w:rPr>
              <w:t>1</w:t>
            </w:r>
            <w:r>
              <w:rPr>
                <w:rFonts w:hint="eastAsia"/>
                <w:color w:val="auto"/>
                <w:sz w:val="24"/>
                <w:lang w:eastAsia="zh-CN"/>
              </w:rPr>
              <w:t>）</w:t>
            </w:r>
            <w:r>
              <w:rPr>
                <w:rFonts w:hint="eastAsia"/>
                <w:color w:val="auto"/>
                <w:sz w:val="24"/>
                <w:lang w:val="en-US" w:eastAsia="zh-CN"/>
              </w:rPr>
              <w:t>纯水制备装置浓水</w:t>
            </w:r>
          </w:p>
          <w:p w14:paraId="7D7E59AC">
            <w:pPr>
              <w:tabs>
                <w:tab w:val="left" w:pos="900"/>
              </w:tabs>
              <w:adjustRightInd w:val="0"/>
              <w:snapToGrid w:val="0"/>
              <w:spacing w:line="360" w:lineRule="auto"/>
              <w:ind w:firstLine="482"/>
              <w:rPr>
                <w:rFonts w:hint="default" w:eastAsia="宋体"/>
                <w:color w:val="auto"/>
                <w:sz w:val="24"/>
                <w:lang w:val="en-US" w:eastAsia="zh-CN"/>
              </w:rPr>
            </w:pPr>
            <w:r>
              <w:rPr>
                <w:rFonts w:hint="default" w:eastAsia="宋体"/>
                <w:color w:val="auto"/>
                <w:sz w:val="24"/>
                <w:lang w:val="en-US" w:eastAsia="zh-CN"/>
              </w:rPr>
              <w:t>根据水平衡计算，本项目纯水制备装置用水量约为0.</w:t>
            </w:r>
            <w:r>
              <w:rPr>
                <w:rFonts w:hint="eastAsia"/>
                <w:color w:val="auto"/>
                <w:sz w:val="24"/>
                <w:lang w:val="en-US" w:eastAsia="zh-CN"/>
              </w:rPr>
              <w:t>2</w:t>
            </w:r>
            <w:r>
              <w:rPr>
                <w:rFonts w:hint="default" w:eastAsia="宋体"/>
                <w:color w:val="auto"/>
                <w:sz w:val="24"/>
                <w:lang w:val="en-US" w:eastAsia="zh-CN"/>
              </w:rPr>
              <w:t>m³/d、</w:t>
            </w:r>
            <w:r>
              <w:rPr>
                <w:rFonts w:hint="eastAsia"/>
                <w:color w:val="auto"/>
                <w:sz w:val="24"/>
                <w:lang w:val="en-US" w:eastAsia="zh-CN"/>
              </w:rPr>
              <w:t>60</w:t>
            </w:r>
            <w:r>
              <w:rPr>
                <w:rFonts w:hint="default" w:eastAsia="宋体"/>
                <w:color w:val="auto"/>
                <w:sz w:val="24"/>
                <w:lang w:val="en-US" w:eastAsia="zh-CN"/>
              </w:rPr>
              <w:t>m³/a</w:t>
            </w:r>
            <w:r>
              <w:rPr>
                <w:rFonts w:hint="eastAsia"/>
                <w:color w:val="auto"/>
                <w:sz w:val="24"/>
                <w:lang w:val="en-US" w:eastAsia="zh-CN"/>
              </w:rPr>
              <w:t>，</w:t>
            </w:r>
            <w:r>
              <w:rPr>
                <w:rFonts w:hint="default" w:eastAsia="宋体"/>
                <w:color w:val="auto"/>
                <w:sz w:val="24"/>
                <w:lang w:val="en-US" w:eastAsia="zh-CN"/>
              </w:rPr>
              <w:t>纯水制备装置废水量约为用水量</w:t>
            </w:r>
            <w:r>
              <w:rPr>
                <w:rFonts w:hint="eastAsia"/>
                <w:color w:val="auto"/>
                <w:sz w:val="24"/>
                <w:lang w:val="en-US" w:eastAsia="zh-CN"/>
              </w:rPr>
              <w:t>50</w:t>
            </w:r>
            <w:r>
              <w:rPr>
                <w:rFonts w:hint="default" w:eastAsia="宋体"/>
                <w:color w:val="auto"/>
                <w:sz w:val="24"/>
                <w:lang w:val="en-US" w:eastAsia="zh-CN"/>
              </w:rPr>
              <w:t>%</w:t>
            </w:r>
            <w:r>
              <w:rPr>
                <w:rFonts w:hint="eastAsia"/>
                <w:color w:val="auto"/>
                <w:sz w:val="24"/>
                <w:lang w:val="en-US" w:eastAsia="zh-CN"/>
              </w:rPr>
              <w:t>，</w:t>
            </w:r>
            <w:r>
              <w:rPr>
                <w:rFonts w:hint="default" w:eastAsia="宋体"/>
                <w:color w:val="auto"/>
                <w:sz w:val="24"/>
                <w:lang w:val="en-US" w:eastAsia="zh-CN"/>
              </w:rPr>
              <w:t>则浓水量为</w:t>
            </w:r>
            <w:r>
              <w:rPr>
                <w:rFonts w:hint="eastAsia"/>
                <w:color w:val="auto"/>
                <w:sz w:val="24"/>
                <w:lang w:val="en-US" w:eastAsia="zh-CN"/>
              </w:rPr>
              <w:t>0.1m</w:t>
            </w:r>
            <w:r>
              <w:rPr>
                <w:rFonts w:hint="eastAsia"/>
                <w:color w:val="auto"/>
                <w:sz w:val="24"/>
                <w:vertAlign w:val="superscript"/>
                <w:lang w:val="en-US" w:eastAsia="zh-CN"/>
              </w:rPr>
              <w:t>3</w:t>
            </w:r>
            <w:r>
              <w:rPr>
                <w:rFonts w:hint="eastAsia"/>
                <w:color w:val="auto"/>
                <w:sz w:val="24"/>
                <w:lang w:val="en-US" w:eastAsia="zh-CN"/>
              </w:rPr>
              <w:t>/d、30m</w:t>
            </w:r>
            <w:r>
              <w:rPr>
                <w:rFonts w:hint="eastAsia"/>
                <w:color w:val="auto"/>
                <w:sz w:val="24"/>
                <w:vertAlign w:val="superscript"/>
                <w:lang w:val="en-US" w:eastAsia="zh-CN"/>
              </w:rPr>
              <w:t>3</w:t>
            </w:r>
            <w:r>
              <w:rPr>
                <w:rFonts w:hint="eastAsia"/>
                <w:color w:val="auto"/>
                <w:sz w:val="24"/>
                <w:lang w:val="en-US" w:eastAsia="zh-CN"/>
              </w:rPr>
              <w:t>/a，</w:t>
            </w:r>
            <w:r>
              <w:rPr>
                <w:rFonts w:hint="default" w:eastAsia="宋体"/>
                <w:color w:val="auto"/>
                <w:sz w:val="24"/>
                <w:lang w:val="en-US" w:eastAsia="zh-CN"/>
              </w:rPr>
              <w:t>纯水制备装置</w:t>
            </w:r>
            <w:r>
              <w:rPr>
                <w:rFonts w:hint="eastAsia"/>
                <w:color w:val="auto"/>
                <w:sz w:val="24"/>
                <w:lang w:val="en-US" w:eastAsia="zh-CN"/>
              </w:rPr>
              <w:t>排入废水池</w:t>
            </w:r>
            <w:r>
              <w:rPr>
                <w:rFonts w:hint="default" w:eastAsia="宋体"/>
                <w:color w:val="auto"/>
                <w:sz w:val="24"/>
                <w:lang w:val="en-US" w:eastAsia="zh-CN"/>
              </w:rPr>
              <w:t>。</w:t>
            </w:r>
            <w:r>
              <w:rPr>
                <w:rFonts w:hint="eastAsia"/>
                <w:color w:val="auto"/>
                <w:sz w:val="24"/>
                <w:lang w:val="en-US" w:eastAsia="zh-CN"/>
              </w:rPr>
              <w:t>污染因子COD200300mg/L、SS200mg/L。</w:t>
            </w:r>
          </w:p>
          <w:p w14:paraId="797CA482">
            <w:pPr>
              <w:tabs>
                <w:tab w:val="left" w:pos="900"/>
              </w:tabs>
              <w:adjustRightInd w:val="0"/>
              <w:snapToGrid w:val="0"/>
              <w:spacing w:line="360" w:lineRule="auto"/>
              <w:ind w:firstLine="482"/>
              <w:rPr>
                <w:color w:val="auto"/>
                <w:sz w:val="24"/>
              </w:rPr>
            </w:pPr>
            <w:r>
              <w:rPr>
                <w:rFonts w:hint="eastAsia"/>
                <w:color w:val="auto"/>
                <w:sz w:val="24"/>
                <w:lang w:val="en-US" w:eastAsia="zh-CN"/>
              </w:rPr>
              <w:t>（2）检测</w:t>
            </w:r>
            <w:r>
              <w:rPr>
                <w:rFonts w:hint="eastAsia"/>
                <w:color w:val="auto"/>
                <w:sz w:val="24"/>
              </w:rPr>
              <w:t>废水</w:t>
            </w:r>
          </w:p>
          <w:p w14:paraId="73A3DD44">
            <w:pPr>
              <w:tabs>
                <w:tab w:val="left" w:pos="900"/>
              </w:tabs>
              <w:adjustRightInd w:val="0"/>
              <w:snapToGrid w:val="0"/>
              <w:spacing w:line="360" w:lineRule="auto"/>
              <w:ind w:firstLine="482"/>
              <w:rPr>
                <w:color w:val="auto"/>
                <w:sz w:val="24"/>
              </w:rPr>
            </w:pPr>
            <w:r>
              <w:rPr>
                <w:rFonts w:hint="default" w:eastAsia="宋体"/>
                <w:color w:val="auto"/>
                <w:sz w:val="24"/>
                <w:lang w:val="en-US" w:eastAsia="zh-CN"/>
              </w:rPr>
              <w:t>根据水平衡计算，本项目检测用水量约为</w:t>
            </w:r>
            <w:r>
              <w:rPr>
                <w:rFonts w:hint="eastAsia"/>
                <w:color w:val="auto"/>
                <w:sz w:val="24"/>
                <w:szCs w:val="24"/>
                <w:lang w:val="en-US" w:eastAsia="zh-CN"/>
              </w:rPr>
              <w:t>0.025m</w:t>
            </w:r>
            <w:r>
              <w:rPr>
                <w:rFonts w:hint="eastAsia"/>
                <w:color w:val="auto"/>
                <w:sz w:val="24"/>
                <w:szCs w:val="24"/>
                <w:vertAlign w:val="superscript"/>
                <w:lang w:val="en-US" w:eastAsia="zh-CN"/>
              </w:rPr>
              <w:t>3</w:t>
            </w:r>
            <w:r>
              <w:rPr>
                <w:rFonts w:hint="eastAsia"/>
                <w:color w:val="auto"/>
                <w:sz w:val="24"/>
                <w:szCs w:val="24"/>
                <w:lang w:val="en-US" w:eastAsia="zh-CN"/>
              </w:rPr>
              <w:t>/d、7.5m</w:t>
            </w:r>
            <w:r>
              <w:rPr>
                <w:rFonts w:hint="eastAsia"/>
                <w:color w:val="auto"/>
                <w:sz w:val="24"/>
                <w:szCs w:val="24"/>
                <w:vertAlign w:val="superscript"/>
                <w:lang w:val="en-US" w:eastAsia="zh-CN"/>
              </w:rPr>
              <w:t>3</w:t>
            </w:r>
            <w:r>
              <w:rPr>
                <w:rFonts w:hint="eastAsia"/>
                <w:color w:val="auto"/>
                <w:sz w:val="24"/>
                <w:szCs w:val="24"/>
                <w:lang w:val="en-US" w:eastAsia="zh-CN"/>
              </w:rPr>
              <w:t>/a</w:t>
            </w:r>
            <w:r>
              <w:rPr>
                <w:rFonts w:hint="default" w:eastAsia="宋体"/>
                <w:color w:val="auto"/>
                <w:sz w:val="24"/>
                <w:lang w:val="en-US" w:eastAsia="zh-CN"/>
              </w:rPr>
              <w:t>，</w:t>
            </w:r>
            <w:r>
              <w:rPr>
                <w:rFonts w:hint="eastAsia"/>
                <w:color w:val="auto"/>
                <w:sz w:val="24"/>
                <w:lang w:val="en-US" w:eastAsia="zh-CN"/>
              </w:rPr>
              <w:t>分析时配制试剂过程中约30%的水会蒸发损耗，其余70%形成实验废液，产生量为5.25m</w:t>
            </w:r>
            <w:r>
              <w:rPr>
                <w:rFonts w:hint="eastAsia"/>
                <w:color w:val="auto"/>
                <w:sz w:val="24"/>
                <w:vertAlign w:val="superscript"/>
                <w:lang w:val="en-US" w:eastAsia="zh-CN"/>
              </w:rPr>
              <w:t>3</w:t>
            </w:r>
            <w:r>
              <w:rPr>
                <w:rFonts w:hint="eastAsia"/>
                <w:color w:val="auto"/>
                <w:sz w:val="24"/>
                <w:lang w:val="en-US" w:eastAsia="zh-CN"/>
              </w:rPr>
              <w:t>/a，收集后做危废管理。</w:t>
            </w:r>
          </w:p>
          <w:p w14:paraId="7C70379F">
            <w:pPr>
              <w:tabs>
                <w:tab w:val="left" w:pos="900"/>
              </w:tabs>
              <w:adjustRightInd w:val="0"/>
              <w:snapToGrid w:val="0"/>
              <w:spacing w:line="360" w:lineRule="auto"/>
              <w:ind w:firstLine="482"/>
              <w:rPr>
                <w:rFonts w:hint="eastAsia"/>
                <w:color w:val="auto"/>
                <w:sz w:val="24"/>
                <w:lang w:val="en-US" w:eastAsia="zh-CN"/>
              </w:rPr>
            </w:pPr>
            <w:r>
              <w:rPr>
                <w:rFonts w:hint="eastAsia"/>
                <w:color w:val="auto"/>
                <w:sz w:val="24"/>
                <w:lang w:val="en-US" w:eastAsia="zh-CN"/>
              </w:rPr>
              <w:t>（3）实验室器具清洗废水</w:t>
            </w:r>
          </w:p>
          <w:p w14:paraId="3823E312">
            <w:pPr>
              <w:tabs>
                <w:tab w:val="left" w:pos="900"/>
              </w:tabs>
              <w:adjustRightInd w:val="0"/>
              <w:snapToGrid w:val="0"/>
              <w:spacing w:line="360" w:lineRule="auto"/>
              <w:ind w:firstLine="482"/>
              <w:rPr>
                <w:color w:val="auto"/>
                <w:sz w:val="24"/>
              </w:rPr>
            </w:pPr>
            <w:r>
              <w:rPr>
                <w:rFonts w:hint="eastAsia"/>
                <w:color w:val="auto"/>
                <w:sz w:val="24"/>
                <w:lang w:val="en-US" w:eastAsia="zh-CN"/>
              </w:rPr>
              <w:t>实验器具初次清洗、中段清洗采用自来水，后段清洗采用纯水，实验操作过程中初次清洗用水量约为</w:t>
            </w:r>
            <w:r>
              <w:rPr>
                <w:rFonts w:hint="eastAsia"/>
                <w:color w:val="auto"/>
                <w:sz w:val="24"/>
                <w:szCs w:val="24"/>
                <w:lang w:val="en-US" w:eastAsia="zh-CN"/>
              </w:rPr>
              <w:t>0.01m</w:t>
            </w:r>
            <w:r>
              <w:rPr>
                <w:rFonts w:hint="eastAsia"/>
                <w:color w:val="auto"/>
                <w:sz w:val="24"/>
                <w:szCs w:val="24"/>
                <w:vertAlign w:val="superscript"/>
                <w:lang w:val="en-US" w:eastAsia="zh-CN"/>
              </w:rPr>
              <w:t>3</w:t>
            </w:r>
            <w:r>
              <w:rPr>
                <w:rFonts w:hint="eastAsia"/>
                <w:color w:val="auto"/>
                <w:sz w:val="24"/>
                <w:szCs w:val="24"/>
                <w:lang w:val="en-US" w:eastAsia="zh-CN"/>
              </w:rPr>
              <w:t>/d、3m</w:t>
            </w:r>
            <w:r>
              <w:rPr>
                <w:rFonts w:hint="eastAsia"/>
                <w:color w:val="auto"/>
                <w:sz w:val="24"/>
                <w:szCs w:val="24"/>
                <w:vertAlign w:val="superscript"/>
                <w:lang w:val="en-US" w:eastAsia="zh-CN"/>
              </w:rPr>
              <w:t>3</w:t>
            </w:r>
            <w:r>
              <w:rPr>
                <w:rFonts w:hint="eastAsia"/>
                <w:color w:val="auto"/>
                <w:sz w:val="24"/>
                <w:szCs w:val="24"/>
                <w:lang w:val="en-US" w:eastAsia="zh-CN"/>
              </w:rPr>
              <w:t>/a</w:t>
            </w:r>
            <w:r>
              <w:rPr>
                <w:rFonts w:hint="eastAsia"/>
                <w:color w:val="auto"/>
                <w:sz w:val="24"/>
                <w:lang w:val="en-US" w:eastAsia="zh-CN"/>
              </w:rPr>
              <w:t>，废水量按</w:t>
            </w:r>
            <w:r>
              <w:rPr>
                <w:rFonts w:hint="default"/>
                <w:color w:val="auto"/>
                <w:sz w:val="24"/>
                <w:lang w:val="en-US" w:eastAsia="zh-CN"/>
              </w:rPr>
              <w:t>90%</w:t>
            </w:r>
            <w:r>
              <w:rPr>
                <w:rFonts w:hint="eastAsia"/>
                <w:color w:val="auto"/>
                <w:sz w:val="24"/>
                <w:lang w:val="en-US" w:eastAsia="zh-CN"/>
              </w:rPr>
              <w:t>计算，初次清洗废水量约0.009</w:t>
            </w:r>
            <w:r>
              <w:rPr>
                <w:rFonts w:hint="eastAsia"/>
                <w:color w:val="auto"/>
                <w:sz w:val="24"/>
                <w:szCs w:val="24"/>
                <w:lang w:val="en-US" w:eastAsia="zh-CN"/>
              </w:rPr>
              <w:t>m</w:t>
            </w:r>
            <w:r>
              <w:rPr>
                <w:rFonts w:hint="eastAsia"/>
                <w:color w:val="auto"/>
                <w:sz w:val="24"/>
                <w:szCs w:val="24"/>
                <w:vertAlign w:val="superscript"/>
                <w:lang w:val="en-US" w:eastAsia="zh-CN"/>
              </w:rPr>
              <w:t>3</w:t>
            </w:r>
            <w:r>
              <w:rPr>
                <w:rFonts w:hint="default"/>
                <w:color w:val="auto"/>
                <w:sz w:val="24"/>
                <w:lang w:val="en-US" w:eastAsia="zh-CN"/>
              </w:rPr>
              <w:t>/d</w:t>
            </w:r>
            <w:r>
              <w:rPr>
                <w:rFonts w:hint="eastAsia"/>
                <w:color w:val="auto"/>
                <w:sz w:val="24"/>
                <w:lang w:val="en-US" w:eastAsia="zh-CN"/>
              </w:rPr>
              <w:t>、2.7</w:t>
            </w:r>
            <w:r>
              <w:rPr>
                <w:rFonts w:hint="eastAsia"/>
                <w:color w:val="auto"/>
                <w:sz w:val="24"/>
                <w:szCs w:val="24"/>
                <w:lang w:val="en-US" w:eastAsia="zh-CN"/>
              </w:rPr>
              <w:t>m</w:t>
            </w:r>
            <w:r>
              <w:rPr>
                <w:rFonts w:hint="eastAsia"/>
                <w:color w:val="auto"/>
                <w:sz w:val="24"/>
                <w:szCs w:val="24"/>
                <w:vertAlign w:val="superscript"/>
                <w:lang w:val="en-US" w:eastAsia="zh-CN"/>
              </w:rPr>
              <w:t>3</w:t>
            </w:r>
            <w:r>
              <w:rPr>
                <w:rFonts w:hint="default"/>
                <w:color w:val="auto"/>
                <w:sz w:val="24"/>
                <w:lang w:val="en-US" w:eastAsia="zh-CN"/>
              </w:rPr>
              <w:t>/a</w:t>
            </w:r>
            <w:r>
              <w:rPr>
                <w:rFonts w:hint="eastAsia"/>
                <w:color w:val="auto"/>
                <w:sz w:val="24"/>
                <w:lang w:val="en-US" w:eastAsia="zh-CN"/>
              </w:rPr>
              <w:t>，与高浓度废液一起作为危废处置；中段清洗</w:t>
            </w:r>
            <w:r>
              <w:rPr>
                <w:rFonts w:hint="eastAsia"/>
                <w:color w:val="auto"/>
                <w:sz w:val="24"/>
                <w:szCs w:val="24"/>
                <w:lang w:val="en-US" w:eastAsia="zh-CN"/>
              </w:rPr>
              <w:t>用水量约为1.19m</w:t>
            </w:r>
            <w:r>
              <w:rPr>
                <w:rFonts w:hint="eastAsia"/>
                <w:color w:val="auto"/>
                <w:sz w:val="24"/>
                <w:szCs w:val="24"/>
                <w:vertAlign w:val="superscript"/>
                <w:lang w:val="en-US" w:eastAsia="zh-CN"/>
              </w:rPr>
              <w:t>3</w:t>
            </w:r>
            <w:r>
              <w:rPr>
                <w:rFonts w:hint="eastAsia"/>
                <w:color w:val="auto"/>
                <w:sz w:val="24"/>
                <w:szCs w:val="24"/>
                <w:lang w:val="en-US" w:eastAsia="zh-CN"/>
              </w:rPr>
              <w:t>/d，357m</w:t>
            </w:r>
            <w:r>
              <w:rPr>
                <w:rFonts w:hint="eastAsia"/>
                <w:color w:val="auto"/>
                <w:sz w:val="24"/>
                <w:szCs w:val="24"/>
                <w:vertAlign w:val="superscript"/>
                <w:lang w:val="en-US" w:eastAsia="zh-CN"/>
              </w:rPr>
              <w:t>3</w:t>
            </w:r>
            <w:r>
              <w:rPr>
                <w:rFonts w:hint="eastAsia"/>
                <w:color w:val="auto"/>
                <w:sz w:val="24"/>
                <w:szCs w:val="24"/>
                <w:lang w:val="en-US" w:eastAsia="zh-CN"/>
              </w:rPr>
              <w:t>/a，</w:t>
            </w:r>
            <w:r>
              <w:rPr>
                <w:rFonts w:hint="eastAsia"/>
                <w:color w:val="auto"/>
                <w:sz w:val="24"/>
                <w:lang w:val="en-US" w:eastAsia="zh-CN"/>
              </w:rPr>
              <w:t>废水量按</w:t>
            </w:r>
            <w:r>
              <w:rPr>
                <w:rFonts w:hint="default"/>
                <w:color w:val="auto"/>
                <w:sz w:val="24"/>
                <w:lang w:val="en-US" w:eastAsia="zh-CN"/>
              </w:rPr>
              <w:t>90%</w:t>
            </w:r>
            <w:r>
              <w:rPr>
                <w:rFonts w:hint="eastAsia"/>
                <w:color w:val="auto"/>
                <w:sz w:val="24"/>
                <w:lang w:val="en-US" w:eastAsia="zh-CN"/>
              </w:rPr>
              <w:t>计算，中段清洗废水量约1.071</w:t>
            </w:r>
            <w:r>
              <w:rPr>
                <w:rFonts w:hint="eastAsia"/>
                <w:color w:val="auto"/>
                <w:sz w:val="24"/>
                <w:szCs w:val="24"/>
                <w:lang w:val="en-US" w:eastAsia="zh-CN"/>
              </w:rPr>
              <w:t>m</w:t>
            </w:r>
            <w:r>
              <w:rPr>
                <w:rFonts w:hint="eastAsia"/>
                <w:color w:val="auto"/>
                <w:sz w:val="24"/>
                <w:szCs w:val="24"/>
                <w:vertAlign w:val="superscript"/>
                <w:lang w:val="en-US" w:eastAsia="zh-CN"/>
              </w:rPr>
              <w:t>3</w:t>
            </w:r>
            <w:r>
              <w:rPr>
                <w:rFonts w:hint="default"/>
                <w:color w:val="auto"/>
                <w:sz w:val="24"/>
                <w:lang w:val="en-US" w:eastAsia="zh-CN"/>
              </w:rPr>
              <w:t>/d</w:t>
            </w:r>
            <w:r>
              <w:rPr>
                <w:rFonts w:hint="eastAsia"/>
                <w:color w:val="auto"/>
                <w:sz w:val="24"/>
                <w:lang w:val="en-US" w:eastAsia="zh-CN"/>
              </w:rPr>
              <w:t>、321.3</w:t>
            </w:r>
            <w:r>
              <w:rPr>
                <w:rFonts w:hint="eastAsia"/>
                <w:color w:val="auto"/>
                <w:sz w:val="24"/>
                <w:szCs w:val="24"/>
                <w:lang w:val="en-US" w:eastAsia="zh-CN"/>
              </w:rPr>
              <w:t>m</w:t>
            </w:r>
            <w:r>
              <w:rPr>
                <w:rFonts w:hint="eastAsia"/>
                <w:color w:val="auto"/>
                <w:sz w:val="24"/>
                <w:szCs w:val="24"/>
                <w:vertAlign w:val="superscript"/>
                <w:lang w:val="en-US" w:eastAsia="zh-CN"/>
              </w:rPr>
              <w:t>3</w:t>
            </w:r>
            <w:r>
              <w:rPr>
                <w:rFonts w:hint="default"/>
                <w:color w:val="auto"/>
                <w:sz w:val="24"/>
                <w:lang w:val="en-US" w:eastAsia="zh-CN"/>
              </w:rPr>
              <w:t>/a</w:t>
            </w:r>
            <w:r>
              <w:rPr>
                <w:rFonts w:hint="eastAsia"/>
                <w:color w:val="auto"/>
                <w:sz w:val="24"/>
                <w:lang w:val="en-US" w:eastAsia="zh-CN"/>
              </w:rPr>
              <w:t>，后段器皿清洗用水量约为</w:t>
            </w:r>
            <w:r>
              <w:rPr>
                <w:rFonts w:hint="default"/>
                <w:color w:val="auto"/>
                <w:sz w:val="24"/>
                <w:lang w:val="en-US" w:eastAsia="zh-CN"/>
              </w:rPr>
              <w:t>0.0</w:t>
            </w:r>
            <w:r>
              <w:rPr>
                <w:rFonts w:hint="eastAsia"/>
                <w:color w:val="auto"/>
                <w:sz w:val="24"/>
                <w:lang w:val="en-US" w:eastAsia="zh-CN"/>
              </w:rPr>
              <w:t>75</w:t>
            </w:r>
            <w:r>
              <w:rPr>
                <w:rFonts w:hint="default"/>
                <w:color w:val="auto"/>
                <w:sz w:val="24"/>
                <w:lang w:val="en-US" w:eastAsia="zh-CN"/>
              </w:rPr>
              <w:t>m</w:t>
            </w:r>
            <w:r>
              <w:rPr>
                <w:rFonts w:hint="default"/>
                <w:color w:val="auto"/>
                <w:sz w:val="24"/>
                <w:vertAlign w:val="superscript"/>
                <w:lang w:val="en-US" w:eastAsia="zh-CN"/>
              </w:rPr>
              <w:t>3</w:t>
            </w:r>
            <w:r>
              <w:rPr>
                <w:rFonts w:hint="default"/>
                <w:color w:val="auto"/>
                <w:sz w:val="24"/>
                <w:lang w:val="en-US" w:eastAsia="zh-CN"/>
              </w:rPr>
              <w:t>/d</w:t>
            </w:r>
            <w:r>
              <w:rPr>
                <w:rFonts w:hint="eastAsia"/>
                <w:color w:val="auto"/>
                <w:sz w:val="24"/>
                <w:lang w:val="en-US" w:eastAsia="zh-CN"/>
              </w:rPr>
              <w:t>、</w:t>
            </w:r>
            <w:r>
              <w:rPr>
                <w:rFonts w:hint="eastAsia"/>
                <w:color w:val="auto"/>
                <w:sz w:val="24"/>
                <w:szCs w:val="24"/>
                <w:lang w:val="en-US" w:eastAsia="zh-CN"/>
              </w:rPr>
              <w:t>22.5m</w:t>
            </w:r>
            <w:r>
              <w:rPr>
                <w:rFonts w:hint="eastAsia"/>
                <w:color w:val="auto"/>
                <w:sz w:val="24"/>
                <w:szCs w:val="24"/>
                <w:vertAlign w:val="superscript"/>
                <w:lang w:val="en-US" w:eastAsia="zh-CN"/>
              </w:rPr>
              <w:t>3</w:t>
            </w:r>
            <w:r>
              <w:rPr>
                <w:rFonts w:hint="eastAsia"/>
                <w:color w:val="auto"/>
                <w:sz w:val="24"/>
                <w:szCs w:val="24"/>
                <w:lang w:val="en-US" w:eastAsia="zh-CN"/>
              </w:rPr>
              <w:t>/a</w:t>
            </w:r>
            <w:r>
              <w:rPr>
                <w:rFonts w:hint="eastAsia"/>
                <w:color w:val="auto"/>
                <w:sz w:val="24"/>
                <w:lang w:val="en-US" w:eastAsia="zh-CN"/>
              </w:rPr>
              <w:t>，废水量按90</w:t>
            </w:r>
            <w:r>
              <w:rPr>
                <w:rFonts w:hint="default"/>
                <w:color w:val="auto"/>
                <w:sz w:val="24"/>
                <w:lang w:val="en-US" w:eastAsia="zh-CN"/>
              </w:rPr>
              <w:t>%</w:t>
            </w:r>
            <w:r>
              <w:rPr>
                <w:rFonts w:hint="eastAsia"/>
                <w:color w:val="auto"/>
                <w:sz w:val="24"/>
                <w:lang w:val="en-US" w:eastAsia="zh-CN"/>
              </w:rPr>
              <w:t>计算，则清洗废水量约</w:t>
            </w:r>
            <w:r>
              <w:rPr>
                <w:rFonts w:hint="default"/>
                <w:color w:val="auto"/>
                <w:sz w:val="24"/>
                <w:lang w:val="en-US" w:eastAsia="zh-CN"/>
              </w:rPr>
              <w:t>0.0</w:t>
            </w:r>
            <w:r>
              <w:rPr>
                <w:rFonts w:hint="eastAsia"/>
                <w:color w:val="auto"/>
                <w:sz w:val="24"/>
                <w:lang w:val="en-US" w:eastAsia="zh-CN"/>
              </w:rPr>
              <w:t>675</w:t>
            </w:r>
            <w:r>
              <w:rPr>
                <w:rFonts w:hint="default"/>
                <w:color w:val="auto"/>
                <w:sz w:val="24"/>
                <w:lang w:val="en-US" w:eastAsia="zh-CN"/>
              </w:rPr>
              <w:t>m</w:t>
            </w:r>
            <w:r>
              <w:rPr>
                <w:rFonts w:hint="default"/>
                <w:color w:val="auto"/>
                <w:sz w:val="24"/>
                <w:vertAlign w:val="superscript"/>
                <w:lang w:val="en-US" w:eastAsia="zh-CN"/>
              </w:rPr>
              <w:t>3</w:t>
            </w:r>
            <w:r>
              <w:rPr>
                <w:rFonts w:hint="default"/>
                <w:color w:val="auto"/>
                <w:sz w:val="24"/>
                <w:lang w:val="en-US" w:eastAsia="zh-CN"/>
              </w:rPr>
              <w:t>/d</w:t>
            </w:r>
            <w:r>
              <w:rPr>
                <w:rFonts w:hint="eastAsia"/>
                <w:color w:val="auto"/>
                <w:sz w:val="24"/>
                <w:lang w:val="en-US" w:eastAsia="zh-CN"/>
              </w:rPr>
              <w:t>、20.25</w:t>
            </w:r>
            <w:r>
              <w:rPr>
                <w:rFonts w:hint="default"/>
                <w:color w:val="auto"/>
                <w:sz w:val="24"/>
                <w:lang w:val="en-US" w:eastAsia="zh-CN"/>
              </w:rPr>
              <w:t>m</w:t>
            </w:r>
            <w:r>
              <w:rPr>
                <w:rFonts w:hint="default"/>
                <w:color w:val="auto"/>
                <w:sz w:val="24"/>
                <w:vertAlign w:val="superscript"/>
                <w:lang w:val="en-US" w:eastAsia="zh-CN"/>
              </w:rPr>
              <w:t>3</w:t>
            </w:r>
            <w:r>
              <w:rPr>
                <w:rFonts w:hint="default"/>
                <w:color w:val="auto"/>
                <w:sz w:val="24"/>
                <w:lang w:val="en-US" w:eastAsia="zh-CN"/>
              </w:rPr>
              <w:t>/a</w:t>
            </w:r>
            <w:r>
              <w:rPr>
                <w:rFonts w:hint="eastAsia"/>
                <w:color w:val="auto"/>
                <w:sz w:val="24"/>
                <w:lang w:val="en-US" w:eastAsia="zh-CN"/>
              </w:rPr>
              <w:t>。中段清洗废水、后段清洗废水收集后进入一体化污水处理设备处理。</w:t>
            </w:r>
          </w:p>
          <w:p w14:paraId="3F270C9B">
            <w:pPr>
              <w:tabs>
                <w:tab w:val="left" w:pos="900"/>
              </w:tabs>
              <w:adjustRightInd w:val="0"/>
              <w:snapToGrid w:val="0"/>
              <w:spacing w:line="360" w:lineRule="auto"/>
              <w:ind w:firstLine="482"/>
              <w:rPr>
                <w:rFonts w:hint="default"/>
                <w:color w:val="auto"/>
                <w:sz w:val="24"/>
                <w:lang w:val="en-US" w:eastAsia="zh-CN"/>
              </w:rPr>
            </w:pPr>
            <w:r>
              <w:rPr>
                <w:rFonts w:hint="eastAsia"/>
                <w:color w:val="auto"/>
                <w:sz w:val="24"/>
                <w:lang w:val="en-US" w:eastAsia="zh-CN"/>
              </w:rPr>
              <w:t>（4）喷淋塔废水</w:t>
            </w:r>
          </w:p>
          <w:p w14:paraId="3F79CF6A">
            <w:pPr>
              <w:tabs>
                <w:tab w:val="left" w:pos="900"/>
              </w:tabs>
              <w:adjustRightInd w:val="0"/>
              <w:snapToGrid w:val="0"/>
              <w:spacing w:line="360" w:lineRule="auto"/>
              <w:ind w:firstLine="482"/>
              <w:rPr>
                <w:color w:val="auto"/>
                <w:sz w:val="24"/>
              </w:rPr>
            </w:pPr>
            <w:r>
              <w:rPr>
                <w:rFonts w:hint="eastAsia"/>
                <w:color w:val="auto"/>
                <w:sz w:val="24"/>
                <w:lang w:val="en-US" w:eastAsia="zh-CN"/>
              </w:rPr>
              <w:t>根据水平衡计算，喷淋塔</w:t>
            </w:r>
            <w:r>
              <w:rPr>
                <w:rFonts w:hint="default"/>
                <w:color w:val="auto"/>
                <w:sz w:val="24"/>
                <w:lang w:val="en-US" w:eastAsia="zh-CN"/>
              </w:rPr>
              <w:t>折合日均用水量为</w:t>
            </w:r>
            <w:r>
              <w:rPr>
                <w:rFonts w:hint="eastAsia"/>
                <w:color w:val="auto"/>
                <w:sz w:val="24"/>
                <w:szCs w:val="24"/>
                <w:lang w:val="en-US" w:eastAsia="zh-CN"/>
              </w:rPr>
              <w:t>0.03m</w:t>
            </w:r>
            <w:r>
              <w:rPr>
                <w:rFonts w:hint="eastAsia"/>
                <w:color w:val="auto"/>
                <w:sz w:val="24"/>
                <w:szCs w:val="24"/>
                <w:vertAlign w:val="superscript"/>
                <w:lang w:val="en-US" w:eastAsia="zh-CN"/>
              </w:rPr>
              <w:t>3</w:t>
            </w:r>
            <w:r>
              <w:rPr>
                <w:rFonts w:hint="eastAsia"/>
                <w:color w:val="auto"/>
                <w:sz w:val="24"/>
                <w:szCs w:val="24"/>
                <w:lang w:val="en-US" w:eastAsia="zh-CN"/>
              </w:rPr>
              <w:t>/d、9m</w:t>
            </w:r>
            <w:r>
              <w:rPr>
                <w:rFonts w:hint="eastAsia"/>
                <w:color w:val="auto"/>
                <w:sz w:val="24"/>
                <w:szCs w:val="24"/>
                <w:vertAlign w:val="superscript"/>
                <w:lang w:val="en-US" w:eastAsia="zh-CN"/>
              </w:rPr>
              <w:t>3</w:t>
            </w:r>
            <w:r>
              <w:rPr>
                <w:rFonts w:hint="eastAsia"/>
                <w:color w:val="auto"/>
                <w:sz w:val="24"/>
                <w:szCs w:val="24"/>
                <w:lang w:val="en-US" w:eastAsia="zh-CN"/>
              </w:rPr>
              <w:t>/a</w:t>
            </w:r>
            <w:r>
              <w:rPr>
                <w:rFonts w:hint="default"/>
                <w:color w:val="auto"/>
                <w:sz w:val="24"/>
                <w:lang w:val="en-US" w:eastAsia="zh-CN"/>
              </w:rPr>
              <w:t>，损耗量按照用水量10%计算，则喷淋塔排水量为0.0</w:t>
            </w:r>
            <w:r>
              <w:rPr>
                <w:rFonts w:hint="eastAsia"/>
                <w:color w:val="auto"/>
                <w:sz w:val="24"/>
                <w:lang w:val="en-US" w:eastAsia="zh-CN"/>
              </w:rPr>
              <w:t>27</w:t>
            </w:r>
            <w:r>
              <w:rPr>
                <w:rFonts w:hint="default"/>
                <w:color w:val="auto"/>
                <w:sz w:val="24"/>
                <w:lang w:val="en-US" w:eastAsia="zh-CN"/>
              </w:rPr>
              <w:t>t/d，</w:t>
            </w:r>
            <w:r>
              <w:rPr>
                <w:rFonts w:hint="eastAsia"/>
                <w:color w:val="auto"/>
                <w:sz w:val="24"/>
                <w:lang w:val="en-US" w:eastAsia="zh-CN"/>
              </w:rPr>
              <w:t>8.1</w:t>
            </w:r>
            <w:r>
              <w:rPr>
                <w:rFonts w:hint="default"/>
                <w:color w:val="auto"/>
                <w:sz w:val="24"/>
                <w:lang w:val="en-US" w:eastAsia="zh-CN"/>
              </w:rPr>
              <w:t>t/a</w:t>
            </w:r>
            <w:r>
              <w:rPr>
                <w:rFonts w:hint="eastAsia"/>
                <w:color w:val="auto"/>
                <w:sz w:val="24"/>
                <w:lang w:val="en-US" w:eastAsia="zh-CN"/>
              </w:rPr>
              <w:t>，收集后进入一体化污水处理设备处理。</w:t>
            </w:r>
          </w:p>
          <w:p w14:paraId="6883AB0B">
            <w:pPr>
              <w:pStyle w:val="5"/>
              <w:rPr>
                <w:rFonts w:hint="default"/>
                <w:color w:val="auto"/>
                <w:lang w:val="en-US" w:eastAsia="zh-CN"/>
              </w:rPr>
            </w:pPr>
            <w:r>
              <w:rPr>
                <w:rFonts w:hint="eastAsia"/>
                <w:color w:val="auto"/>
                <w:sz w:val="24"/>
                <w:lang w:val="en-US" w:eastAsia="zh-CN"/>
              </w:rPr>
              <w:t>（5）生活污水</w:t>
            </w:r>
          </w:p>
          <w:p w14:paraId="5E1BC06F">
            <w:pPr>
              <w:tabs>
                <w:tab w:val="left" w:pos="900"/>
              </w:tabs>
              <w:adjustRightInd w:val="0"/>
              <w:snapToGrid w:val="0"/>
              <w:spacing w:line="360" w:lineRule="auto"/>
              <w:ind w:firstLine="482"/>
              <w:rPr>
                <w:rFonts w:hint="eastAsia"/>
                <w:color w:val="auto"/>
                <w:sz w:val="24"/>
              </w:rPr>
            </w:pPr>
            <w:r>
              <w:rPr>
                <w:rFonts w:hint="eastAsia"/>
                <w:color w:val="auto"/>
                <w:sz w:val="24"/>
                <w:lang w:val="en-US" w:eastAsia="zh-CN"/>
              </w:rPr>
              <w:t>根据水平衡计算，</w:t>
            </w:r>
            <w:r>
              <w:rPr>
                <w:color w:val="auto"/>
                <w:sz w:val="24"/>
              </w:rPr>
              <w:t>本项目生活用水量为</w:t>
            </w:r>
            <w:r>
              <w:rPr>
                <w:rFonts w:hint="eastAsia"/>
                <w:color w:val="auto"/>
                <w:sz w:val="24"/>
                <w:lang w:val="en-US" w:eastAsia="zh-CN"/>
              </w:rPr>
              <w:t>0.6</w:t>
            </w:r>
            <w:r>
              <w:rPr>
                <w:color w:val="auto"/>
                <w:sz w:val="24"/>
              </w:rPr>
              <w:t>m</w:t>
            </w:r>
            <w:r>
              <w:rPr>
                <w:color w:val="auto"/>
                <w:sz w:val="24"/>
                <w:vertAlign w:val="superscript"/>
              </w:rPr>
              <w:t>3</w:t>
            </w:r>
            <w:r>
              <w:rPr>
                <w:color w:val="auto"/>
                <w:sz w:val="24"/>
              </w:rPr>
              <w:t>/d，</w:t>
            </w:r>
            <w:r>
              <w:rPr>
                <w:rFonts w:hint="eastAsia"/>
                <w:color w:val="auto"/>
                <w:sz w:val="24"/>
                <w:lang w:val="en-US" w:eastAsia="zh-CN"/>
              </w:rPr>
              <w:t>180</w:t>
            </w:r>
            <w:r>
              <w:rPr>
                <w:color w:val="auto"/>
                <w:sz w:val="24"/>
              </w:rPr>
              <w:t>m</w:t>
            </w:r>
            <w:r>
              <w:rPr>
                <w:color w:val="auto"/>
                <w:sz w:val="24"/>
                <w:vertAlign w:val="superscript"/>
              </w:rPr>
              <w:t>3</w:t>
            </w:r>
            <w:r>
              <w:rPr>
                <w:color w:val="auto"/>
                <w:sz w:val="24"/>
              </w:rPr>
              <w:t>/a。产污系数取0.8，则生活污水</w:t>
            </w:r>
            <w:r>
              <w:rPr>
                <w:rFonts w:hint="eastAsia"/>
                <w:color w:val="auto"/>
                <w:sz w:val="24"/>
              </w:rPr>
              <w:t>排放量</w:t>
            </w:r>
            <w:r>
              <w:rPr>
                <w:color w:val="auto"/>
                <w:sz w:val="24"/>
              </w:rPr>
              <w:t>为</w:t>
            </w:r>
            <w:r>
              <w:rPr>
                <w:rFonts w:hint="eastAsia"/>
                <w:color w:val="auto"/>
                <w:sz w:val="24"/>
                <w:lang w:val="en-US" w:eastAsia="zh-CN"/>
              </w:rPr>
              <w:t>0.48</w:t>
            </w:r>
            <w:r>
              <w:rPr>
                <w:color w:val="auto"/>
                <w:sz w:val="24"/>
              </w:rPr>
              <w:t>m</w:t>
            </w:r>
            <w:r>
              <w:rPr>
                <w:color w:val="auto"/>
                <w:sz w:val="24"/>
                <w:vertAlign w:val="superscript"/>
              </w:rPr>
              <w:t>3/</w:t>
            </w:r>
            <w:r>
              <w:rPr>
                <w:color w:val="auto"/>
                <w:sz w:val="24"/>
              </w:rPr>
              <w:t>d，</w:t>
            </w:r>
            <w:r>
              <w:rPr>
                <w:rFonts w:hint="eastAsia"/>
                <w:color w:val="auto"/>
                <w:sz w:val="24"/>
              </w:rPr>
              <w:t>1</w:t>
            </w:r>
            <w:r>
              <w:rPr>
                <w:rFonts w:hint="eastAsia"/>
                <w:color w:val="auto"/>
                <w:sz w:val="24"/>
                <w:lang w:val="en-US" w:eastAsia="zh-CN"/>
              </w:rPr>
              <w:t>44</w:t>
            </w:r>
            <w:r>
              <w:rPr>
                <w:color w:val="auto"/>
                <w:sz w:val="24"/>
              </w:rPr>
              <w:t>m</w:t>
            </w:r>
            <w:r>
              <w:rPr>
                <w:color w:val="auto"/>
                <w:sz w:val="24"/>
                <w:vertAlign w:val="superscript"/>
              </w:rPr>
              <w:t>3</w:t>
            </w:r>
            <w:r>
              <w:rPr>
                <w:color w:val="auto"/>
                <w:sz w:val="24"/>
              </w:rPr>
              <w:t>/a</w:t>
            </w:r>
            <w:r>
              <w:rPr>
                <w:rFonts w:hint="eastAsia"/>
                <w:color w:val="auto"/>
                <w:sz w:val="24"/>
              </w:rPr>
              <w:t>，通过</w:t>
            </w:r>
            <w:r>
              <w:rPr>
                <w:rFonts w:hint="eastAsia"/>
                <w:color w:val="auto"/>
                <w:sz w:val="24"/>
                <w:lang w:val="en-US" w:eastAsia="zh-CN"/>
              </w:rPr>
              <w:t>实验室</w:t>
            </w:r>
            <w:r>
              <w:rPr>
                <w:rFonts w:hint="eastAsia"/>
                <w:color w:val="auto"/>
                <w:sz w:val="24"/>
              </w:rPr>
              <w:t>卫生间直接排入</w:t>
            </w:r>
            <w:r>
              <w:rPr>
                <w:rFonts w:hint="eastAsia"/>
                <w:color w:val="auto"/>
                <w:sz w:val="24"/>
                <w:lang w:val="en-US" w:eastAsia="zh-CN"/>
              </w:rPr>
              <w:t>租用厂房已建化粪池</w:t>
            </w:r>
            <w:r>
              <w:rPr>
                <w:rFonts w:hint="eastAsia"/>
                <w:color w:val="auto"/>
                <w:sz w:val="24"/>
              </w:rPr>
              <w:t>。</w:t>
            </w:r>
            <w:r>
              <w:rPr>
                <w:rFonts w:hint="eastAsia"/>
                <w:color w:val="auto"/>
                <w:sz w:val="24"/>
                <w:lang w:val="en-US" w:eastAsia="zh-CN"/>
              </w:rPr>
              <w:t>污染因子为COD 400mg/L、NH</w:t>
            </w:r>
            <w:r>
              <w:rPr>
                <w:rFonts w:hint="eastAsia"/>
                <w:color w:val="auto"/>
                <w:sz w:val="24"/>
                <w:vertAlign w:val="subscript"/>
                <w:lang w:val="en-US" w:eastAsia="zh-CN"/>
              </w:rPr>
              <w:t>3</w:t>
            </w:r>
            <w:r>
              <w:rPr>
                <w:rFonts w:hint="eastAsia"/>
                <w:color w:val="auto"/>
                <w:sz w:val="24"/>
                <w:lang w:val="en-US" w:eastAsia="zh-CN"/>
              </w:rPr>
              <w:t>-N 35mg/L、BOD</w:t>
            </w:r>
            <w:r>
              <w:rPr>
                <w:rFonts w:hint="eastAsia"/>
                <w:color w:val="auto"/>
                <w:sz w:val="24"/>
                <w:vertAlign w:val="subscript"/>
                <w:lang w:val="en-US" w:eastAsia="zh-CN"/>
              </w:rPr>
              <w:t>5</w:t>
            </w:r>
            <w:r>
              <w:rPr>
                <w:rFonts w:hint="eastAsia"/>
                <w:color w:val="auto"/>
                <w:sz w:val="24"/>
                <w:lang w:val="en-US" w:eastAsia="zh-CN"/>
              </w:rPr>
              <w:t xml:space="preserve"> 200mg/L、SS 200mg/L。</w:t>
            </w:r>
          </w:p>
          <w:p w14:paraId="592CCCA6">
            <w:pPr>
              <w:pStyle w:val="5"/>
              <w:rPr>
                <w:rFonts w:hint="eastAsia"/>
                <w:color w:val="auto"/>
                <w:sz w:val="24"/>
                <w:lang w:val="en-US" w:eastAsia="zh-CN"/>
              </w:rPr>
            </w:pPr>
            <w:r>
              <w:rPr>
                <w:rFonts w:hint="eastAsia"/>
                <w:color w:val="auto"/>
                <w:sz w:val="24"/>
              </w:rPr>
              <w:t>本项目</w:t>
            </w:r>
            <w:r>
              <w:rPr>
                <w:rFonts w:hint="eastAsia"/>
                <w:color w:val="auto"/>
                <w:sz w:val="24"/>
                <w:lang w:val="en-US" w:eastAsia="zh-CN"/>
              </w:rPr>
              <w:t>实验器具中段清洗废水、后段清洗废水、喷淋塔废水均排入厂区污水处理设备</w:t>
            </w:r>
            <w:r>
              <w:rPr>
                <w:rFonts w:hint="eastAsia"/>
                <w:color w:val="auto"/>
                <w:sz w:val="24"/>
              </w:rPr>
              <w:t>进行处理，厂区设置污水处理站1座，处理规模</w:t>
            </w:r>
            <w:r>
              <w:rPr>
                <w:rFonts w:hint="eastAsia"/>
                <w:color w:val="auto"/>
                <w:sz w:val="24"/>
                <w:lang w:val="en-US" w:eastAsia="zh-CN"/>
              </w:rPr>
              <w:t>2</w:t>
            </w:r>
            <w:r>
              <w:rPr>
                <w:rFonts w:hint="eastAsia"/>
                <w:color w:val="auto"/>
                <w:sz w:val="24"/>
              </w:rPr>
              <w:t>m</w:t>
            </w:r>
            <w:r>
              <w:rPr>
                <w:rFonts w:hint="eastAsia"/>
                <w:color w:val="auto"/>
                <w:sz w:val="24"/>
                <w:vertAlign w:val="superscript"/>
              </w:rPr>
              <w:t>3</w:t>
            </w:r>
            <w:r>
              <w:rPr>
                <w:rFonts w:hint="eastAsia"/>
                <w:color w:val="auto"/>
                <w:sz w:val="24"/>
              </w:rPr>
              <w:t>/d，废水经排水管道收集于</w:t>
            </w:r>
            <w:r>
              <w:rPr>
                <w:rFonts w:hint="eastAsia"/>
                <w:color w:val="auto"/>
                <w:sz w:val="24"/>
                <w:lang w:val="en-US" w:eastAsia="zh-CN"/>
              </w:rPr>
              <w:t>废水贮存</w:t>
            </w:r>
            <w:r>
              <w:rPr>
                <w:rFonts w:hint="eastAsia"/>
                <w:color w:val="auto"/>
                <w:sz w:val="24"/>
              </w:rPr>
              <w:t>调节池</w:t>
            </w:r>
            <w:r>
              <w:rPr>
                <w:rFonts w:hint="eastAsia"/>
                <w:color w:val="auto"/>
                <w:sz w:val="24"/>
                <w:lang w:val="en-US" w:eastAsia="zh-CN"/>
              </w:rPr>
              <w:t>中的收集箱内</w:t>
            </w:r>
            <w:r>
              <w:rPr>
                <w:rFonts w:hint="eastAsia"/>
                <w:color w:val="auto"/>
                <w:sz w:val="24"/>
              </w:rPr>
              <w:t>，</w:t>
            </w:r>
            <w:r>
              <w:rPr>
                <w:rFonts w:hint="eastAsia"/>
                <w:color w:val="auto"/>
                <w:sz w:val="24"/>
                <w:lang w:val="en-US" w:eastAsia="zh-CN"/>
              </w:rPr>
              <w:t>经提升泵打入一体化处理设备进行处理，</w:t>
            </w:r>
            <w:r>
              <w:rPr>
                <w:rFonts w:hint="eastAsia"/>
                <w:color w:val="auto"/>
                <w:sz w:val="24"/>
              </w:rPr>
              <w:t>采用“</w:t>
            </w:r>
            <w:r>
              <w:rPr>
                <w:rFonts w:hint="eastAsia"/>
                <w:color w:val="auto"/>
                <w:sz w:val="24"/>
                <w:lang w:val="en-US" w:eastAsia="zh-CN"/>
              </w:rPr>
              <w:t>酸碱中和调节+重金属捕捉+高效分离沉淀+微生物反应装置+多相催化氧化反应+氧化消毒+多介质过滤</w:t>
            </w:r>
            <w:r>
              <w:rPr>
                <w:rFonts w:hint="eastAsia"/>
                <w:color w:val="auto"/>
                <w:sz w:val="24"/>
              </w:rPr>
              <w:t>”工艺，出水排入</w:t>
            </w:r>
            <w:r>
              <w:rPr>
                <w:rFonts w:hint="eastAsia"/>
                <w:color w:val="auto"/>
                <w:sz w:val="24"/>
                <w:lang w:val="en-US" w:eastAsia="zh-CN"/>
              </w:rPr>
              <w:t>废水池</w:t>
            </w:r>
            <w:r>
              <w:rPr>
                <w:rFonts w:hint="eastAsia"/>
                <w:color w:val="auto"/>
                <w:sz w:val="24"/>
                <w:lang w:eastAsia="zh-CN"/>
              </w:rPr>
              <w:t>，</w:t>
            </w:r>
            <w:r>
              <w:rPr>
                <w:rFonts w:hint="eastAsia"/>
                <w:color w:val="auto"/>
                <w:sz w:val="24"/>
                <w:lang w:val="en-US" w:eastAsia="zh-CN"/>
              </w:rPr>
              <w:t>最终由吸污车拉运至</w:t>
            </w:r>
            <w:r>
              <w:rPr>
                <w:rFonts w:hint="eastAsia" w:ascii="Times New Roman" w:hAnsi="Times New Roman" w:eastAsia="宋体" w:cs="Times New Roman"/>
                <w:color w:val="0000FF"/>
                <w:sz w:val="24"/>
                <w:szCs w:val="24"/>
                <w:lang w:val="en-US" w:eastAsia="zh-CN"/>
              </w:rPr>
              <w:t>昌吉高新技术产业开发区污水处理厂</w:t>
            </w:r>
            <w:r>
              <w:rPr>
                <w:rFonts w:hint="eastAsia" w:cs="Times New Roman"/>
                <w:color w:val="0000FF"/>
                <w:sz w:val="24"/>
                <w:szCs w:val="24"/>
                <w:lang w:val="en-US" w:eastAsia="zh-CN"/>
              </w:rPr>
              <w:t>处理</w:t>
            </w:r>
            <w:r>
              <w:rPr>
                <w:rFonts w:hint="eastAsia"/>
                <w:color w:val="auto"/>
                <w:sz w:val="24"/>
                <w:lang w:val="en-US" w:eastAsia="zh-CN"/>
              </w:rPr>
              <w:t>。</w:t>
            </w:r>
          </w:p>
          <w:p w14:paraId="7DB90376">
            <w:pPr>
              <w:pStyle w:val="5"/>
              <w:rPr>
                <w:rFonts w:hint="default"/>
                <w:color w:val="auto"/>
                <w:sz w:val="24"/>
                <w:lang w:val="en-US" w:eastAsia="zh-CN"/>
              </w:rPr>
            </w:pPr>
            <w:r>
              <w:rPr>
                <w:rFonts w:hint="eastAsia"/>
                <w:color w:val="auto"/>
                <w:sz w:val="24"/>
                <w:lang w:val="en-US" w:eastAsia="zh-CN"/>
              </w:rPr>
              <w:t>项目对贵金属、有色金属、黑色矿石等进行处理检测，矿石含有重金属，矿石处理后配置检测液，污染物浓度最高的检测废液直接作为危险废物委托有资质单位处置，清洗器具废水排放至污水处理站进行处理，此部分清洗废水重金属含量已极低，经过实验室一体化污水处理设备重金属捕捉等处理后，排放浓度较低，且间接排放至园区工业污水处理厂处理后进入外环境，对周围环境影响较小，本次环评仅做定性分析。</w:t>
            </w:r>
          </w:p>
          <w:p w14:paraId="44A58CAD">
            <w:pPr>
              <w:pStyle w:val="5"/>
              <w:rPr>
                <w:rFonts w:hint="eastAsia"/>
                <w:color w:val="auto"/>
                <w:sz w:val="24"/>
                <w:lang w:val="en-US" w:eastAsia="zh-CN"/>
              </w:rPr>
            </w:pPr>
            <w:r>
              <w:rPr>
                <w:rFonts w:hint="eastAsia"/>
                <w:color w:val="auto"/>
                <w:sz w:val="24"/>
                <w:lang w:val="en-US" w:eastAsia="zh-CN"/>
              </w:rPr>
              <w:t>类比同类行业《广东广环检测技术有限公司揭阳分公司实验室建设项目竣工环境保护验收监测报告》，该企业实验酸性气体采用碱液喷淋的处理工艺，该企业废水主要为实验器皿第二次清洗废水、第三次清洗废水及碱液喷淋废水，生产废水进入自建污水处理站处理，采取“酸调节池-絮凝沉淀-过滤单元-消毒”工艺处理。该企业废水产生工序与本项目生产工艺基本一致，废水产生浓度类比可行。</w:t>
            </w:r>
          </w:p>
          <w:p w14:paraId="38E3205C">
            <w:pPr>
              <w:pStyle w:val="5"/>
              <w:rPr>
                <w:rFonts w:hint="eastAsia"/>
                <w:color w:val="auto"/>
                <w:sz w:val="24"/>
              </w:rPr>
            </w:pPr>
            <w:r>
              <w:rPr>
                <w:rFonts w:hint="eastAsia"/>
                <w:color w:val="auto"/>
                <w:sz w:val="24"/>
                <w:lang w:val="en-US" w:eastAsia="zh-CN"/>
              </w:rPr>
              <w:t>根据验收监测报告对污水处理设施入口废水监测结果，废水污染物pH、SS、COD、BOD</w:t>
            </w:r>
            <w:r>
              <w:rPr>
                <w:rFonts w:hint="eastAsia"/>
                <w:color w:val="auto"/>
                <w:sz w:val="24"/>
                <w:vertAlign w:val="subscript"/>
                <w:lang w:val="en-US" w:eastAsia="zh-CN"/>
              </w:rPr>
              <w:t>5</w:t>
            </w:r>
            <w:r>
              <w:rPr>
                <w:rFonts w:hint="eastAsia"/>
                <w:color w:val="auto"/>
                <w:sz w:val="24"/>
                <w:lang w:val="en-US" w:eastAsia="zh-CN"/>
              </w:rPr>
              <w:t>、氨氮产生浓度分别约pH6.6-6.8、23mg/L、54mg/L、21.6mg/L、2.59mg/L。</w:t>
            </w:r>
            <w:r>
              <w:rPr>
                <w:rFonts w:hint="eastAsia"/>
                <w:color w:val="auto"/>
                <w:sz w:val="24"/>
              </w:rPr>
              <w:t>本项目废水排放情况见表4-</w:t>
            </w:r>
            <w:r>
              <w:rPr>
                <w:rFonts w:hint="eastAsia"/>
                <w:color w:val="auto"/>
                <w:sz w:val="24"/>
                <w:lang w:val="en-US" w:eastAsia="zh-CN"/>
              </w:rPr>
              <w:t>6</w:t>
            </w:r>
            <w:r>
              <w:rPr>
                <w:rFonts w:hint="eastAsia"/>
                <w:color w:val="auto"/>
                <w:sz w:val="24"/>
              </w:rPr>
              <w:t>。</w:t>
            </w:r>
          </w:p>
          <w:p w14:paraId="0E798155">
            <w:pPr>
              <w:pStyle w:val="19"/>
              <w:adjustRightInd w:val="0"/>
              <w:jc w:val="center"/>
              <w:rPr>
                <w:rFonts w:hint="eastAsia"/>
                <w:b/>
                <w:color w:val="auto"/>
                <w:sz w:val="21"/>
                <w:szCs w:val="21"/>
              </w:rPr>
            </w:pPr>
            <w:r>
              <w:rPr>
                <w:rFonts w:hint="eastAsia"/>
                <w:b/>
                <w:color w:val="auto"/>
                <w:sz w:val="21"/>
                <w:szCs w:val="21"/>
              </w:rPr>
              <w:t>表4</w:t>
            </w:r>
            <w:r>
              <w:rPr>
                <w:b/>
                <w:color w:val="auto"/>
                <w:sz w:val="21"/>
                <w:szCs w:val="21"/>
              </w:rPr>
              <w:t>-</w:t>
            </w:r>
            <w:r>
              <w:rPr>
                <w:rFonts w:hint="eastAsia"/>
                <w:b/>
                <w:color w:val="auto"/>
                <w:sz w:val="21"/>
                <w:szCs w:val="21"/>
                <w:lang w:val="en-US" w:eastAsia="zh-CN"/>
              </w:rPr>
              <w:t>6</w:t>
            </w:r>
            <w:r>
              <w:rPr>
                <w:b/>
                <w:color w:val="auto"/>
                <w:sz w:val="21"/>
                <w:szCs w:val="21"/>
              </w:rPr>
              <w:t xml:space="preserve">  </w:t>
            </w:r>
            <w:r>
              <w:rPr>
                <w:rFonts w:hint="eastAsia"/>
                <w:b/>
                <w:color w:val="auto"/>
                <w:sz w:val="21"/>
                <w:szCs w:val="21"/>
              </w:rPr>
              <w:t>本项目废水产排放情况一览表</w:t>
            </w:r>
          </w:p>
          <w:tbl>
            <w:tblPr>
              <w:tblStyle w:val="28"/>
              <w:tblW w:w="849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9"/>
              <w:gridCol w:w="668"/>
              <w:gridCol w:w="841"/>
              <w:gridCol w:w="809"/>
              <w:gridCol w:w="872"/>
              <w:gridCol w:w="874"/>
              <w:gridCol w:w="821"/>
              <w:gridCol w:w="821"/>
              <w:gridCol w:w="756"/>
              <w:gridCol w:w="830"/>
              <w:gridCol w:w="684"/>
            </w:tblGrid>
            <w:tr w14:paraId="3036A9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02" w:hRule="atLeast"/>
                <w:jc w:val="center"/>
              </w:trPr>
              <w:tc>
                <w:tcPr>
                  <w:tcW w:w="305" w:type="pct"/>
                  <w:noWrap w:val="0"/>
                  <w:vAlign w:val="center"/>
                </w:tcPr>
                <w:p w14:paraId="4376768A">
                  <w:pPr>
                    <w:adjustRightInd w:val="0"/>
                    <w:snapToGrid w:val="0"/>
                    <w:jc w:val="center"/>
                    <w:rPr>
                      <w:rFonts w:hint="default" w:eastAsia="宋体"/>
                      <w:color w:val="auto"/>
                      <w:lang w:val="en-US" w:eastAsia="zh-CN"/>
                    </w:rPr>
                  </w:pPr>
                  <w:r>
                    <w:rPr>
                      <w:rFonts w:hint="eastAsia"/>
                      <w:color w:val="auto"/>
                      <w:lang w:val="en-US" w:eastAsia="zh-CN"/>
                    </w:rPr>
                    <w:t>废水名称</w:t>
                  </w:r>
                </w:p>
              </w:tc>
              <w:tc>
                <w:tcPr>
                  <w:tcW w:w="393" w:type="pct"/>
                  <w:noWrap w:val="0"/>
                  <w:vAlign w:val="center"/>
                </w:tcPr>
                <w:p w14:paraId="456780D8">
                  <w:pPr>
                    <w:adjustRightInd w:val="0"/>
                    <w:snapToGrid w:val="0"/>
                    <w:jc w:val="center"/>
                    <w:rPr>
                      <w:rFonts w:hint="default" w:eastAsia="宋体"/>
                      <w:color w:val="auto"/>
                      <w:lang w:val="en-US" w:eastAsia="zh-CN"/>
                    </w:rPr>
                  </w:pPr>
                  <w:r>
                    <w:rPr>
                      <w:rFonts w:hint="eastAsia"/>
                      <w:color w:val="auto"/>
                      <w:lang w:val="en-US" w:eastAsia="zh-CN"/>
                    </w:rPr>
                    <w:t>水量t/a</w:t>
                  </w:r>
                </w:p>
              </w:tc>
              <w:tc>
                <w:tcPr>
                  <w:tcW w:w="494" w:type="pct"/>
                  <w:noWrap w:val="0"/>
                  <w:vAlign w:val="center"/>
                </w:tcPr>
                <w:p w14:paraId="09952CDB">
                  <w:pPr>
                    <w:adjustRightInd w:val="0"/>
                    <w:snapToGrid w:val="0"/>
                    <w:jc w:val="center"/>
                    <w:rPr>
                      <w:rFonts w:hint="eastAsia" w:eastAsia="宋体"/>
                      <w:color w:val="auto"/>
                      <w:lang w:val="en-US" w:eastAsia="zh-CN"/>
                    </w:rPr>
                  </w:pPr>
                  <w:r>
                    <w:rPr>
                      <w:rFonts w:hint="eastAsia"/>
                      <w:color w:val="auto"/>
                      <w:lang w:val="en-US" w:eastAsia="zh-CN"/>
                    </w:rPr>
                    <w:t>污染因子</w:t>
                  </w:r>
                </w:p>
              </w:tc>
              <w:tc>
                <w:tcPr>
                  <w:tcW w:w="476" w:type="pct"/>
                  <w:noWrap w:val="0"/>
                  <w:vAlign w:val="center"/>
                </w:tcPr>
                <w:p w14:paraId="1E8A8809">
                  <w:pPr>
                    <w:adjustRightInd w:val="0"/>
                    <w:snapToGrid w:val="0"/>
                    <w:jc w:val="center"/>
                    <w:rPr>
                      <w:rFonts w:hint="default" w:eastAsia="宋体"/>
                      <w:color w:val="auto"/>
                      <w:lang w:val="en-US" w:eastAsia="zh-CN"/>
                    </w:rPr>
                  </w:pPr>
                  <w:r>
                    <w:rPr>
                      <w:rFonts w:hint="eastAsia"/>
                      <w:color w:val="auto"/>
                      <w:lang w:val="en-US" w:eastAsia="zh-CN"/>
                    </w:rPr>
                    <w:t>产生浓度mg/L</w:t>
                  </w:r>
                </w:p>
              </w:tc>
              <w:tc>
                <w:tcPr>
                  <w:tcW w:w="513" w:type="pct"/>
                  <w:noWrap w:val="0"/>
                  <w:vAlign w:val="center"/>
                </w:tcPr>
                <w:p w14:paraId="019FEFA3">
                  <w:pPr>
                    <w:adjustRightInd w:val="0"/>
                    <w:snapToGrid w:val="0"/>
                    <w:jc w:val="center"/>
                    <w:rPr>
                      <w:rFonts w:hint="default" w:eastAsia="宋体"/>
                      <w:color w:val="auto"/>
                      <w:lang w:val="en-US" w:eastAsia="zh-CN"/>
                    </w:rPr>
                  </w:pPr>
                  <w:r>
                    <w:rPr>
                      <w:rFonts w:hint="eastAsia"/>
                      <w:color w:val="auto"/>
                      <w:lang w:val="en-US" w:eastAsia="zh-CN"/>
                    </w:rPr>
                    <w:t>产生量t/a</w:t>
                  </w:r>
                </w:p>
              </w:tc>
              <w:tc>
                <w:tcPr>
                  <w:tcW w:w="514" w:type="pct"/>
                  <w:noWrap w:val="0"/>
                  <w:vAlign w:val="center"/>
                </w:tcPr>
                <w:p w14:paraId="668B7303">
                  <w:pPr>
                    <w:adjustRightInd w:val="0"/>
                    <w:snapToGrid w:val="0"/>
                    <w:jc w:val="center"/>
                    <w:rPr>
                      <w:rFonts w:hint="default" w:eastAsia="宋体"/>
                      <w:color w:val="auto"/>
                      <w:lang w:val="en-US" w:eastAsia="zh-CN"/>
                    </w:rPr>
                  </w:pPr>
                  <w:r>
                    <w:rPr>
                      <w:rFonts w:hint="eastAsia"/>
                      <w:color w:val="auto"/>
                      <w:lang w:val="en-US" w:eastAsia="zh-CN"/>
                    </w:rPr>
                    <w:t>治理措施</w:t>
                  </w:r>
                </w:p>
              </w:tc>
              <w:tc>
                <w:tcPr>
                  <w:tcW w:w="483" w:type="pct"/>
                  <w:noWrap w:val="0"/>
                  <w:vAlign w:val="center"/>
                </w:tcPr>
                <w:p w14:paraId="3D8789E1">
                  <w:pPr>
                    <w:adjustRightInd w:val="0"/>
                    <w:snapToGrid w:val="0"/>
                    <w:jc w:val="center"/>
                    <w:rPr>
                      <w:rFonts w:hint="default"/>
                      <w:color w:val="auto"/>
                      <w:lang w:val="en-US" w:eastAsia="zh-CN"/>
                    </w:rPr>
                  </w:pPr>
                  <w:r>
                    <w:rPr>
                      <w:rFonts w:hint="eastAsia"/>
                      <w:color w:val="auto"/>
                      <w:lang w:val="en-US" w:eastAsia="zh-CN"/>
                    </w:rPr>
                    <w:t>处理效率</w:t>
                  </w:r>
                </w:p>
              </w:tc>
              <w:tc>
                <w:tcPr>
                  <w:tcW w:w="483" w:type="pct"/>
                  <w:noWrap w:val="0"/>
                  <w:vAlign w:val="center"/>
                </w:tcPr>
                <w:p w14:paraId="5BB39D2E">
                  <w:pPr>
                    <w:adjustRightInd w:val="0"/>
                    <w:snapToGrid w:val="0"/>
                    <w:jc w:val="center"/>
                    <w:rPr>
                      <w:rFonts w:hint="eastAsia" w:eastAsia="宋体"/>
                      <w:color w:val="auto"/>
                      <w:lang w:val="en-US" w:eastAsia="zh-CN"/>
                    </w:rPr>
                  </w:pPr>
                  <w:r>
                    <w:rPr>
                      <w:rFonts w:hint="eastAsia"/>
                      <w:color w:val="auto"/>
                      <w:lang w:val="en-US" w:eastAsia="zh-CN"/>
                    </w:rPr>
                    <w:t>污染因子</w:t>
                  </w:r>
                </w:p>
              </w:tc>
              <w:tc>
                <w:tcPr>
                  <w:tcW w:w="444" w:type="pct"/>
                  <w:noWrap w:val="0"/>
                  <w:vAlign w:val="center"/>
                </w:tcPr>
                <w:p w14:paraId="6C582A0E">
                  <w:pPr>
                    <w:adjustRightInd w:val="0"/>
                    <w:snapToGrid w:val="0"/>
                    <w:jc w:val="center"/>
                    <w:rPr>
                      <w:rFonts w:hint="default"/>
                      <w:color w:val="auto"/>
                      <w:lang w:val="en-US" w:eastAsia="zh-CN"/>
                    </w:rPr>
                  </w:pPr>
                  <w:r>
                    <w:rPr>
                      <w:rFonts w:hint="eastAsia"/>
                      <w:color w:val="auto"/>
                      <w:lang w:val="en-US" w:eastAsia="zh-CN"/>
                    </w:rPr>
                    <w:t>排放浓度mg/L</w:t>
                  </w:r>
                </w:p>
              </w:tc>
              <w:tc>
                <w:tcPr>
                  <w:tcW w:w="488" w:type="pct"/>
                  <w:noWrap w:val="0"/>
                  <w:vAlign w:val="center"/>
                </w:tcPr>
                <w:p w14:paraId="6F49929F">
                  <w:pPr>
                    <w:adjustRightInd w:val="0"/>
                    <w:snapToGrid w:val="0"/>
                    <w:jc w:val="center"/>
                    <w:rPr>
                      <w:rFonts w:hint="default"/>
                      <w:color w:val="auto"/>
                      <w:lang w:val="en-US" w:eastAsia="zh-CN"/>
                    </w:rPr>
                  </w:pPr>
                  <w:r>
                    <w:rPr>
                      <w:rFonts w:hint="eastAsia"/>
                      <w:color w:val="auto"/>
                      <w:lang w:val="en-US" w:eastAsia="zh-CN"/>
                    </w:rPr>
                    <w:t>排放量t/a</w:t>
                  </w:r>
                </w:p>
              </w:tc>
              <w:tc>
                <w:tcPr>
                  <w:tcW w:w="402" w:type="pct"/>
                  <w:noWrap w:val="0"/>
                  <w:vAlign w:val="center"/>
                </w:tcPr>
                <w:p w14:paraId="528A27DF">
                  <w:pPr>
                    <w:adjustRightInd w:val="0"/>
                    <w:snapToGrid w:val="0"/>
                    <w:jc w:val="center"/>
                    <w:rPr>
                      <w:rFonts w:hint="default"/>
                      <w:color w:val="auto"/>
                      <w:lang w:val="en-US" w:eastAsia="zh-CN"/>
                    </w:rPr>
                  </w:pPr>
                  <w:r>
                    <w:rPr>
                      <w:rFonts w:hint="eastAsia"/>
                      <w:color w:val="auto"/>
                      <w:lang w:val="en-US" w:eastAsia="zh-CN"/>
                    </w:rPr>
                    <w:t>排放去向</w:t>
                  </w:r>
                </w:p>
              </w:tc>
            </w:tr>
            <w:tr w14:paraId="59EAA1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0" w:hRule="atLeast"/>
                <w:jc w:val="center"/>
              </w:trPr>
              <w:tc>
                <w:tcPr>
                  <w:tcW w:w="305" w:type="pct"/>
                  <w:vMerge w:val="restart"/>
                  <w:noWrap w:val="0"/>
                  <w:vAlign w:val="center"/>
                </w:tcPr>
                <w:p w14:paraId="02DE3B51">
                  <w:pPr>
                    <w:adjustRightInd w:val="0"/>
                    <w:snapToGrid w:val="0"/>
                    <w:jc w:val="center"/>
                    <w:rPr>
                      <w:rFonts w:hint="default" w:eastAsia="宋体"/>
                      <w:color w:val="auto"/>
                      <w:lang w:val="en-US" w:eastAsia="zh-CN"/>
                    </w:rPr>
                  </w:pPr>
                  <w:r>
                    <w:rPr>
                      <w:rFonts w:hint="eastAsia"/>
                      <w:color w:val="auto"/>
                      <w:lang w:val="en-US" w:eastAsia="zh-CN"/>
                    </w:rPr>
                    <w:t>实验废水</w:t>
                  </w:r>
                </w:p>
              </w:tc>
              <w:tc>
                <w:tcPr>
                  <w:tcW w:w="393" w:type="pct"/>
                  <w:vMerge w:val="restart"/>
                  <w:noWrap w:val="0"/>
                  <w:vAlign w:val="center"/>
                </w:tcPr>
                <w:p w14:paraId="435AEBA3">
                  <w:pPr>
                    <w:adjustRightInd w:val="0"/>
                    <w:snapToGrid w:val="0"/>
                    <w:jc w:val="center"/>
                    <w:rPr>
                      <w:rFonts w:hint="default" w:eastAsia="宋体"/>
                      <w:color w:val="auto"/>
                      <w:kern w:val="0"/>
                      <w:szCs w:val="21"/>
                      <w:lang w:val="en-US" w:eastAsia="zh-CN" w:bidi="ar"/>
                    </w:rPr>
                  </w:pPr>
                  <w:r>
                    <w:rPr>
                      <w:rFonts w:hint="eastAsia"/>
                      <w:color w:val="auto"/>
                      <w:kern w:val="0"/>
                      <w:szCs w:val="21"/>
                      <w:lang w:val="en-US" w:eastAsia="zh-CN" w:bidi="ar"/>
                    </w:rPr>
                    <w:t>349.65</w:t>
                  </w:r>
                </w:p>
              </w:tc>
              <w:tc>
                <w:tcPr>
                  <w:tcW w:w="494" w:type="pct"/>
                  <w:noWrap w:val="0"/>
                  <w:vAlign w:val="center"/>
                </w:tcPr>
                <w:p w14:paraId="433122D5">
                  <w:pPr>
                    <w:adjustRightInd w:val="0"/>
                    <w:snapToGrid w:val="0"/>
                    <w:jc w:val="center"/>
                    <w:rPr>
                      <w:rFonts w:hint="eastAsia"/>
                      <w:color w:val="auto"/>
                    </w:rPr>
                  </w:pPr>
                  <w:r>
                    <w:rPr>
                      <w:rFonts w:hint="eastAsia"/>
                      <w:color w:val="auto"/>
                      <w:lang w:val="en-US" w:eastAsia="zh-CN"/>
                    </w:rPr>
                    <w:t>pH</w:t>
                  </w:r>
                </w:p>
              </w:tc>
              <w:tc>
                <w:tcPr>
                  <w:tcW w:w="476" w:type="pct"/>
                  <w:noWrap w:val="0"/>
                  <w:vAlign w:val="center"/>
                </w:tcPr>
                <w:p w14:paraId="04609796">
                  <w:pPr>
                    <w:adjustRightInd w:val="0"/>
                    <w:snapToGrid w:val="0"/>
                    <w:jc w:val="center"/>
                    <w:rPr>
                      <w:rFonts w:hint="default" w:eastAsia="宋体"/>
                      <w:color w:val="auto"/>
                      <w:lang w:val="en-US" w:eastAsia="zh-CN"/>
                    </w:rPr>
                  </w:pPr>
                  <w:r>
                    <w:rPr>
                      <w:rFonts w:hint="eastAsia"/>
                      <w:color w:val="auto"/>
                      <w:lang w:val="en-US" w:eastAsia="zh-CN"/>
                    </w:rPr>
                    <w:t>6.6-6.8</w:t>
                  </w:r>
                </w:p>
              </w:tc>
              <w:tc>
                <w:tcPr>
                  <w:tcW w:w="513" w:type="pct"/>
                  <w:noWrap w:val="0"/>
                  <w:vAlign w:val="center"/>
                </w:tcPr>
                <w:p w14:paraId="415E0391">
                  <w:pPr>
                    <w:adjustRightInd w:val="0"/>
                    <w:snapToGrid w:val="0"/>
                    <w:jc w:val="center"/>
                    <w:rPr>
                      <w:rFonts w:hint="default" w:eastAsia="宋体"/>
                      <w:color w:val="auto"/>
                      <w:lang w:val="en-US" w:eastAsia="zh-CN"/>
                    </w:rPr>
                  </w:pPr>
                  <w:r>
                    <w:rPr>
                      <w:rFonts w:hint="eastAsia" w:eastAsia="宋体"/>
                      <w:color w:val="auto"/>
                      <w:lang w:val="en-US" w:eastAsia="zh-CN"/>
                    </w:rPr>
                    <w:t>/</w:t>
                  </w:r>
                </w:p>
              </w:tc>
              <w:tc>
                <w:tcPr>
                  <w:tcW w:w="514" w:type="pct"/>
                  <w:vMerge w:val="restart"/>
                  <w:noWrap w:val="0"/>
                  <w:vAlign w:val="center"/>
                </w:tcPr>
                <w:p w14:paraId="047D0C4E">
                  <w:pPr>
                    <w:adjustRightInd w:val="0"/>
                    <w:snapToGrid w:val="0"/>
                    <w:jc w:val="center"/>
                    <w:rPr>
                      <w:rFonts w:hint="default" w:eastAsia="宋体"/>
                      <w:color w:val="auto"/>
                      <w:lang w:val="en-US" w:eastAsia="zh-CN"/>
                    </w:rPr>
                  </w:pPr>
                  <w:r>
                    <w:rPr>
                      <w:rFonts w:hint="eastAsia"/>
                      <w:color w:val="auto"/>
                      <w:lang w:val="en-US" w:eastAsia="zh-CN"/>
                    </w:rPr>
                    <w:t>经一体化污水处理设备后排入废水池</w:t>
                  </w:r>
                </w:p>
              </w:tc>
              <w:tc>
                <w:tcPr>
                  <w:tcW w:w="483" w:type="pct"/>
                  <w:noWrap w:val="0"/>
                  <w:vAlign w:val="center"/>
                </w:tcPr>
                <w:p w14:paraId="543291C0">
                  <w:pPr>
                    <w:adjustRightInd w:val="0"/>
                    <w:snapToGrid w:val="0"/>
                    <w:jc w:val="center"/>
                    <w:rPr>
                      <w:rFonts w:hint="eastAsia"/>
                      <w:color w:val="auto"/>
                      <w:lang w:val="en-US" w:eastAsia="zh-CN"/>
                    </w:rPr>
                  </w:pPr>
                  <w:r>
                    <w:rPr>
                      <w:rFonts w:hint="eastAsia"/>
                      <w:color w:val="auto"/>
                      <w:lang w:val="en-US" w:eastAsia="zh-CN"/>
                    </w:rPr>
                    <w:t>/</w:t>
                  </w:r>
                </w:p>
              </w:tc>
              <w:tc>
                <w:tcPr>
                  <w:tcW w:w="483" w:type="pct"/>
                  <w:noWrap w:val="0"/>
                  <w:vAlign w:val="center"/>
                </w:tcPr>
                <w:p w14:paraId="39341E9D">
                  <w:pPr>
                    <w:adjustRightInd w:val="0"/>
                    <w:snapToGrid w:val="0"/>
                    <w:jc w:val="center"/>
                    <w:rPr>
                      <w:color w:val="auto"/>
                    </w:rPr>
                  </w:pPr>
                  <w:r>
                    <w:rPr>
                      <w:rFonts w:hint="eastAsia"/>
                      <w:color w:val="auto"/>
                      <w:lang w:val="en-US" w:eastAsia="zh-CN"/>
                    </w:rPr>
                    <w:t>pH</w:t>
                  </w:r>
                </w:p>
              </w:tc>
              <w:tc>
                <w:tcPr>
                  <w:tcW w:w="444" w:type="pct"/>
                  <w:noWrap w:val="0"/>
                  <w:vAlign w:val="center"/>
                </w:tcPr>
                <w:p w14:paraId="508ACDD0">
                  <w:pPr>
                    <w:adjustRightInd w:val="0"/>
                    <w:snapToGrid w:val="0"/>
                    <w:jc w:val="center"/>
                    <w:rPr>
                      <w:color w:val="auto"/>
                    </w:rPr>
                  </w:pPr>
                  <w:r>
                    <w:rPr>
                      <w:rFonts w:hint="default"/>
                      <w:color w:val="auto"/>
                      <w:lang w:val="en-US" w:eastAsia="zh-CN"/>
                    </w:rPr>
                    <w:t>6-9</w:t>
                  </w:r>
                </w:p>
              </w:tc>
              <w:tc>
                <w:tcPr>
                  <w:tcW w:w="488" w:type="pct"/>
                  <w:noWrap w:val="0"/>
                  <w:vAlign w:val="center"/>
                </w:tcPr>
                <w:p w14:paraId="693A6225">
                  <w:pPr>
                    <w:adjustRightInd w:val="0"/>
                    <w:snapToGrid w:val="0"/>
                    <w:jc w:val="center"/>
                    <w:rPr>
                      <w:rFonts w:hint="default" w:ascii="Times New Roman" w:hAnsi="Times New Roman" w:eastAsia="宋体" w:cs="Times New Roman"/>
                      <w:color w:val="auto"/>
                      <w:lang w:val="en-US" w:eastAsia="zh-CN"/>
                    </w:rPr>
                  </w:pPr>
                  <w:r>
                    <w:rPr>
                      <w:rFonts w:hint="eastAsia"/>
                      <w:color w:val="auto"/>
                      <w:lang w:val="en-US" w:eastAsia="zh-CN"/>
                    </w:rPr>
                    <w:t>/</w:t>
                  </w:r>
                </w:p>
              </w:tc>
              <w:tc>
                <w:tcPr>
                  <w:tcW w:w="402" w:type="pct"/>
                  <w:vMerge w:val="restart"/>
                  <w:noWrap w:val="0"/>
                  <w:vAlign w:val="center"/>
                </w:tcPr>
                <w:p w14:paraId="0D9A9A31">
                  <w:pPr>
                    <w:adjustRightInd w:val="0"/>
                    <w:snapToGrid w:val="0"/>
                    <w:jc w:val="center"/>
                    <w:rPr>
                      <w:color w:val="auto"/>
                    </w:rPr>
                  </w:pPr>
                  <w:r>
                    <w:rPr>
                      <w:rFonts w:hint="eastAsia"/>
                      <w:color w:val="auto"/>
                      <w:lang w:val="en-US" w:eastAsia="zh-CN"/>
                    </w:rPr>
                    <w:t>昌吉高新技术产业开发区污水处理厂</w:t>
                  </w:r>
                </w:p>
              </w:tc>
            </w:tr>
            <w:tr w14:paraId="0EB64D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1" w:hRule="atLeast"/>
                <w:jc w:val="center"/>
              </w:trPr>
              <w:tc>
                <w:tcPr>
                  <w:tcW w:w="305" w:type="pct"/>
                  <w:vMerge w:val="continue"/>
                  <w:noWrap w:val="0"/>
                  <w:vAlign w:val="center"/>
                </w:tcPr>
                <w:p w14:paraId="1DA3EDAD">
                  <w:pPr>
                    <w:adjustRightInd w:val="0"/>
                    <w:snapToGrid w:val="0"/>
                    <w:jc w:val="center"/>
                    <w:rPr>
                      <w:rFonts w:hint="eastAsia"/>
                      <w:color w:val="auto"/>
                    </w:rPr>
                  </w:pPr>
                </w:p>
              </w:tc>
              <w:tc>
                <w:tcPr>
                  <w:tcW w:w="393" w:type="pct"/>
                  <w:vMerge w:val="continue"/>
                  <w:noWrap w:val="0"/>
                  <w:vAlign w:val="center"/>
                </w:tcPr>
                <w:p w14:paraId="77F37F42">
                  <w:pPr>
                    <w:adjustRightInd w:val="0"/>
                    <w:snapToGrid w:val="0"/>
                    <w:jc w:val="center"/>
                    <w:rPr>
                      <w:rFonts w:hint="eastAsia"/>
                      <w:color w:val="auto"/>
                      <w:kern w:val="0"/>
                      <w:szCs w:val="21"/>
                      <w:lang w:bidi="ar"/>
                    </w:rPr>
                  </w:pPr>
                </w:p>
              </w:tc>
              <w:tc>
                <w:tcPr>
                  <w:tcW w:w="494" w:type="pct"/>
                  <w:noWrap w:val="0"/>
                  <w:vAlign w:val="center"/>
                </w:tcPr>
                <w:p w14:paraId="025BFD2E">
                  <w:pPr>
                    <w:adjustRightInd w:val="0"/>
                    <w:snapToGrid w:val="0"/>
                    <w:jc w:val="center"/>
                    <w:rPr>
                      <w:rFonts w:hint="default" w:eastAsia="宋体"/>
                      <w:color w:val="auto"/>
                      <w:lang w:val="en-US" w:eastAsia="zh-CN"/>
                    </w:rPr>
                  </w:pPr>
                  <w:r>
                    <w:rPr>
                      <w:rFonts w:hint="eastAsia"/>
                      <w:color w:val="auto"/>
                      <w:lang w:val="en-US" w:eastAsia="zh-CN"/>
                    </w:rPr>
                    <w:t>SS</w:t>
                  </w:r>
                </w:p>
              </w:tc>
              <w:tc>
                <w:tcPr>
                  <w:tcW w:w="476" w:type="pct"/>
                  <w:noWrap w:val="0"/>
                  <w:vAlign w:val="center"/>
                </w:tcPr>
                <w:p w14:paraId="224F6C24">
                  <w:pPr>
                    <w:adjustRightInd w:val="0"/>
                    <w:snapToGrid w:val="0"/>
                    <w:jc w:val="center"/>
                    <w:rPr>
                      <w:rFonts w:hint="default" w:eastAsia="宋体"/>
                      <w:color w:val="auto"/>
                      <w:lang w:val="en-US" w:eastAsia="zh-CN"/>
                    </w:rPr>
                  </w:pPr>
                  <w:r>
                    <w:rPr>
                      <w:rFonts w:hint="eastAsia"/>
                      <w:color w:val="auto"/>
                      <w:lang w:val="en-US" w:eastAsia="zh-CN"/>
                    </w:rPr>
                    <w:t>23</w:t>
                  </w:r>
                </w:p>
              </w:tc>
              <w:tc>
                <w:tcPr>
                  <w:tcW w:w="513" w:type="pct"/>
                  <w:noWrap w:val="0"/>
                  <w:vAlign w:val="center"/>
                </w:tcPr>
                <w:p w14:paraId="1398485F">
                  <w:pPr>
                    <w:adjustRightInd w:val="0"/>
                    <w:snapToGrid w:val="0"/>
                    <w:jc w:val="center"/>
                    <w:rPr>
                      <w:rFonts w:hint="default" w:ascii="Times New Roman" w:hAnsi="Times New Roman" w:eastAsia="宋体" w:cs="Times New Roman"/>
                      <w:color w:val="auto"/>
                      <w:lang w:val="en-US" w:eastAsia="zh-CN"/>
                    </w:rPr>
                  </w:pPr>
                  <w:r>
                    <w:rPr>
                      <w:rFonts w:hint="eastAsia" w:cs="Times New Roman"/>
                      <w:color w:val="auto"/>
                      <w:lang w:val="en-US" w:eastAsia="zh-CN"/>
                    </w:rPr>
                    <w:t>0.008</w:t>
                  </w:r>
                </w:p>
              </w:tc>
              <w:tc>
                <w:tcPr>
                  <w:tcW w:w="514" w:type="pct"/>
                  <w:vMerge w:val="continue"/>
                  <w:noWrap w:val="0"/>
                  <w:vAlign w:val="center"/>
                </w:tcPr>
                <w:p w14:paraId="20560825">
                  <w:pPr>
                    <w:adjustRightInd w:val="0"/>
                    <w:snapToGrid w:val="0"/>
                    <w:jc w:val="center"/>
                    <w:rPr>
                      <w:rFonts w:hint="eastAsia"/>
                      <w:color w:val="auto"/>
                    </w:rPr>
                  </w:pPr>
                </w:p>
              </w:tc>
              <w:tc>
                <w:tcPr>
                  <w:tcW w:w="483" w:type="pct"/>
                  <w:noWrap w:val="0"/>
                  <w:vAlign w:val="center"/>
                </w:tcPr>
                <w:p w14:paraId="484C4419">
                  <w:pPr>
                    <w:adjustRightInd w:val="0"/>
                    <w:snapToGrid w:val="0"/>
                    <w:jc w:val="center"/>
                    <w:rPr>
                      <w:rFonts w:hint="default"/>
                      <w:color w:val="auto"/>
                      <w:lang w:val="en-US" w:eastAsia="zh-CN"/>
                    </w:rPr>
                  </w:pPr>
                  <w:r>
                    <w:rPr>
                      <w:rFonts w:hint="eastAsia"/>
                      <w:color w:val="auto"/>
                      <w:lang w:val="en-US" w:eastAsia="zh-CN"/>
                    </w:rPr>
                    <w:t>75%</w:t>
                  </w:r>
                </w:p>
              </w:tc>
              <w:tc>
                <w:tcPr>
                  <w:tcW w:w="483" w:type="pct"/>
                  <w:noWrap w:val="0"/>
                  <w:vAlign w:val="center"/>
                </w:tcPr>
                <w:p w14:paraId="65BBA7FE">
                  <w:pPr>
                    <w:adjustRightInd w:val="0"/>
                    <w:snapToGrid w:val="0"/>
                    <w:jc w:val="center"/>
                    <w:rPr>
                      <w:rFonts w:hint="eastAsia"/>
                      <w:color w:val="auto"/>
                    </w:rPr>
                  </w:pPr>
                  <w:r>
                    <w:rPr>
                      <w:rFonts w:hint="eastAsia"/>
                      <w:color w:val="auto"/>
                      <w:lang w:val="en-US" w:eastAsia="zh-CN"/>
                    </w:rPr>
                    <w:t>SS</w:t>
                  </w:r>
                </w:p>
              </w:tc>
              <w:tc>
                <w:tcPr>
                  <w:tcW w:w="444" w:type="pct"/>
                  <w:noWrap w:val="0"/>
                  <w:vAlign w:val="center"/>
                </w:tcPr>
                <w:p w14:paraId="015F9620">
                  <w:pPr>
                    <w:adjustRightInd w:val="0"/>
                    <w:snapToGrid w:val="0"/>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17.</w:t>
                  </w:r>
                  <w:r>
                    <w:rPr>
                      <w:rFonts w:hint="eastAsia" w:cs="Times New Roman"/>
                      <w:color w:val="auto"/>
                      <w:lang w:val="en-US" w:eastAsia="zh-CN"/>
                    </w:rPr>
                    <w:t>25</w:t>
                  </w:r>
                </w:p>
              </w:tc>
              <w:tc>
                <w:tcPr>
                  <w:tcW w:w="488" w:type="pct"/>
                  <w:noWrap w:val="0"/>
                  <w:vAlign w:val="center"/>
                </w:tcPr>
                <w:p w14:paraId="24F8C98A">
                  <w:pPr>
                    <w:adjustRightInd w:val="0"/>
                    <w:snapToGrid w:val="0"/>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w:t>
                  </w:r>
                  <w:r>
                    <w:rPr>
                      <w:rFonts w:hint="eastAsia" w:cs="Times New Roman"/>
                      <w:color w:val="auto"/>
                      <w:lang w:val="en-US" w:eastAsia="zh-CN"/>
                    </w:rPr>
                    <w:t>002</w:t>
                  </w:r>
                </w:p>
              </w:tc>
              <w:tc>
                <w:tcPr>
                  <w:tcW w:w="402" w:type="pct"/>
                  <w:vMerge w:val="continue"/>
                  <w:noWrap w:val="0"/>
                  <w:vAlign w:val="center"/>
                </w:tcPr>
                <w:p w14:paraId="235AEDF4">
                  <w:pPr>
                    <w:adjustRightInd w:val="0"/>
                    <w:snapToGrid w:val="0"/>
                    <w:jc w:val="center"/>
                    <w:rPr>
                      <w:rFonts w:hint="eastAsia"/>
                      <w:color w:val="auto"/>
                    </w:rPr>
                  </w:pPr>
                </w:p>
              </w:tc>
            </w:tr>
            <w:tr w14:paraId="5B4AA4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0" w:hRule="atLeast"/>
                <w:jc w:val="center"/>
              </w:trPr>
              <w:tc>
                <w:tcPr>
                  <w:tcW w:w="305" w:type="pct"/>
                  <w:vMerge w:val="continue"/>
                  <w:noWrap w:val="0"/>
                  <w:vAlign w:val="center"/>
                </w:tcPr>
                <w:p w14:paraId="60A85B0E">
                  <w:pPr>
                    <w:adjustRightInd w:val="0"/>
                    <w:snapToGrid w:val="0"/>
                    <w:jc w:val="center"/>
                    <w:rPr>
                      <w:rFonts w:hint="eastAsia"/>
                      <w:color w:val="auto"/>
                    </w:rPr>
                  </w:pPr>
                </w:p>
              </w:tc>
              <w:tc>
                <w:tcPr>
                  <w:tcW w:w="393" w:type="pct"/>
                  <w:vMerge w:val="continue"/>
                  <w:noWrap w:val="0"/>
                  <w:vAlign w:val="center"/>
                </w:tcPr>
                <w:p w14:paraId="1FAF94C1">
                  <w:pPr>
                    <w:adjustRightInd w:val="0"/>
                    <w:snapToGrid w:val="0"/>
                    <w:jc w:val="center"/>
                    <w:rPr>
                      <w:rFonts w:hint="eastAsia"/>
                      <w:color w:val="auto"/>
                      <w:kern w:val="0"/>
                      <w:szCs w:val="21"/>
                      <w:lang w:bidi="ar"/>
                    </w:rPr>
                  </w:pPr>
                </w:p>
              </w:tc>
              <w:tc>
                <w:tcPr>
                  <w:tcW w:w="494" w:type="pct"/>
                  <w:noWrap w:val="0"/>
                  <w:vAlign w:val="center"/>
                </w:tcPr>
                <w:p w14:paraId="53B0867B">
                  <w:pPr>
                    <w:adjustRightInd w:val="0"/>
                    <w:snapToGrid w:val="0"/>
                    <w:jc w:val="center"/>
                    <w:rPr>
                      <w:rFonts w:hint="default" w:eastAsia="宋体"/>
                      <w:color w:val="auto"/>
                      <w:lang w:val="en-US" w:eastAsia="zh-CN"/>
                    </w:rPr>
                  </w:pPr>
                  <w:r>
                    <w:rPr>
                      <w:rFonts w:hint="eastAsia"/>
                      <w:color w:val="auto"/>
                      <w:lang w:val="en-US" w:eastAsia="zh-CN"/>
                    </w:rPr>
                    <w:t>COD</w:t>
                  </w:r>
                </w:p>
              </w:tc>
              <w:tc>
                <w:tcPr>
                  <w:tcW w:w="476" w:type="pct"/>
                  <w:noWrap w:val="0"/>
                  <w:vAlign w:val="center"/>
                </w:tcPr>
                <w:p w14:paraId="038BC322">
                  <w:pPr>
                    <w:adjustRightInd w:val="0"/>
                    <w:snapToGrid w:val="0"/>
                    <w:jc w:val="center"/>
                    <w:rPr>
                      <w:rFonts w:hint="default" w:eastAsia="宋体"/>
                      <w:color w:val="auto"/>
                      <w:lang w:val="en-US" w:eastAsia="zh-CN"/>
                    </w:rPr>
                  </w:pPr>
                  <w:r>
                    <w:rPr>
                      <w:rFonts w:hint="eastAsia"/>
                      <w:color w:val="auto"/>
                      <w:lang w:val="en-US" w:eastAsia="zh-CN"/>
                    </w:rPr>
                    <w:t>54</w:t>
                  </w:r>
                </w:p>
              </w:tc>
              <w:tc>
                <w:tcPr>
                  <w:tcW w:w="513" w:type="pct"/>
                  <w:noWrap w:val="0"/>
                  <w:vAlign w:val="center"/>
                </w:tcPr>
                <w:p w14:paraId="268E5683">
                  <w:pPr>
                    <w:adjustRightInd w:val="0"/>
                    <w:snapToGrid w:val="0"/>
                    <w:jc w:val="center"/>
                    <w:rPr>
                      <w:rFonts w:hint="default" w:ascii="Times New Roman" w:hAnsi="Times New Roman" w:eastAsia="宋体" w:cs="Times New Roman"/>
                      <w:color w:val="auto"/>
                      <w:lang w:val="en-US" w:eastAsia="zh-CN"/>
                    </w:rPr>
                  </w:pPr>
                  <w:r>
                    <w:rPr>
                      <w:rFonts w:hint="eastAsia" w:cs="Times New Roman"/>
                      <w:color w:val="auto"/>
                      <w:lang w:val="en-US" w:eastAsia="zh-CN"/>
                    </w:rPr>
                    <w:t>0.0189</w:t>
                  </w:r>
                </w:p>
              </w:tc>
              <w:tc>
                <w:tcPr>
                  <w:tcW w:w="514" w:type="pct"/>
                  <w:vMerge w:val="continue"/>
                  <w:noWrap w:val="0"/>
                  <w:vAlign w:val="center"/>
                </w:tcPr>
                <w:p w14:paraId="487D89B8">
                  <w:pPr>
                    <w:adjustRightInd w:val="0"/>
                    <w:snapToGrid w:val="0"/>
                    <w:jc w:val="center"/>
                    <w:rPr>
                      <w:color w:val="auto"/>
                    </w:rPr>
                  </w:pPr>
                </w:p>
              </w:tc>
              <w:tc>
                <w:tcPr>
                  <w:tcW w:w="483" w:type="pct"/>
                  <w:noWrap w:val="0"/>
                  <w:vAlign w:val="center"/>
                </w:tcPr>
                <w:p w14:paraId="22532E25">
                  <w:pPr>
                    <w:adjustRightInd w:val="0"/>
                    <w:snapToGrid w:val="0"/>
                    <w:jc w:val="center"/>
                    <w:rPr>
                      <w:rFonts w:hint="default"/>
                      <w:color w:val="auto"/>
                      <w:lang w:val="en-US" w:eastAsia="zh-CN"/>
                    </w:rPr>
                  </w:pPr>
                  <w:r>
                    <w:rPr>
                      <w:rFonts w:hint="eastAsia"/>
                      <w:color w:val="auto"/>
                      <w:lang w:val="en-US" w:eastAsia="zh-CN"/>
                    </w:rPr>
                    <w:t>5%</w:t>
                  </w:r>
                </w:p>
              </w:tc>
              <w:tc>
                <w:tcPr>
                  <w:tcW w:w="483" w:type="pct"/>
                  <w:noWrap w:val="0"/>
                  <w:vAlign w:val="center"/>
                </w:tcPr>
                <w:p w14:paraId="4D1B971C">
                  <w:pPr>
                    <w:adjustRightInd w:val="0"/>
                    <w:snapToGrid w:val="0"/>
                    <w:jc w:val="center"/>
                    <w:rPr>
                      <w:color w:val="auto"/>
                    </w:rPr>
                  </w:pPr>
                  <w:r>
                    <w:rPr>
                      <w:rFonts w:hint="eastAsia"/>
                      <w:color w:val="auto"/>
                      <w:lang w:val="en-US" w:eastAsia="zh-CN"/>
                    </w:rPr>
                    <w:t>COD</w:t>
                  </w:r>
                </w:p>
              </w:tc>
              <w:tc>
                <w:tcPr>
                  <w:tcW w:w="444" w:type="pct"/>
                  <w:noWrap w:val="0"/>
                  <w:vAlign w:val="center"/>
                </w:tcPr>
                <w:p w14:paraId="31F279CC">
                  <w:pPr>
                    <w:adjustRightInd w:val="0"/>
                    <w:snapToGrid w:val="0"/>
                    <w:jc w:val="center"/>
                    <w:rPr>
                      <w:rFonts w:hint="default" w:ascii="Times New Roman" w:hAnsi="Times New Roman" w:eastAsia="宋体" w:cs="Times New Roman"/>
                      <w:color w:val="auto"/>
                      <w:lang w:val="en-US" w:eastAsia="zh-CN"/>
                    </w:rPr>
                  </w:pPr>
                  <w:r>
                    <w:rPr>
                      <w:rFonts w:hint="eastAsia" w:cs="Times New Roman"/>
                      <w:color w:val="auto"/>
                      <w:lang w:val="en-US" w:eastAsia="zh-CN"/>
                    </w:rPr>
                    <w:t>51.3</w:t>
                  </w:r>
                </w:p>
              </w:tc>
              <w:tc>
                <w:tcPr>
                  <w:tcW w:w="488" w:type="pct"/>
                  <w:noWrap w:val="0"/>
                  <w:vAlign w:val="center"/>
                </w:tcPr>
                <w:p w14:paraId="23D3B5DA">
                  <w:pPr>
                    <w:adjustRightInd w:val="0"/>
                    <w:snapToGrid w:val="0"/>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w:t>
                  </w:r>
                  <w:r>
                    <w:rPr>
                      <w:rFonts w:hint="eastAsia" w:cs="Times New Roman"/>
                      <w:color w:val="auto"/>
                      <w:lang w:val="en-US" w:eastAsia="zh-CN"/>
                    </w:rPr>
                    <w:t>018</w:t>
                  </w:r>
                </w:p>
              </w:tc>
              <w:tc>
                <w:tcPr>
                  <w:tcW w:w="402" w:type="pct"/>
                  <w:vMerge w:val="continue"/>
                  <w:noWrap w:val="0"/>
                  <w:vAlign w:val="center"/>
                </w:tcPr>
                <w:p w14:paraId="524F8366">
                  <w:pPr>
                    <w:adjustRightInd w:val="0"/>
                    <w:snapToGrid w:val="0"/>
                    <w:jc w:val="center"/>
                    <w:rPr>
                      <w:color w:val="auto"/>
                    </w:rPr>
                  </w:pPr>
                </w:p>
              </w:tc>
            </w:tr>
            <w:tr w14:paraId="11E102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0" w:hRule="atLeast"/>
                <w:jc w:val="center"/>
              </w:trPr>
              <w:tc>
                <w:tcPr>
                  <w:tcW w:w="305" w:type="pct"/>
                  <w:vMerge w:val="continue"/>
                  <w:noWrap w:val="0"/>
                  <w:vAlign w:val="center"/>
                </w:tcPr>
                <w:p w14:paraId="2FBC4300">
                  <w:pPr>
                    <w:adjustRightInd w:val="0"/>
                    <w:snapToGrid w:val="0"/>
                    <w:jc w:val="center"/>
                    <w:rPr>
                      <w:rFonts w:hint="eastAsia"/>
                      <w:color w:val="auto"/>
                    </w:rPr>
                  </w:pPr>
                </w:p>
              </w:tc>
              <w:tc>
                <w:tcPr>
                  <w:tcW w:w="393" w:type="pct"/>
                  <w:vMerge w:val="continue"/>
                  <w:noWrap w:val="0"/>
                  <w:vAlign w:val="center"/>
                </w:tcPr>
                <w:p w14:paraId="41B427F2">
                  <w:pPr>
                    <w:adjustRightInd w:val="0"/>
                    <w:snapToGrid w:val="0"/>
                    <w:jc w:val="center"/>
                    <w:rPr>
                      <w:rFonts w:hint="eastAsia"/>
                      <w:color w:val="auto"/>
                      <w:kern w:val="0"/>
                      <w:szCs w:val="21"/>
                      <w:lang w:bidi="ar"/>
                    </w:rPr>
                  </w:pPr>
                </w:p>
              </w:tc>
              <w:tc>
                <w:tcPr>
                  <w:tcW w:w="494" w:type="pct"/>
                  <w:noWrap w:val="0"/>
                  <w:vAlign w:val="center"/>
                </w:tcPr>
                <w:p w14:paraId="79E7E2F0">
                  <w:pPr>
                    <w:adjustRightInd w:val="0"/>
                    <w:snapToGrid w:val="0"/>
                    <w:jc w:val="center"/>
                    <w:rPr>
                      <w:rFonts w:hint="default"/>
                      <w:color w:val="auto"/>
                      <w:lang w:val="en-US" w:eastAsia="zh-CN"/>
                    </w:rPr>
                  </w:pPr>
                  <w:r>
                    <w:rPr>
                      <w:rFonts w:hint="eastAsia"/>
                      <w:color w:val="auto"/>
                      <w:lang w:val="en-US" w:eastAsia="zh-CN"/>
                    </w:rPr>
                    <w:t>BOD</w:t>
                  </w:r>
                  <w:r>
                    <w:rPr>
                      <w:rFonts w:hint="eastAsia"/>
                      <w:color w:val="auto"/>
                      <w:vertAlign w:val="subscript"/>
                      <w:lang w:val="en-US" w:eastAsia="zh-CN"/>
                    </w:rPr>
                    <w:t>5</w:t>
                  </w:r>
                </w:p>
              </w:tc>
              <w:tc>
                <w:tcPr>
                  <w:tcW w:w="476" w:type="pct"/>
                  <w:noWrap w:val="0"/>
                  <w:vAlign w:val="center"/>
                </w:tcPr>
                <w:p w14:paraId="56A8E425">
                  <w:pPr>
                    <w:adjustRightInd w:val="0"/>
                    <w:snapToGrid w:val="0"/>
                    <w:jc w:val="center"/>
                    <w:rPr>
                      <w:rFonts w:hint="default" w:eastAsia="宋体"/>
                      <w:color w:val="auto"/>
                      <w:lang w:val="en-US" w:eastAsia="zh-CN"/>
                    </w:rPr>
                  </w:pPr>
                  <w:r>
                    <w:rPr>
                      <w:rFonts w:hint="eastAsia"/>
                      <w:color w:val="auto"/>
                      <w:lang w:val="en-US" w:eastAsia="zh-CN"/>
                    </w:rPr>
                    <w:t>21.6</w:t>
                  </w:r>
                </w:p>
              </w:tc>
              <w:tc>
                <w:tcPr>
                  <w:tcW w:w="513" w:type="pct"/>
                  <w:noWrap w:val="0"/>
                  <w:vAlign w:val="center"/>
                </w:tcPr>
                <w:p w14:paraId="575EB392">
                  <w:pPr>
                    <w:adjustRightInd w:val="0"/>
                    <w:snapToGrid w:val="0"/>
                    <w:jc w:val="center"/>
                    <w:rPr>
                      <w:rFonts w:hint="default" w:ascii="Times New Roman" w:hAnsi="Times New Roman" w:eastAsia="宋体" w:cs="Times New Roman"/>
                      <w:color w:val="auto"/>
                      <w:lang w:val="en-US" w:eastAsia="zh-CN"/>
                    </w:rPr>
                  </w:pPr>
                  <w:r>
                    <w:rPr>
                      <w:rFonts w:hint="eastAsia" w:cs="Times New Roman"/>
                      <w:color w:val="auto"/>
                      <w:lang w:val="en-US" w:eastAsia="zh-CN"/>
                    </w:rPr>
                    <w:t>0.0076</w:t>
                  </w:r>
                </w:p>
              </w:tc>
              <w:tc>
                <w:tcPr>
                  <w:tcW w:w="514" w:type="pct"/>
                  <w:vMerge w:val="continue"/>
                  <w:noWrap w:val="0"/>
                  <w:vAlign w:val="center"/>
                </w:tcPr>
                <w:p w14:paraId="19407A6C">
                  <w:pPr>
                    <w:adjustRightInd w:val="0"/>
                    <w:snapToGrid w:val="0"/>
                    <w:jc w:val="center"/>
                    <w:rPr>
                      <w:color w:val="auto"/>
                    </w:rPr>
                  </w:pPr>
                </w:p>
              </w:tc>
              <w:tc>
                <w:tcPr>
                  <w:tcW w:w="483" w:type="pct"/>
                  <w:noWrap w:val="0"/>
                  <w:vAlign w:val="center"/>
                </w:tcPr>
                <w:p w14:paraId="28DA6797">
                  <w:pPr>
                    <w:adjustRightInd w:val="0"/>
                    <w:snapToGrid w:val="0"/>
                    <w:jc w:val="center"/>
                    <w:rPr>
                      <w:rFonts w:hint="default"/>
                      <w:color w:val="auto"/>
                      <w:lang w:val="en-US" w:eastAsia="zh-CN"/>
                    </w:rPr>
                  </w:pPr>
                  <w:r>
                    <w:rPr>
                      <w:rFonts w:hint="eastAsia"/>
                      <w:color w:val="auto"/>
                      <w:lang w:val="en-US" w:eastAsia="zh-CN"/>
                    </w:rPr>
                    <w:t>30%</w:t>
                  </w:r>
                </w:p>
              </w:tc>
              <w:tc>
                <w:tcPr>
                  <w:tcW w:w="483" w:type="pct"/>
                  <w:noWrap w:val="0"/>
                  <w:vAlign w:val="center"/>
                </w:tcPr>
                <w:p w14:paraId="583E6B80">
                  <w:pPr>
                    <w:adjustRightInd w:val="0"/>
                    <w:snapToGrid w:val="0"/>
                    <w:jc w:val="center"/>
                    <w:rPr>
                      <w:color w:val="auto"/>
                    </w:rPr>
                  </w:pPr>
                  <w:r>
                    <w:rPr>
                      <w:rFonts w:hint="eastAsia"/>
                      <w:color w:val="auto"/>
                      <w:lang w:val="en-US" w:eastAsia="zh-CN"/>
                    </w:rPr>
                    <w:t>BOD</w:t>
                  </w:r>
                  <w:r>
                    <w:rPr>
                      <w:rFonts w:hint="eastAsia"/>
                      <w:color w:val="auto"/>
                      <w:vertAlign w:val="subscript"/>
                      <w:lang w:val="en-US" w:eastAsia="zh-CN"/>
                    </w:rPr>
                    <w:t>5</w:t>
                  </w:r>
                </w:p>
              </w:tc>
              <w:tc>
                <w:tcPr>
                  <w:tcW w:w="444" w:type="pct"/>
                  <w:noWrap w:val="0"/>
                  <w:vAlign w:val="center"/>
                </w:tcPr>
                <w:p w14:paraId="5C65BCB9">
                  <w:pPr>
                    <w:adjustRightInd w:val="0"/>
                    <w:snapToGrid w:val="0"/>
                    <w:jc w:val="center"/>
                    <w:rPr>
                      <w:rFonts w:hint="default" w:ascii="Times New Roman" w:hAnsi="Times New Roman" w:eastAsia="宋体" w:cs="Times New Roman"/>
                      <w:color w:val="auto"/>
                      <w:lang w:val="en-US" w:eastAsia="zh-CN"/>
                    </w:rPr>
                  </w:pPr>
                  <w:r>
                    <w:rPr>
                      <w:rFonts w:hint="eastAsia" w:cs="Times New Roman"/>
                      <w:color w:val="auto"/>
                      <w:lang w:val="en-US" w:eastAsia="zh-CN"/>
                    </w:rPr>
                    <w:t>15.12</w:t>
                  </w:r>
                </w:p>
              </w:tc>
              <w:tc>
                <w:tcPr>
                  <w:tcW w:w="488" w:type="pct"/>
                  <w:noWrap w:val="0"/>
                  <w:vAlign w:val="center"/>
                </w:tcPr>
                <w:p w14:paraId="1A93AAC1">
                  <w:pPr>
                    <w:adjustRightInd w:val="0"/>
                    <w:snapToGrid w:val="0"/>
                    <w:jc w:val="center"/>
                    <w:rPr>
                      <w:rFonts w:hint="default" w:ascii="Times New Roman" w:hAnsi="Times New Roman" w:eastAsia="宋体" w:cs="Times New Roman"/>
                      <w:color w:val="auto"/>
                      <w:lang w:val="en-US" w:eastAsia="zh-CN"/>
                    </w:rPr>
                  </w:pPr>
                  <w:r>
                    <w:rPr>
                      <w:rFonts w:hint="eastAsia" w:cs="Times New Roman"/>
                      <w:color w:val="auto"/>
                      <w:lang w:val="en-US" w:eastAsia="zh-CN"/>
                    </w:rPr>
                    <w:t>0.0052</w:t>
                  </w:r>
                </w:p>
              </w:tc>
              <w:tc>
                <w:tcPr>
                  <w:tcW w:w="402" w:type="pct"/>
                  <w:vMerge w:val="continue"/>
                  <w:noWrap w:val="0"/>
                  <w:vAlign w:val="center"/>
                </w:tcPr>
                <w:p w14:paraId="69B037BB">
                  <w:pPr>
                    <w:adjustRightInd w:val="0"/>
                    <w:snapToGrid w:val="0"/>
                    <w:jc w:val="center"/>
                    <w:rPr>
                      <w:color w:val="auto"/>
                    </w:rPr>
                  </w:pPr>
                </w:p>
              </w:tc>
            </w:tr>
            <w:tr w14:paraId="653791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1" w:hRule="atLeast"/>
                <w:jc w:val="center"/>
              </w:trPr>
              <w:tc>
                <w:tcPr>
                  <w:tcW w:w="305" w:type="pct"/>
                  <w:vMerge w:val="continue"/>
                  <w:noWrap w:val="0"/>
                  <w:vAlign w:val="center"/>
                </w:tcPr>
                <w:p w14:paraId="1923BB2C">
                  <w:pPr>
                    <w:adjustRightInd w:val="0"/>
                    <w:snapToGrid w:val="0"/>
                    <w:jc w:val="center"/>
                    <w:rPr>
                      <w:rFonts w:hint="eastAsia"/>
                      <w:color w:val="auto"/>
                    </w:rPr>
                  </w:pPr>
                </w:p>
              </w:tc>
              <w:tc>
                <w:tcPr>
                  <w:tcW w:w="393" w:type="pct"/>
                  <w:vMerge w:val="continue"/>
                  <w:noWrap w:val="0"/>
                  <w:vAlign w:val="center"/>
                </w:tcPr>
                <w:p w14:paraId="58FB70D4">
                  <w:pPr>
                    <w:adjustRightInd w:val="0"/>
                    <w:snapToGrid w:val="0"/>
                    <w:jc w:val="center"/>
                    <w:rPr>
                      <w:rFonts w:hint="eastAsia"/>
                      <w:color w:val="auto"/>
                      <w:kern w:val="0"/>
                      <w:szCs w:val="21"/>
                      <w:lang w:bidi="ar"/>
                    </w:rPr>
                  </w:pPr>
                </w:p>
              </w:tc>
              <w:tc>
                <w:tcPr>
                  <w:tcW w:w="494" w:type="pct"/>
                  <w:noWrap w:val="0"/>
                  <w:vAlign w:val="center"/>
                </w:tcPr>
                <w:p w14:paraId="1FCE9666">
                  <w:pPr>
                    <w:adjustRightInd w:val="0"/>
                    <w:snapToGrid w:val="0"/>
                    <w:jc w:val="center"/>
                    <w:rPr>
                      <w:rFonts w:hint="default"/>
                      <w:color w:val="auto"/>
                      <w:lang w:val="en-US" w:eastAsia="zh-CN"/>
                    </w:rPr>
                  </w:pPr>
                  <w:r>
                    <w:rPr>
                      <w:rFonts w:hint="eastAsia"/>
                      <w:color w:val="auto"/>
                      <w:lang w:val="en-US" w:eastAsia="zh-CN"/>
                    </w:rPr>
                    <w:t>NH</w:t>
                  </w:r>
                  <w:r>
                    <w:rPr>
                      <w:rFonts w:hint="eastAsia"/>
                      <w:color w:val="auto"/>
                      <w:vertAlign w:val="subscript"/>
                      <w:lang w:val="en-US" w:eastAsia="zh-CN"/>
                    </w:rPr>
                    <w:t>3</w:t>
                  </w:r>
                  <w:r>
                    <w:rPr>
                      <w:rFonts w:hint="eastAsia"/>
                      <w:color w:val="auto"/>
                      <w:lang w:val="en-US" w:eastAsia="zh-CN"/>
                    </w:rPr>
                    <w:t>-N</w:t>
                  </w:r>
                </w:p>
              </w:tc>
              <w:tc>
                <w:tcPr>
                  <w:tcW w:w="476" w:type="pct"/>
                  <w:noWrap w:val="0"/>
                  <w:vAlign w:val="center"/>
                </w:tcPr>
                <w:p w14:paraId="0582D377">
                  <w:pPr>
                    <w:adjustRightInd w:val="0"/>
                    <w:snapToGrid w:val="0"/>
                    <w:jc w:val="center"/>
                    <w:rPr>
                      <w:rFonts w:hint="default"/>
                      <w:color w:val="auto"/>
                      <w:lang w:val="en-US" w:eastAsia="zh-CN"/>
                    </w:rPr>
                  </w:pPr>
                  <w:r>
                    <w:rPr>
                      <w:rFonts w:hint="eastAsia"/>
                      <w:color w:val="auto"/>
                      <w:lang w:val="en-US" w:eastAsia="zh-CN"/>
                    </w:rPr>
                    <w:t>2.59</w:t>
                  </w:r>
                </w:p>
              </w:tc>
              <w:tc>
                <w:tcPr>
                  <w:tcW w:w="513" w:type="pct"/>
                  <w:noWrap w:val="0"/>
                  <w:vAlign w:val="center"/>
                </w:tcPr>
                <w:p w14:paraId="715C3ECE">
                  <w:pPr>
                    <w:adjustRightInd w:val="0"/>
                    <w:snapToGrid w:val="0"/>
                    <w:jc w:val="center"/>
                    <w:rPr>
                      <w:rFonts w:hint="default" w:ascii="Times New Roman" w:hAnsi="Times New Roman" w:eastAsia="宋体" w:cs="Times New Roman"/>
                      <w:color w:val="auto"/>
                      <w:lang w:val="en-US" w:eastAsia="zh-CN"/>
                    </w:rPr>
                  </w:pPr>
                  <w:r>
                    <w:rPr>
                      <w:rFonts w:hint="eastAsia" w:cs="Times New Roman"/>
                      <w:color w:val="auto"/>
                      <w:lang w:val="en-US" w:eastAsia="zh-CN"/>
                    </w:rPr>
                    <w:t>0.0009</w:t>
                  </w:r>
                </w:p>
              </w:tc>
              <w:tc>
                <w:tcPr>
                  <w:tcW w:w="514" w:type="pct"/>
                  <w:vMerge w:val="continue"/>
                  <w:noWrap w:val="0"/>
                  <w:vAlign w:val="center"/>
                </w:tcPr>
                <w:p w14:paraId="719E2D3D">
                  <w:pPr>
                    <w:adjustRightInd w:val="0"/>
                    <w:snapToGrid w:val="0"/>
                    <w:jc w:val="center"/>
                    <w:rPr>
                      <w:color w:val="auto"/>
                    </w:rPr>
                  </w:pPr>
                </w:p>
              </w:tc>
              <w:tc>
                <w:tcPr>
                  <w:tcW w:w="483" w:type="pct"/>
                  <w:noWrap w:val="0"/>
                  <w:vAlign w:val="center"/>
                </w:tcPr>
                <w:p w14:paraId="68184D5F">
                  <w:pPr>
                    <w:adjustRightInd w:val="0"/>
                    <w:snapToGrid w:val="0"/>
                    <w:jc w:val="center"/>
                    <w:rPr>
                      <w:rFonts w:hint="default"/>
                      <w:color w:val="auto"/>
                      <w:lang w:val="en-US" w:eastAsia="zh-CN"/>
                    </w:rPr>
                  </w:pPr>
                  <w:r>
                    <w:rPr>
                      <w:rFonts w:hint="eastAsia"/>
                      <w:color w:val="auto"/>
                      <w:lang w:val="en-US" w:eastAsia="zh-CN"/>
                    </w:rPr>
                    <w:t>30%</w:t>
                  </w:r>
                </w:p>
              </w:tc>
              <w:tc>
                <w:tcPr>
                  <w:tcW w:w="483" w:type="pct"/>
                  <w:noWrap w:val="0"/>
                  <w:vAlign w:val="center"/>
                </w:tcPr>
                <w:p w14:paraId="5A537A56">
                  <w:pPr>
                    <w:adjustRightInd w:val="0"/>
                    <w:snapToGrid w:val="0"/>
                    <w:jc w:val="center"/>
                    <w:rPr>
                      <w:rFonts w:hint="eastAsia"/>
                      <w:color w:val="auto"/>
                      <w:lang w:val="en-US" w:eastAsia="zh-CN"/>
                    </w:rPr>
                  </w:pPr>
                  <w:r>
                    <w:rPr>
                      <w:rFonts w:hint="eastAsia"/>
                      <w:color w:val="auto"/>
                      <w:lang w:val="en-US" w:eastAsia="zh-CN"/>
                    </w:rPr>
                    <w:t>NH</w:t>
                  </w:r>
                  <w:r>
                    <w:rPr>
                      <w:rFonts w:hint="eastAsia"/>
                      <w:color w:val="auto"/>
                      <w:vertAlign w:val="subscript"/>
                      <w:lang w:val="en-US" w:eastAsia="zh-CN"/>
                    </w:rPr>
                    <w:t>3</w:t>
                  </w:r>
                  <w:r>
                    <w:rPr>
                      <w:rFonts w:hint="eastAsia"/>
                      <w:color w:val="auto"/>
                      <w:lang w:val="en-US" w:eastAsia="zh-CN"/>
                    </w:rPr>
                    <w:t>-N</w:t>
                  </w:r>
                </w:p>
              </w:tc>
              <w:tc>
                <w:tcPr>
                  <w:tcW w:w="444" w:type="pct"/>
                  <w:noWrap w:val="0"/>
                  <w:vAlign w:val="center"/>
                </w:tcPr>
                <w:p w14:paraId="3176DC43">
                  <w:pPr>
                    <w:adjustRightInd w:val="0"/>
                    <w:snapToGrid w:val="0"/>
                    <w:jc w:val="center"/>
                    <w:rPr>
                      <w:rFonts w:hint="default" w:ascii="Times New Roman" w:hAnsi="Times New Roman" w:eastAsia="宋体" w:cs="Times New Roman"/>
                      <w:color w:val="auto"/>
                      <w:lang w:val="en-US" w:eastAsia="zh-CN"/>
                    </w:rPr>
                  </w:pPr>
                  <w:r>
                    <w:rPr>
                      <w:rFonts w:hint="eastAsia" w:cs="Times New Roman"/>
                      <w:color w:val="auto"/>
                      <w:lang w:val="en-US" w:eastAsia="zh-CN"/>
                    </w:rPr>
                    <w:t>1.813</w:t>
                  </w:r>
                </w:p>
              </w:tc>
              <w:tc>
                <w:tcPr>
                  <w:tcW w:w="488" w:type="pct"/>
                  <w:noWrap w:val="0"/>
                  <w:vAlign w:val="center"/>
                </w:tcPr>
                <w:p w14:paraId="25945001">
                  <w:pPr>
                    <w:adjustRightInd w:val="0"/>
                    <w:snapToGrid w:val="0"/>
                    <w:jc w:val="center"/>
                    <w:rPr>
                      <w:rFonts w:hint="default" w:ascii="Times New Roman" w:hAnsi="Times New Roman" w:eastAsia="宋体" w:cs="Times New Roman"/>
                      <w:color w:val="auto"/>
                      <w:lang w:val="en-US" w:eastAsia="zh-CN"/>
                    </w:rPr>
                  </w:pPr>
                  <w:r>
                    <w:rPr>
                      <w:rFonts w:hint="eastAsia" w:cs="Times New Roman"/>
                      <w:color w:val="auto"/>
                      <w:lang w:val="en-US" w:eastAsia="zh-CN"/>
                    </w:rPr>
                    <w:t>0.0006</w:t>
                  </w:r>
                </w:p>
              </w:tc>
              <w:tc>
                <w:tcPr>
                  <w:tcW w:w="402" w:type="pct"/>
                  <w:vMerge w:val="continue"/>
                  <w:noWrap w:val="0"/>
                  <w:vAlign w:val="center"/>
                </w:tcPr>
                <w:p w14:paraId="54011612">
                  <w:pPr>
                    <w:adjustRightInd w:val="0"/>
                    <w:snapToGrid w:val="0"/>
                    <w:jc w:val="center"/>
                    <w:rPr>
                      <w:color w:val="auto"/>
                    </w:rPr>
                  </w:pPr>
                </w:p>
              </w:tc>
            </w:tr>
            <w:tr w14:paraId="3E4D94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0" w:hRule="atLeast"/>
                <w:jc w:val="center"/>
              </w:trPr>
              <w:tc>
                <w:tcPr>
                  <w:tcW w:w="305" w:type="pct"/>
                  <w:vMerge w:val="restart"/>
                  <w:noWrap w:val="0"/>
                  <w:vAlign w:val="center"/>
                </w:tcPr>
                <w:p w14:paraId="21C05D2B">
                  <w:pPr>
                    <w:adjustRightInd w:val="0"/>
                    <w:snapToGrid w:val="0"/>
                    <w:jc w:val="center"/>
                    <w:rPr>
                      <w:rFonts w:hint="default"/>
                      <w:color w:val="auto"/>
                      <w:lang w:val="en-US" w:eastAsia="zh-CN"/>
                    </w:rPr>
                  </w:pPr>
                  <w:r>
                    <w:rPr>
                      <w:rFonts w:hint="eastAsia"/>
                      <w:color w:val="auto"/>
                      <w:lang w:val="en-US" w:eastAsia="zh-CN"/>
                    </w:rPr>
                    <w:t>浓水</w:t>
                  </w:r>
                </w:p>
              </w:tc>
              <w:tc>
                <w:tcPr>
                  <w:tcW w:w="393" w:type="pct"/>
                  <w:vMerge w:val="restart"/>
                  <w:noWrap w:val="0"/>
                  <w:vAlign w:val="center"/>
                </w:tcPr>
                <w:p w14:paraId="516E3B2C">
                  <w:pPr>
                    <w:adjustRightInd w:val="0"/>
                    <w:snapToGrid w:val="0"/>
                    <w:jc w:val="center"/>
                    <w:rPr>
                      <w:rFonts w:hint="default"/>
                      <w:color w:val="auto"/>
                      <w:kern w:val="0"/>
                      <w:szCs w:val="21"/>
                      <w:lang w:val="en-US" w:eastAsia="zh-CN" w:bidi="ar"/>
                    </w:rPr>
                  </w:pPr>
                  <w:r>
                    <w:rPr>
                      <w:rFonts w:hint="eastAsia"/>
                      <w:color w:val="auto"/>
                      <w:kern w:val="0"/>
                      <w:szCs w:val="21"/>
                      <w:lang w:val="en-US" w:eastAsia="zh-CN" w:bidi="ar"/>
                    </w:rPr>
                    <w:t>30</w:t>
                  </w:r>
                </w:p>
              </w:tc>
              <w:tc>
                <w:tcPr>
                  <w:tcW w:w="494" w:type="pct"/>
                  <w:noWrap w:val="0"/>
                  <w:vAlign w:val="center"/>
                </w:tcPr>
                <w:p w14:paraId="0930B38E">
                  <w:pPr>
                    <w:adjustRightInd w:val="0"/>
                    <w:snapToGrid w:val="0"/>
                    <w:jc w:val="center"/>
                    <w:rPr>
                      <w:rFonts w:hint="default"/>
                      <w:color w:val="auto"/>
                      <w:lang w:val="en-US" w:eastAsia="zh-CN"/>
                    </w:rPr>
                  </w:pPr>
                  <w:r>
                    <w:rPr>
                      <w:rFonts w:hint="eastAsia"/>
                      <w:color w:val="auto"/>
                      <w:lang w:val="en-US" w:eastAsia="zh-CN"/>
                    </w:rPr>
                    <w:t>COD</w:t>
                  </w:r>
                </w:p>
              </w:tc>
              <w:tc>
                <w:tcPr>
                  <w:tcW w:w="476" w:type="pct"/>
                  <w:noWrap w:val="0"/>
                  <w:vAlign w:val="center"/>
                </w:tcPr>
                <w:p w14:paraId="3BB4186D">
                  <w:pPr>
                    <w:adjustRightInd w:val="0"/>
                    <w:snapToGrid w:val="0"/>
                    <w:jc w:val="center"/>
                    <w:rPr>
                      <w:rFonts w:hint="default"/>
                      <w:color w:val="auto"/>
                      <w:lang w:val="en-US" w:eastAsia="zh-CN"/>
                    </w:rPr>
                  </w:pPr>
                  <w:r>
                    <w:rPr>
                      <w:rFonts w:hint="eastAsia"/>
                      <w:color w:val="auto"/>
                      <w:lang w:val="en-US" w:eastAsia="zh-CN"/>
                    </w:rPr>
                    <w:t>300</w:t>
                  </w:r>
                </w:p>
              </w:tc>
              <w:tc>
                <w:tcPr>
                  <w:tcW w:w="513" w:type="pct"/>
                  <w:noWrap w:val="0"/>
                  <w:vAlign w:val="center"/>
                </w:tcPr>
                <w:p w14:paraId="35B5E83A">
                  <w:pPr>
                    <w:adjustRightInd w:val="0"/>
                    <w:snapToGrid w:val="0"/>
                    <w:jc w:val="center"/>
                    <w:rPr>
                      <w:rFonts w:hint="default"/>
                      <w:color w:val="auto"/>
                      <w:lang w:val="en-US" w:eastAsia="zh-CN"/>
                    </w:rPr>
                  </w:pPr>
                  <w:r>
                    <w:rPr>
                      <w:rFonts w:hint="eastAsia"/>
                      <w:color w:val="auto"/>
                      <w:lang w:val="en-US" w:eastAsia="zh-CN"/>
                    </w:rPr>
                    <w:t>0.009</w:t>
                  </w:r>
                </w:p>
              </w:tc>
              <w:tc>
                <w:tcPr>
                  <w:tcW w:w="514" w:type="pct"/>
                  <w:vMerge w:val="restart"/>
                  <w:noWrap w:val="0"/>
                  <w:vAlign w:val="center"/>
                </w:tcPr>
                <w:p w14:paraId="401E1FE4">
                  <w:pPr>
                    <w:adjustRightInd w:val="0"/>
                    <w:snapToGrid w:val="0"/>
                    <w:jc w:val="center"/>
                    <w:rPr>
                      <w:rFonts w:hint="default" w:eastAsia="宋体"/>
                      <w:color w:val="auto"/>
                      <w:lang w:val="en-US" w:eastAsia="zh-CN"/>
                    </w:rPr>
                  </w:pPr>
                  <w:r>
                    <w:rPr>
                      <w:rFonts w:hint="eastAsia"/>
                      <w:color w:val="auto"/>
                      <w:lang w:val="en-US" w:eastAsia="zh-CN"/>
                    </w:rPr>
                    <w:t>排入废水池</w:t>
                  </w:r>
                </w:p>
              </w:tc>
              <w:tc>
                <w:tcPr>
                  <w:tcW w:w="483" w:type="pct"/>
                  <w:noWrap w:val="0"/>
                  <w:vAlign w:val="center"/>
                </w:tcPr>
                <w:p w14:paraId="020AC2B2">
                  <w:pPr>
                    <w:adjustRightInd w:val="0"/>
                    <w:snapToGrid w:val="0"/>
                    <w:jc w:val="center"/>
                    <w:rPr>
                      <w:rFonts w:hint="eastAsia"/>
                      <w:color w:val="auto"/>
                      <w:lang w:val="en-US" w:eastAsia="zh-CN"/>
                    </w:rPr>
                  </w:pPr>
                  <w:r>
                    <w:rPr>
                      <w:rFonts w:hint="eastAsia"/>
                      <w:color w:val="auto"/>
                      <w:lang w:val="en-US" w:eastAsia="zh-CN"/>
                    </w:rPr>
                    <w:t>/</w:t>
                  </w:r>
                </w:p>
              </w:tc>
              <w:tc>
                <w:tcPr>
                  <w:tcW w:w="483" w:type="pct"/>
                  <w:noWrap w:val="0"/>
                  <w:vAlign w:val="center"/>
                </w:tcPr>
                <w:p w14:paraId="10CD2AD0">
                  <w:pPr>
                    <w:adjustRightInd w:val="0"/>
                    <w:snapToGrid w:val="0"/>
                    <w:jc w:val="center"/>
                    <w:rPr>
                      <w:rFonts w:hint="eastAsia"/>
                      <w:color w:val="auto"/>
                      <w:lang w:val="en-US" w:eastAsia="zh-CN"/>
                    </w:rPr>
                  </w:pPr>
                  <w:r>
                    <w:rPr>
                      <w:rFonts w:hint="eastAsia"/>
                      <w:color w:val="auto"/>
                      <w:lang w:val="en-US" w:eastAsia="zh-CN"/>
                    </w:rPr>
                    <w:t>COD</w:t>
                  </w:r>
                </w:p>
              </w:tc>
              <w:tc>
                <w:tcPr>
                  <w:tcW w:w="444" w:type="pct"/>
                  <w:noWrap w:val="0"/>
                  <w:vAlign w:val="center"/>
                </w:tcPr>
                <w:p w14:paraId="67B4AFAF">
                  <w:pPr>
                    <w:adjustRightInd w:val="0"/>
                    <w:snapToGrid w:val="0"/>
                    <w:jc w:val="center"/>
                    <w:rPr>
                      <w:rFonts w:hint="eastAsia"/>
                      <w:color w:val="auto"/>
                      <w:lang w:val="en-US" w:eastAsia="zh-CN"/>
                    </w:rPr>
                  </w:pPr>
                  <w:r>
                    <w:rPr>
                      <w:rFonts w:hint="eastAsia"/>
                      <w:color w:val="auto"/>
                      <w:lang w:val="en-US" w:eastAsia="zh-CN"/>
                    </w:rPr>
                    <w:t>300</w:t>
                  </w:r>
                </w:p>
              </w:tc>
              <w:tc>
                <w:tcPr>
                  <w:tcW w:w="488" w:type="pct"/>
                  <w:noWrap w:val="0"/>
                  <w:vAlign w:val="center"/>
                </w:tcPr>
                <w:p w14:paraId="76F055DE">
                  <w:pPr>
                    <w:adjustRightInd w:val="0"/>
                    <w:snapToGrid w:val="0"/>
                    <w:jc w:val="center"/>
                    <w:rPr>
                      <w:rFonts w:hint="eastAsia"/>
                      <w:color w:val="auto"/>
                      <w:lang w:val="en-US" w:eastAsia="zh-CN"/>
                    </w:rPr>
                  </w:pPr>
                  <w:r>
                    <w:rPr>
                      <w:rFonts w:hint="eastAsia"/>
                      <w:color w:val="auto"/>
                      <w:lang w:val="en-US" w:eastAsia="zh-CN"/>
                    </w:rPr>
                    <w:t>0.009</w:t>
                  </w:r>
                </w:p>
              </w:tc>
              <w:tc>
                <w:tcPr>
                  <w:tcW w:w="402" w:type="pct"/>
                  <w:vMerge w:val="continue"/>
                  <w:noWrap w:val="0"/>
                  <w:vAlign w:val="center"/>
                </w:tcPr>
                <w:p w14:paraId="102400BA">
                  <w:pPr>
                    <w:adjustRightInd w:val="0"/>
                    <w:snapToGrid w:val="0"/>
                    <w:jc w:val="both"/>
                    <w:rPr>
                      <w:rFonts w:hint="default" w:eastAsia="宋体"/>
                      <w:color w:val="auto"/>
                      <w:lang w:val="en-US" w:eastAsia="zh-CN"/>
                    </w:rPr>
                  </w:pPr>
                </w:p>
              </w:tc>
            </w:tr>
            <w:tr w14:paraId="52C9B9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0" w:hRule="atLeast"/>
                <w:jc w:val="center"/>
              </w:trPr>
              <w:tc>
                <w:tcPr>
                  <w:tcW w:w="305" w:type="pct"/>
                  <w:vMerge w:val="continue"/>
                  <w:noWrap w:val="0"/>
                  <w:vAlign w:val="center"/>
                </w:tcPr>
                <w:p w14:paraId="3128AC75">
                  <w:pPr>
                    <w:adjustRightInd w:val="0"/>
                    <w:snapToGrid w:val="0"/>
                    <w:jc w:val="center"/>
                    <w:rPr>
                      <w:rFonts w:hint="eastAsia"/>
                      <w:color w:val="auto"/>
                      <w:lang w:val="en-US" w:eastAsia="zh-CN"/>
                    </w:rPr>
                  </w:pPr>
                </w:p>
              </w:tc>
              <w:tc>
                <w:tcPr>
                  <w:tcW w:w="393" w:type="pct"/>
                  <w:vMerge w:val="continue"/>
                  <w:noWrap w:val="0"/>
                  <w:vAlign w:val="center"/>
                </w:tcPr>
                <w:p w14:paraId="6865073F">
                  <w:pPr>
                    <w:adjustRightInd w:val="0"/>
                    <w:snapToGrid w:val="0"/>
                    <w:jc w:val="center"/>
                    <w:rPr>
                      <w:rFonts w:hint="eastAsia"/>
                      <w:color w:val="auto"/>
                      <w:kern w:val="0"/>
                      <w:szCs w:val="21"/>
                      <w:lang w:val="en-US" w:eastAsia="zh-CN" w:bidi="ar"/>
                    </w:rPr>
                  </w:pPr>
                </w:p>
              </w:tc>
              <w:tc>
                <w:tcPr>
                  <w:tcW w:w="494" w:type="pct"/>
                  <w:noWrap w:val="0"/>
                  <w:vAlign w:val="center"/>
                </w:tcPr>
                <w:p w14:paraId="626912F6">
                  <w:pPr>
                    <w:adjustRightInd w:val="0"/>
                    <w:snapToGrid w:val="0"/>
                    <w:jc w:val="center"/>
                    <w:rPr>
                      <w:rFonts w:hint="eastAsia"/>
                      <w:color w:val="auto"/>
                      <w:lang w:val="en-US" w:eastAsia="zh-CN"/>
                    </w:rPr>
                  </w:pPr>
                  <w:r>
                    <w:rPr>
                      <w:rFonts w:hint="eastAsia"/>
                      <w:color w:val="auto"/>
                      <w:lang w:val="en-US" w:eastAsia="zh-CN"/>
                    </w:rPr>
                    <w:t>SS</w:t>
                  </w:r>
                </w:p>
              </w:tc>
              <w:tc>
                <w:tcPr>
                  <w:tcW w:w="476" w:type="pct"/>
                  <w:noWrap w:val="0"/>
                  <w:vAlign w:val="center"/>
                </w:tcPr>
                <w:p w14:paraId="15BC5D2E">
                  <w:pPr>
                    <w:adjustRightInd w:val="0"/>
                    <w:snapToGrid w:val="0"/>
                    <w:jc w:val="center"/>
                    <w:rPr>
                      <w:rFonts w:hint="default"/>
                      <w:color w:val="auto"/>
                      <w:lang w:val="en-US" w:eastAsia="zh-CN"/>
                    </w:rPr>
                  </w:pPr>
                  <w:r>
                    <w:rPr>
                      <w:rFonts w:hint="eastAsia"/>
                      <w:color w:val="auto"/>
                      <w:lang w:val="en-US" w:eastAsia="zh-CN"/>
                    </w:rPr>
                    <w:t>200</w:t>
                  </w:r>
                </w:p>
              </w:tc>
              <w:tc>
                <w:tcPr>
                  <w:tcW w:w="513" w:type="pct"/>
                  <w:noWrap w:val="0"/>
                  <w:vAlign w:val="center"/>
                </w:tcPr>
                <w:p w14:paraId="66E1EC0B">
                  <w:pPr>
                    <w:adjustRightInd w:val="0"/>
                    <w:snapToGrid w:val="0"/>
                    <w:jc w:val="center"/>
                    <w:rPr>
                      <w:rFonts w:hint="default"/>
                      <w:color w:val="auto"/>
                      <w:lang w:val="en-US" w:eastAsia="zh-CN"/>
                    </w:rPr>
                  </w:pPr>
                  <w:r>
                    <w:rPr>
                      <w:rFonts w:hint="eastAsia"/>
                      <w:color w:val="auto"/>
                      <w:lang w:val="en-US" w:eastAsia="zh-CN"/>
                    </w:rPr>
                    <w:t>0.006</w:t>
                  </w:r>
                </w:p>
              </w:tc>
              <w:tc>
                <w:tcPr>
                  <w:tcW w:w="514" w:type="pct"/>
                  <w:vMerge w:val="continue"/>
                  <w:noWrap w:val="0"/>
                  <w:vAlign w:val="center"/>
                </w:tcPr>
                <w:p w14:paraId="227791DF">
                  <w:pPr>
                    <w:adjustRightInd w:val="0"/>
                    <w:snapToGrid w:val="0"/>
                    <w:jc w:val="center"/>
                    <w:rPr>
                      <w:rFonts w:hint="eastAsia"/>
                      <w:color w:val="auto"/>
                      <w:lang w:val="en-US" w:eastAsia="zh-CN"/>
                    </w:rPr>
                  </w:pPr>
                </w:p>
              </w:tc>
              <w:tc>
                <w:tcPr>
                  <w:tcW w:w="483" w:type="pct"/>
                  <w:noWrap w:val="0"/>
                  <w:vAlign w:val="center"/>
                </w:tcPr>
                <w:p w14:paraId="0FEDDA0C">
                  <w:pPr>
                    <w:adjustRightInd w:val="0"/>
                    <w:snapToGrid w:val="0"/>
                    <w:jc w:val="center"/>
                    <w:rPr>
                      <w:rFonts w:hint="eastAsia"/>
                      <w:color w:val="auto"/>
                      <w:lang w:val="en-US" w:eastAsia="zh-CN"/>
                    </w:rPr>
                  </w:pPr>
                  <w:r>
                    <w:rPr>
                      <w:rFonts w:hint="eastAsia"/>
                      <w:color w:val="auto"/>
                      <w:lang w:val="en-US" w:eastAsia="zh-CN"/>
                    </w:rPr>
                    <w:t>/</w:t>
                  </w:r>
                </w:p>
              </w:tc>
              <w:tc>
                <w:tcPr>
                  <w:tcW w:w="483" w:type="pct"/>
                  <w:noWrap w:val="0"/>
                  <w:vAlign w:val="center"/>
                </w:tcPr>
                <w:p w14:paraId="4AB82E10">
                  <w:pPr>
                    <w:adjustRightInd w:val="0"/>
                    <w:snapToGrid w:val="0"/>
                    <w:jc w:val="center"/>
                    <w:rPr>
                      <w:rFonts w:hint="eastAsia"/>
                      <w:color w:val="auto"/>
                      <w:lang w:val="en-US" w:eastAsia="zh-CN"/>
                    </w:rPr>
                  </w:pPr>
                  <w:r>
                    <w:rPr>
                      <w:rFonts w:hint="eastAsia"/>
                      <w:color w:val="auto"/>
                      <w:lang w:val="en-US" w:eastAsia="zh-CN"/>
                    </w:rPr>
                    <w:t>SS</w:t>
                  </w:r>
                </w:p>
              </w:tc>
              <w:tc>
                <w:tcPr>
                  <w:tcW w:w="444" w:type="pct"/>
                  <w:noWrap w:val="0"/>
                  <w:vAlign w:val="center"/>
                </w:tcPr>
                <w:p w14:paraId="02F9A15C">
                  <w:pPr>
                    <w:adjustRightInd w:val="0"/>
                    <w:snapToGrid w:val="0"/>
                    <w:jc w:val="center"/>
                    <w:rPr>
                      <w:rFonts w:hint="eastAsia"/>
                      <w:color w:val="auto"/>
                      <w:lang w:val="en-US" w:eastAsia="zh-CN"/>
                    </w:rPr>
                  </w:pPr>
                  <w:r>
                    <w:rPr>
                      <w:rFonts w:hint="eastAsia"/>
                      <w:color w:val="auto"/>
                      <w:lang w:val="en-US" w:eastAsia="zh-CN"/>
                    </w:rPr>
                    <w:t>200</w:t>
                  </w:r>
                </w:p>
              </w:tc>
              <w:tc>
                <w:tcPr>
                  <w:tcW w:w="488" w:type="pct"/>
                  <w:noWrap w:val="0"/>
                  <w:vAlign w:val="center"/>
                </w:tcPr>
                <w:p w14:paraId="63F8A871">
                  <w:pPr>
                    <w:adjustRightInd w:val="0"/>
                    <w:snapToGrid w:val="0"/>
                    <w:jc w:val="center"/>
                    <w:rPr>
                      <w:rFonts w:hint="eastAsia"/>
                      <w:color w:val="auto"/>
                      <w:lang w:val="en-US" w:eastAsia="zh-CN"/>
                    </w:rPr>
                  </w:pPr>
                  <w:r>
                    <w:rPr>
                      <w:rFonts w:hint="eastAsia"/>
                      <w:color w:val="auto"/>
                      <w:lang w:val="en-US" w:eastAsia="zh-CN"/>
                    </w:rPr>
                    <w:t>0.006</w:t>
                  </w:r>
                </w:p>
              </w:tc>
              <w:tc>
                <w:tcPr>
                  <w:tcW w:w="402" w:type="pct"/>
                  <w:vMerge w:val="continue"/>
                  <w:noWrap w:val="0"/>
                  <w:vAlign w:val="center"/>
                </w:tcPr>
                <w:p w14:paraId="7DE88B43">
                  <w:pPr>
                    <w:adjustRightInd w:val="0"/>
                    <w:snapToGrid w:val="0"/>
                    <w:jc w:val="center"/>
                    <w:rPr>
                      <w:rFonts w:hint="eastAsia"/>
                      <w:color w:val="auto"/>
                      <w:lang w:val="en-US" w:eastAsia="zh-CN"/>
                    </w:rPr>
                  </w:pPr>
                </w:p>
              </w:tc>
            </w:tr>
            <w:tr w14:paraId="647945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0" w:hRule="atLeast"/>
                <w:jc w:val="center"/>
              </w:trPr>
              <w:tc>
                <w:tcPr>
                  <w:tcW w:w="305" w:type="pct"/>
                  <w:vMerge w:val="restart"/>
                  <w:noWrap w:val="0"/>
                  <w:vAlign w:val="center"/>
                </w:tcPr>
                <w:p w14:paraId="5E66B39B">
                  <w:pPr>
                    <w:adjustRightInd w:val="0"/>
                    <w:snapToGrid w:val="0"/>
                    <w:jc w:val="center"/>
                    <w:rPr>
                      <w:rFonts w:hint="default" w:eastAsia="宋体"/>
                      <w:color w:val="auto"/>
                      <w:lang w:val="en-US" w:eastAsia="zh-CN"/>
                    </w:rPr>
                  </w:pPr>
                  <w:r>
                    <w:rPr>
                      <w:rFonts w:hint="eastAsia"/>
                      <w:color w:val="auto"/>
                      <w:lang w:val="en-US" w:eastAsia="zh-CN"/>
                    </w:rPr>
                    <w:t>生活污水</w:t>
                  </w:r>
                </w:p>
              </w:tc>
              <w:tc>
                <w:tcPr>
                  <w:tcW w:w="393" w:type="pct"/>
                  <w:vMerge w:val="restart"/>
                  <w:noWrap w:val="0"/>
                  <w:vAlign w:val="center"/>
                </w:tcPr>
                <w:p w14:paraId="56D4D231">
                  <w:pPr>
                    <w:adjustRightInd w:val="0"/>
                    <w:snapToGrid w:val="0"/>
                    <w:jc w:val="center"/>
                    <w:rPr>
                      <w:rFonts w:hint="default" w:eastAsia="宋体"/>
                      <w:color w:val="auto"/>
                      <w:kern w:val="0"/>
                      <w:szCs w:val="21"/>
                      <w:lang w:val="en-US" w:eastAsia="zh-CN" w:bidi="ar"/>
                    </w:rPr>
                  </w:pPr>
                  <w:r>
                    <w:rPr>
                      <w:rFonts w:hint="eastAsia"/>
                      <w:color w:val="auto"/>
                      <w:kern w:val="0"/>
                      <w:szCs w:val="21"/>
                      <w:lang w:val="en-US" w:eastAsia="zh-CN" w:bidi="ar"/>
                    </w:rPr>
                    <w:t>144</w:t>
                  </w:r>
                </w:p>
              </w:tc>
              <w:tc>
                <w:tcPr>
                  <w:tcW w:w="494" w:type="pct"/>
                  <w:noWrap w:val="0"/>
                  <w:vAlign w:val="center"/>
                </w:tcPr>
                <w:p w14:paraId="7D505C5E">
                  <w:pPr>
                    <w:adjustRightInd w:val="0"/>
                    <w:snapToGrid w:val="0"/>
                    <w:jc w:val="center"/>
                    <w:rPr>
                      <w:rFonts w:hint="default" w:eastAsia="宋体"/>
                      <w:color w:val="auto"/>
                      <w:lang w:val="en-US" w:eastAsia="zh-CN"/>
                    </w:rPr>
                  </w:pPr>
                  <w:r>
                    <w:rPr>
                      <w:rFonts w:hint="eastAsia"/>
                      <w:color w:val="auto"/>
                      <w:lang w:val="en-US" w:eastAsia="zh-CN"/>
                    </w:rPr>
                    <w:t>COD</w:t>
                  </w:r>
                </w:p>
              </w:tc>
              <w:tc>
                <w:tcPr>
                  <w:tcW w:w="476" w:type="pct"/>
                  <w:noWrap w:val="0"/>
                  <w:vAlign w:val="center"/>
                </w:tcPr>
                <w:p w14:paraId="5BAB6D54">
                  <w:pPr>
                    <w:adjustRightInd w:val="0"/>
                    <w:snapToGrid w:val="0"/>
                    <w:jc w:val="center"/>
                    <w:rPr>
                      <w:rFonts w:hint="default" w:eastAsia="宋体"/>
                      <w:color w:val="auto"/>
                      <w:lang w:val="en-US" w:eastAsia="zh-CN"/>
                    </w:rPr>
                  </w:pPr>
                  <w:r>
                    <w:rPr>
                      <w:rFonts w:hint="eastAsia"/>
                      <w:color w:val="auto"/>
                      <w:lang w:val="en-US" w:eastAsia="zh-CN"/>
                    </w:rPr>
                    <w:t>400</w:t>
                  </w:r>
                </w:p>
              </w:tc>
              <w:tc>
                <w:tcPr>
                  <w:tcW w:w="513" w:type="pct"/>
                  <w:noWrap w:val="0"/>
                  <w:vAlign w:val="center"/>
                </w:tcPr>
                <w:p w14:paraId="28A9E32C">
                  <w:pPr>
                    <w:adjustRightInd w:val="0"/>
                    <w:snapToGrid w:val="0"/>
                    <w:jc w:val="center"/>
                    <w:rPr>
                      <w:rFonts w:hint="default" w:eastAsia="宋体"/>
                      <w:color w:val="auto"/>
                      <w:lang w:val="en-US" w:eastAsia="zh-CN"/>
                    </w:rPr>
                  </w:pPr>
                  <w:r>
                    <w:rPr>
                      <w:rFonts w:hint="eastAsia"/>
                      <w:color w:val="auto"/>
                      <w:lang w:val="en-US" w:eastAsia="zh-CN"/>
                    </w:rPr>
                    <w:t>0.0576</w:t>
                  </w:r>
                </w:p>
              </w:tc>
              <w:tc>
                <w:tcPr>
                  <w:tcW w:w="514" w:type="pct"/>
                  <w:vMerge w:val="restart"/>
                  <w:noWrap w:val="0"/>
                  <w:vAlign w:val="center"/>
                </w:tcPr>
                <w:p w14:paraId="7FCC61D7">
                  <w:pPr>
                    <w:adjustRightInd w:val="0"/>
                    <w:snapToGrid w:val="0"/>
                    <w:jc w:val="center"/>
                    <w:rPr>
                      <w:rFonts w:hint="default" w:eastAsia="宋体"/>
                      <w:color w:val="auto"/>
                      <w:lang w:val="en-US" w:eastAsia="zh-CN"/>
                    </w:rPr>
                  </w:pPr>
                  <w:r>
                    <w:rPr>
                      <w:rFonts w:hint="eastAsia"/>
                      <w:color w:val="auto"/>
                      <w:lang w:val="en-US" w:eastAsia="zh-CN"/>
                    </w:rPr>
                    <w:t>排入租用厂房已建化粪池</w:t>
                  </w:r>
                </w:p>
              </w:tc>
              <w:tc>
                <w:tcPr>
                  <w:tcW w:w="483" w:type="pct"/>
                  <w:noWrap w:val="0"/>
                  <w:vAlign w:val="center"/>
                </w:tcPr>
                <w:p w14:paraId="51629E58">
                  <w:pPr>
                    <w:adjustRightInd w:val="0"/>
                    <w:snapToGrid w:val="0"/>
                    <w:jc w:val="center"/>
                    <w:rPr>
                      <w:rFonts w:hint="eastAsia"/>
                      <w:color w:val="auto"/>
                      <w:lang w:val="en-US" w:eastAsia="zh-CN"/>
                    </w:rPr>
                  </w:pPr>
                  <w:r>
                    <w:rPr>
                      <w:rFonts w:hint="eastAsia"/>
                      <w:color w:val="auto"/>
                      <w:lang w:val="en-US" w:eastAsia="zh-CN"/>
                    </w:rPr>
                    <w:t>/</w:t>
                  </w:r>
                </w:p>
              </w:tc>
              <w:tc>
                <w:tcPr>
                  <w:tcW w:w="483" w:type="pct"/>
                  <w:noWrap w:val="0"/>
                  <w:vAlign w:val="center"/>
                </w:tcPr>
                <w:p w14:paraId="02B94587">
                  <w:pPr>
                    <w:adjustRightInd w:val="0"/>
                    <w:snapToGrid w:val="0"/>
                    <w:jc w:val="center"/>
                    <w:rPr>
                      <w:rFonts w:hint="eastAsia"/>
                      <w:color w:val="auto"/>
                    </w:rPr>
                  </w:pPr>
                  <w:r>
                    <w:rPr>
                      <w:rFonts w:hint="eastAsia"/>
                      <w:color w:val="auto"/>
                      <w:lang w:val="en-US" w:eastAsia="zh-CN"/>
                    </w:rPr>
                    <w:t>COD</w:t>
                  </w:r>
                </w:p>
              </w:tc>
              <w:tc>
                <w:tcPr>
                  <w:tcW w:w="444" w:type="pct"/>
                  <w:noWrap w:val="0"/>
                  <w:vAlign w:val="center"/>
                </w:tcPr>
                <w:p w14:paraId="236C60FE">
                  <w:pPr>
                    <w:adjustRightInd w:val="0"/>
                    <w:snapToGrid w:val="0"/>
                    <w:jc w:val="center"/>
                    <w:rPr>
                      <w:rFonts w:hint="eastAsia"/>
                      <w:color w:val="auto"/>
                    </w:rPr>
                  </w:pPr>
                  <w:r>
                    <w:rPr>
                      <w:rFonts w:hint="eastAsia"/>
                      <w:color w:val="auto"/>
                      <w:lang w:val="en-US" w:eastAsia="zh-CN"/>
                    </w:rPr>
                    <w:t>400</w:t>
                  </w:r>
                </w:p>
              </w:tc>
              <w:tc>
                <w:tcPr>
                  <w:tcW w:w="488" w:type="pct"/>
                  <w:noWrap w:val="0"/>
                  <w:vAlign w:val="center"/>
                </w:tcPr>
                <w:p w14:paraId="59EDBDE1">
                  <w:pPr>
                    <w:adjustRightInd w:val="0"/>
                    <w:snapToGrid w:val="0"/>
                    <w:jc w:val="center"/>
                    <w:rPr>
                      <w:rFonts w:hint="eastAsia"/>
                      <w:color w:val="auto"/>
                    </w:rPr>
                  </w:pPr>
                  <w:r>
                    <w:rPr>
                      <w:rFonts w:hint="eastAsia"/>
                      <w:color w:val="auto"/>
                      <w:lang w:val="en-US" w:eastAsia="zh-CN"/>
                    </w:rPr>
                    <w:t>0.0576</w:t>
                  </w:r>
                </w:p>
              </w:tc>
              <w:tc>
                <w:tcPr>
                  <w:tcW w:w="402" w:type="pct"/>
                  <w:vMerge w:val="continue"/>
                  <w:noWrap w:val="0"/>
                  <w:vAlign w:val="center"/>
                </w:tcPr>
                <w:p w14:paraId="7A3BBC0C">
                  <w:pPr>
                    <w:adjustRightInd w:val="0"/>
                    <w:snapToGrid w:val="0"/>
                    <w:jc w:val="both"/>
                    <w:rPr>
                      <w:rFonts w:hint="default" w:eastAsia="宋体"/>
                      <w:color w:val="auto"/>
                      <w:lang w:val="en-US" w:eastAsia="zh-CN"/>
                    </w:rPr>
                  </w:pPr>
                </w:p>
              </w:tc>
            </w:tr>
            <w:tr w14:paraId="0C7FE0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0" w:hRule="atLeast"/>
                <w:jc w:val="center"/>
              </w:trPr>
              <w:tc>
                <w:tcPr>
                  <w:tcW w:w="305" w:type="pct"/>
                  <w:vMerge w:val="continue"/>
                  <w:noWrap w:val="0"/>
                  <w:vAlign w:val="center"/>
                </w:tcPr>
                <w:p w14:paraId="729B4B3A">
                  <w:pPr>
                    <w:adjustRightInd w:val="0"/>
                    <w:snapToGrid w:val="0"/>
                    <w:jc w:val="center"/>
                    <w:rPr>
                      <w:color w:val="auto"/>
                    </w:rPr>
                  </w:pPr>
                </w:p>
              </w:tc>
              <w:tc>
                <w:tcPr>
                  <w:tcW w:w="393" w:type="pct"/>
                  <w:vMerge w:val="continue"/>
                  <w:noWrap w:val="0"/>
                  <w:vAlign w:val="center"/>
                </w:tcPr>
                <w:p w14:paraId="354FE79E">
                  <w:pPr>
                    <w:adjustRightInd w:val="0"/>
                    <w:snapToGrid w:val="0"/>
                    <w:jc w:val="center"/>
                    <w:rPr>
                      <w:color w:val="auto"/>
                    </w:rPr>
                  </w:pPr>
                </w:p>
              </w:tc>
              <w:tc>
                <w:tcPr>
                  <w:tcW w:w="494" w:type="pct"/>
                  <w:noWrap w:val="0"/>
                  <w:vAlign w:val="center"/>
                </w:tcPr>
                <w:p w14:paraId="0095D2E1">
                  <w:pPr>
                    <w:adjustRightInd w:val="0"/>
                    <w:snapToGrid w:val="0"/>
                    <w:jc w:val="center"/>
                    <w:rPr>
                      <w:rFonts w:hint="default" w:eastAsia="宋体"/>
                      <w:color w:val="auto"/>
                      <w:lang w:val="en-US" w:eastAsia="zh-CN"/>
                    </w:rPr>
                  </w:pPr>
                  <w:r>
                    <w:rPr>
                      <w:rFonts w:hint="eastAsia"/>
                      <w:color w:val="auto"/>
                      <w:lang w:val="en-US" w:eastAsia="zh-CN"/>
                    </w:rPr>
                    <w:t>BOD</w:t>
                  </w:r>
                  <w:r>
                    <w:rPr>
                      <w:rFonts w:hint="eastAsia"/>
                      <w:color w:val="auto"/>
                      <w:vertAlign w:val="subscript"/>
                      <w:lang w:val="en-US" w:eastAsia="zh-CN"/>
                    </w:rPr>
                    <w:t>5</w:t>
                  </w:r>
                </w:p>
              </w:tc>
              <w:tc>
                <w:tcPr>
                  <w:tcW w:w="476" w:type="pct"/>
                  <w:noWrap w:val="0"/>
                  <w:vAlign w:val="center"/>
                </w:tcPr>
                <w:p w14:paraId="0629F563">
                  <w:pPr>
                    <w:adjustRightInd w:val="0"/>
                    <w:snapToGrid w:val="0"/>
                    <w:jc w:val="center"/>
                    <w:rPr>
                      <w:rFonts w:hint="default" w:eastAsia="宋体"/>
                      <w:color w:val="auto"/>
                      <w:lang w:val="en-US" w:eastAsia="zh-CN"/>
                    </w:rPr>
                  </w:pPr>
                  <w:r>
                    <w:rPr>
                      <w:rFonts w:hint="eastAsia"/>
                      <w:color w:val="auto"/>
                      <w:lang w:val="en-US" w:eastAsia="zh-CN"/>
                    </w:rPr>
                    <w:t>200</w:t>
                  </w:r>
                </w:p>
              </w:tc>
              <w:tc>
                <w:tcPr>
                  <w:tcW w:w="513" w:type="pct"/>
                  <w:noWrap w:val="0"/>
                  <w:vAlign w:val="center"/>
                </w:tcPr>
                <w:p w14:paraId="0FD8561D">
                  <w:pPr>
                    <w:adjustRightInd w:val="0"/>
                    <w:snapToGrid w:val="0"/>
                    <w:jc w:val="center"/>
                    <w:rPr>
                      <w:rFonts w:hint="default" w:eastAsia="宋体"/>
                      <w:color w:val="auto"/>
                      <w:lang w:val="en-US" w:eastAsia="zh-CN"/>
                    </w:rPr>
                  </w:pPr>
                  <w:r>
                    <w:rPr>
                      <w:rFonts w:hint="eastAsia"/>
                      <w:color w:val="auto"/>
                      <w:lang w:val="en-US" w:eastAsia="zh-CN"/>
                    </w:rPr>
                    <w:t>0.0288</w:t>
                  </w:r>
                </w:p>
              </w:tc>
              <w:tc>
                <w:tcPr>
                  <w:tcW w:w="514" w:type="pct"/>
                  <w:vMerge w:val="continue"/>
                  <w:noWrap w:val="0"/>
                  <w:vAlign w:val="center"/>
                </w:tcPr>
                <w:p w14:paraId="08768AF7">
                  <w:pPr>
                    <w:adjustRightInd w:val="0"/>
                    <w:snapToGrid w:val="0"/>
                    <w:jc w:val="center"/>
                    <w:rPr>
                      <w:color w:val="auto"/>
                    </w:rPr>
                  </w:pPr>
                </w:p>
              </w:tc>
              <w:tc>
                <w:tcPr>
                  <w:tcW w:w="483" w:type="pct"/>
                  <w:noWrap w:val="0"/>
                  <w:vAlign w:val="center"/>
                </w:tcPr>
                <w:p w14:paraId="73F86255">
                  <w:pPr>
                    <w:adjustRightInd w:val="0"/>
                    <w:snapToGrid w:val="0"/>
                    <w:jc w:val="center"/>
                    <w:rPr>
                      <w:rFonts w:hint="eastAsia"/>
                      <w:color w:val="auto"/>
                      <w:lang w:val="en-US" w:eastAsia="zh-CN"/>
                    </w:rPr>
                  </w:pPr>
                  <w:r>
                    <w:rPr>
                      <w:rFonts w:hint="eastAsia"/>
                      <w:color w:val="auto"/>
                      <w:lang w:val="en-US" w:eastAsia="zh-CN"/>
                    </w:rPr>
                    <w:t>/</w:t>
                  </w:r>
                </w:p>
              </w:tc>
              <w:tc>
                <w:tcPr>
                  <w:tcW w:w="483" w:type="pct"/>
                  <w:noWrap w:val="0"/>
                  <w:vAlign w:val="center"/>
                </w:tcPr>
                <w:p w14:paraId="26B2FE6D">
                  <w:pPr>
                    <w:adjustRightInd w:val="0"/>
                    <w:snapToGrid w:val="0"/>
                    <w:jc w:val="center"/>
                    <w:rPr>
                      <w:color w:val="auto"/>
                    </w:rPr>
                  </w:pPr>
                  <w:r>
                    <w:rPr>
                      <w:rFonts w:hint="eastAsia"/>
                      <w:color w:val="auto"/>
                      <w:lang w:val="en-US" w:eastAsia="zh-CN"/>
                    </w:rPr>
                    <w:t>BOD</w:t>
                  </w:r>
                  <w:r>
                    <w:rPr>
                      <w:rFonts w:hint="eastAsia"/>
                      <w:color w:val="auto"/>
                      <w:vertAlign w:val="subscript"/>
                      <w:lang w:val="en-US" w:eastAsia="zh-CN"/>
                    </w:rPr>
                    <w:t>5</w:t>
                  </w:r>
                </w:p>
              </w:tc>
              <w:tc>
                <w:tcPr>
                  <w:tcW w:w="444" w:type="pct"/>
                  <w:noWrap w:val="0"/>
                  <w:vAlign w:val="center"/>
                </w:tcPr>
                <w:p w14:paraId="0BDB3749">
                  <w:pPr>
                    <w:adjustRightInd w:val="0"/>
                    <w:snapToGrid w:val="0"/>
                    <w:jc w:val="center"/>
                    <w:rPr>
                      <w:color w:val="auto"/>
                    </w:rPr>
                  </w:pPr>
                  <w:r>
                    <w:rPr>
                      <w:rFonts w:hint="eastAsia"/>
                      <w:color w:val="auto"/>
                      <w:lang w:val="en-US" w:eastAsia="zh-CN"/>
                    </w:rPr>
                    <w:t>200</w:t>
                  </w:r>
                </w:p>
              </w:tc>
              <w:tc>
                <w:tcPr>
                  <w:tcW w:w="488" w:type="pct"/>
                  <w:noWrap w:val="0"/>
                  <w:vAlign w:val="center"/>
                </w:tcPr>
                <w:p w14:paraId="59B4B81A">
                  <w:pPr>
                    <w:adjustRightInd w:val="0"/>
                    <w:snapToGrid w:val="0"/>
                    <w:jc w:val="center"/>
                    <w:rPr>
                      <w:color w:val="auto"/>
                    </w:rPr>
                  </w:pPr>
                  <w:r>
                    <w:rPr>
                      <w:rFonts w:hint="eastAsia"/>
                      <w:color w:val="auto"/>
                      <w:lang w:val="en-US" w:eastAsia="zh-CN"/>
                    </w:rPr>
                    <w:t>0.0288</w:t>
                  </w:r>
                </w:p>
              </w:tc>
              <w:tc>
                <w:tcPr>
                  <w:tcW w:w="402" w:type="pct"/>
                  <w:vMerge w:val="continue"/>
                  <w:noWrap w:val="0"/>
                  <w:vAlign w:val="center"/>
                </w:tcPr>
                <w:p w14:paraId="2E4F4FF7">
                  <w:pPr>
                    <w:adjustRightInd w:val="0"/>
                    <w:snapToGrid w:val="0"/>
                    <w:jc w:val="center"/>
                    <w:rPr>
                      <w:color w:val="auto"/>
                    </w:rPr>
                  </w:pPr>
                </w:p>
              </w:tc>
            </w:tr>
            <w:tr w14:paraId="783125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0" w:hRule="atLeast"/>
                <w:jc w:val="center"/>
              </w:trPr>
              <w:tc>
                <w:tcPr>
                  <w:tcW w:w="305" w:type="pct"/>
                  <w:vMerge w:val="continue"/>
                  <w:noWrap w:val="0"/>
                  <w:vAlign w:val="center"/>
                </w:tcPr>
                <w:p w14:paraId="65413DE1">
                  <w:pPr>
                    <w:adjustRightInd w:val="0"/>
                    <w:snapToGrid w:val="0"/>
                    <w:jc w:val="center"/>
                    <w:rPr>
                      <w:color w:val="auto"/>
                    </w:rPr>
                  </w:pPr>
                </w:p>
              </w:tc>
              <w:tc>
                <w:tcPr>
                  <w:tcW w:w="393" w:type="pct"/>
                  <w:vMerge w:val="continue"/>
                  <w:noWrap w:val="0"/>
                  <w:vAlign w:val="center"/>
                </w:tcPr>
                <w:p w14:paraId="49D087EF">
                  <w:pPr>
                    <w:adjustRightInd w:val="0"/>
                    <w:snapToGrid w:val="0"/>
                    <w:jc w:val="center"/>
                    <w:rPr>
                      <w:color w:val="auto"/>
                    </w:rPr>
                  </w:pPr>
                </w:p>
              </w:tc>
              <w:tc>
                <w:tcPr>
                  <w:tcW w:w="494" w:type="pct"/>
                  <w:noWrap w:val="0"/>
                  <w:vAlign w:val="center"/>
                </w:tcPr>
                <w:p w14:paraId="384A84C8">
                  <w:pPr>
                    <w:adjustRightInd w:val="0"/>
                    <w:snapToGrid w:val="0"/>
                    <w:jc w:val="center"/>
                    <w:rPr>
                      <w:rFonts w:hint="default" w:eastAsia="宋体"/>
                      <w:color w:val="auto"/>
                      <w:lang w:val="en-US" w:eastAsia="zh-CN"/>
                    </w:rPr>
                  </w:pPr>
                  <w:r>
                    <w:rPr>
                      <w:rFonts w:hint="eastAsia"/>
                      <w:color w:val="auto"/>
                      <w:lang w:val="en-US" w:eastAsia="zh-CN"/>
                    </w:rPr>
                    <w:t>SS</w:t>
                  </w:r>
                </w:p>
              </w:tc>
              <w:tc>
                <w:tcPr>
                  <w:tcW w:w="476" w:type="pct"/>
                  <w:noWrap w:val="0"/>
                  <w:vAlign w:val="center"/>
                </w:tcPr>
                <w:p w14:paraId="77DA64E0">
                  <w:pPr>
                    <w:adjustRightInd w:val="0"/>
                    <w:snapToGrid w:val="0"/>
                    <w:jc w:val="center"/>
                    <w:rPr>
                      <w:rFonts w:hint="default" w:eastAsia="宋体"/>
                      <w:color w:val="auto"/>
                      <w:lang w:val="en-US" w:eastAsia="zh-CN"/>
                    </w:rPr>
                  </w:pPr>
                  <w:r>
                    <w:rPr>
                      <w:rFonts w:hint="eastAsia"/>
                      <w:color w:val="auto"/>
                      <w:lang w:val="en-US" w:eastAsia="zh-CN"/>
                    </w:rPr>
                    <w:t>200</w:t>
                  </w:r>
                </w:p>
              </w:tc>
              <w:tc>
                <w:tcPr>
                  <w:tcW w:w="513" w:type="pct"/>
                  <w:noWrap w:val="0"/>
                  <w:vAlign w:val="center"/>
                </w:tcPr>
                <w:p w14:paraId="160A0A30">
                  <w:pPr>
                    <w:adjustRightInd w:val="0"/>
                    <w:snapToGrid w:val="0"/>
                    <w:jc w:val="center"/>
                    <w:rPr>
                      <w:rFonts w:hint="default" w:eastAsia="宋体"/>
                      <w:color w:val="auto"/>
                      <w:lang w:val="en-US" w:eastAsia="zh-CN"/>
                    </w:rPr>
                  </w:pPr>
                  <w:r>
                    <w:rPr>
                      <w:rFonts w:hint="eastAsia"/>
                      <w:color w:val="auto"/>
                      <w:lang w:val="en-US" w:eastAsia="zh-CN"/>
                    </w:rPr>
                    <w:t>0.0288</w:t>
                  </w:r>
                </w:p>
              </w:tc>
              <w:tc>
                <w:tcPr>
                  <w:tcW w:w="514" w:type="pct"/>
                  <w:vMerge w:val="continue"/>
                  <w:noWrap w:val="0"/>
                  <w:vAlign w:val="center"/>
                </w:tcPr>
                <w:p w14:paraId="77A65990">
                  <w:pPr>
                    <w:adjustRightInd w:val="0"/>
                    <w:snapToGrid w:val="0"/>
                    <w:jc w:val="center"/>
                    <w:rPr>
                      <w:color w:val="auto"/>
                    </w:rPr>
                  </w:pPr>
                </w:p>
              </w:tc>
              <w:tc>
                <w:tcPr>
                  <w:tcW w:w="483" w:type="pct"/>
                  <w:noWrap w:val="0"/>
                  <w:vAlign w:val="center"/>
                </w:tcPr>
                <w:p w14:paraId="60905D66">
                  <w:pPr>
                    <w:adjustRightInd w:val="0"/>
                    <w:snapToGrid w:val="0"/>
                    <w:jc w:val="center"/>
                    <w:rPr>
                      <w:rFonts w:hint="eastAsia"/>
                      <w:color w:val="auto"/>
                      <w:lang w:val="en-US" w:eastAsia="zh-CN"/>
                    </w:rPr>
                  </w:pPr>
                  <w:r>
                    <w:rPr>
                      <w:rFonts w:hint="eastAsia"/>
                      <w:color w:val="auto"/>
                      <w:lang w:val="en-US" w:eastAsia="zh-CN"/>
                    </w:rPr>
                    <w:t>/</w:t>
                  </w:r>
                </w:p>
              </w:tc>
              <w:tc>
                <w:tcPr>
                  <w:tcW w:w="483" w:type="pct"/>
                  <w:noWrap w:val="0"/>
                  <w:vAlign w:val="center"/>
                </w:tcPr>
                <w:p w14:paraId="478AB005">
                  <w:pPr>
                    <w:adjustRightInd w:val="0"/>
                    <w:snapToGrid w:val="0"/>
                    <w:jc w:val="center"/>
                    <w:rPr>
                      <w:color w:val="auto"/>
                    </w:rPr>
                  </w:pPr>
                  <w:r>
                    <w:rPr>
                      <w:rFonts w:hint="eastAsia"/>
                      <w:color w:val="auto"/>
                      <w:lang w:val="en-US" w:eastAsia="zh-CN"/>
                    </w:rPr>
                    <w:t>SS</w:t>
                  </w:r>
                </w:p>
              </w:tc>
              <w:tc>
                <w:tcPr>
                  <w:tcW w:w="444" w:type="pct"/>
                  <w:noWrap w:val="0"/>
                  <w:vAlign w:val="center"/>
                </w:tcPr>
                <w:p w14:paraId="1C21E1FD">
                  <w:pPr>
                    <w:adjustRightInd w:val="0"/>
                    <w:snapToGrid w:val="0"/>
                    <w:jc w:val="center"/>
                    <w:rPr>
                      <w:color w:val="auto"/>
                    </w:rPr>
                  </w:pPr>
                  <w:r>
                    <w:rPr>
                      <w:rFonts w:hint="eastAsia"/>
                      <w:color w:val="auto"/>
                      <w:lang w:val="en-US" w:eastAsia="zh-CN"/>
                    </w:rPr>
                    <w:t>200</w:t>
                  </w:r>
                </w:p>
              </w:tc>
              <w:tc>
                <w:tcPr>
                  <w:tcW w:w="488" w:type="pct"/>
                  <w:noWrap w:val="0"/>
                  <w:vAlign w:val="center"/>
                </w:tcPr>
                <w:p w14:paraId="6478F8B9">
                  <w:pPr>
                    <w:adjustRightInd w:val="0"/>
                    <w:snapToGrid w:val="0"/>
                    <w:jc w:val="center"/>
                    <w:rPr>
                      <w:color w:val="auto"/>
                    </w:rPr>
                  </w:pPr>
                  <w:r>
                    <w:rPr>
                      <w:rFonts w:hint="eastAsia"/>
                      <w:color w:val="auto"/>
                      <w:lang w:val="en-US" w:eastAsia="zh-CN"/>
                    </w:rPr>
                    <w:t>0.0288</w:t>
                  </w:r>
                </w:p>
              </w:tc>
              <w:tc>
                <w:tcPr>
                  <w:tcW w:w="402" w:type="pct"/>
                  <w:vMerge w:val="continue"/>
                  <w:noWrap w:val="0"/>
                  <w:vAlign w:val="center"/>
                </w:tcPr>
                <w:p w14:paraId="2F68EE50">
                  <w:pPr>
                    <w:adjustRightInd w:val="0"/>
                    <w:snapToGrid w:val="0"/>
                    <w:jc w:val="center"/>
                    <w:rPr>
                      <w:color w:val="auto"/>
                    </w:rPr>
                  </w:pPr>
                </w:p>
              </w:tc>
            </w:tr>
            <w:tr w14:paraId="16B067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3" w:hRule="atLeast"/>
                <w:jc w:val="center"/>
              </w:trPr>
              <w:tc>
                <w:tcPr>
                  <w:tcW w:w="305" w:type="pct"/>
                  <w:vMerge w:val="continue"/>
                  <w:noWrap w:val="0"/>
                  <w:vAlign w:val="center"/>
                </w:tcPr>
                <w:p w14:paraId="309A315C">
                  <w:pPr>
                    <w:adjustRightInd w:val="0"/>
                    <w:snapToGrid w:val="0"/>
                    <w:jc w:val="center"/>
                    <w:rPr>
                      <w:color w:val="auto"/>
                    </w:rPr>
                  </w:pPr>
                </w:p>
              </w:tc>
              <w:tc>
                <w:tcPr>
                  <w:tcW w:w="393" w:type="pct"/>
                  <w:vMerge w:val="continue"/>
                  <w:noWrap w:val="0"/>
                  <w:vAlign w:val="center"/>
                </w:tcPr>
                <w:p w14:paraId="07858184">
                  <w:pPr>
                    <w:adjustRightInd w:val="0"/>
                    <w:snapToGrid w:val="0"/>
                    <w:jc w:val="center"/>
                    <w:rPr>
                      <w:color w:val="auto"/>
                    </w:rPr>
                  </w:pPr>
                </w:p>
              </w:tc>
              <w:tc>
                <w:tcPr>
                  <w:tcW w:w="494" w:type="pct"/>
                  <w:noWrap w:val="0"/>
                  <w:vAlign w:val="center"/>
                </w:tcPr>
                <w:p w14:paraId="09F4BF3B">
                  <w:pPr>
                    <w:adjustRightInd w:val="0"/>
                    <w:snapToGrid w:val="0"/>
                    <w:jc w:val="center"/>
                    <w:rPr>
                      <w:rFonts w:hint="default" w:eastAsia="宋体"/>
                      <w:color w:val="auto"/>
                      <w:lang w:val="en-US" w:eastAsia="zh-CN"/>
                    </w:rPr>
                  </w:pPr>
                  <w:r>
                    <w:rPr>
                      <w:rFonts w:hint="eastAsia"/>
                      <w:color w:val="auto"/>
                      <w:lang w:val="en-US" w:eastAsia="zh-CN"/>
                    </w:rPr>
                    <w:t>NH</w:t>
                  </w:r>
                  <w:r>
                    <w:rPr>
                      <w:rFonts w:hint="eastAsia"/>
                      <w:color w:val="auto"/>
                      <w:vertAlign w:val="subscript"/>
                      <w:lang w:val="en-US" w:eastAsia="zh-CN"/>
                    </w:rPr>
                    <w:t>3</w:t>
                  </w:r>
                  <w:r>
                    <w:rPr>
                      <w:rFonts w:hint="eastAsia"/>
                      <w:color w:val="auto"/>
                      <w:lang w:val="en-US" w:eastAsia="zh-CN"/>
                    </w:rPr>
                    <w:t>-N</w:t>
                  </w:r>
                </w:p>
              </w:tc>
              <w:tc>
                <w:tcPr>
                  <w:tcW w:w="476" w:type="pct"/>
                  <w:noWrap w:val="0"/>
                  <w:vAlign w:val="center"/>
                </w:tcPr>
                <w:p w14:paraId="29112020">
                  <w:pPr>
                    <w:adjustRightInd w:val="0"/>
                    <w:snapToGrid w:val="0"/>
                    <w:jc w:val="center"/>
                    <w:rPr>
                      <w:rFonts w:hint="default" w:eastAsia="宋体"/>
                      <w:color w:val="auto"/>
                      <w:lang w:val="en-US" w:eastAsia="zh-CN"/>
                    </w:rPr>
                  </w:pPr>
                  <w:r>
                    <w:rPr>
                      <w:rFonts w:hint="eastAsia"/>
                      <w:color w:val="auto"/>
                      <w:lang w:val="en-US" w:eastAsia="zh-CN"/>
                    </w:rPr>
                    <w:t>35</w:t>
                  </w:r>
                </w:p>
              </w:tc>
              <w:tc>
                <w:tcPr>
                  <w:tcW w:w="513" w:type="pct"/>
                  <w:noWrap w:val="0"/>
                  <w:vAlign w:val="center"/>
                </w:tcPr>
                <w:p w14:paraId="449E7B82">
                  <w:pPr>
                    <w:adjustRightInd w:val="0"/>
                    <w:snapToGrid w:val="0"/>
                    <w:jc w:val="center"/>
                    <w:rPr>
                      <w:rFonts w:hint="default" w:eastAsia="宋体"/>
                      <w:color w:val="auto"/>
                      <w:lang w:val="en-US" w:eastAsia="zh-CN"/>
                    </w:rPr>
                  </w:pPr>
                  <w:r>
                    <w:rPr>
                      <w:rFonts w:hint="eastAsia"/>
                      <w:color w:val="auto"/>
                      <w:lang w:val="en-US" w:eastAsia="zh-CN"/>
                    </w:rPr>
                    <w:t>0.00504</w:t>
                  </w:r>
                </w:p>
              </w:tc>
              <w:tc>
                <w:tcPr>
                  <w:tcW w:w="514" w:type="pct"/>
                  <w:vMerge w:val="continue"/>
                  <w:noWrap w:val="0"/>
                  <w:vAlign w:val="center"/>
                </w:tcPr>
                <w:p w14:paraId="59AF8EA7">
                  <w:pPr>
                    <w:adjustRightInd w:val="0"/>
                    <w:snapToGrid w:val="0"/>
                    <w:jc w:val="center"/>
                    <w:rPr>
                      <w:rFonts w:hint="eastAsia"/>
                      <w:color w:val="auto"/>
                    </w:rPr>
                  </w:pPr>
                </w:p>
              </w:tc>
              <w:tc>
                <w:tcPr>
                  <w:tcW w:w="483" w:type="pct"/>
                  <w:noWrap w:val="0"/>
                  <w:vAlign w:val="center"/>
                </w:tcPr>
                <w:p w14:paraId="0711B99D">
                  <w:pPr>
                    <w:adjustRightInd w:val="0"/>
                    <w:snapToGrid w:val="0"/>
                    <w:jc w:val="center"/>
                    <w:rPr>
                      <w:rFonts w:hint="eastAsia"/>
                      <w:color w:val="auto"/>
                      <w:lang w:val="en-US" w:eastAsia="zh-CN"/>
                    </w:rPr>
                  </w:pPr>
                  <w:r>
                    <w:rPr>
                      <w:rFonts w:hint="eastAsia"/>
                      <w:color w:val="auto"/>
                      <w:lang w:val="en-US" w:eastAsia="zh-CN"/>
                    </w:rPr>
                    <w:t>/</w:t>
                  </w:r>
                </w:p>
              </w:tc>
              <w:tc>
                <w:tcPr>
                  <w:tcW w:w="483" w:type="pct"/>
                  <w:noWrap w:val="0"/>
                  <w:vAlign w:val="center"/>
                </w:tcPr>
                <w:p w14:paraId="72FDBB8B">
                  <w:pPr>
                    <w:adjustRightInd w:val="0"/>
                    <w:snapToGrid w:val="0"/>
                    <w:jc w:val="center"/>
                    <w:rPr>
                      <w:rFonts w:hint="eastAsia"/>
                      <w:color w:val="auto"/>
                    </w:rPr>
                  </w:pPr>
                  <w:r>
                    <w:rPr>
                      <w:rFonts w:hint="eastAsia"/>
                      <w:color w:val="auto"/>
                      <w:lang w:val="en-US" w:eastAsia="zh-CN"/>
                    </w:rPr>
                    <w:t>NH</w:t>
                  </w:r>
                  <w:r>
                    <w:rPr>
                      <w:rFonts w:hint="eastAsia"/>
                      <w:color w:val="auto"/>
                      <w:vertAlign w:val="subscript"/>
                      <w:lang w:val="en-US" w:eastAsia="zh-CN"/>
                    </w:rPr>
                    <w:t>3</w:t>
                  </w:r>
                  <w:r>
                    <w:rPr>
                      <w:rFonts w:hint="eastAsia"/>
                      <w:color w:val="auto"/>
                      <w:lang w:val="en-US" w:eastAsia="zh-CN"/>
                    </w:rPr>
                    <w:t>-N</w:t>
                  </w:r>
                </w:p>
              </w:tc>
              <w:tc>
                <w:tcPr>
                  <w:tcW w:w="444" w:type="pct"/>
                  <w:noWrap w:val="0"/>
                  <w:vAlign w:val="center"/>
                </w:tcPr>
                <w:p w14:paraId="4CF0F5FA">
                  <w:pPr>
                    <w:adjustRightInd w:val="0"/>
                    <w:snapToGrid w:val="0"/>
                    <w:jc w:val="center"/>
                    <w:rPr>
                      <w:rFonts w:hint="eastAsia"/>
                      <w:color w:val="auto"/>
                    </w:rPr>
                  </w:pPr>
                  <w:r>
                    <w:rPr>
                      <w:rFonts w:hint="eastAsia"/>
                      <w:color w:val="auto"/>
                      <w:lang w:val="en-US" w:eastAsia="zh-CN"/>
                    </w:rPr>
                    <w:t>35</w:t>
                  </w:r>
                </w:p>
              </w:tc>
              <w:tc>
                <w:tcPr>
                  <w:tcW w:w="488" w:type="pct"/>
                  <w:noWrap w:val="0"/>
                  <w:vAlign w:val="center"/>
                </w:tcPr>
                <w:p w14:paraId="6E4614A0">
                  <w:pPr>
                    <w:keepNext w:val="0"/>
                    <w:keepLines w:val="0"/>
                    <w:pageBreakBefore w:val="0"/>
                    <w:widowControl w:val="0"/>
                    <w:kinsoku/>
                    <w:wordWrap/>
                    <w:overflowPunct/>
                    <w:topLinePunct w:val="0"/>
                    <w:autoSpaceDE/>
                    <w:autoSpaceDN/>
                    <w:bidi w:val="0"/>
                    <w:adjustRightInd w:val="0"/>
                    <w:snapToGrid w:val="0"/>
                    <w:ind w:left="-105" w:leftChars="-50" w:right="-105" w:rightChars="-50"/>
                    <w:jc w:val="center"/>
                    <w:textAlignment w:val="auto"/>
                    <w:rPr>
                      <w:rFonts w:hint="eastAsia"/>
                      <w:color w:val="auto"/>
                    </w:rPr>
                  </w:pPr>
                  <w:r>
                    <w:rPr>
                      <w:rFonts w:hint="eastAsia"/>
                      <w:color w:val="auto"/>
                      <w:lang w:val="en-US" w:eastAsia="zh-CN"/>
                    </w:rPr>
                    <w:t>0.00504</w:t>
                  </w:r>
                </w:p>
              </w:tc>
              <w:tc>
                <w:tcPr>
                  <w:tcW w:w="402" w:type="pct"/>
                  <w:vMerge w:val="continue"/>
                  <w:noWrap w:val="0"/>
                  <w:vAlign w:val="center"/>
                </w:tcPr>
                <w:p w14:paraId="536AC63A">
                  <w:pPr>
                    <w:adjustRightInd w:val="0"/>
                    <w:snapToGrid w:val="0"/>
                    <w:jc w:val="center"/>
                    <w:rPr>
                      <w:rFonts w:hint="eastAsia"/>
                      <w:color w:val="auto"/>
                    </w:rPr>
                  </w:pPr>
                </w:p>
              </w:tc>
            </w:tr>
          </w:tbl>
          <w:p w14:paraId="65FC8FE9">
            <w:pPr>
              <w:pStyle w:val="71"/>
              <w:snapToGrid w:val="0"/>
              <w:spacing w:before="120" w:beforeLines="50" w:line="360" w:lineRule="auto"/>
              <w:rPr>
                <w:rFonts w:hint="eastAsia"/>
                <w:b/>
                <w:bCs/>
                <w:color w:val="auto"/>
                <w:sz w:val="24"/>
                <w:szCs w:val="24"/>
              </w:rPr>
            </w:pPr>
            <w:r>
              <w:rPr>
                <w:rFonts w:hint="eastAsia"/>
                <w:b/>
                <w:bCs/>
                <w:color w:val="auto"/>
                <w:sz w:val="24"/>
                <w:szCs w:val="24"/>
              </w:rPr>
              <w:t>2</w:t>
            </w:r>
            <w:r>
              <w:rPr>
                <w:b/>
                <w:bCs/>
                <w:color w:val="auto"/>
                <w:sz w:val="24"/>
                <w:szCs w:val="24"/>
              </w:rPr>
              <w:t>.2</w:t>
            </w:r>
            <w:r>
              <w:rPr>
                <w:rFonts w:hint="eastAsia"/>
                <w:b/>
                <w:bCs/>
                <w:color w:val="auto"/>
                <w:sz w:val="24"/>
                <w:szCs w:val="24"/>
              </w:rPr>
              <w:t>污水处理措施可行性分析</w:t>
            </w:r>
          </w:p>
          <w:p w14:paraId="4377698C">
            <w:pPr>
              <w:adjustRightInd w:val="0"/>
              <w:snapToGrid w:val="0"/>
              <w:spacing w:line="360" w:lineRule="auto"/>
              <w:ind w:firstLine="480" w:firstLineChars="200"/>
              <w:rPr>
                <w:color w:val="auto"/>
                <w:sz w:val="24"/>
              </w:rPr>
            </w:pPr>
            <w:r>
              <w:rPr>
                <w:rFonts w:hint="eastAsia"/>
                <w:color w:val="auto"/>
                <w:sz w:val="24"/>
              </w:rPr>
              <w:t>本项目</w:t>
            </w:r>
            <w:r>
              <w:rPr>
                <w:rFonts w:hint="eastAsia"/>
                <w:color w:val="auto"/>
                <w:sz w:val="24"/>
                <w:lang w:val="en-US" w:eastAsia="zh-CN"/>
              </w:rPr>
              <w:t>实验器具中后段清洗废水、碱液喷淋塔</w:t>
            </w:r>
            <w:r>
              <w:rPr>
                <w:rFonts w:hint="eastAsia"/>
                <w:color w:val="auto"/>
                <w:sz w:val="24"/>
              </w:rPr>
              <w:t>废</w:t>
            </w:r>
            <w:r>
              <w:rPr>
                <w:rFonts w:hint="eastAsia"/>
                <w:color w:val="auto"/>
                <w:sz w:val="24"/>
                <w:lang w:val="en-US" w:eastAsia="zh-CN"/>
              </w:rPr>
              <w:t>水</w:t>
            </w:r>
            <w:r>
              <w:rPr>
                <w:rFonts w:hint="eastAsia"/>
                <w:color w:val="auto"/>
                <w:sz w:val="24"/>
              </w:rPr>
              <w:t>经</w:t>
            </w:r>
            <w:r>
              <w:rPr>
                <w:rFonts w:hint="eastAsia"/>
                <w:color w:val="auto"/>
                <w:sz w:val="24"/>
                <w:lang w:val="en-US" w:eastAsia="zh-CN"/>
              </w:rPr>
              <w:t>实验室一体化污水处理设备</w:t>
            </w:r>
            <w:r>
              <w:rPr>
                <w:rFonts w:hint="eastAsia"/>
                <w:color w:val="auto"/>
                <w:sz w:val="24"/>
              </w:rPr>
              <w:t>处理后排入</w:t>
            </w:r>
            <w:r>
              <w:rPr>
                <w:rFonts w:hint="eastAsia"/>
                <w:color w:val="auto"/>
                <w:sz w:val="24"/>
                <w:lang w:val="en-US" w:eastAsia="zh-CN"/>
              </w:rPr>
              <w:t>废水池</w:t>
            </w:r>
            <w:r>
              <w:rPr>
                <w:rFonts w:hint="eastAsia"/>
                <w:color w:val="auto"/>
                <w:sz w:val="24"/>
                <w:lang w:eastAsia="zh-CN"/>
              </w:rPr>
              <w:t>，</w:t>
            </w:r>
            <w:r>
              <w:rPr>
                <w:rFonts w:hint="eastAsia"/>
                <w:color w:val="auto"/>
                <w:sz w:val="24"/>
                <w:lang w:val="en-US" w:eastAsia="zh-CN"/>
              </w:rPr>
              <w:t>纯水装置浓水直接排入废水池，最终由吸污车拉运至昌吉</w:t>
            </w:r>
            <w:r>
              <w:rPr>
                <w:rFonts w:hint="eastAsia" w:ascii="Times New Roman" w:hAnsi="Times New Roman" w:eastAsia="宋体" w:cs="Times New Roman"/>
                <w:color w:val="0000FF"/>
                <w:sz w:val="24"/>
                <w:szCs w:val="24"/>
                <w:lang w:val="en-US" w:eastAsia="zh-CN"/>
              </w:rPr>
              <w:t>昌吉高新技术产业开发区污水处理厂</w:t>
            </w:r>
            <w:r>
              <w:rPr>
                <w:rFonts w:hint="eastAsia"/>
                <w:color w:val="auto"/>
                <w:sz w:val="24"/>
              </w:rPr>
              <w:t>处理；生活污水直接排入</w:t>
            </w:r>
            <w:r>
              <w:rPr>
                <w:rFonts w:hint="eastAsia"/>
                <w:color w:val="auto"/>
                <w:sz w:val="24"/>
                <w:lang w:val="en-US" w:eastAsia="zh-CN"/>
              </w:rPr>
              <w:t>租用厂房</w:t>
            </w:r>
            <w:r>
              <w:rPr>
                <w:rFonts w:hint="eastAsia" w:cs="宋体"/>
                <w:color w:val="0000FF"/>
                <w:kern w:val="0"/>
                <w:sz w:val="24"/>
                <w:lang w:val="en-US" w:eastAsia="zh-CN"/>
              </w:rPr>
              <w:t>新疆华爱康塑业科技发展有限公司已建化粪池处理</w:t>
            </w:r>
            <w:r>
              <w:rPr>
                <w:rFonts w:hint="eastAsia"/>
                <w:color w:val="auto"/>
                <w:sz w:val="24"/>
              </w:rPr>
              <w:t>。</w:t>
            </w:r>
          </w:p>
          <w:p w14:paraId="675AFDA7">
            <w:pPr>
              <w:adjustRightInd w:val="0"/>
              <w:snapToGrid w:val="0"/>
              <w:spacing w:line="360" w:lineRule="auto"/>
              <w:ind w:firstLine="480" w:firstLineChars="200"/>
              <w:rPr>
                <w:color w:val="auto"/>
                <w:sz w:val="24"/>
              </w:rPr>
            </w:pPr>
            <w:r>
              <w:rPr>
                <w:rFonts w:hint="eastAsia"/>
                <w:color w:val="auto"/>
                <w:sz w:val="24"/>
                <w:lang w:val="en-US" w:eastAsia="zh-CN"/>
              </w:rPr>
              <w:t>结合项目废水为实验器具清洗废水，项目检测样品为矿石，废水水质具有pH不稳定，含重金属成分的特点，</w:t>
            </w:r>
            <w:r>
              <w:rPr>
                <w:rFonts w:hint="eastAsia"/>
                <w:color w:val="auto"/>
                <w:sz w:val="24"/>
              </w:rPr>
              <w:t>本项目污水处理站处理规模为2m</w:t>
            </w:r>
            <w:r>
              <w:rPr>
                <w:color w:val="auto"/>
                <w:sz w:val="24"/>
                <w:vertAlign w:val="superscript"/>
              </w:rPr>
              <w:t>3</w:t>
            </w:r>
            <w:r>
              <w:rPr>
                <w:color w:val="auto"/>
                <w:sz w:val="24"/>
              </w:rPr>
              <w:t>/d</w:t>
            </w:r>
            <w:r>
              <w:rPr>
                <w:rFonts w:hint="eastAsia"/>
                <w:color w:val="auto"/>
                <w:sz w:val="24"/>
              </w:rPr>
              <w:t>，采用“</w:t>
            </w:r>
            <w:r>
              <w:rPr>
                <w:rFonts w:hint="eastAsia"/>
                <w:color w:val="auto"/>
                <w:sz w:val="24"/>
                <w:lang w:val="en-US" w:eastAsia="zh-CN"/>
              </w:rPr>
              <w:t>酸碱中和调节+重金属捕捉+高效分离沉淀+微生物反应装置+多相催化氧化反应+氧化消毒+多介质过滤</w:t>
            </w:r>
            <w:r>
              <w:rPr>
                <w:rFonts w:hint="eastAsia"/>
                <w:color w:val="auto"/>
                <w:sz w:val="24"/>
              </w:rPr>
              <w:t>”处理工艺，</w:t>
            </w:r>
            <w:r>
              <w:rPr>
                <w:rFonts w:hint="eastAsia"/>
                <w:color w:val="auto"/>
                <w:sz w:val="24"/>
                <w:lang w:val="en-US" w:eastAsia="zh-CN"/>
              </w:rPr>
              <w:t>上述处理工艺</w:t>
            </w:r>
            <w:r>
              <w:rPr>
                <w:rFonts w:hint="eastAsia"/>
                <w:color w:val="auto"/>
                <w:sz w:val="24"/>
              </w:rPr>
              <w:t>是典型的</w:t>
            </w:r>
            <w:r>
              <w:rPr>
                <w:rFonts w:hint="eastAsia"/>
                <w:color w:val="auto"/>
                <w:sz w:val="24"/>
                <w:lang w:val="en-US" w:eastAsia="zh-CN"/>
              </w:rPr>
              <w:t>实验</w:t>
            </w:r>
            <w:r>
              <w:rPr>
                <w:rFonts w:hint="eastAsia"/>
                <w:color w:val="auto"/>
                <w:sz w:val="24"/>
              </w:rPr>
              <w:t>废水处理工艺，属于</w:t>
            </w:r>
            <w:r>
              <w:rPr>
                <w:rFonts w:hint="eastAsia"/>
                <w:color w:val="auto"/>
                <w:sz w:val="24"/>
                <w:lang w:val="en-US" w:eastAsia="zh-CN"/>
              </w:rPr>
              <w:t>实验</w:t>
            </w:r>
            <w:r>
              <w:rPr>
                <w:rFonts w:hint="eastAsia"/>
                <w:color w:val="auto"/>
                <w:sz w:val="24"/>
              </w:rPr>
              <w:t>废水处理可行性技术，基本原理如下：</w:t>
            </w:r>
          </w:p>
          <w:p w14:paraId="1B756E4B">
            <w:pPr>
              <w:adjustRightInd w:val="0"/>
              <w:snapToGrid w:val="0"/>
              <w:spacing w:line="360" w:lineRule="auto"/>
              <w:ind w:firstLine="480" w:firstLineChars="200"/>
              <w:rPr>
                <w:rFonts w:hint="eastAsia"/>
                <w:color w:val="auto"/>
                <w:sz w:val="24"/>
              </w:rPr>
            </w:pPr>
            <w:r>
              <w:rPr>
                <w:rFonts w:hint="eastAsia"/>
                <w:color w:val="auto"/>
                <w:sz w:val="24"/>
              </w:rPr>
              <w:t>实验室清洗废水经收集系统收集后首先</w:t>
            </w:r>
            <w:r>
              <w:rPr>
                <w:rFonts w:hint="eastAsia"/>
                <w:color w:val="auto"/>
                <w:sz w:val="24"/>
                <w:lang w:val="en-US" w:eastAsia="zh-CN"/>
              </w:rPr>
              <w:t>废水贮存池中的收集箱内</w:t>
            </w:r>
            <w:r>
              <w:rPr>
                <w:rFonts w:hint="eastAsia"/>
                <w:color w:val="auto"/>
                <w:sz w:val="24"/>
              </w:rPr>
              <w:t>，调节水量、均化水质，当</w:t>
            </w:r>
            <w:r>
              <w:rPr>
                <w:rFonts w:hint="eastAsia"/>
                <w:color w:val="auto"/>
                <w:sz w:val="24"/>
                <w:lang w:val="en-US" w:eastAsia="zh-CN"/>
              </w:rPr>
              <w:t>收集箱</w:t>
            </w:r>
            <w:r>
              <w:rPr>
                <w:rFonts w:hint="eastAsia"/>
                <w:color w:val="auto"/>
                <w:sz w:val="24"/>
              </w:rPr>
              <w:t>中水量达到一定液位高度后，通过提升泵定量提升到实验室污水处理设备。在</w:t>
            </w:r>
            <w:r>
              <w:rPr>
                <w:rFonts w:hint="eastAsia"/>
                <w:color w:val="auto"/>
                <w:sz w:val="24"/>
                <w:lang w:val="en-US" w:eastAsia="zh-CN"/>
              </w:rPr>
              <w:t>实验室</w:t>
            </w:r>
            <w:r>
              <w:rPr>
                <w:rFonts w:hint="eastAsia"/>
                <w:color w:val="auto"/>
                <w:sz w:val="24"/>
              </w:rPr>
              <w:t>污水处理设备中首先进入酸碱中和调节系统，在此通过pH控制仪</w:t>
            </w:r>
            <w:r>
              <w:rPr>
                <w:rFonts w:hint="eastAsia"/>
                <w:color w:val="auto"/>
                <w:sz w:val="24"/>
                <w:lang w:eastAsia="zh-CN"/>
              </w:rPr>
              <w:t>、</w:t>
            </w:r>
            <w:r>
              <w:rPr>
                <w:rFonts w:hint="eastAsia"/>
                <w:color w:val="auto"/>
                <w:sz w:val="24"/>
              </w:rPr>
              <w:t>进行</w:t>
            </w:r>
            <w:r>
              <w:rPr>
                <w:rFonts w:hint="eastAsia"/>
                <w:color w:val="auto"/>
                <w:sz w:val="24"/>
                <w:lang w:val="en-US" w:eastAsia="zh-CN"/>
              </w:rPr>
              <w:t>自动</w:t>
            </w:r>
            <w:r>
              <w:rPr>
                <w:rFonts w:hint="eastAsia"/>
                <w:color w:val="auto"/>
                <w:sz w:val="24"/>
              </w:rPr>
              <w:t>酸碱中和，</w:t>
            </w:r>
            <w:r>
              <w:rPr>
                <w:rFonts w:hint="eastAsia"/>
                <w:color w:val="auto"/>
                <w:sz w:val="24"/>
                <w:lang w:val="en-US" w:eastAsia="zh-CN"/>
              </w:rPr>
              <w:t>进入</w:t>
            </w:r>
            <w:r>
              <w:rPr>
                <w:rFonts w:hint="eastAsia"/>
                <w:color w:val="auto"/>
                <w:sz w:val="24"/>
              </w:rPr>
              <w:t>重金属捕捉器 、沉淀</w:t>
            </w:r>
            <w:r>
              <w:rPr>
                <w:rFonts w:hint="eastAsia"/>
                <w:color w:val="auto"/>
                <w:sz w:val="24"/>
                <w:lang w:val="en-US" w:eastAsia="zh-CN"/>
              </w:rPr>
              <w:t>分离</w:t>
            </w:r>
            <w:r>
              <w:rPr>
                <w:rFonts w:hint="eastAsia"/>
                <w:color w:val="auto"/>
                <w:sz w:val="24"/>
              </w:rPr>
              <w:t>池后产生的沉淀以及污水中其他悬浮物</w:t>
            </w:r>
            <w:r>
              <w:rPr>
                <w:rFonts w:hint="eastAsia"/>
                <w:color w:val="auto"/>
                <w:sz w:val="24"/>
                <w:lang w:val="en-US" w:eastAsia="zh-CN"/>
              </w:rPr>
              <w:t>和重金属离子</w:t>
            </w:r>
            <w:r>
              <w:rPr>
                <w:rFonts w:hint="eastAsia"/>
                <w:color w:val="auto"/>
                <w:sz w:val="24"/>
              </w:rPr>
              <w:t>在沉淀池中通过泥水间的异向流动实现污泥与水的分离。</w:t>
            </w:r>
          </w:p>
          <w:p w14:paraId="39656AE2">
            <w:pPr>
              <w:adjustRightInd w:val="0"/>
              <w:snapToGrid w:val="0"/>
              <w:spacing w:line="360" w:lineRule="auto"/>
              <w:ind w:firstLine="480" w:firstLineChars="200"/>
              <w:rPr>
                <w:color w:val="auto"/>
                <w:sz w:val="24"/>
              </w:rPr>
            </w:pPr>
            <w:r>
              <w:rPr>
                <w:rFonts w:hint="eastAsia"/>
                <w:color w:val="auto"/>
                <w:sz w:val="24"/>
              </w:rPr>
              <w:t>沉淀</w:t>
            </w:r>
            <w:r>
              <w:rPr>
                <w:rFonts w:hint="eastAsia"/>
                <w:color w:val="auto"/>
                <w:sz w:val="24"/>
                <w:lang w:val="en-US" w:eastAsia="zh-CN"/>
              </w:rPr>
              <w:t>分离后</w:t>
            </w:r>
            <w:r>
              <w:rPr>
                <w:rFonts w:hint="eastAsia"/>
                <w:color w:val="auto"/>
                <w:sz w:val="24"/>
              </w:rPr>
              <w:t>依次进入</w:t>
            </w:r>
            <w:r>
              <w:rPr>
                <w:rFonts w:hint="eastAsia"/>
                <w:color w:val="auto"/>
                <w:sz w:val="24"/>
                <w:lang w:val="en-US" w:eastAsia="zh-CN"/>
              </w:rPr>
              <w:t>微生物反应装置</w:t>
            </w:r>
            <w:r>
              <w:rPr>
                <w:rFonts w:hint="eastAsia"/>
                <w:color w:val="auto"/>
                <w:sz w:val="24"/>
              </w:rPr>
              <w:t>、</w:t>
            </w:r>
            <w:r>
              <w:rPr>
                <w:rFonts w:hint="eastAsia"/>
                <w:color w:val="auto"/>
                <w:sz w:val="24"/>
                <w:lang w:val="en-US" w:eastAsia="zh-CN"/>
              </w:rPr>
              <w:t>进行COD、BOD</w:t>
            </w:r>
            <w:r>
              <w:rPr>
                <w:rFonts w:hint="eastAsia"/>
                <w:color w:val="auto"/>
                <w:sz w:val="24"/>
              </w:rPr>
              <w:t>等降解</w:t>
            </w:r>
            <w:r>
              <w:rPr>
                <w:rFonts w:hint="eastAsia"/>
                <w:color w:val="auto"/>
                <w:sz w:val="24"/>
                <w:lang w:val="en-US" w:eastAsia="zh-CN"/>
              </w:rPr>
              <w:t>部分</w:t>
            </w:r>
            <w:r>
              <w:rPr>
                <w:rFonts w:hint="eastAsia"/>
                <w:color w:val="auto"/>
                <w:sz w:val="24"/>
              </w:rPr>
              <w:t>去除</w:t>
            </w:r>
            <w:r>
              <w:rPr>
                <w:rFonts w:hint="eastAsia"/>
                <w:color w:val="auto"/>
                <w:sz w:val="24"/>
                <w:lang w:eastAsia="zh-CN"/>
              </w:rPr>
              <w:t>、</w:t>
            </w:r>
            <w:r>
              <w:rPr>
                <w:rFonts w:hint="eastAsia"/>
                <w:color w:val="auto"/>
                <w:sz w:val="24"/>
                <w:lang w:val="en-US" w:eastAsia="zh-CN"/>
              </w:rPr>
              <w:t>进入多相</w:t>
            </w:r>
            <w:r>
              <w:rPr>
                <w:rFonts w:hint="eastAsia"/>
                <w:color w:val="auto"/>
                <w:sz w:val="24"/>
              </w:rPr>
              <w:t>催化</w:t>
            </w:r>
            <w:r>
              <w:rPr>
                <w:rFonts w:hint="eastAsia"/>
                <w:color w:val="auto"/>
                <w:sz w:val="24"/>
                <w:lang w:val="en-US" w:eastAsia="zh-CN"/>
              </w:rPr>
              <w:t>氧化</w:t>
            </w:r>
            <w:r>
              <w:rPr>
                <w:rFonts w:hint="eastAsia"/>
                <w:color w:val="auto"/>
                <w:sz w:val="24"/>
              </w:rPr>
              <w:t>反应</w:t>
            </w:r>
            <w:r>
              <w:rPr>
                <w:rFonts w:hint="eastAsia"/>
                <w:color w:val="auto"/>
                <w:sz w:val="24"/>
                <w:lang w:val="en-US" w:eastAsia="zh-CN"/>
              </w:rPr>
              <w:t>装置进一步高级光化氧化分解污水与消毒</w:t>
            </w:r>
            <w:r>
              <w:rPr>
                <w:rFonts w:hint="eastAsia"/>
                <w:color w:val="auto"/>
                <w:sz w:val="24"/>
              </w:rPr>
              <w:t>，废水最后进入多介质过滤器，尚未被去除的细小悬浮物、微量金属及极少量的有机物等，一部分通过石英砂</w:t>
            </w:r>
            <w:r>
              <w:rPr>
                <w:rFonts w:hint="eastAsia"/>
                <w:color w:val="auto"/>
                <w:sz w:val="24"/>
                <w:lang w:val="en-US" w:eastAsia="zh-CN"/>
              </w:rPr>
              <w:t>过滤</w:t>
            </w:r>
            <w:r>
              <w:rPr>
                <w:rFonts w:hint="eastAsia"/>
                <w:color w:val="auto"/>
                <w:sz w:val="24"/>
              </w:rPr>
              <w:t>和</w:t>
            </w:r>
            <w:r>
              <w:rPr>
                <w:rFonts w:hint="eastAsia"/>
                <w:color w:val="auto"/>
                <w:sz w:val="24"/>
                <w:lang w:val="en-US" w:eastAsia="zh-CN"/>
              </w:rPr>
              <w:t>另一部分通过</w:t>
            </w:r>
            <w:r>
              <w:rPr>
                <w:rFonts w:hint="eastAsia"/>
                <w:color w:val="auto"/>
                <w:sz w:val="24"/>
              </w:rPr>
              <w:t>活性炭的吸咐、截留等</w:t>
            </w:r>
            <w:r>
              <w:rPr>
                <w:rFonts w:hint="eastAsia"/>
                <w:color w:val="auto"/>
                <w:sz w:val="24"/>
                <w:lang w:val="en-US" w:eastAsia="zh-CN"/>
              </w:rPr>
              <w:t>净化处理</w:t>
            </w:r>
            <w:r>
              <w:rPr>
                <w:rFonts w:hint="eastAsia"/>
                <w:color w:val="auto"/>
                <w:sz w:val="24"/>
              </w:rPr>
              <w:t>，</w:t>
            </w:r>
            <w:r>
              <w:rPr>
                <w:rFonts w:hint="eastAsia"/>
                <w:color w:val="auto"/>
                <w:sz w:val="24"/>
                <w:lang w:val="en-US" w:eastAsia="zh-CN"/>
              </w:rPr>
              <w:t>经过多级过滤、</w:t>
            </w:r>
            <w:r>
              <w:rPr>
                <w:rFonts w:hint="eastAsia"/>
                <w:color w:val="auto"/>
                <w:sz w:val="24"/>
              </w:rPr>
              <w:t>至此废水即可达标排放。</w:t>
            </w:r>
          </w:p>
          <w:p w14:paraId="2E032FCC">
            <w:pPr>
              <w:adjustRightInd w:val="0"/>
              <w:snapToGrid w:val="0"/>
              <w:spacing w:line="360" w:lineRule="auto"/>
              <w:jc w:val="center"/>
              <w:rPr>
                <w:rFonts w:hint="eastAsia" w:eastAsia="宋体"/>
                <w:b/>
                <w:bCs/>
                <w:color w:val="auto"/>
                <w:sz w:val="24"/>
                <w:lang w:eastAsia="zh-CN"/>
              </w:rPr>
            </w:pPr>
            <w:r>
              <w:rPr>
                <w:rFonts w:hint="eastAsia" w:ascii="宋体" w:hAnsi="宋体" w:cs="宋体"/>
                <w:b/>
                <w:color w:val="auto"/>
                <w:sz w:val="22"/>
                <w:szCs w:val="21"/>
                <w:lang w:val="en-US" w:eastAsia="zh-CN"/>
              </w:rPr>
              <w:drawing>
                <wp:inline distT="0" distB="0" distL="114300" distR="114300">
                  <wp:extent cx="3712845" cy="4676140"/>
                  <wp:effectExtent l="0" t="0" r="5715" b="2540"/>
                  <wp:docPr id="53" name="图片 53" descr="1T、2T、4T、5T工艺流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1T、2T、4T、5T工艺流程"/>
                          <pic:cNvPicPr>
                            <a:picLocks noChangeAspect="1"/>
                          </pic:cNvPicPr>
                        </pic:nvPicPr>
                        <pic:blipFill>
                          <a:blip r:embed="rId23"/>
                          <a:srcRect t="3216" b="6550"/>
                          <a:stretch>
                            <a:fillRect/>
                          </a:stretch>
                        </pic:blipFill>
                        <pic:spPr>
                          <a:xfrm>
                            <a:off x="0" y="0"/>
                            <a:ext cx="3712845" cy="4676140"/>
                          </a:xfrm>
                          <a:prstGeom prst="rect">
                            <a:avLst/>
                          </a:prstGeom>
                        </pic:spPr>
                      </pic:pic>
                    </a:graphicData>
                  </a:graphic>
                </wp:inline>
              </w:drawing>
            </w:r>
          </w:p>
          <w:p w14:paraId="42D92709">
            <w:pPr>
              <w:adjustRightInd w:val="0"/>
              <w:snapToGrid w:val="0"/>
              <w:spacing w:line="360" w:lineRule="auto"/>
              <w:jc w:val="center"/>
              <w:rPr>
                <w:b/>
                <w:bCs/>
                <w:color w:val="auto"/>
                <w:szCs w:val="21"/>
              </w:rPr>
            </w:pPr>
            <w:r>
              <w:rPr>
                <w:rFonts w:hint="eastAsia"/>
                <w:b/>
                <w:bCs/>
                <w:color w:val="auto"/>
                <w:szCs w:val="21"/>
              </w:rPr>
              <w:t>图4-1  污水处理工艺流程图</w:t>
            </w:r>
          </w:p>
          <w:p w14:paraId="76D975D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eastAsia="宋体"/>
                <w:color w:val="auto"/>
                <w:sz w:val="24"/>
                <w:lang w:val="en-US" w:eastAsia="zh-CN"/>
              </w:rPr>
            </w:pPr>
            <w:r>
              <w:rPr>
                <w:rFonts w:hint="eastAsia"/>
                <w:color w:val="auto"/>
                <w:sz w:val="24"/>
                <w:lang w:val="en-US" w:eastAsia="zh-CN"/>
              </w:rPr>
              <w:t>同时类比同类行业《广东广环检测技术有限公司揭阳分公司实验室建设项目竣工环境保护验收监测报告》，该企业实验酸性气体采用碱液喷淋的处理工艺，该企业废水主要为实验器皿第二次清洗废水、第三次清洗废水及碱液喷淋废水，生产废水进入自建污水处理站处理，采取“酸调节池-絮凝沉淀-过滤单元-消毒”工艺处理后废水可达标排放。本项目在此基础上采用</w:t>
            </w:r>
            <w:r>
              <w:rPr>
                <w:rFonts w:hint="eastAsia"/>
                <w:color w:val="auto"/>
                <w:sz w:val="24"/>
              </w:rPr>
              <w:t>“</w:t>
            </w:r>
            <w:r>
              <w:rPr>
                <w:rFonts w:hint="eastAsia"/>
                <w:color w:val="auto"/>
                <w:sz w:val="24"/>
                <w:lang w:val="en-US" w:eastAsia="zh-CN"/>
              </w:rPr>
              <w:t>酸碱中和调节+重金属捕捉+高效分离沉淀+微生物反应装置+多相催化氧化反应+氧化消毒+多介质过滤</w:t>
            </w:r>
            <w:r>
              <w:rPr>
                <w:rFonts w:hint="eastAsia"/>
                <w:color w:val="auto"/>
                <w:sz w:val="24"/>
              </w:rPr>
              <w:t>”处理工艺，</w:t>
            </w:r>
            <w:r>
              <w:rPr>
                <w:rFonts w:hint="eastAsia"/>
                <w:color w:val="auto"/>
                <w:sz w:val="24"/>
                <w:lang w:val="en-US" w:eastAsia="zh-CN"/>
              </w:rPr>
              <w:t>处理措施可行。</w:t>
            </w:r>
          </w:p>
          <w:p w14:paraId="320A765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color w:val="auto"/>
                <w:sz w:val="24"/>
              </w:rPr>
            </w:pPr>
            <w:r>
              <w:rPr>
                <w:rFonts w:hint="eastAsia"/>
                <w:color w:val="auto"/>
                <w:sz w:val="24"/>
                <w:lang w:val="en-US" w:eastAsia="zh-CN"/>
              </w:rPr>
              <w:t>综上</w:t>
            </w:r>
            <w:r>
              <w:rPr>
                <w:rFonts w:hint="eastAsia"/>
                <w:color w:val="auto"/>
                <w:sz w:val="24"/>
              </w:rPr>
              <w:t>，本项目污水处理</w:t>
            </w:r>
            <w:r>
              <w:rPr>
                <w:rFonts w:hint="eastAsia"/>
                <w:color w:val="auto"/>
                <w:sz w:val="24"/>
                <w:lang w:val="en-US" w:eastAsia="zh-CN"/>
              </w:rPr>
              <w:t>设备</w:t>
            </w:r>
            <w:r>
              <w:rPr>
                <w:rFonts w:hint="eastAsia"/>
                <w:color w:val="auto"/>
                <w:sz w:val="24"/>
              </w:rPr>
              <w:t>采用的废水处理工艺可行</w:t>
            </w:r>
            <w:r>
              <w:rPr>
                <w:rFonts w:hint="eastAsia"/>
                <w:color w:val="auto"/>
                <w:sz w:val="24"/>
                <w:lang w:eastAsia="zh-CN"/>
              </w:rPr>
              <w:t>，</w:t>
            </w:r>
            <w:r>
              <w:rPr>
                <w:rFonts w:hint="eastAsia"/>
                <w:color w:val="auto"/>
                <w:sz w:val="24"/>
              </w:rPr>
              <w:t>经本项目污水处理站处理后的废水水质能够满足《污水综合排放标准》（GB8978-1996）表4三级标准</w:t>
            </w:r>
            <w:r>
              <w:rPr>
                <w:rFonts w:hint="eastAsia"/>
                <w:color w:val="auto"/>
                <w:sz w:val="24"/>
                <w:lang w:val="en-US" w:eastAsia="zh-CN"/>
              </w:rPr>
              <w:t>及《污水排入城镇下水道水质标准》（GB/T31962-2015）B级标准</w:t>
            </w:r>
            <w:r>
              <w:rPr>
                <w:rFonts w:hint="eastAsia"/>
                <w:color w:val="auto"/>
                <w:sz w:val="24"/>
              </w:rPr>
              <w:t>，同时也满足</w:t>
            </w:r>
            <w:r>
              <w:rPr>
                <w:rFonts w:hint="eastAsia" w:ascii="Times New Roman" w:hAnsi="Times New Roman" w:eastAsia="宋体" w:cs="Times New Roman"/>
                <w:color w:val="0000FF"/>
                <w:sz w:val="24"/>
                <w:szCs w:val="24"/>
                <w:lang w:val="en-US" w:eastAsia="zh-CN"/>
              </w:rPr>
              <w:t>昌吉高新技术产业开发区污水处理厂</w:t>
            </w:r>
            <w:r>
              <w:rPr>
                <w:rFonts w:hint="eastAsia"/>
                <w:color w:val="auto"/>
                <w:sz w:val="24"/>
              </w:rPr>
              <w:t>纳管标准，废水排放可行。</w:t>
            </w:r>
          </w:p>
          <w:p w14:paraId="0F8C978E">
            <w:pPr>
              <w:pStyle w:val="71"/>
              <w:snapToGrid w:val="0"/>
              <w:spacing w:line="360" w:lineRule="auto"/>
              <w:rPr>
                <w:b/>
                <w:bCs/>
                <w:color w:val="auto"/>
                <w:sz w:val="24"/>
                <w:szCs w:val="24"/>
              </w:rPr>
            </w:pPr>
            <w:r>
              <w:rPr>
                <w:rFonts w:hint="eastAsia"/>
                <w:b/>
                <w:bCs/>
                <w:color w:val="auto"/>
                <w:sz w:val="24"/>
                <w:szCs w:val="24"/>
              </w:rPr>
              <w:t>2</w:t>
            </w:r>
            <w:r>
              <w:rPr>
                <w:b/>
                <w:bCs/>
                <w:color w:val="auto"/>
                <w:sz w:val="24"/>
                <w:szCs w:val="24"/>
              </w:rPr>
              <w:t>.3</w:t>
            </w:r>
            <w:r>
              <w:rPr>
                <w:rFonts w:hint="eastAsia"/>
                <w:b/>
                <w:bCs/>
                <w:color w:val="auto"/>
                <w:sz w:val="24"/>
                <w:szCs w:val="24"/>
              </w:rPr>
              <w:t>园区污水处理</w:t>
            </w:r>
            <w:r>
              <w:rPr>
                <w:rFonts w:hint="eastAsia"/>
                <w:b/>
                <w:bCs/>
                <w:color w:val="auto"/>
                <w:sz w:val="24"/>
                <w:szCs w:val="24"/>
                <w:lang w:val="en-US" w:eastAsia="zh-CN"/>
              </w:rPr>
              <w:t>厂</w:t>
            </w:r>
            <w:r>
              <w:rPr>
                <w:rFonts w:hint="eastAsia"/>
                <w:b/>
                <w:bCs/>
                <w:color w:val="auto"/>
                <w:sz w:val="24"/>
                <w:szCs w:val="24"/>
              </w:rPr>
              <w:t>依托可行性</w:t>
            </w:r>
          </w:p>
          <w:p w14:paraId="7D4E69BA">
            <w:pPr>
              <w:adjustRightInd w:val="0"/>
              <w:snapToGrid w:val="0"/>
              <w:spacing w:line="360" w:lineRule="auto"/>
              <w:ind w:firstLine="480" w:firstLineChars="200"/>
              <w:rPr>
                <w:rFonts w:hint="eastAsia"/>
                <w:color w:val="auto"/>
                <w:sz w:val="24"/>
              </w:rPr>
            </w:pPr>
            <w:r>
              <w:rPr>
                <w:rFonts w:hint="eastAsia"/>
                <w:color w:val="auto"/>
                <w:sz w:val="24"/>
              </w:rPr>
              <w:t>本项目</w:t>
            </w:r>
            <w:r>
              <w:rPr>
                <w:rFonts w:hint="eastAsia"/>
                <w:color w:val="auto"/>
                <w:sz w:val="24"/>
                <w:lang w:val="en-US" w:eastAsia="zh-CN"/>
              </w:rPr>
              <w:t>纯水设备浓水</w:t>
            </w:r>
            <w:r>
              <w:rPr>
                <w:rFonts w:hint="eastAsia"/>
                <w:color w:val="auto"/>
                <w:sz w:val="24"/>
              </w:rPr>
              <w:t>直接排入</w:t>
            </w:r>
            <w:r>
              <w:rPr>
                <w:rFonts w:hint="eastAsia"/>
                <w:color w:val="auto"/>
                <w:sz w:val="24"/>
                <w:lang w:val="en-US" w:eastAsia="zh-CN"/>
              </w:rPr>
              <w:t>废水池</w:t>
            </w:r>
            <w:r>
              <w:rPr>
                <w:rFonts w:hint="eastAsia"/>
                <w:color w:val="auto"/>
                <w:sz w:val="24"/>
                <w:lang w:eastAsia="zh-CN"/>
              </w:rPr>
              <w:t>，</w:t>
            </w:r>
            <w:r>
              <w:rPr>
                <w:rFonts w:hint="eastAsia"/>
                <w:color w:val="auto"/>
                <w:sz w:val="24"/>
                <w:lang w:val="en-US" w:eastAsia="zh-CN"/>
              </w:rPr>
              <w:t>生产废水经污水处理设备处理达标后排入废水池，生活污水排入租用厂房已建化粪池，最终由吸污车拉运至</w:t>
            </w:r>
            <w:r>
              <w:rPr>
                <w:rFonts w:hint="eastAsia" w:ascii="Times New Roman" w:hAnsi="Times New Roman" w:eastAsia="宋体" w:cs="Times New Roman"/>
                <w:color w:val="0000FF"/>
                <w:sz w:val="24"/>
                <w:szCs w:val="24"/>
                <w:lang w:val="en-US" w:eastAsia="zh-CN"/>
              </w:rPr>
              <w:t>昌吉高新技术产业开发区污水处理厂</w:t>
            </w:r>
            <w:r>
              <w:rPr>
                <w:rFonts w:hint="eastAsia"/>
                <w:color w:val="auto"/>
                <w:sz w:val="24"/>
                <w:lang w:val="en-US" w:eastAsia="zh-CN"/>
              </w:rPr>
              <w:t>处理</w:t>
            </w:r>
            <w:r>
              <w:rPr>
                <w:rFonts w:hint="eastAsia"/>
                <w:color w:val="auto"/>
                <w:sz w:val="24"/>
              </w:rPr>
              <w:t>。</w:t>
            </w:r>
          </w:p>
          <w:p w14:paraId="66A61060">
            <w:pPr>
              <w:adjustRightInd w:val="0"/>
              <w:snapToGrid w:val="0"/>
              <w:spacing w:line="360" w:lineRule="auto"/>
              <w:ind w:firstLine="480" w:firstLineChars="200"/>
              <w:rPr>
                <w:color w:val="auto"/>
                <w:sz w:val="24"/>
              </w:rPr>
            </w:pPr>
            <w:r>
              <w:rPr>
                <w:rFonts w:hint="eastAsia" w:ascii="Times New Roman" w:hAnsi="Times New Roman" w:eastAsia="宋体" w:cs="Times New Roman"/>
                <w:color w:val="0000FF"/>
                <w:sz w:val="24"/>
                <w:szCs w:val="24"/>
                <w:lang w:val="en-US" w:eastAsia="zh-CN"/>
              </w:rPr>
              <w:t>昌吉高新技术产业开发区污水处理厂</w:t>
            </w:r>
            <w:r>
              <w:rPr>
                <w:rFonts w:hint="eastAsia"/>
                <w:color w:val="auto"/>
                <w:sz w:val="24"/>
                <w:lang w:val="en-US" w:eastAsia="zh-CN"/>
              </w:rPr>
              <w:t>（原昌吉市西区污水处理厂）位于昌吉高新技术产业开发区西北角，省道S201南侧。设计污水处理规模3万吨/天，一期占地63亩，采用A2O+芬顿反应池+絮凝沉淀池处理工艺，后于2017年7月新疆高新海天水务有限公司收购，于2018年8月30日完成污水处理厂一级A提标改造项目并通过环保验收，该污水处理厂年实际污水处理量约200万m³，折算日均处理量仅为5479m³/d，不足设计规模的20%。这一低负荷状态与园区当前产业布局及污水收集范围直接相关，目前主要接纳高新区企业生产污水及榆树沟镇生活污水，尚未达到满负荷运行条件。</w:t>
            </w:r>
          </w:p>
          <w:p w14:paraId="256FBE7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color w:val="auto"/>
                <w:sz w:val="24"/>
              </w:rPr>
            </w:pPr>
            <w:r>
              <w:rPr>
                <w:rFonts w:hint="eastAsia"/>
                <w:color w:val="auto"/>
                <w:sz w:val="24"/>
              </w:rPr>
              <w:t>本项目</w:t>
            </w:r>
            <w:r>
              <w:rPr>
                <w:rFonts w:hint="eastAsia"/>
                <w:color w:val="auto"/>
                <w:sz w:val="24"/>
                <w:lang w:val="en-US" w:eastAsia="zh-CN"/>
              </w:rPr>
              <w:t>生活污水排放量144</w:t>
            </w:r>
            <w:r>
              <w:rPr>
                <w:rFonts w:hint="eastAsia"/>
                <w:color w:val="auto"/>
                <w:sz w:val="24"/>
              </w:rPr>
              <w:t>m</w:t>
            </w:r>
            <w:r>
              <w:rPr>
                <w:color w:val="auto"/>
                <w:sz w:val="24"/>
                <w:vertAlign w:val="superscript"/>
              </w:rPr>
              <w:t>3</w:t>
            </w:r>
            <w:r>
              <w:rPr>
                <w:color w:val="auto"/>
                <w:sz w:val="24"/>
              </w:rPr>
              <w:t>/a</w:t>
            </w:r>
            <w:r>
              <w:rPr>
                <w:rFonts w:hint="eastAsia"/>
                <w:color w:val="auto"/>
                <w:sz w:val="24"/>
              </w:rPr>
              <w:t>，</w:t>
            </w:r>
            <w:r>
              <w:rPr>
                <w:rFonts w:hint="eastAsia"/>
                <w:color w:val="auto"/>
                <w:sz w:val="24"/>
                <w:lang w:val="en-US" w:eastAsia="zh-CN"/>
              </w:rPr>
              <w:t>纯水设备浓水排放量30</w:t>
            </w:r>
            <w:r>
              <w:rPr>
                <w:rFonts w:hint="eastAsia"/>
                <w:color w:val="auto"/>
                <w:sz w:val="24"/>
              </w:rPr>
              <w:t>m</w:t>
            </w:r>
            <w:r>
              <w:rPr>
                <w:color w:val="auto"/>
                <w:sz w:val="24"/>
                <w:vertAlign w:val="superscript"/>
              </w:rPr>
              <w:t>3</w:t>
            </w:r>
            <w:r>
              <w:rPr>
                <w:color w:val="auto"/>
                <w:sz w:val="24"/>
              </w:rPr>
              <w:t>/a</w:t>
            </w:r>
            <w:r>
              <w:rPr>
                <w:rFonts w:hint="eastAsia"/>
                <w:color w:val="auto"/>
                <w:sz w:val="24"/>
              </w:rPr>
              <w:t>，</w:t>
            </w:r>
            <w:r>
              <w:rPr>
                <w:rFonts w:hint="eastAsia"/>
                <w:color w:val="auto"/>
                <w:sz w:val="24"/>
                <w:lang w:val="en-US" w:eastAsia="zh-CN"/>
              </w:rPr>
              <w:t>实验</w:t>
            </w:r>
            <w:r>
              <w:rPr>
                <w:rFonts w:hint="eastAsia"/>
                <w:color w:val="auto"/>
                <w:sz w:val="24"/>
              </w:rPr>
              <w:t>废水排放量</w:t>
            </w:r>
            <w:r>
              <w:rPr>
                <w:rFonts w:hint="eastAsia"/>
                <w:color w:val="auto"/>
                <w:sz w:val="24"/>
                <w:lang w:val="en-US" w:eastAsia="zh-CN"/>
              </w:rPr>
              <w:t>349.65</w:t>
            </w:r>
            <w:r>
              <w:rPr>
                <w:rFonts w:hint="eastAsia"/>
                <w:color w:val="auto"/>
                <w:sz w:val="24"/>
              </w:rPr>
              <w:t>m</w:t>
            </w:r>
            <w:r>
              <w:rPr>
                <w:color w:val="auto"/>
                <w:sz w:val="24"/>
                <w:vertAlign w:val="superscript"/>
              </w:rPr>
              <w:t>3</w:t>
            </w:r>
            <w:r>
              <w:rPr>
                <w:color w:val="auto"/>
                <w:sz w:val="24"/>
              </w:rPr>
              <w:t>/a</w:t>
            </w:r>
            <w:r>
              <w:rPr>
                <w:rFonts w:hint="eastAsia"/>
                <w:color w:val="auto"/>
                <w:sz w:val="24"/>
              </w:rPr>
              <w:t>，</w:t>
            </w:r>
            <w:r>
              <w:rPr>
                <w:rFonts w:hint="eastAsia"/>
                <w:color w:val="auto"/>
                <w:sz w:val="24"/>
                <w:lang w:val="en-US" w:eastAsia="zh-CN"/>
              </w:rPr>
              <w:t>仅占昌吉高新技术产业开发区污水处理厂富余处理能力的0.0048%，</w:t>
            </w:r>
            <w:r>
              <w:rPr>
                <w:rFonts w:hint="eastAsia"/>
                <w:color w:val="auto"/>
                <w:sz w:val="24"/>
              </w:rPr>
              <w:t>园区污水处理厂污水处理能力余量</w:t>
            </w:r>
            <w:r>
              <w:rPr>
                <w:rFonts w:hint="eastAsia"/>
                <w:color w:val="auto"/>
                <w:sz w:val="24"/>
                <w:lang w:val="en-US" w:eastAsia="zh-CN"/>
              </w:rPr>
              <w:t>可以满足本项目废水处理需求</w:t>
            </w:r>
            <w:r>
              <w:rPr>
                <w:rFonts w:hint="eastAsia"/>
                <w:color w:val="auto"/>
                <w:sz w:val="24"/>
                <w:lang w:eastAsia="zh-CN"/>
              </w:rPr>
              <w:t>。</w:t>
            </w:r>
            <w:r>
              <w:rPr>
                <w:rFonts w:hint="eastAsia"/>
                <w:color w:val="0000FF"/>
                <w:sz w:val="24"/>
                <w:lang w:val="en-US" w:eastAsia="zh-CN"/>
              </w:rPr>
              <w:t>本次环评要求建设单位建设完成后对废水进出口进行重金属污染物浓度检测，严禁排放高浓度重金属废水，在</w:t>
            </w:r>
            <w:r>
              <w:rPr>
                <w:rFonts w:hint="eastAsia"/>
                <w:color w:val="0000FF"/>
                <w:sz w:val="24"/>
              </w:rPr>
              <w:t>水质满足《污水综合排放标准》（GB</w:t>
            </w:r>
            <w:r>
              <w:rPr>
                <w:color w:val="0000FF"/>
                <w:sz w:val="24"/>
              </w:rPr>
              <w:t>8978-1996</w:t>
            </w:r>
            <w:r>
              <w:rPr>
                <w:rFonts w:hint="eastAsia"/>
                <w:color w:val="0000FF"/>
                <w:sz w:val="24"/>
              </w:rPr>
              <w:t>）三级标准</w:t>
            </w:r>
            <w:r>
              <w:rPr>
                <w:rFonts w:hint="eastAsia"/>
                <w:color w:val="0000FF"/>
                <w:sz w:val="24"/>
                <w:lang w:val="en-US" w:eastAsia="zh-CN"/>
              </w:rPr>
              <w:t>及《污水排入城镇下水道水质标准》（GB/T31962-2015）B级标准</w:t>
            </w:r>
            <w:r>
              <w:rPr>
                <w:rFonts w:hint="eastAsia"/>
                <w:color w:val="0000FF"/>
                <w:sz w:val="24"/>
              </w:rPr>
              <w:t>，达到园区污水处理厂进水水质指标</w:t>
            </w:r>
            <w:r>
              <w:rPr>
                <w:rFonts w:hint="eastAsia"/>
                <w:color w:val="0000FF"/>
                <w:sz w:val="24"/>
                <w:lang w:val="en-US" w:eastAsia="zh-CN"/>
              </w:rPr>
              <w:t>的情况下依托园区污水处理厂处置，并与园区污水处理厂签订污水处理协议</w:t>
            </w:r>
            <w:r>
              <w:rPr>
                <w:rFonts w:hint="eastAsia"/>
                <w:color w:val="0000FF"/>
                <w:sz w:val="24"/>
              </w:rPr>
              <w:t>。</w:t>
            </w:r>
            <w:r>
              <w:rPr>
                <w:rFonts w:hint="eastAsia"/>
                <w:color w:val="auto"/>
                <w:sz w:val="24"/>
                <w:lang w:val="en-US" w:eastAsia="zh-CN"/>
              </w:rPr>
              <w:t>综上</w:t>
            </w:r>
            <w:r>
              <w:rPr>
                <w:rFonts w:hint="eastAsia"/>
                <w:color w:val="auto"/>
                <w:sz w:val="24"/>
              </w:rPr>
              <w:t>，本项目</w:t>
            </w:r>
            <w:r>
              <w:rPr>
                <w:rFonts w:hint="eastAsia"/>
                <w:color w:val="auto"/>
                <w:sz w:val="24"/>
                <w:lang w:val="en-US" w:eastAsia="zh-CN"/>
              </w:rPr>
              <w:t>废水间接排放至昌吉高新技术产业开发区污水处理厂</w:t>
            </w:r>
            <w:r>
              <w:rPr>
                <w:rFonts w:hint="eastAsia"/>
                <w:color w:val="auto"/>
                <w:sz w:val="24"/>
              </w:rPr>
              <w:t>处理可行。</w:t>
            </w:r>
          </w:p>
          <w:p w14:paraId="17A1531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eastAsia="宋体"/>
                <w:color w:val="auto"/>
                <w:sz w:val="24"/>
                <w:lang w:val="en-US" w:eastAsia="zh-CN"/>
              </w:rPr>
            </w:pPr>
            <w:r>
              <w:rPr>
                <w:rFonts w:hint="eastAsia" w:eastAsia="宋体"/>
                <w:color w:val="auto"/>
                <w:sz w:val="24"/>
                <w:lang w:val="en-US" w:eastAsia="zh-CN"/>
              </w:rPr>
              <w:t>综上所述，本项目生产废水及生活污水治理措施可行。</w:t>
            </w:r>
          </w:p>
          <w:p w14:paraId="5FA03384">
            <w:pPr>
              <w:pStyle w:val="71"/>
              <w:snapToGrid w:val="0"/>
              <w:spacing w:line="360" w:lineRule="auto"/>
              <w:rPr>
                <w:rFonts w:hint="default"/>
                <w:b/>
                <w:bCs/>
                <w:color w:val="auto"/>
                <w:sz w:val="24"/>
                <w:szCs w:val="24"/>
                <w:lang w:val="en-US" w:eastAsia="zh-CN"/>
              </w:rPr>
            </w:pPr>
            <w:r>
              <w:rPr>
                <w:rFonts w:hint="eastAsia"/>
                <w:b/>
                <w:bCs/>
                <w:color w:val="auto"/>
                <w:sz w:val="24"/>
                <w:szCs w:val="24"/>
                <w:lang w:val="en-US" w:eastAsia="zh-CN"/>
              </w:rPr>
              <w:t>2.4废水排放口信息</w:t>
            </w:r>
          </w:p>
          <w:p w14:paraId="31119226">
            <w:pPr>
              <w:pStyle w:val="19"/>
              <w:adjustRightInd w:val="0"/>
              <w:jc w:val="center"/>
              <w:rPr>
                <w:rFonts w:hint="eastAsia" w:ascii="Times New Roman" w:hAnsi="Times New Roman" w:eastAsia="宋体" w:cs="Times New Roman"/>
                <w:b/>
                <w:color w:val="auto"/>
                <w:sz w:val="21"/>
                <w:szCs w:val="21"/>
                <w:lang w:val="en-US" w:eastAsia="zh-CN"/>
              </w:rPr>
            </w:pPr>
            <w:r>
              <w:rPr>
                <w:rFonts w:hint="eastAsia" w:ascii="Times New Roman" w:hAnsi="Times New Roman" w:eastAsia="宋体" w:cs="Times New Roman"/>
                <w:b/>
                <w:color w:val="auto"/>
                <w:sz w:val="21"/>
                <w:szCs w:val="21"/>
                <w:lang w:val="en-US" w:eastAsia="zh-CN"/>
              </w:rPr>
              <w:t>表4-</w:t>
            </w:r>
            <w:r>
              <w:rPr>
                <w:rFonts w:hint="eastAsia" w:cs="Times New Roman"/>
                <w:b/>
                <w:color w:val="auto"/>
                <w:sz w:val="21"/>
                <w:szCs w:val="21"/>
                <w:lang w:val="en-US" w:eastAsia="zh-CN"/>
              </w:rPr>
              <w:t xml:space="preserve">7  </w:t>
            </w:r>
            <w:r>
              <w:rPr>
                <w:rFonts w:hint="eastAsia" w:ascii="Times New Roman" w:hAnsi="Times New Roman" w:eastAsia="宋体" w:cs="Times New Roman"/>
                <w:b/>
                <w:color w:val="auto"/>
                <w:sz w:val="21"/>
                <w:szCs w:val="21"/>
                <w:lang w:val="en-US" w:eastAsia="zh-CN"/>
              </w:rPr>
              <w:t>废水间接排放口基本情况表</w:t>
            </w:r>
          </w:p>
          <w:tbl>
            <w:tblPr>
              <w:tblStyle w:val="28"/>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6"/>
              <w:gridCol w:w="706"/>
              <w:gridCol w:w="885"/>
              <w:gridCol w:w="840"/>
              <w:gridCol w:w="855"/>
              <w:gridCol w:w="690"/>
              <w:gridCol w:w="570"/>
              <w:gridCol w:w="750"/>
              <w:gridCol w:w="660"/>
              <w:gridCol w:w="728"/>
              <w:gridCol w:w="1264"/>
            </w:tblGrid>
            <w:tr w14:paraId="2453CC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54" w:type="pct"/>
                  <w:vMerge w:val="restart"/>
                  <w:noWrap w:val="0"/>
                  <w:vAlign w:val="center"/>
                </w:tcPr>
                <w:p w14:paraId="1D6D0B8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auto"/>
                      <w:sz w:val="21"/>
                      <w:szCs w:val="21"/>
                      <w:u w:val="none"/>
                    </w:rPr>
                  </w:pPr>
                  <w:r>
                    <w:rPr>
                      <w:rStyle w:val="95"/>
                      <w:rFonts w:hint="default" w:ascii="Times New Roman" w:hAnsi="Times New Roman" w:eastAsia="宋体" w:cs="Times New Roman"/>
                      <w:color w:val="auto"/>
                      <w:sz w:val="21"/>
                      <w:szCs w:val="21"/>
                      <w:lang w:val="en-US" w:eastAsia="zh-CN" w:bidi="ar"/>
                    </w:rPr>
                    <w:t>序号</w:t>
                  </w:r>
                </w:p>
              </w:tc>
              <w:tc>
                <w:tcPr>
                  <w:tcW w:w="421" w:type="pct"/>
                  <w:vMerge w:val="restart"/>
                  <w:noWrap w:val="0"/>
                  <w:vAlign w:val="center"/>
                </w:tcPr>
                <w:p w14:paraId="6845579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auto"/>
                      <w:sz w:val="21"/>
                      <w:szCs w:val="21"/>
                      <w:u w:val="none"/>
                    </w:rPr>
                  </w:pPr>
                  <w:r>
                    <w:rPr>
                      <w:rStyle w:val="95"/>
                      <w:rFonts w:hint="default" w:ascii="Times New Roman" w:hAnsi="Times New Roman" w:eastAsia="宋体" w:cs="Times New Roman"/>
                      <w:color w:val="auto"/>
                      <w:sz w:val="21"/>
                      <w:szCs w:val="21"/>
                      <w:lang w:val="en-US" w:eastAsia="zh-CN" w:bidi="ar"/>
                    </w:rPr>
                    <w:t>排放口编号</w:t>
                  </w:r>
                </w:p>
              </w:tc>
              <w:tc>
                <w:tcPr>
                  <w:tcW w:w="1029" w:type="pct"/>
                  <w:gridSpan w:val="2"/>
                  <w:noWrap w:val="0"/>
                  <w:vAlign w:val="center"/>
                </w:tcPr>
                <w:p w14:paraId="3EDA0A3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bottom"/>
                    <w:rPr>
                      <w:rFonts w:hint="default" w:ascii="Times New Roman" w:hAnsi="Times New Roman" w:eastAsia="宋体" w:cs="Times New Roman"/>
                      <w:i w:val="0"/>
                      <w:iCs w:val="0"/>
                      <w:color w:val="auto"/>
                      <w:sz w:val="21"/>
                      <w:szCs w:val="21"/>
                      <w:u w:val="none"/>
                      <w:lang w:val="en-US"/>
                    </w:rPr>
                  </w:pPr>
                  <w:r>
                    <w:rPr>
                      <w:rStyle w:val="95"/>
                      <w:rFonts w:hint="default" w:ascii="Times New Roman" w:hAnsi="Times New Roman" w:eastAsia="宋体" w:cs="Times New Roman"/>
                      <w:color w:val="auto"/>
                      <w:sz w:val="21"/>
                      <w:szCs w:val="21"/>
                      <w:lang w:val="en-US" w:eastAsia="zh-CN" w:bidi="ar"/>
                    </w:rPr>
                    <w:t>排放</w:t>
                  </w:r>
                  <w:r>
                    <w:rPr>
                      <w:rStyle w:val="95"/>
                      <w:rFonts w:hint="eastAsia" w:ascii="Times New Roman" w:hAnsi="Times New Roman" w:eastAsia="宋体" w:cs="Times New Roman"/>
                      <w:color w:val="auto"/>
                      <w:sz w:val="21"/>
                      <w:szCs w:val="21"/>
                      <w:lang w:val="en-US" w:eastAsia="zh-CN" w:bidi="ar"/>
                    </w:rPr>
                    <w:t>口地理坐标</w:t>
                  </w:r>
                </w:p>
              </w:tc>
              <w:tc>
                <w:tcPr>
                  <w:tcW w:w="510" w:type="pct"/>
                  <w:vMerge w:val="restart"/>
                  <w:noWrap w:val="0"/>
                  <w:vAlign w:val="center"/>
                </w:tcPr>
                <w:p w14:paraId="69FE49C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auto"/>
                      <w:sz w:val="21"/>
                      <w:szCs w:val="21"/>
                      <w:u w:val="none"/>
                    </w:rPr>
                  </w:pPr>
                  <w:r>
                    <w:rPr>
                      <w:rStyle w:val="95"/>
                      <w:rFonts w:hint="default" w:ascii="Times New Roman" w:hAnsi="Times New Roman" w:eastAsia="宋体" w:cs="Times New Roman"/>
                      <w:color w:val="auto"/>
                      <w:sz w:val="21"/>
                      <w:szCs w:val="21"/>
                      <w:lang w:val="en-US" w:eastAsia="zh-CN" w:bidi="ar"/>
                    </w:rPr>
                    <w:t>废水排放量/(万</w:t>
                  </w:r>
                  <w:r>
                    <w:rPr>
                      <w:rStyle w:val="96"/>
                      <w:rFonts w:hint="default" w:ascii="Times New Roman" w:hAnsi="Times New Roman" w:eastAsia="宋体" w:cs="Times New Roman"/>
                      <w:color w:val="auto"/>
                      <w:sz w:val="21"/>
                      <w:szCs w:val="21"/>
                      <w:lang w:val="en-US" w:eastAsia="zh-CN" w:bidi="ar"/>
                    </w:rPr>
                    <w:t>t/a)</w:t>
                  </w:r>
                </w:p>
              </w:tc>
              <w:tc>
                <w:tcPr>
                  <w:tcW w:w="411" w:type="pct"/>
                  <w:vMerge w:val="restart"/>
                  <w:noWrap w:val="0"/>
                  <w:vAlign w:val="center"/>
                </w:tcPr>
                <w:p w14:paraId="03D59D1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auto"/>
                      <w:sz w:val="21"/>
                      <w:szCs w:val="21"/>
                      <w:u w:val="none"/>
                    </w:rPr>
                  </w:pPr>
                  <w:r>
                    <w:rPr>
                      <w:rStyle w:val="95"/>
                      <w:rFonts w:hint="default" w:ascii="Times New Roman" w:hAnsi="Times New Roman" w:eastAsia="宋体" w:cs="Times New Roman"/>
                      <w:color w:val="auto"/>
                      <w:sz w:val="21"/>
                      <w:szCs w:val="21"/>
                      <w:lang w:val="en-US" w:eastAsia="zh-CN" w:bidi="ar"/>
                    </w:rPr>
                    <w:t>排放去向</w:t>
                  </w:r>
                </w:p>
              </w:tc>
              <w:tc>
                <w:tcPr>
                  <w:tcW w:w="340" w:type="pct"/>
                  <w:vMerge w:val="restart"/>
                  <w:noWrap w:val="0"/>
                  <w:vAlign w:val="center"/>
                </w:tcPr>
                <w:p w14:paraId="2824045F">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auto"/>
                      <w:sz w:val="21"/>
                      <w:szCs w:val="21"/>
                      <w:u w:val="none"/>
                    </w:rPr>
                  </w:pPr>
                  <w:r>
                    <w:rPr>
                      <w:rStyle w:val="95"/>
                      <w:rFonts w:hint="default" w:ascii="Times New Roman" w:hAnsi="Times New Roman" w:eastAsia="宋体" w:cs="Times New Roman"/>
                      <w:color w:val="auto"/>
                      <w:sz w:val="21"/>
                      <w:szCs w:val="21"/>
                      <w:lang w:val="en-US" w:eastAsia="zh-CN" w:bidi="ar"/>
                    </w:rPr>
                    <w:t>排放规律</w:t>
                  </w:r>
                </w:p>
              </w:tc>
              <w:tc>
                <w:tcPr>
                  <w:tcW w:w="447" w:type="pct"/>
                  <w:vMerge w:val="restart"/>
                  <w:noWrap w:val="0"/>
                  <w:vAlign w:val="center"/>
                </w:tcPr>
                <w:p w14:paraId="76ECAE0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auto"/>
                      <w:sz w:val="21"/>
                      <w:szCs w:val="21"/>
                      <w:u w:val="none"/>
                    </w:rPr>
                  </w:pPr>
                  <w:r>
                    <w:rPr>
                      <w:rStyle w:val="95"/>
                      <w:rFonts w:hint="default" w:ascii="Times New Roman" w:hAnsi="Times New Roman" w:eastAsia="宋体" w:cs="Times New Roman"/>
                      <w:color w:val="auto"/>
                      <w:sz w:val="21"/>
                      <w:szCs w:val="21"/>
                      <w:lang w:val="en-US" w:eastAsia="zh-CN" w:bidi="ar"/>
                    </w:rPr>
                    <w:t>间歇排放时段</w:t>
                  </w:r>
                </w:p>
              </w:tc>
              <w:tc>
                <w:tcPr>
                  <w:tcW w:w="1583" w:type="pct"/>
                  <w:gridSpan w:val="3"/>
                  <w:noWrap/>
                  <w:vAlign w:val="center"/>
                </w:tcPr>
                <w:p w14:paraId="30C2802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auto"/>
                      <w:sz w:val="21"/>
                      <w:szCs w:val="21"/>
                      <w:u w:val="none"/>
                    </w:rPr>
                  </w:pPr>
                  <w:r>
                    <w:rPr>
                      <w:rStyle w:val="95"/>
                      <w:rFonts w:hint="default" w:ascii="Times New Roman" w:hAnsi="Times New Roman" w:eastAsia="宋体" w:cs="Times New Roman"/>
                      <w:color w:val="auto"/>
                      <w:sz w:val="21"/>
                      <w:szCs w:val="21"/>
                      <w:lang w:val="en-US" w:eastAsia="zh-CN" w:bidi="ar"/>
                    </w:rPr>
                    <w:t>受纳污水处理厂信息</w:t>
                  </w:r>
                </w:p>
              </w:tc>
            </w:tr>
            <w:tr w14:paraId="67D377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54" w:type="pct"/>
                  <w:vMerge w:val="continue"/>
                  <w:noWrap w:val="0"/>
                  <w:vAlign w:val="center"/>
                </w:tcPr>
                <w:p w14:paraId="1EE2EAD1">
                  <w:pPr>
                    <w:keepNext w:val="0"/>
                    <w:keepLines w:val="0"/>
                    <w:pageBreakBefore w:val="0"/>
                    <w:widowControl/>
                    <w:kinsoku/>
                    <w:wordWrap/>
                    <w:overflowPunct/>
                    <w:topLinePunct w:val="0"/>
                    <w:autoSpaceDE/>
                    <w:autoSpaceDN/>
                    <w:bidi w:val="0"/>
                    <w:adjustRightInd w:val="0"/>
                    <w:snapToGrid w:val="0"/>
                    <w:spacing w:line="240" w:lineRule="auto"/>
                    <w:ind w:firstLineChars="0"/>
                    <w:jc w:val="center"/>
                    <w:rPr>
                      <w:rFonts w:hint="default" w:ascii="Times New Roman" w:hAnsi="Times New Roman" w:eastAsia="宋体" w:cs="Times New Roman"/>
                      <w:i w:val="0"/>
                      <w:iCs w:val="0"/>
                      <w:color w:val="auto"/>
                      <w:sz w:val="21"/>
                      <w:szCs w:val="21"/>
                      <w:u w:val="none"/>
                    </w:rPr>
                  </w:pPr>
                </w:p>
              </w:tc>
              <w:tc>
                <w:tcPr>
                  <w:tcW w:w="421" w:type="pct"/>
                  <w:vMerge w:val="continue"/>
                  <w:noWrap w:val="0"/>
                  <w:vAlign w:val="center"/>
                </w:tcPr>
                <w:p w14:paraId="3343A2B5">
                  <w:pPr>
                    <w:keepNext w:val="0"/>
                    <w:keepLines w:val="0"/>
                    <w:pageBreakBefore w:val="0"/>
                    <w:widowControl/>
                    <w:kinsoku/>
                    <w:wordWrap/>
                    <w:overflowPunct/>
                    <w:topLinePunct w:val="0"/>
                    <w:autoSpaceDE/>
                    <w:autoSpaceDN/>
                    <w:bidi w:val="0"/>
                    <w:adjustRightInd w:val="0"/>
                    <w:snapToGrid w:val="0"/>
                    <w:spacing w:line="240" w:lineRule="auto"/>
                    <w:ind w:firstLineChars="0"/>
                    <w:jc w:val="center"/>
                    <w:rPr>
                      <w:rFonts w:hint="default" w:ascii="Times New Roman" w:hAnsi="Times New Roman" w:eastAsia="宋体" w:cs="Times New Roman"/>
                      <w:i w:val="0"/>
                      <w:iCs w:val="0"/>
                      <w:color w:val="auto"/>
                      <w:sz w:val="21"/>
                      <w:szCs w:val="21"/>
                      <w:u w:val="none"/>
                    </w:rPr>
                  </w:pPr>
                </w:p>
              </w:tc>
              <w:tc>
                <w:tcPr>
                  <w:tcW w:w="528" w:type="pct"/>
                  <w:noWrap w:val="0"/>
                  <w:vAlign w:val="center"/>
                </w:tcPr>
                <w:p w14:paraId="498E5DF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auto"/>
                      <w:sz w:val="21"/>
                      <w:szCs w:val="21"/>
                      <w:u w:val="none"/>
                    </w:rPr>
                  </w:pPr>
                  <w:r>
                    <w:rPr>
                      <w:rStyle w:val="95"/>
                      <w:rFonts w:hint="default" w:ascii="Times New Roman" w:hAnsi="Times New Roman" w:eastAsia="宋体" w:cs="Times New Roman"/>
                      <w:color w:val="auto"/>
                      <w:sz w:val="21"/>
                      <w:szCs w:val="21"/>
                      <w:lang w:val="en-US" w:eastAsia="zh-CN" w:bidi="ar"/>
                    </w:rPr>
                    <w:t>经度</w:t>
                  </w:r>
                </w:p>
              </w:tc>
              <w:tc>
                <w:tcPr>
                  <w:tcW w:w="501" w:type="pct"/>
                  <w:noWrap w:val="0"/>
                  <w:vAlign w:val="center"/>
                </w:tcPr>
                <w:p w14:paraId="19BE93D6">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auto"/>
                      <w:sz w:val="21"/>
                      <w:szCs w:val="21"/>
                      <w:u w:val="none"/>
                    </w:rPr>
                  </w:pPr>
                  <w:r>
                    <w:rPr>
                      <w:rStyle w:val="95"/>
                      <w:rFonts w:hint="default" w:ascii="Times New Roman" w:hAnsi="Times New Roman" w:eastAsia="宋体" w:cs="Times New Roman"/>
                      <w:color w:val="auto"/>
                      <w:sz w:val="21"/>
                      <w:szCs w:val="21"/>
                      <w:lang w:val="en-US" w:eastAsia="zh-CN" w:bidi="ar"/>
                    </w:rPr>
                    <w:t>纬度</w:t>
                  </w:r>
                </w:p>
              </w:tc>
              <w:tc>
                <w:tcPr>
                  <w:tcW w:w="510" w:type="pct"/>
                  <w:vMerge w:val="continue"/>
                  <w:noWrap w:val="0"/>
                  <w:vAlign w:val="center"/>
                </w:tcPr>
                <w:p w14:paraId="61943FA9">
                  <w:pPr>
                    <w:keepNext w:val="0"/>
                    <w:keepLines w:val="0"/>
                    <w:pageBreakBefore w:val="0"/>
                    <w:widowControl/>
                    <w:kinsoku/>
                    <w:wordWrap/>
                    <w:overflowPunct/>
                    <w:topLinePunct w:val="0"/>
                    <w:autoSpaceDE/>
                    <w:autoSpaceDN/>
                    <w:bidi w:val="0"/>
                    <w:adjustRightInd w:val="0"/>
                    <w:snapToGrid w:val="0"/>
                    <w:spacing w:line="240" w:lineRule="auto"/>
                    <w:ind w:firstLineChars="0"/>
                    <w:jc w:val="center"/>
                    <w:rPr>
                      <w:rFonts w:hint="default" w:ascii="Times New Roman" w:hAnsi="Times New Roman" w:eastAsia="宋体" w:cs="Times New Roman"/>
                      <w:i w:val="0"/>
                      <w:iCs w:val="0"/>
                      <w:color w:val="auto"/>
                      <w:sz w:val="21"/>
                      <w:szCs w:val="21"/>
                      <w:u w:val="none"/>
                    </w:rPr>
                  </w:pPr>
                </w:p>
              </w:tc>
              <w:tc>
                <w:tcPr>
                  <w:tcW w:w="411" w:type="pct"/>
                  <w:vMerge w:val="continue"/>
                  <w:noWrap w:val="0"/>
                  <w:vAlign w:val="center"/>
                </w:tcPr>
                <w:p w14:paraId="440376DC">
                  <w:pPr>
                    <w:keepNext w:val="0"/>
                    <w:keepLines w:val="0"/>
                    <w:pageBreakBefore w:val="0"/>
                    <w:widowControl/>
                    <w:kinsoku/>
                    <w:wordWrap/>
                    <w:overflowPunct/>
                    <w:topLinePunct w:val="0"/>
                    <w:autoSpaceDE/>
                    <w:autoSpaceDN/>
                    <w:bidi w:val="0"/>
                    <w:adjustRightInd w:val="0"/>
                    <w:snapToGrid w:val="0"/>
                    <w:spacing w:line="240" w:lineRule="auto"/>
                    <w:ind w:firstLineChars="0"/>
                    <w:jc w:val="center"/>
                    <w:rPr>
                      <w:rFonts w:hint="default" w:ascii="Times New Roman" w:hAnsi="Times New Roman" w:eastAsia="宋体" w:cs="Times New Roman"/>
                      <w:i w:val="0"/>
                      <w:iCs w:val="0"/>
                      <w:color w:val="auto"/>
                      <w:sz w:val="21"/>
                      <w:szCs w:val="21"/>
                      <w:u w:val="none"/>
                    </w:rPr>
                  </w:pPr>
                </w:p>
              </w:tc>
              <w:tc>
                <w:tcPr>
                  <w:tcW w:w="340" w:type="pct"/>
                  <w:vMerge w:val="continue"/>
                  <w:noWrap w:val="0"/>
                  <w:vAlign w:val="center"/>
                </w:tcPr>
                <w:p w14:paraId="22110A03">
                  <w:pPr>
                    <w:keepNext w:val="0"/>
                    <w:keepLines w:val="0"/>
                    <w:pageBreakBefore w:val="0"/>
                    <w:widowControl/>
                    <w:kinsoku/>
                    <w:wordWrap/>
                    <w:overflowPunct/>
                    <w:topLinePunct w:val="0"/>
                    <w:autoSpaceDE/>
                    <w:autoSpaceDN/>
                    <w:bidi w:val="0"/>
                    <w:adjustRightInd w:val="0"/>
                    <w:snapToGrid w:val="0"/>
                    <w:spacing w:line="240" w:lineRule="auto"/>
                    <w:ind w:firstLineChars="0"/>
                    <w:jc w:val="center"/>
                    <w:rPr>
                      <w:rFonts w:hint="default" w:ascii="Times New Roman" w:hAnsi="Times New Roman" w:eastAsia="宋体" w:cs="Times New Roman"/>
                      <w:i w:val="0"/>
                      <w:iCs w:val="0"/>
                      <w:color w:val="auto"/>
                      <w:sz w:val="21"/>
                      <w:szCs w:val="21"/>
                      <w:u w:val="none"/>
                    </w:rPr>
                  </w:pPr>
                </w:p>
              </w:tc>
              <w:tc>
                <w:tcPr>
                  <w:tcW w:w="447" w:type="pct"/>
                  <w:vMerge w:val="continue"/>
                  <w:noWrap w:val="0"/>
                  <w:vAlign w:val="center"/>
                </w:tcPr>
                <w:p w14:paraId="5A65E930">
                  <w:pPr>
                    <w:keepNext w:val="0"/>
                    <w:keepLines w:val="0"/>
                    <w:pageBreakBefore w:val="0"/>
                    <w:widowControl/>
                    <w:kinsoku/>
                    <w:wordWrap/>
                    <w:overflowPunct/>
                    <w:topLinePunct w:val="0"/>
                    <w:autoSpaceDE/>
                    <w:autoSpaceDN/>
                    <w:bidi w:val="0"/>
                    <w:adjustRightInd w:val="0"/>
                    <w:snapToGrid w:val="0"/>
                    <w:spacing w:line="240" w:lineRule="auto"/>
                    <w:ind w:firstLineChars="0"/>
                    <w:jc w:val="center"/>
                    <w:rPr>
                      <w:rFonts w:hint="default" w:ascii="Times New Roman" w:hAnsi="Times New Roman" w:eastAsia="宋体" w:cs="Times New Roman"/>
                      <w:i w:val="0"/>
                      <w:iCs w:val="0"/>
                      <w:color w:val="auto"/>
                      <w:sz w:val="21"/>
                      <w:szCs w:val="21"/>
                      <w:u w:val="none"/>
                    </w:rPr>
                  </w:pPr>
                </w:p>
              </w:tc>
              <w:tc>
                <w:tcPr>
                  <w:tcW w:w="394" w:type="pct"/>
                  <w:noWrap/>
                  <w:vAlign w:val="center"/>
                </w:tcPr>
                <w:p w14:paraId="47391704">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auto"/>
                      <w:sz w:val="21"/>
                      <w:szCs w:val="21"/>
                      <w:u w:val="none"/>
                    </w:rPr>
                  </w:pPr>
                  <w:r>
                    <w:rPr>
                      <w:rStyle w:val="95"/>
                      <w:rFonts w:hint="default" w:ascii="Times New Roman" w:hAnsi="Times New Roman" w:eastAsia="宋体" w:cs="Times New Roman"/>
                      <w:color w:val="auto"/>
                      <w:sz w:val="21"/>
                      <w:szCs w:val="21"/>
                      <w:lang w:val="en-US" w:eastAsia="zh-CN" w:bidi="ar"/>
                    </w:rPr>
                    <w:t>名称</w:t>
                  </w:r>
                </w:p>
              </w:tc>
              <w:tc>
                <w:tcPr>
                  <w:tcW w:w="434" w:type="pct"/>
                  <w:noWrap w:val="0"/>
                  <w:vAlign w:val="center"/>
                </w:tcPr>
                <w:p w14:paraId="16F0F80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auto"/>
                      <w:sz w:val="21"/>
                      <w:szCs w:val="21"/>
                      <w:u w:val="none"/>
                    </w:rPr>
                  </w:pPr>
                  <w:r>
                    <w:rPr>
                      <w:rStyle w:val="95"/>
                      <w:rFonts w:hint="default" w:ascii="Times New Roman" w:hAnsi="Times New Roman" w:eastAsia="宋体" w:cs="Times New Roman"/>
                      <w:color w:val="auto"/>
                      <w:sz w:val="21"/>
                      <w:szCs w:val="21"/>
                      <w:lang w:val="en-US" w:eastAsia="zh-CN" w:bidi="ar"/>
                    </w:rPr>
                    <w:t>污染物种类</w:t>
                  </w:r>
                </w:p>
              </w:tc>
              <w:tc>
                <w:tcPr>
                  <w:tcW w:w="754" w:type="pct"/>
                  <w:noWrap w:val="0"/>
                  <w:vAlign w:val="center"/>
                </w:tcPr>
                <w:p w14:paraId="5659A600">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bottom"/>
                    <w:rPr>
                      <w:rFonts w:hint="default" w:ascii="Times New Roman" w:hAnsi="Times New Roman" w:eastAsia="宋体" w:cs="Times New Roman"/>
                      <w:i w:val="0"/>
                      <w:iCs w:val="0"/>
                      <w:color w:val="auto"/>
                      <w:sz w:val="21"/>
                      <w:szCs w:val="21"/>
                      <w:u w:val="none"/>
                    </w:rPr>
                  </w:pPr>
                  <w:r>
                    <w:rPr>
                      <w:rStyle w:val="95"/>
                      <w:rFonts w:hint="default" w:ascii="Times New Roman" w:hAnsi="Times New Roman" w:eastAsia="宋体" w:cs="Times New Roman"/>
                      <w:color w:val="auto"/>
                      <w:sz w:val="21"/>
                      <w:szCs w:val="21"/>
                      <w:lang w:val="en-US" w:eastAsia="zh-CN" w:bidi="ar"/>
                    </w:rPr>
                    <w:t>国家或地方污染物排放标准浓度限值/</w:t>
                  </w:r>
                  <w:r>
                    <w:rPr>
                      <w:rStyle w:val="96"/>
                      <w:rFonts w:hint="default" w:ascii="Times New Roman" w:hAnsi="Times New Roman" w:eastAsia="宋体" w:cs="Times New Roman"/>
                      <w:color w:val="auto"/>
                      <w:sz w:val="21"/>
                      <w:szCs w:val="21"/>
                      <w:lang w:val="en-US" w:eastAsia="zh-CN" w:bidi="ar"/>
                    </w:rPr>
                    <w:t>(mg/L)</w:t>
                  </w:r>
                </w:p>
              </w:tc>
            </w:tr>
            <w:tr w14:paraId="7E7BD3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54" w:type="pct"/>
                  <w:vMerge w:val="restart"/>
                  <w:noWrap/>
                  <w:vAlign w:val="center"/>
                </w:tcPr>
                <w:p w14:paraId="2FF4FC4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auto"/>
                      <w:sz w:val="21"/>
                      <w:szCs w:val="21"/>
                      <w:u w:val="none"/>
                    </w:rPr>
                  </w:pPr>
                  <w:r>
                    <w:rPr>
                      <w:rStyle w:val="96"/>
                      <w:rFonts w:hint="default" w:ascii="Times New Roman" w:hAnsi="Times New Roman" w:eastAsia="宋体" w:cs="Times New Roman"/>
                      <w:color w:val="auto"/>
                      <w:sz w:val="21"/>
                      <w:szCs w:val="21"/>
                      <w:lang w:val="en-US" w:eastAsia="zh-CN" w:bidi="ar"/>
                    </w:rPr>
                    <w:t>1</w:t>
                  </w:r>
                </w:p>
              </w:tc>
              <w:tc>
                <w:tcPr>
                  <w:tcW w:w="421" w:type="pct"/>
                  <w:vMerge w:val="restart"/>
                  <w:noWrap w:val="0"/>
                  <w:vAlign w:val="center"/>
                </w:tcPr>
                <w:p w14:paraId="1865392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auto"/>
                      <w:sz w:val="21"/>
                      <w:szCs w:val="21"/>
                      <w:u w:val="none"/>
                      <w:lang w:val="en-US" w:eastAsia="zh-CN"/>
                    </w:rPr>
                  </w:pPr>
                  <w:r>
                    <w:rPr>
                      <w:rFonts w:hint="eastAsia" w:ascii="Times New Roman" w:hAnsi="Times New Roman" w:eastAsia="宋体" w:cs="Times New Roman"/>
                      <w:i w:val="0"/>
                      <w:iCs w:val="0"/>
                      <w:color w:val="auto"/>
                      <w:sz w:val="21"/>
                      <w:szCs w:val="21"/>
                      <w:u w:val="none"/>
                      <w:lang w:val="en-US" w:eastAsia="zh-CN"/>
                    </w:rPr>
                    <w:t>DW001</w:t>
                  </w:r>
                </w:p>
              </w:tc>
              <w:tc>
                <w:tcPr>
                  <w:tcW w:w="528" w:type="pct"/>
                  <w:vMerge w:val="restart"/>
                  <w:noWrap w:val="0"/>
                  <w:vAlign w:val="center"/>
                </w:tcPr>
                <w:p w14:paraId="32F81952">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cs="Times New Roman"/>
                      <w:color w:val="auto"/>
                      <w:szCs w:val="18"/>
                      <w:lang w:val="en-US" w:eastAsia="zh-CN"/>
                    </w:rPr>
                    <w:t>87°0′10.333″</w:t>
                  </w:r>
                </w:p>
              </w:tc>
              <w:tc>
                <w:tcPr>
                  <w:tcW w:w="501" w:type="pct"/>
                  <w:vMerge w:val="restart"/>
                  <w:noWrap w:val="0"/>
                  <w:vAlign w:val="center"/>
                </w:tcPr>
                <w:p w14:paraId="722E513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cs="Times New Roman"/>
                      <w:color w:val="auto"/>
                      <w:szCs w:val="18"/>
                      <w:lang w:val="en-US" w:eastAsia="zh-CN"/>
                    </w:rPr>
                    <w:t>44°6′28.192″</w:t>
                  </w:r>
                </w:p>
              </w:tc>
              <w:tc>
                <w:tcPr>
                  <w:tcW w:w="510" w:type="pct"/>
                  <w:vMerge w:val="restart"/>
                  <w:noWrap w:val="0"/>
                  <w:vAlign w:val="center"/>
                </w:tcPr>
                <w:p w14:paraId="66983CF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auto"/>
                      <w:sz w:val="21"/>
                      <w:szCs w:val="21"/>
                      <w:u w:val="none"/>
                      <w:lang w:val="en-US" w:eastAsia="zh-CN"/>
                    </w:rPr>
                  </w:pPr>
                  <w:r>
                    <w:rPr>
                      <w:rFonts w:hint="eastAsia" w:cs="Times New Roman"/>
                      <w:i w:val="0"/>
                      <w:iCs w:val="0"/>
                      <w:color w:val="auto"/>
                      <w:sz w:val="21"/>
                      <w:szCs w:val="21"/>
                      <w:u w:val="none"/>
                      <w:lang w:val="en-US" w:eastAsia="zh-CN"/>
                    </w:rPr>
                    <w:t>0.035</w:t>
                  </w:r>
                </w:p>
              </w:tc>
              <w:tc>
                <w:tcPr>
                  <w:tcW w:w="411" w:type="pct"/>
                  <w:vMerge w:val="restart"/>
                  <w:noWrap w:val="0"/>
                  <w:vAlign w:val="center"/>
                </w:tcPr>
                <w:p w14:paraId="09D3AD01">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auto"/>
                      <w:sz w:val="21"/>
                      <w:szCs w:val="21"/>
                      <w:u w:val="none"/>
                    </w:rPr>
                  </w:pPr>
                  <w:r>
                    <w:rPr>
                      <w:rStyle w:val="95"/>
                      <w:rFonts w:hint="default" w:ascii="Times New Roman" w:hAnsi="Times New Roman" w:eastAsia="宋体" w:cs="Times New Roman"/>
                      <w:color w:val="auto"/>
                      <w:sz w:val="21"/>
                      <w:szCs w:val="21"/>
                      <w:lang w:val="en-US" w:eastAsia="zh-CN" w:bidi="ar"/>
                    </w:rPr>
                    <w:t>城市污水处理厂</w:t>
                  </w:r>
                </w:p>
              </w:tc>
              <w:tc>
                <w:tcPr>
                  <w:tcW w:w="340" w:type="pct"/>
                  <w:vMerge w:val="restart"/>
                  <w:noWrap/>
                  <w:vAlign w:val="center"/>
                </w:tcPr>
                <w:p w14:paraId="5AF8470F">
                  <w:pPr>
                    <w:keepNext w:val="0"/>
                    <w:keepLines w:val="0"/>
                    <w:pageBreakBefore w:val="0"/>
                    <w:widowControl/>
                    <w:kinsoku/>
                    <w:wordWrap/>
                    <w:overflowPunct/>
                    <w:topLinePunct w:val="0"/>
                    <w:autoSpaceDE/>
                    <w:autoSpaceDN/>
                    <w:bidi w:val="0"/>
                    <w:adjustRightInd w:val="0"/>
                    <w:snapToGrid w:val="0"/>
                    <w:spacing w:line="240" w:lineRule="auto"/>
                    <w:ind w:firstLineChars="0"/>
                    <w:jc w:val="center"/>
                    <w:rPr>
                      <w:rFonts w:hint="default" w:ascii="Times New Roman" w:hAnsi="Times New Roman" w:eastAsia="宋体" w:cs="Times New Roman"/>
                      <w:i w:val="0"/>
                      <w:iCs w:val="0"/>
                      <w:color w:val="auto"/>
                      <w:sz w:val="21"/>
                      <w:szCs w:val="21"/>
                      <w:u w:val="none"/>
                      <w:lang w:val="en-US" w:eastAsia="zh-CN"/>
                    </w:rPr>
                  </w:pPr>
                  <w:r>
                    <w:rPr>
                      <w:rFonts w:hint="eastAsia" w:ascii="Times New Roman" w:hAnsi="Times New Roman" w:eastAsia="宋体" w:cs="Times New Roman"/>
                      <w:i w:val="0"/>
                      <w:iCs w:val="0"/>
                      <w:color w:val="auto"/>
                      <w:sz w:val="21"/>
                      <w:szCs w:val="21"/>
                      <w:u w:val="none"/>
                      <w:lang w:val="en-US" w:eastAsia="zh-CN"/>
                    </w:rPr>
                    <w:t>间接排放</w:t>
                  </w:r>
                </w:p>
              </w:tc>
              <w:tc>
                <w:tcPr>
                  <w:tcW w:w="447" w:type="pct"/>
                  <w:vMerge w:val="restart"/>
                  <w:noWrap/>
                  <w:vAlign w:val="center"/>
                </w:tcPr>
                <w:p w14:paraId="4546FE9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center"/>
                    <w:rPr>
                      <w:rFonts w:hint="default" w:ascii="Times New Roman" w:hAnsi="Times New Roman" w:eastAsia="宋体" w:cs="Times New Roman"/>
                      <w:i w:val="0"/>
                      <w:iCs w:val="0"/>
                      <w:color w:val="auto"/>
                      <w:sz w:val="21"/>
                      <w:szCs w:val="21"/>
                      <w:u w:val="none"/>
                    </w:rPr>
                  </w:pPr>
                  <w:r>
                    <w:rPr>
                      <w:rStyle w:val="95"/>
                      <w:rFonts w:hint="default" w:ascii="Times New Roman" w:hAnsi="Times New Roman" w:eastAsia="宋体" w:cs="Times New Roman"/>
                      <w:color w:val="auto"/>
                      <w:sz w:val="21"/>
                      <w:szCs w:val="21"/>
                      <w:lang w:val="en-US" w:eastAsia="zh-CN" w:bidi="ar"/>
                    </w:rPr>
                    <w:t>/</w:t>
                  </w:r>
                </w:p>
              </w:tc>
              <w:tc>
                <w:tcPr>
                  <w:tcW w:w="394" w:type="pct"/>
                  <w:vMerge w:val="restart"/>
                  <w:noWrap/>
                  <w:vAlign w:val="center"/>
                </w:tcPr>
                <w:p w14:paraId="6228CB5A">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bottom"/>
                    <w:rPr>
                      <w:rFonts w:hint="default" w:ascii="Times New Roman" w:hAnsi="Times New Roman" w:eastAsia="宋体" w:cs="Times New Roman"/>
                      <w:i w:val="0"/>
                      <w:iCs w:val="0"/>
                      <w:color w:val="auto"/>
                      <w:sz w:val="21"/>
                      <w:szCs w:val="21"/>
                      <w:u w:val="none"/>
                      <w:lang w:val="en-US" w:eastAsia="zh-CN"/>
                    </w:rPr>
                  </w:pPr>
                  <w:r>
                    <w:rPr>
                      <w:rFonts w:hint="eastAsia" w:cs="Times New Roman"/>
                      <w:i w:val="0"/>
                      <w:iCs w:val="0"/>
                      <w:color w:val="auto"/>
                      <w:sz w:val="21"/>
                      <w:szCs w:val="21"/>
                      <w:u w:val="none"/>
                      <w:lang w:val="en-US" w:eastAsia="zh-CN"/>
                    </w:rPr>
                    <w:t>昌吉高新区</w:t>
                  </w:r>
                  <w:r>
                    <w:rPr>
                      <w:rFonts w:hint="eastAsia" w:ascii="Times New Roman" w:hAnsi="Times New Roman" w:eastAsia="宋体" w:cs="Times New Roman"/>
                      <w:i w:val="0"/>
                      <w:iCs w:val="0"/>
                      <w:color w:val="auto"/>
                      <w:sz w:val="21"/>
                      <w:szCs w:val="21"/>
                      <w:u w:val="none"/>
                      <w:lang w:val="en-US" w:eastAsia="zh-CN"/>
                    </w:rPr>
                    <w:t>污水处理厂</w:t>
                  </w:r>
                </w:p>
              </w:tc>
              <w:tc>
                <w:tcPr>
                  <w:tcW w:w="434" w:type="pct"/>
                  <w:noWrap/>
                  <w:vAlign w:val="center"/>
                </w:tcPr>
                <w:p w14:paraId="310BB278">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bottom"/>
                    <w:rPr>
                      <w:rFonts w:hint="default" w:ascii="Times New Roman" w:hAnsi="Times New Roman" w:eastAsia="宋体" w:cs="Times New Roman"/>
                      <w:i w:val="0"/>
                      <w:iCs w:val="0"/>
                      <w:color w:val="auto"/>
                      <w:sz w:val="21"/>
                      <w:szCs w:val="21"/>
                      <w:u w:val="none"/>
                    </w:rPr>
                  </w:pPr>
                  <w:r>
                    <w:rPr>
                      <w:rStyle w:val="96"/>
                      <w:rFonts w:hint="default" w:ascii="Times New Roman" w:hAnsi="Times New Roman" w:eastAsia="宋体" w:cs="Times New Roman"/>
                      <w:color w:val="auto"/>
                      <w:sz w:val="21"/>
                      <w:szCs w:val="21"/>
                      <w:lang w:val="en-US" w:eastAsia="zh-CN" w:bidi="ar"/>
                    </w:rPr>
                    <w:t>pH</w:t>
                  </w:r>
                </w:p>
              </w:tc>
              <w:tc>
                <w:tcPr>
                  <w:tcW w:w="754" w:type="pct"/>
                  <w:noWrap/>
                  <w:vAlign w:val="center"/>
                </w:tcPr>
                <w:p w14:paraId="12B3C10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bottom"/>
                    <w:rPr>
                      <w:rFonts w:hint="default" w:ascii="Times New Roman" w:hAnsi="Times New Roman" w:eastAsia="宋体" w:cs="Times New Roman"/>
                      <w:i w:val="0"/>
                      <w:iCs w:val="0"/>
                      <w:color w:val="auto"/>
                      <w:sz w:val="21"/>
                      <w:szCs w:val="21"/>
                      <w:u w:val="none"/>
                    </w:rPr>
                  </w:pPr>
                  <w:r>
                    <w:rPr>
                      <w:rStyle w:val="96"/>
                      <w:rFonts w:hint="default" w:ascii="Times New Roman" w:hAnsi="Times New Roman" w:eastAsia="宋体" w:cs="Times New Roman"/>
                      <w:color w:val="auto"/>
                      <w:sz w:val="21"/>
                      <w:szCs w:val="21"/>
                      <w:lang w:val="en-US" w:eastAsia="zh-CN" w:bidi="ar"/>
                    </w:rPr>
                    <w:t>6</w:t>
                  </w:r>
                  <w:r>
                    <w:rPr>
                      <w:rStyle w:val="97"/>
                      <w:rFonts w:hint="default" w:ascii="Times New Roman" w:hAnsi="Times New Roman" w:eastAsia="宋体" w:cs="Times New Roman"/>
                      <w:color w:val="auto"/>
                      <w:sz w:val="21"/>
                      <w:szCs w:val="21"/>
                      <w:lang w:val="en-US" w:eastAsia="zh-CN" w:bidi="ar"/>
                    </w:rPr>
                    <w:t>〜</w:t>
                  </w:r>
                  <w:r>
                    <w:rPr>
                      <w:rStyle w:val="96"/>
                      <w:rFonts w:hint="default" w:ascii="Times New Roman" w:hAnsi="Times New Roman" w:eastAsia="宋体" w:cs="Times New Roman"/>
                      <w:color w:val="auto"/>
                      <w:sz w:val="21"/>
                      <w:szCs w:val="21"/>
                      <w:lang w:val="en-US" w:eastAsia="zh-CN" w:bidi="ar"/>
                    </w:rPr>
                    <w:t>9</w:t>
                  </w:r>
                </w:p>
              </w:tc>
            </w:tr>
            <w:tr w14:paraId="7673EE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54" w:type="pct"/>
                  <w:vMerge w:val="continue"/>
                  <w:noWrap/>
                  <w:vAlign w:val="center"/>
                </w:tcPr>
                <w:p w14:paraId="42F89B36">
                  <w:pPr>
                    <w:keepNext w:val="0"/>
                    <w:keepLines w:val="0"/>
                    <w:pageBreakBefore w:val="0"/>
                    <w:widowControl/>
                    <w:kinsoku/>
                    <w:wordWrap/>
                    <w:overflowPunct/>
                    <w:topLinePunct w:val="0"/>
                    <w:autoSpaceDE/>
                    <w:autoSpaceDN/>
                    <w:bidi w:val="0"/>
                    <w:adjustRightInd w:val="0"/>
                    <w:snapToGrid w:val="0"/>
                    <w:spacing w:line="240" w:lineRule="auto"/>
                    <w:ind w:firstLineChars="0"/>
                    <w:jc w:val="center"/>
                    <w:rPr>
                      <w:rFonts w:hint="default" w:ascii="Times New Roman" w:hAnsi="Times New Roman" w:eastAsia="宋体" w:cs="Times New Roman"/>
                      <w:i w:val="0"/>
                      <w:iCs w:val="0"/>
                      <w:color w:val="auto"/>
                      <w:sz w:val="21"/>
                      <w:szCs w:val="21"/>
                      <w:u w:val="none"/>
                    </w:rPr>
                  </w:pPr>
                </w:p>
              </w:tc>
              <w:tc>
                <w:tcPr>
                  <w:tcW w:w="421" w:type="pct"/>
                  <w:vMerge w:val="continue"/>
                  <w:noWrap w:val="0"/>
                  <w:vAlign w:val="center"/>
                </w:tcPr>
                <w:p w14:paraId="1FC5B827">
                  <w:pPr>
                    <w:keepNext w:val="0"/>
                    <w:keepLines w:val="0"/>
                    <w:pageBreakBefore w:val="0"/>
                    <w:widowControl/>
                    <w:kinsoku/>
                    <w:wordWrap/>
                    <w:overflowPunct/>
                    <w:topLinePunct w:val="0"/>
                    <w:autoSpaceDE/>
                    <w:autoSpaceDN/>
                    <w:bidi w:val="0"/>
                    <w:adjustRightInd w:val="0"/>
                    <w:snapToGrid w:val="0"/>
                    <w:spacing w:line="240" w:lineRule="auto"/>
                    <w:ind w:firstLineChars="0"/>
                    <w:jc w:val="left"/>
                    <w:rPr>
                      <w:rFonts w:hint="default" w:ascii="Times New Roman" w:hAnsi="Times New Roman" w:eastAsia="宋体" w:cs="Times New Roman"/>
                      <w:i w:val="0"/>
                      <w:iCs w:val="0"/>
                      <w:color w:val="auto"/>
                      <w:sz w:val="21"/>
                      <w:szCs w:val="21"/>
                      <w:u w:val="none"/>
                    </w:rPr>
                  </w:pPr>
                </w:p>
              </w:tc>
              <w:tc>
                <w:tcPr>
                  <w:tcW w:w="528" w:type="pct"/>
                  <w:vMerge w:val="continue"/>
                  <w:noWrap w:val="0"/>
                  <w:vAlign w:val="center"/>
                </w:tcPr>
                <w:p w14:paraId="005E458F">
                  <w:pPr>
                    <w:keepNext w:val="0"/>
                    <w:keepLines w:val="0"/>
                    <w:pageBreakBefore w:val="0"/>
                    <w:widowControl/>
                    <w:kinsoku/>
                    <w:wordWrap/>
                    <w:overflowPunct/>
                    <w:topLinePunct w:val="0"/>
                    <w:autoSpaceDE/>
                    <w:autoSpaceDN/>
                    <w:bidi w:val="0"/>
                    <w:adjustRightInd w:val="0"/>
                    <w:snapToGrid w:val="0"/>
                    <w:spacing w:line="240" w:lineRule="auto"/>
                    <w:ind w:firstLineChars="0"/>
                    <w:jc w:val="left"/>
                    <w:rPr>
                      <w:rFonts w:hint="default" w:ascii="Times New Roman" w:hAnsi="Times New Roman" w:eastAsia="宋体" w:cs="Times New Roman"/>
                      <w:i w:val="0"/>
                      <w:iCs w:val="0"/>
                      <w:color w:val="auto"/>
                      <w:sz w:val="21"/>
                      <w:szCs w:val="21"/>
                      <w:u w:val="none"/>
                    </w:rPr>
                  </w:pPr>
                </w:p>
              </w:tc>
              <w:tc>
                <w:tcPr>
                  <w:tcW w:w="501" w:type="pct"/>
                  <w:vMerge w:val="continue"/>
                  <w:noWrap w:val="0"/>
                  <w:vAlign w:val="center"/>
                </w:tcPr>
                <w:p w14:paraId="5CC1F6A8">
                  <w:pPr>
                    <w:keepNext w:val="0"/>
                    <w:keepLines w:val="0"/>
                    <w:pageBreakBefore w:val="0"/>
                    <w:widowControl/>
                    <w:kinsoku/>
                    <w:wordWrap/>
                    <w:overflowPunct/>
                    <w:topLinePunct w:val="0"/>
                    <w:autoSpaceDE/>
                    <w:autoSpaceDN/>
                    <w:bidi w:val="0"/>
                    <w:adjustRightInd w:val="0"/>
                    <w:snapToGrid w:val="0"/>
                    <w:spacing w:line="240" w:lineRule="auto"/>
                    <w:ind w:firstLineChars="0"/>
                    <w:jc w:val="left"/>
                    <w:rPr>
                      <w:rFonts w:hint="default" w:ascii="Times New Roman" w:hAnsi="Times New Roman" w:eastAsia="宋体" w:cs="Times New Roman"/>
                      <w:i w:val="0"/>
                      <w:iCs w:val="0"/>
                      <w:color w:val="auto"/>
                      <w:sz w:val="21"/>
                      <w:szCs w:val="21"/>
                      <w:u w:val="none"/>
                    </w:rPr>
                  </w:pPr>
                </w:p>
              </w:tc>
              <w:tc>
                <w:tcPr>
                  <w:tcW w:w="510" w:type="pct"/>
                  <w:vMerge w:val="continue"/>
                  <w:noWrap w:val="0"/>
                  <w:vAlign w:val="center"/>
                </w:tcPr>
                <w:p w14:paraId="68649A83">
                  <w:pPr>
                    <w:keepNext w:val="0"/>
                    <w:keepLines w:val="0"/>
                    <w:pageBreakBefore w:val="0"/>
                    <w:widowControl/>
                    <w:kinsoku/>
                    <w:wordWrap/>
                    <w:overflowPunct/>
                    <w:topLinePunct w:val="0"/>
                    <w:autoSpaceDE/>
                    <w:autoSpaceDN/>
                    <w:bidi w:val="0"/>
                    <w:adjustRightInd w:val="0"/>
                    <w:snapToGrid w:val="0"/>
                    <w:spacing w:line="240" w:lineRule="auto"/>
                    <w:ind w:firstLineChars="0"/>
                    <w:jc w:val="both"/>
                    <w:rPr>
                      <w:rFonts w:hint="default" w:ascii="Times New Roman" w:hAnsi="Times New Roman" w:eastAsia="宋体" w:cs="Times New Roman"/>
                      <w:i w:val="0"/>
                      <w:iCs w:val="0"/>
                      <w:color w:val="auto"/>
                      <w:sz w:val="21"/>
                      <w:szCs w:val="21"/>
                      <w:u w:val="none"/>
                    </w:rPr>
                  </w:pPr>
                </w:p>
              </w:tc>
              <w:tc>
                <w:tcPr>
                  <w:tcW w:w="411" w:type="pct"/>
                  <w:vMerge w:val="continue"/>
                  <w:noWrap w:val="0"/>
                  <w:vAlign w:val="center"/>
                </w:tcPr>
                <w:p w14:paraId="59C43423">
                  <w:pPr>
                    <w:keepNext w:val="0"/>
                    <w:keepLines w:val="0"/>
                    <w:pageBreakBefore w:val="0"/>
                    <w:widowControl/>
                    <w:kinsoku/>
                    <w:wordWrap/>
                    <w:overflowPunct/>
                    <w:topLinePunct w:val="0"/>
                    <w:autoSpaceDE/>
                    <w:autoSpaceDN/>
                    <w:bidi w:val="0"/>
                    <w:adjustRightInd w:val="0"/>
                    <w:snapToGrid w:val="0"/>
                    <w:spacing w:line="240" w:lineRule="auto"/>
                    <w:ind w:firstLineChars="0"/>
                    <w:jc w:val="center"/>
                    <w:rPr>
                      <w:rFonts w:hint="default" w:ascii="Times New Roman" w:hAnsi="Times New Roman" w:eastAsia="宋体" w:cs="Times New Roman"/>
                      <w:i w:val="0"/>
                      <w:iCs w:val="0"/>
                      <w:color w:val="auto"/>
                      <w:sz w:val="21"/>
                      <w:szCs w:val="21"/>
                      <w:u w:val="none"/>
                    </w:rPr>
                  </w:pPr>
                </w:p>
              </w:tc>
              <w:tc>
                <w:tcPr>
                  <w:tcW w:w="340" w:type="pct"/>
                  <w:vMerge w:val="continue"/>
                  <w:noWrap/>
                  <w:vAlign w:val="center"/>
                </w:tcPr>
                <w:p w14:paraId="7D6F828F">
                  <w:pPr>
                    <w:keepNext w:val="0"/>
                    <w:keepLines w:val="0"/>
                    <w:pageBreakBefore w:val="0"/>
                    <w:widowControl/>
                    <w:kinsoku/>
                    <w:wordWrap/>
                    <w:overflowPunct/>
                    <w:topLinePunct w:val="0"/>
                    <w:autoSpaceDE/>
                    <w:autoSpaceDN/>
                    <w:bidi w:val="0"/>
                    <w:adjustRightInd w:val="0"/>
                    <w:snapToGrid w:val="0"/>
                    <w:spacing w:line="240" w:lineRule="auto"/>
                    <w:ind w:firstLineChars="0"/>
                    <w:jc w:val="left"/>
                    <w:rPr>
                      <w:rFonts w:hint="default" w:ascii="Times New Roman" w:hAnsi="Times New Roman" w:eastAsia="宋体" w:cs="Times New Roman"/>
                      <w:i w:val="0"/>
                      <w:iCs w:val="0"/>
                      <w:color w:val="auto"/>
                      <w:sz w:val="21"/>
                      <w:szCs w:val="21"/>
                      <w:u w:val="none"/>
                    </w:rPr>
                  </w:pPr>
                </w:p>
              </w:tc>
              <w:tc>
                <w:tcPr>
                  <w:tcW w:w="447" w:type="pct"/>
                  <w:vMerge w:val="continue"/>
                  <w:noWrap/>
                  <w:vAlign w:val="center"/>
                </w:tcPr>
                <w:p w14:paraId="5AF1001E">
                  <w:pPr>
                    <w:keepNext w:val="0"/>
                    <w:keepLines w:val="0"/>
                    <w:pageBreakBefore w:val="0"/>
                    <w:widowControl/>
                    <w:kinsoku/>
                    <w:wordWrap/>
                    <w:overflowPunct/>
                    <w:topLinePunct w:val="0"/>
                    <w:autoSpaceDE/>
                    <w:autoSpaceDN/>
                    <w:bidi w:val="0"/>
                    <w:adjustRightInd w:val="0"/>
                    <w:snapToGrid w:val="0"/>
                    <w:spacing w:line="240" w:lineRule="auto"/>
                    <w:ind w:firstLineChars="0"/>
                    <w:jc w:val="both"/>
                    <w:rPr>
                      <w:rFonts w:hint="default" w:ascii="Times New Roman" w:hAnsi="Times New Roman" w:eastAsia="宋体" w:cs="Times New Roman"/>
                      <w:i w:val="0"/>
                      <w:iCs w:val="0"/>
                      <w:color w:val="auto"/>
                      <w:sz w:val="21"/>
                      <w:szCs w:val="21"/>
                      <w:u w:val="none"/>
                    </w:rPr>
                  </w:pPr>
                </w:p>
              </w:tc>
              <w:tc>
                <w:tcPr>
                  <w:tcW w:w="394" w:type="pct"/>
                  <w:vMerge w:val="continue"/>
                  <w:noWrap/>
                  <w:vAlign w:val="center"/>
                </w:tcPr>
                <w:p w14:paraId="4639A686">
                  <w:pPr>
                    <w:keepNext w:val="0"/>
                    <w:keepLines w:val="0"/>
                    <w:pageBreakBefore w:val="0"/>
                    <w:widowControl/>
                    <w:kinsoku/>
                    <w:wordWrap/>
                    <w:overflowPunct/>
                    <w:topLinePunct w:val="0"/>
                    <w:autoSpaceDE/>
                    <w:autoSpaceDN/>
                    <w:bidi w:val="0"/>
                    <w:adjustRightInd w:val="0"/>
                    <w:snapToGrid w:val="0"/>
                    <w:spacing w:line="240" w:lineRule="auto"/>
                    <w:ind w:firstLineChars="0"/>
                    <w:jc w:val="both"/>
                    <w:rPr>
                      <w:rFonts w:hint="default" w:ascii="Times New Roman" w:hAnsi="Times New Roman" w:eastAsia="宋体" w:cs="Times New Roman"/>
                      <w:i w:val="0"/>
                      <w:iCs w:val="0"/>
                      <w:color w:val="auto"/>
                      <w:sz w:val="21"/>
                      <w:szCs w:val="21"/>
                      <w:u w:val="none"/>
                    </w:rPr>
                  </w:pPr>
                </w:p>
              </w:tc>
              <w:tc>
                <w:tcPr>
                  <w:tcW w:w="434" w:type="pct"/>
                  <w:noWrap/>
                  <w:vAlign w:val="center"/>
                </w:tcPr>
                <w:p w14:paraId="29D47A65">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i w:val="0"/>
                      <w:iCs w:val="0"/>
                      <w:color w:val="auto"/>
                      <w:sz w:val="21"/>
                      <w:szCs w:val="21"/>
                      <w:u w:val="none"/>
                    </w:rPr>
                  </w:pPr>
                  <w:r>
                    <w:rPr>
                      <w:rStyle w:val="96"/>
                      <w:rFonts w:hint="default" w:ascii="Times New Roman" w:hAnsi="Times New Roman" w:eastAsia="宋体" w:cs="Times New Roman"/>
                      <w:color w:val="auto"/>
                      <w:sz w:val="21"/>
                      <w:szCs w:val="21"/>
                      <w:lang w:val="en-US" w:eastAsia="zh-CN" w:bidi="ar"/>
                    </w:rPr>
                    <w:t>COD</w:t>
                  </w:r>
                </w:p>
              </w:tc>
              <w:tc>
                <w:tcPr>
                  <w:tcW w:w="754" w:type="pct"/>
                  <w:noWrap/>
                  <w:vAlign w:val="center"/>
                </w:tcPr>
                <w:p w14:paraId="379B2D59">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i w:val="0"/>
                      <w:iCs w:val="0"/>
                      <w:color w:val="auto"/>
                      <w:sz w:val="21"/>
                      <w:szCs w:val="21"/>
                      <w:u w:val="none"/>
                      <w:lang w:val="en-US"/>
                    </w:rPr>
                  </w:pPr>
                  <w:r>
                    <w:rPr>
                      <w:rStyle w:val="96"/>
                      <w:rFonts w:hint="eastAsia" w:ascii="Times New Roman" w:hAnsi="Times New Roman" w:eastAsia="宋体" w:cs="Times New Roman"/>
                      <w:color w:val="auto"/>
                      <w:sz w:val="21"/>
                      <w:szCs w:val="21"/>
                      <w:lang w:val="en-US" w:eastAsia="zh-CN" w:bidi="ar"/>
                    </w:rPr>
                    <w:t>500</w:t>
                  </w:r>
                </w:p>
              </w:tc>
            </w:tr>
            <w:tr w14:paraId="3954E7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54" w:type="pct"/>
                  <w:vMerge w:val="continue"/>
                  <w:noWrap/>
                  <w:vAlign w:val="center"/>
                </w:tcPr>
                <w:p w14:paraId="45DBB2A2">
                  <w:pPr>
                    <w:keepNext w:val="0"/>
                    <w:keepLines w:val="0"/>
                    <w:pageBreakBefore w:val="0"/>
                    <w:widowControl/>
                    <w:kinsoku/>
                    <w:wordWrap/>
                    <w:overflowPunct/>
                    <w:topLinePunct w:val="0"/>
                    <w:autoSpaceDE/>
                    <w:autoSpaceDN/>
                    <w:bidi w:val="0"/>
                    <w:adjustRightInd w:val="0"/>
                    <w:snapToGrid w:val="0"/>
                    <w:spacing w:line="240" w:lineRule="auto"/>
                    <w:ind w:firstLineChars="0"/>
                    <w:jc w:val="center"/>
                    <w:rPr>
                      <w:rFonts w:hint="default" w:ascii="Times New Roman" w:hAnsi="Times New Roman" w:eastAsia="宋体" w:cs="Times New Roman"/>
                      <w:i w:val="0"/>
                      <w:iCs w:val="0"/>
                      <w:color w:val="auto"/>
                      <w:sz w:val="21"/>
                      <w:szCs w:val="21"/>
                      <w:u w:val="none"/>
                    </w:rPr>
                  </w:pPr>
                </w:p>
              </w:tc>
              <w:tc>
                <w:tcPr>
                  <w:tcW w:w="421" w:type="pct"/>
                  <w:vMerge w:val="continue"/>
                  <w:noWrap w:val="0"/>
                  <w:vAlign w:val="center"/>
                </w:tcPr>
                <w:p w14:paraId="257ACDD0">
                  <w:pPr>
                    <w:keepNext w:val="0"/>
                    <w:keepLines w:val="0"/>
                    <w:pageBreakBefore w:val="0"/>
                    <w:widowControl/>
                    <w:kinsoku/>
                    <w:wordWrap/>
                    <w:overflowPunct/>
                    <w:topLinePunct w:val="0"/>
                    <w:autoSpaceDE/>
                    <w:autoSpaceDN/>
                    <w:bidi w:val="0"/>
                    <w:adjustRightInd w:val="0"/>
                    <w:snapToGrid w:val="0"/>
                    <w:spacing w:line="240" w:lineRule="auto"/>
                    <w:ind w:firstLineChars="0"/>
                    <w:jc w:val="left"/>
                    <w:rPr>
                      <w:rFonts w:hint="default" w:ascii="Times New Roman" w:hAnsi="Times New Roman" w:eastAsia="宋体" w:cs="Times New Roman"/>
                      <w:i w:val="0"/>
                      <w:iCs w:val="0"/>
                      <w:color w:val="auto"/>
                      <w:sz w:val="21"/>
                      <w:szCs w:val="21"/>
                      <w:u w:val="none"/>
                    </w:rPr>
                  </w:pPr>
                </w:p>
              </w:tc>
              <w:tc>
                <w:tcPr>
                  <w:tcW w:w="528" w:type="pct"/>
                  <w:vMerge w:val="continue"/>
                  <w:noWrap w:val="0"/>
                  <w:vAlign w:val="center"/>
                </w:tcPr>
                <w:p w14:paraId="6380246E">
                  <w:pPr>
                    <w:keepNext w:val="0"/>
                    <w:keepLines w:val="0"/>
                    <w:pageBreakBefore w:val="0"/>
                    <w:widowControl/>
                    <w:kinsoku/>
                    <w:wordWrap/>
                    <w:overflowPunct/>
                    <w:topLinePunct w:val="0"/>
                    <w:autoSpaceDE/>
                    <w:autoSpaceDN/>
                    <w:bidi w:val="0"/>
                    <w:adjustRightInd w:val="0"/>
                    <w:snapToGrid w:val="0"/>
                    <w:spacing w:line="240" w:lineRule="auto"/>
                    <w:ind w:firstLineChars="0"/>
                    <w:jc w:val="left"/>
                    <w:rPr>
                      <w:rFonts w:hint="default" w:ascii="Times New Roman" w:hAnsi="Times New Roman" w:eastAsia="宋体" w:cs="Times New Roman"/>
                      <w:i w:val="0"/>
                      <w:iCs w:val="0"/>
                      <w:color w:val="auto"/>
                      <w:sz w:val="21"/>
                      <w:szCs w:val="21"/>
                      <w:u w:val="none"/>
                    </w:rPr>
                  </w:pPr>
                </w:p>
              </w:tc>
              <w:tc>
                <w:tcPr>
                  <w:tcW w:w="501" w:type="pct"/>
                  <w:vMerge w:val="continue"/>
                  <w:noWrap w:val="0"/>
                  <w:vAlign w:val="center"/>
                </w:tcPr>
                <w:p w14:paraId="5C71020D">
                  <w:pPr>
                    <w:keepNext w:val="0"/>
                    <w:keepLines w:val="0"/>
                    <w:pageBreakBefore w:val="0"/>
                    <w:widowControl/>
                    <w:kinsoku/>
                    <w:wordWrap/>
                    <w:overflowPunct/>
                    <w:topLinePunct w:val="0"/>
                    <w:autoSpaceDE/>
                    <w:autoSpaceDN/>
                    <w:bidi w:val="0"/>
                    <w:adjustRightInd w:val="0"/>
                    <w:snapToGrid w:val="0"/>
                    <w:spacing w:line="240" w:lineRule="auto"/>
                    <w:ind w:firstLineChars="0"/>
                    <w:jc w:val="left"/>
                    <w:rPr>
                      <w:rFonts w:hint="default" w:ascii="Times New Roman" w:hAnsi="Times New Roman" w:eastAsia="宋体" w:cs="Times New Roman"/>
                      <w:i w:val="0"/>
                      <w:iCs w:val="0"/>
                      <w:color w:val="auto"/>
                      <w:sz w:val="21"/>
                      <w:szCs w:val="21"/>
                      <w:u w:val="none"/>
                    </w:rPr>
                  </w:pPr>
                </w:p>
              </w:tc>
              <w:tc>
                <w:tcPr>
                  <w:tcW w:w="510" w:type="pct"/>
                  <w:vMerge w:val="continue"/>
                  <w:noWrap w:val="0"/>
                  <w:vAlign w:val="center"/>
                </w:tcPr>
                <w:p w14:paraId="2ED41D5F">
                  <w:pPr>
                    <w:keepNext w:val="0"/>
                    <w:keepLines w:val="0"/>
                    <w:pageBreakBefore w:val="0"/>
                    <w:widowControl/>
                    <w:kinsoku/>
                    <w:wordWrap/>
                    <w:overflowPunct/>
                    <w:topLinePunct w:val="0"/>
                    <w:autoSpaceDE/>
                    <w:autoSpaceDN/>
                    <w:bidi w:val="0"/>
                    <w:adjustRightInd w:val="0"/>
                    <w:snapToGrid w:val="0"/>
                    <w:spacing w:line="240" w:lineRule="auto"/>
                    <w:ind w:firstLineChars="0"/>
                    <w:jc w:val="both"/>
                    <w:rPr>
                      <w:rFonts w:hint="default" w:ascii="Times New Roman" w:hAnsi="Times New Roman" w:eastAsia="宋体" w:cs="Times New Roman"/>
                      <w:i w:val="0"/>
                      <w:iCs w:val="0"/>
                      <w:color w:val="auto"/>
                      <w:sz w:val="21"/>
                      <w:szCs w:val="21"/>
                      <w:u w:val="none"/>
                    </w:rPr>
                  </w:pPr>
                </w:p>
              </w:tc>
              <w:tc>
                <w:tcPr>
                  <w:tcW w:w="411" w:type="pct"/>
                  <w:vMerge w:val="continue"/>
                  <w:noWrap w:val="0"/>
                  <w:vAlign w:val="center"/>
                </w:tcPr>
                <w:p w14:paraId="2E8CAC46">
                  <w:pPr>
                    <w:keepNext w:val="0"/>
                    <w:keepLines w:val="0"/>
                    <w:pageBreakBefore w:val="0"/>
                    <w:widowControl/>
                    <w:kinsoku/>
                    <w:wordWrap/>
                    <w:overflowPunct/>
                    <w:topLinePunct w:val="0"/>
                    <w:autoSpaceDE/>
                    <w:autoSpaceDN/>
                    <w:bidi w:val="0"/>
                    <w:adjustRightInd w:val="0"/>
                    <w:snapToGrid w:val="0"/>
                    <w:spacing w:line="240" w:lineRule="auto"/>
                    <w:ind w:firstLineChars="0"/>
                    <w:jc w:val="center"/>
                    <w:rPr>
                      <w:rFonts w:hint="default" w:ascii="Times New Roman" w:hAnsi="Times New Roman" w:eastAsia="宋体" w:cs="Times New Roman"/>
                      <w:i w:val="0"/>
                      <w:iCs w:val="0"/>
                      <w:color w:val="auto"/>
                      <w:sz w:val="21"/>
                      <w:szCs w:val="21"/>
                      <w:u w:val="none"/>
                    </w:rPr>
                  </w:pPr>
                </w:p>
              </w:tc>
              <w:tc>
                <w:tcPr>
                  <w:tcW w:w="340" w:type="pct"/>
                  <w:vMerge w:val="continue"/>
                  <w:noWrap/>
                  <w:vAlign w:val="center"/>
                </w:tcPr>
                <w:p w14:paraId="42FECDA6">
                  <w:pPr>
                    <w:keepNext w:val="0"/>
                    <w:keepLines w:val="0"/>
                    <w:pageBreakBefore w:val="0"/>
                    <w:widowControl/>
                    <w:kinsoku/>
                    <w:wordWrap/>
                    <w:overflowPunct/>
                    <w:topLinePunct w:val="0"/>
                    <w:autoSpaceDE/>
                    <w:autoSpaceDN/>
                    <w:bidi w:val="0"/>
                    <w:adjustRightInd w:val="0"/>
                    <w:snapToGrid w:val="0"/>
                    <w:spacing w:line="240" w:lineRule="auto"/>
                    <w:ind w:firstLineChars="0"/>
                    <w:jc w:val="left"/>
                    <w:rPr>
                      <w:rFonts w:hint="default" w:ascii="Times New Roman" w:hAnsi="Times New Roman" w:eastAsia="宋体" w:cs="Times New Roman"/>
                      <w:i w:val="0"/>
                      <w:iCs w:val="0"/>
                      <w:color w:val="auto"/>
                      <w:sz w:val="21"/>
                      <w:szCs w:val="21"/>
                      <w:u w:val="none"/>
                    </w:rPr>
                  </w:pPr>
                </w:p>
              </w:tc>
              <w:tc>
                <w:tcPr>
                  <w:tcW w:w="447" w:type="pct"/>
                  <w:vMerge w:val="continue"/>
                  <w:noWrap/>
                  <w:vAlign w:val="center"/>
                </w:tcPr>
                <w:p w14:paraId="64AAE213">
                  <w:pPr>
                    <w:keepNext w:val="0"/>
                    <w:keepLines w:val="0"/>
                    <w:pageBreakBefore w:val="0"/>
                    <w:widowControl/>
                    <w:kinsoku/>
                    <w:wordWrap/>
                    <w:overflowPunct/>
                    <w:topLinePunct w:val="0"/>
                    <w:autoSpaceDE/>
                    <w:autoSpaceDN/>
                    <w:bidi w:val="0"/>
                    <w:adjustRightInd w:val="0"/>
                    <w:snapToGrid w:val="0"/>
                    <w:spacing w:line="240" w:lineRule="auto"/>
                    <w:ind w:firstLineChars="0"/>
                    <w:jc w:val="both"/>
                    <w:rPr>
                      <w:rFonts w:hint="default" w:ascii="Times New Roman" w:hAnsi="Times New Roman" w:eastAsia="宋体" w:cs="Times New Roman"/>
                      <w:i w:val="0"/>
                      <w:iCs w:val="0"/>
                      <w:color w:val="auto"/>
                      <w:sz w:val="21"/>
                      <w:szCs w:val="21"/>
                      <w:u w:val="none"/>
                    </w:rPr>
                  </w:pPr>
                </w:p>
              </w:tc>
              <w:tc>
                <w:tcPr>
                  <w:tcW w:w="394" w:type="pct"/>
                  <w:vMerge w:val="continue"/>
                  <w:noWrap/>
                  <w:vAlign w:val="center"/>
                </w:tcPr>
                <w:p w14:paraId="4BA8A045">
                  <w:pPr>
                    <w:keepNext w:val="0"/>
                    <w:keepLines w:val="0"/>
                    <w:pageBreakBefore w:val="0"/>
                    <w:widowControl/>
                    <w:kinsoku/>
                    <w:wordWrap/>
                    <w:overflowPunct/>
                    <w:topLinePunct w:val="0"/>
                    <w:autoSpaceDE/>
                    <w:autoSpaceDN/>
                    <w:bidi w:val="0"/>
                    <w:adjustRightInd w:val="0"/>
                    <w:snapToGrid w:val="0"/>
                    <w:spacing w:line="240" w:lineRule="auto"/>
                    <w:ind w:firstLineChars="0"/>
                    <w:jc w:val="both"/>
                    <w:rPr>
                      <w:rFonts w:hint="default" w:ascii="Times New Roman" w:hAnsi="Times New Roman" w:eastAsia="宋体" w:cs="Times New Roman"/>
                      <w:i w:val="0"/>
                      <w:iCs w:val="0"/>
                      <w:color w:val="auto"/>
                      <w:sz w:val="21"/>
                      <w:szCs w:val="21"/>
                      <w:u w:val="none"/>
                    </w:rPr>
                  </w:pPr>
                </w:p>
              </w:tc>
              <w:tc>
                <w:tcPr>
                  <w:tcW w:w="434" w:type="pct"/>
                  <w:noWrap/>
                  <w:vAlign w:val="center"/>
                </w:tcPr>
                <w:p w14:paraId="1CA5A18C">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SS</w:t>
                  </w:r>
                </w:p>
              </w:tc>
              <w:tc>
                <w:tcPr>
                  <w:tcW w:w="754" w:type="pct"/>
                  <w:noWrap/>
                  <w:vAlign w:val="center"/>
                </w:tcPr>
                <w:p w14:paraId="0807ECE3">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top"/>
                    <w:rPr>
                      <w:rFonts w:hint="default" w:ascii="Times New Roman" w:hAnsi="Times New Roman" w:eastAsia="宋体" w:cs="Times New Roman"/>
                      <w:i w:val="0"/>
                      <w:iCs w:val="0"/>
                      <w:color w:val="auto"/>
                      <w:sz w:val="21"/>
                      <w:szCs w:val="21"/>
                      <w:u w:val="none"/>
                      <w:lang w:val="en-US"/>
                    </w:rPr>
                  </w:pPr>
                  <w:r>
                    <w:rPr>
                      <w:rStyle w:val="96"/>
                      <w:rFonts w:hint="eastAsia" w:ascii="Times New Roman" w:hAnsi="Times New Roman" w:eastAsia="宋体" w:cs="Times New Roman"/>
                      <w:color w:val="auto"/>
                      <w:sz w:val="21"/>
                      <w:szCs w:val="21"/>
                      <w:lang w:val="en-US" w:eastAsia="zh-CN" w:bidi="ar"/>
                    </w:rPr>
                    <w:t>400</w:t>
                  </w:r>
                </w:p>
              </w:tc>
            </w:tr>
            <w:tr w14:paraId="6C1F89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54" w:type="pct"/>
                  <w:vMerge w:val="continue"/>
                  <w:noWrap/>
                  <w:vAlign w:val="center"/>
                </w:tcPr>
                <w:p w14:paraId="00CB0F6C">
                  <w:pPr>
                    <w:keepNext w:val="0"/>
                    <w:keepLines w:val="0"/>
                    <w:pageBreakBefore w:val="0"/>
                    <w:widowControl/>
                    <w:kinsoku/>
                    <w:wordWrap/>
                    <w:overflowPunct/>
                    <w:topLinePunct w:val="0"/>
                    <w:autoSpaceDE/>
                    <w:autoSpaceDN/>
                    <w:bidi w:val="0"/>
                    <w:adjustRightInd w:val="0"/>
                    <w:snapToGrid w:val="0"/>
                    <w:spacing w:line="240" w:lineRule="auto"/>
                    <w:ind w:firstLineChars="0"/>
                    <w:jc w:val="center"/>
                    <w:rPr>
                      <w:rFonts w:hint="default" w:ascii="Times New Roman" w:hAnsi="Times New Roman" w:eastAsia="宋体" w:cs="Times New Roman"/>
                      <w:i w:val="0"/>
                      <w:iCs w:val="0"/>
                      <w:color w:val="auto"/>
                      <w:sz w:val="21"/>
                      <w:szCs w:val="21"/>
                      <w:u w:val="none"/>
                    </w:rPr>
                  </w:pPr>
                </w:p>
              </w:tc>
              <w:tc>
                <w:tcPr>
                  <w:tcW w:w="421" w:type="pct"/>
                  <w:vMerge w:val="continue"/>
                  <w:noWrap w:val="0"/>
                  <w:vAlign w:val="center"/>
                </w:tcPr>
                <w:p w14:paraId="371C6F40">
                  <w:pPr>
                    <w:keepNext w:val="0"/>
                    <w:keepLines w:val="0"/>
                    <w:pageBreakBefore w:val="0"/>
                    <w:widowControl/>
                    <w:kinsoku/>
                    <w:wordWrap/>
                    <w:overflowPunct/>
                    <w:topLinePunct w:val="0"/>
                    <w:autoSpaceDE/>
                    <w:autoSpaceDN/>
                    <w:bidi w:val="0"/>
                    <w:adjustRightInd w:val="0"/>
                    <w:snapToGrid w:val="0"/>
                    <w:spacing w:line="240" w:lineRule="auto"/>
                    <w:ind w:firstLineChars="0"/>
                    <w:jc w:val="left"/>
                    <w:rPr>
                      <w:rFonts w:hint="default" w:ascii="Times New Roman" w:hAnsi="Times New Roman" w:eastAsia="宋体" w:cs="Times New Roman"/>
                      <w:i w:val="0"/>
                      <w:iCs w:val="0"/>
                      <w:color w:val="auto"/>
                      <w:sz w:val="21"/>
                      <w:szCs w:val="21"/>
                      <w:u w:val="none"/>
                    </w:rPr>
                  </w:pPr>
                </w:p>
              </w:tc>
              <w:tc>
                <w:tcPr>
                  <w:tcW w:w="528" w:type="pct"/>
                  <w:vMerge w:val="continue"/>
                  <w:noWrap w:val="0"/>
                  <w:vAlign w:val="center"/>
                </w:tcPr>
                <w:p w14:paraId="0F187E0A">
                  <w:pPr>
                    <w:keepNext w:val="0"/>
                    <w:keepLines w:val="0"/>
                    <w:pageBreakBefore w:val="0"/>
                    <w:widowControl/>
                    <w:kinsoku/>
                    <w:wordWrap/>
                    <w:overflowPunct/>
                    <w:topLinePunct w:val="0"/>
                    <w:autoSpaceDE/>
                    <w:autoSpaceDN/>
                    <w:bidi w:val="0"/>
                    <w:adjustRightInd w:val="0"/>
                    <w:snapToGrid w:val="0"/>
                    <w:spacing w:line="240" w:lineRule="auto"/>
                    <w:ind w:firstLineChars="0"/>
                    <w:jc w:val="left"/>
                    <w:rPr>
                      <w:rFonts w:hint="default" w:ascii="Times New Roman" w:hAnsi="Times New Roman" w:eastAsia="宋体" w:cs="Times New Roman"/>
                      <w:i w:val="0"/>
                      <w:iCs w:val="0"/>
                      <w:color w:val="auto"/>
                      <w:sz w:val="21"/>
                      <w:szCs w:val="21"/>
                      <w:u w:val="none"/>
                    </w:rPr>
                  </w:pPr>
                </w:p>
              </w:tc>
              <w:tc>
                <w:tcPr>
                  <w:tcW w:w="501" w:type="pct"/>
                  <w:vMerge w:val="continue"/>
                  <w:noWrap w:val="0"/>
                  <w:vAlign w:val="center"/>
                </w:tcPr>
                <w:p w14:paraId="58AE2890">
                  <w:pPr>
                    <w:keepNext w:val="0"/>
                    <w:keepLines w:val="0"/>
                    <w:pageBreakBefore w:val="0"/>
                    <w:widowControl/>
                    <w:kinsoku/>
                    <w:wordWrap/>
                    <w:overflowPunct/>
                    <w:topLinePunct w:val="0"/>
                    <w:autoSpaceDE/>
                    <w:autoSpaceDN/>
                    <w:bidi w:val="0"/>
                    <w:adjustRightInd w:val="0"/>
                    <w:snapToGrid w:val="0"/>
                    <w:spacing w:line="240" w:lineRule="auto"/>
                    <w:ind w:firstLineChars="0"/>
                    <w:jc w:val="left"/>
                    <w:rPr>
                      <w:rFonts w:hint="default" w:ascii="Times New Roman" w:hAnsi="Times New Roman" w:eastAsia="宋体" w:cs="Times New Roman"/>
                      <w:i w:val="0"/>
                      <w:iCs w:val="0"/>
                      <w:color w:val="auto"/>
                      <w:sz w:val="21"/>
                      <w:szCs w:val="21"/>
                      <w:u w:val="none"/>
                    </w:rPr>
                  </w:pPr>
                </w:p>
              </w:tc>
              <w:tc>
                <w:tcPr>
                  <w:tcW w:w="510" w:type="pct"/>
                  <w:vMerge w:val="continue"/>
                  <w:noWrap w:val="0"/>
                  <w:vAlign w:val="center"/>
                </w:tcPr>
                <w:p w14:paraId="08E92879">
                  <w:pPr>
                    <w:keepNext w:val="0"/>
                    <w:keepLines w:val="0"/>
                    <w:pageBreakBefore w:val="0"/>
                    <w:widowControl/>
                    <w:kinsoku/>
                    <w:wordWrap/>
                    <w:overflowPunct/>
                    <w:topLinePunct w:val="0"/>
                    <w:autoSpaceDE/>
                    <w:autoSpaceDN/>
                    <w:bidi w:val="0"/>
                    <w:adjustRightInd w:val="0"/>
                    <w:snapToGrid w:val="0"/>
                    <w:spacing w:line="240" w:lineRule="auto"/>
                    <w:ind w:firstLineChars="0"/>
                    <w:jc w:val="both"/>
                    <w:rPr>
                      <w:rFonts w:hint="default" w:ascii="Times New Roman" w:hAnsi="Times New Roman" w:eastAsia="宋体" w:cs="Times New Roman"/>
                      <w:i w:val="0"/>
                      <w:iCs w:val="0"/>
                      <w:color w:val="auto"/>
                      <w:sz w:val="21"/>
                      <w:szCs w:val="21"/>
                      <w:u w:val="none"/>
                    </w:rPr>
                  </w:pPr>
                </w:p>
              </w:tc>
              <w:tc>
                <w:tcPr>
                  <w:tcW w:w="411" w:type="pct"/>
                  <w:vMerge w:val="continue"/>
                  <w:noWrap w:val="0"/>
                  <w:vAlign w:val="center"/>
                </w:tcPr>
                <w:p w14:paraId="2698A299">
                  <w:pPr>
                    <w:keepNext w:val="0"/>
                    <w:keepLines w:val="0"/>
                    <w:pageBreakBefore w:val="0"/>
                    <w:widowControl/>
                    <w:kinsoku/>
                    <w:wordWrap/>
                    <w:overflowPunct/>
                    <w:topLinePunct w:val="0"/>
                    <w:autoSpaceDE/>
                    <w:autoSpaceDN/>
                    <w:bidi w:val="0"/>
                    <w:adjustRightInd w:val="0"/>
                    <w:snapToGrid w:val="0"/>
                    <w:spacing w:line="240" w:lineRule="auto"/>
                    <w:ind w:firstLineChars="0"/>
                    <w:jc w:val="center"/>
                    <w:rPr>
                      <w:rFonts w:hint="default" w:ascii="Times New Roman" w:hAnsi="Times New Roman" w:eastAsia="宋体" w:cs="Times New Roman"/>
                      <w:i w:val="0"/>
                      <w:iCs w:val="0"/>
                      <w:color w:val="auto"/>
                      <w:sz w:val="21"/>
                      <w:szCs w:val="21"/>
                      <w:u w:val="none"/>
                    </w:rPr>
                  </w:pPr>
                </w:p>
              </w:tc>
              <w:tc>
                <w:tcPr>
                  <w:tcW w:w="340" w:type="pct"/>
                  <w:vMerge w:val="continue"/>
                  <w:noWrap/>
                  <w:vAlign w:val="center"/>
                </w:tcPr>
                <w:p w14:paraId="6928E633">
                  <w:pPr>
                    <w:keepNext w:val="0"/>
                    <w:keepLines w:val="0"/>
                    <w:pageBreakBefore w:val="0"/>
                    <w:widowControl/>
                    <w:kinsoku/>
                    <w:wordWrap/>
                    <w:overflowPunct/>
                    <w:topLinePunct w:val="0"/>
                    <w:autoSpaceDE/>
                    <w:autoSpaceDN/>
                    <w:bidi w:val="0"/>
                    <w:adjustRightInd w:val="0"/>
                    <w:snapToGrid w:val="0"/>
                    <w:spacing w:line="240" w:lineRule="auto"/>
                    <w:ind w:firstLineChars="0"/>
                    <w:jc w:val="left"/>
                    <w:rPr>
                      <w:rFonts w:hint="default" w:ascii="Times New Roman" w:hAnsi="Times New Roman" w:eastAsia="宋体" w:cs="Times New Roman"/>
                      <w:i w:val="0"/>
                      <w:iCs w:val="0"/>
                      <w:color w:val="auto"/>
                      <w:sz w:val="21"/>
                      <w:szCs w:val="21"/>
                      <w:u w:val="none"/>
                    </w:rPr>
                  </w:pPr>
                </w:p>
              </w:tc>
              <w:tc>
                <w:tcPr>
                  <w:tcW w:w="447" w:type="pct"/>
                  <w:vMerge w:val="continue"/>
                  <w:noWrap/>
                  <w:vAlign w:val="center"/>
                </w:tcPr>
                <w:p w14:paraId="45CFE8CB">
                  <w:pPr>
                    <w:keepNext w:val="0"/>
                    <w:keepLines w:val="0"/>
                    <w:pageBreakBefore w:val="0"/>
                    <w:widowControl/>
                    <w:kinsoku/>
                    <w:wordWrap/>
                    <w:overflowPunct/>
                    <w:topLinePunct w:val="0"/>
                    <w:autoSpaceDE/>
                    <w:autoSpaceDN/>
                    <w:bidi w:val="0"/>
                    <w:adjustRightInd w:val="0"/>
                    <w:snapToGrid w:val="0"/>
                    <w:spacing w:line="240" w:lineRule="auto"/>
                    <w:ind w:firstLineChars="0"/>
                    <w:jc w:val="both"/>
                    <w:rPr>
                      <w:rFonts w:hint="default" w:ascii="Times New Roman" w:hAnsi="Times New Roman" w:eastAsia="宋体" w:cs="Times New Roman"/>
                      <w:i w:val="0"/>
                      <w:iCs w:val="0"/>
                      <w:color w:val="auto"/>
                      <w:sz w:val="21"/>
                      <w:szCs w:val="21"/>
                      <w:u w:val="none"/>
                    </w:rPr>
                  </w:pPr>
                </w:p>
              </w:tc>
              <w:tc>
                <w:tcPr>
                  <w:tcW w:w="394" w:type="pct"/>
                  <w:vMerge w:val="continue"/>
                  <w:noWrap/>
                  <w:vAlign w:val="center"/>
                </w:tcPr>
                <w:p w14:paraId="32901121">
                  <w:pPr>
                    <w:keepNext w:val="0"/>
                    <w:keepLines w:val="0"/>
                    <w:pageBreakBefore w:val="0"/>
                    <w:widowControl/>
                    <w:kinsoku/>
                    <w:wordWrap/>
                    <w:overflowPunct/>
                    <w:topLinePunct w:val="0"/>
                    <w:autoSpaceDE/>
                    <w:autoSpaceDN/>
                    <w:bidi w:val="0"/>
                    <w:adjustRightInd w:val="0"/>
                    <w:snapToGrid w:val="0"/>
                    <w:spacing w:line="240" w:lineRule="auto"/>
                    <w:ind w:firstLineChars="0"/>
                    <w:jc w:val="both"/>
                    <w:rPr>
                      <w:rFonts w:hint="default" w:ascii="Times New Roman" w:hAnsi="Times New Roman" w:eastAsia="宋体" w:cs="Times New Roman"/>
                      <w:i w:val="0"/>
                      <w:iCs w:val="0"/>
                      <w:color w:val="auto"/>
                      <w:sz w:val="21"/>
                      <w:szCs w:val="21"/>
                      <w:u w:val="none"/>
                    </w:rPr>
                  </w:pPr>
                </w:p>
              </w:tc>
              <w:tc>
                <w:tcPr>
                  <w:tcW w:w="434" w:type="pct"/>
                  <w:noWrap/>
                  <w:vAlign w:val="center"/>
                </w:tcPr>
                <w:p w14:paraId="4D508CCB">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bottom"/>
                    <w:rPr>
                      <w:rFonts w:hint="default" w:ascii="Times New Roman" w:hAnsi="Times New Roman" w:eastAsia="宋体" w:cs="Times New Roman"/>
                      <w:i w:val="0"/>
                      <w:iCs w:val="0"/>
                      <w:color w:val="auto"/>
                      <w:sz w:val="21"/>
                      <w:szCs w:val="21"/>
                      <w:u w:val="none"/>
                    </w:rPr>
                  </w:pPr>
                  <w:r>
                    <w:rPr>
                      <w:rStyle w:val="96"/>
                      <w:rFonts w:hint="eastAsia" w:ascii="Times New Roman" w:hAnsi="Times New Roman" w:eastAsia="宋体" w:cs="Times New Roman"/>
                      <w:color w:val="auto"/>
                      <w:sz w:val="21"/>
                      <w:szCs w:val="21"/>
                      <w:lang w:val="en-US" w:eastAsia="zh-CN" w:bidi="ar"/>
                    </w:rPr>
                    <w:t>氨氮</w:t>
                  </w:r>
                </w:p>
              </w:tc>
              <w:tc>
                <w:tcPr>
                  <w:tcW w:w="754" w:type="pct"/>
                  <w:noWrap/>
                  <w:vAlign w:val="center"/>
                </w:tcPr>
                <w:p w14:paraId="18B38667">
                  <w:pPr>
                    <w:keepNext w:val="0"/>
                    <w:keepLines w:val="0"/>
                    <w:pageBreakBefore w:val="0"/>
                    <w:widowControl/>
                    <w:suppressLineNumbers w:val="0"/>
                    <w:kinsoku/>
                    <w:wordWrap/>
                    <w:overflowPunct/>
                    <w:topLinePunct w:val="0"/>
                    <w:autoSpaceDE/>
                    <w:autoSpaceDN/>
                    <w:bidi w:val="0"/>
                    <w:adjustRightInd w:val="0"/>
                    <w:snapToGrid w:val="0"/>
                    <w:spacing w:line="240" w:lineRule="auto"/>
                    <w:ind w:firstLineChars="0"/>
                    <w:jc w:val="center"/>
                    <w:textAlignment w:val="bottom"/>
                    <w:rPr>
                      <w:rFonts w:hint="default" w:ascii="Times New Roman" w:hAnsi="Times New Roman" w:eastAsia="宋体" w:cs="Times New Roman"/>
                      <w:i w:val="0"/>
                      <w:iCs w:val="0"/>
                      <w:color w:val="auto"/>
                      <w:sz w:val="21"/>
                      <w:szCs w:val="21"/>
                      <w:u w:val="none"/>
                      <w:lang w:val="en-US" w:eastAsia="zh-CN"/>
                    </w:rPr>
                  </w:pPr>
                  <w:r>
                    <w:rPr>
                      <w:rFonts w:hint="eastAsia" w:cs="Times New Roman"/>
                      <w:i w:val="0"/>
                      <w:iCs w:val="0"/>
                      <w:color w:val="FF0000"/>
                      <w:sz w:val="21"/>
                      <w:szCs w:val="21"/>
                      <w:u w:val="none"/>
                      <w:lang w:val="en-US" w:eastAsia="zh-CN"/>
                    </w:rPr>
                    <w:t>45</w:t>
                  </w:r>
                </w:p>
              </w:tc>
            </w:tr>
          </w:tbl>
          <w:p w14:paraId="09F1EF63">
            <w:pPr>
              <w:pStyle w:val="71"/>
              <w:snapToGrid w:val="0"/>
              <w:spacing w:line="360" w:lineRule="auto"/>
              <w:rPr>
                <w:rFonts w:hint="default"/>
                <w:b/>
                <w:bCs/>
                <w:color w:val="auto"/>
                <w:sz w:val="24"/>
                <w:szCs w:val="24"/>
                <w:lang w:val="en-US" w:eastAsia="zh-CN"/>
              </w:rPr>
            </w:pPr>
            <w:r>
              <w:rPr>
                <w:rFonts w:hint="eastAsia"/>
                <w:b/>
                <w:bCs/>
                <w:color w:val="auto"/>
                <w:sz w:val="24"/>
                <w:szCs w:val="24"/>
                <w:lang w:val="en-US" w:eastAsia="zh-CN"/>
              </w:rPr>
              <w:t>2.5废水监测计划</w:t>
            </w:r>
          </w:p>
          <w:p w14:paraId="3A9A7D22">
            <w:pPr>
              <w:adjustRightInd w:val="0"/>
              <w:snapToGrid w:val="0"/>
              <w:spacing w:line="360" w:lineRule="auto"/>
              <w:ind w:firstLine="480" w:firstLineChars="200"/>
              <w:rPr>
                <w:rFonts w:hint="default"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根据</w:t>
            </w:r>
            <w:r>
              <w:rPr>
                <w:rFonts w:hint="eastAsia"/>
                <w:color w:val="auto"/>
                <w:sz w:val="24"/>
                <w:lang w:val="en-US" w:eastAsia="zh-CN"/>
              </w:rPr>
              <w:t>《排污单位自行监测技术指南 总则》</w:t>
            </w:r>
            <w:r>
              <w:rPr>
                <w:rFonts w:hint="default"/>
                <w:color w:val="auto"/>
                <w:sz w:val="24"/>
              </w:rPr>
              <w:fldChar w:fldCharType="begin"/>
            </w:r>
            <w:r>
              <w:rPr>
                <w:rFonts w:hint="default"/>
                <w:color w:val="auto"/>
                <w:sz w:val="24"/>
              </w:rPr>
              <w:instrText xml:space="preserve"> HYPERLINK "https://sthj.ln.gov.cn/sthj/attachDir/2024/01/2024010610192398063.pdf" </w:instrText>
            </w:r>
            <w:r>
              <w:rPr>
                <w:rFonts w:hint="default"/>
                <w:color w:val="auto"/>
                <w:sz w:val="24"/>
              </w:rPr>
              <w:fldChar w:fldCharType="separate"/>
            </w:r>
            <w:r>
              <w:rPr>
                <w:rFonts w:hint="default"/>
                <w:color w:val="auto"/>
                <w:sz w:val="24"/>
              </w:rPr>
              <w:t>（HJ</w:t>
            </w:r>
            <w:r>
              <w:rPr>
                <w:rFonts w:hint="eastAsia"/>
                <w:color w:val="auto"/>
                <w:sz w:val="24"/>
                <w:lang w:val="en-US" w:eastAsia="zh-CN"/>
              </w:rPr>
              <w:t>819</w:t>
            </w:r>
            <w:r>
              <w:rPr>
                <w:rFonts w:hint="default"/>
                <w:color w:val="auto"/>
                <w:sz w:val="24"/>
              </w:rPr>
              <w:t>—201</w:t>
            </w:r>
            <w:r>
              <w:rPr>
                <w:rFonts w:hint="eastAsia"/>
                <w:color w:val="auto"/>
                <w:sz w:val="24"/>
                <w:lang w:val="en-US" w:eastAsia="zh-CN"/>
              </w:rPr>
              <w:t>7</w:t>
            </w:r>
            <w:r>
              <w:rPr>
                <w:rFonts w:hint="default"/>
                <w:color w:val="auto"/>
                <w:sz w:val="24"/>
              </w:rPr>
              <w:fldChar w:fldCharType="end"/>
            </w:r>
            <w:r>
              <w:rPr>
                <w:rFonts w:hint="eastAsia"/>
                <w:color w:val="auto"/>
                <w:sz w:val="24"/>
              </w:rPr>
              <w:t>）</w:t>
            </w:r>
            <w:r>
              <w:rPr>
                <w:rFonts w:hint="default" w:ascii="Times New Roman" w:hAnsi="Times New Roman" w:eastAsia="宋体" w:cs="Times New Roman"/>
                <w:color w:val="auto"/>
                <w:sz w:val="24"/>
                <w:lang w:val="en-US" w:eastAsia="zh-CN"/>
              </w:rPr>
              <w:t>对项目废水接管口主要水污染物定期进行监测，并在接管口附近醒目处设置环境保护图形标志牌。环境监测计划及记录信息见表4-</w:t>
            </w:r>
            <w:r>
              <w:rPr>
                <w:rFonts w:hint="eastAsia" w:cs="Times New Roman"/>
                <w:color w:val="auto"/>
                <w:sz w:val="24"/>
                <w:lang w:val="en-US" w:eastAsia="zh-CN"/>
              </w:rPr>
              <w:t>8</w:t>
            </w:r>
            <w:r>
              <w:rPr>
                <w:rFonts w:hint="default" w:ascii="Times New Roman" w:hAnsi="Times New Roman" w:eastAsia="宋体" w:cs="Times New Roman"/>
                <w:color w:val="auto"/>
                <w:sz w:val="24"/>
                <w:lang w:val="en-US" w:eastAsia="zh-CN"/>
              </w:rPr>
              <w:t>。</w:t>
            </w:r>
          </w:p>
          <w:p w14:paraId="3D5A7E9D">
            <w:pPr>
              <w:pStyle w:val="19"/>
              <w:adjustRightInd w:val="0"/>
              <w:jc w:val="center"/>
              <w:rPr>
                <w:rFonts w:hint="eastAsia" w:ascii="Times New Roman" w:hAnsi="Times New Roman" w:eastAsia="宋体" w:cs="Times New Roman"/>
                <w:b/>
                <w:color w:val="auto"/>
                <w:sz w:val="21"/>
                <w:szCs w:val="21"/>
                <w:lang w:val="en-US" w:eastAsia="zh-CN"/>
              </w:rPr>
            </w:pPr>
            <w:r>
              <w:rPr>
                <w:rFonts w:hint="eastAsia" w:ascii="Times New Roman" w:hAnsi="Times New Roman" w:eastAsia="宋体" w:cs="Times New Roman"/>
                <w:b/>
                <w:color w:val="auto"/>
                <w:sz w:val="21"/>
                <w:szCs w:val="21"/>
                <w:lang w:val="en-US" w:eastAsia="zh-CN"/>
              </w:rPr>
              <w:t>表4-</w:t>
            </w:r>
            <w:r>
              <w:rPr>
                <w:rFonts w:hint="eastAsia" w:cs="Times New Roman"/>
                <w:b/>
                <w:color w:val="auto"/>
                <w:sz w:val="21"/>
                <w:szCs w:val="21"/>
                <w:lang w:val="en-US" w:eastAsia="zh-CN"/>
              </w:rPr>
              <w:t>8</w:t>
            </w:r>
            <w:r>
              <w:rPr>
                <w:rFonts w:hint="eastAsia" w:ascii="Times New Roman" w:hAnsi="Times New Roman" w:eastAsia="宋体" w:cs="Times New Roman"/>
                <w:b/>
                <w:color w:val="auto"/>
                <w:sz w:val="21"/>
                <w:szCs w:val="21"/>
                <w:lang w:val="en-US" w:eastAsia="zh-CN"/>
              </w:rPr>
              <w:t xml:space="preserve">  水污染源监测计划表</w:t>
            </w:r>
          </w:p>
          <w:tbl>
            <w:tblPr>
              <w:tblStyle w:val="28"/>
              <w:tblW w:w="828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105"/>
              <w:gridCol w:w="1199"/>
              <w:gridCol w:w="1576"/>
              <w:gridCol w:w="1292"/>
              <w:gridCol w:w="3117"/>
            </w:tblGrid>
            <w:tr w14:paraId="400CE1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5" w:hRule="atLeast"/>
                <w:jc w:val="center"/>
              </w:trPr>
              <w:tc>
                <w:tcPr>
                  <w:tcW w:w="666" w:type="pct"/>
                  <w:noWrap w:val="0"/>
                  <w:vAlign w:val="center"/>
                </w:tcPr>
                <w:p w14:paraId="5F6185A2">
                  <w:pPr>
                    <w:pStyle w:val="98"/>
                    <w:keepNext w:val="0"/>
                    <w:keepLines w:val="0"/>
                    <w:widowControl/>
                    <w:suppressLineNumbers w:val="0"/>
                    <w:spacing w:before="0" w:beforeAutospacing="0" w:after="0" w:afterAutospacing="0" w:line="300" w:lineRule="exact"/>
                    <w:ind w:left="0" w:right="0"/>
                    <w:rPr>
                      <w:rFonts w:hint="default" w:ascii="Times New Roman" w:hAnsi="Times New Roman" w:eastAsia="宋体" w:cs="Times New Roman"/>
                      <w:b w:val="0"/>
                      <w:bCs w:val="0"/>
                      <w:color w:val="auto"/>
                    </w:rPr>
                  </w:pPr>
                  <w:r>
                    <w:rPr>
                      <w:rFonts w:hint="default" w:ascii="Times New Roman" w:hAnsi="Times New Roman" w:eastAsia="宋体" w:cs="Times New Roman"/>
                      <w:b w:val="0"/>
                      <w:bCs w:val="0"/>
                      <w:color w:val="auto"/>
                    </w:rPr>
                    <w:t>类别</w:t>
                  </w:r>
                </w:p>
              </w:tc>
              <w:tc>
                <w:tcPr>
                  <w:tcW w:w="723" w:type="pct"/>
                  <w:noWrap w:val="0"/>
                  <w:vAlign w:val="center"/>
                </w:tcPr>
                <w:p w14:paraId="7000F7FC">
                  <w:pPr>
                    <w:pStyle w:val="98"/>
                    <w:keepNext w:val="0"/>
                    <w:keepLines w:val="0"/>
                    <w:widowControl/>
                    <w:suppressLineNumbers w:val="0"/>
                    <w:spacing w:before="0" w:beforeAutospacing="0" w:after="0" w:afterAutospacing="0" w:line="300" w:lineRule="exact"/>
                    <w:ind w:left="0" w:right="0"/>
                    <w:rPr>
                      <w:rFonts w:hint="eastAsia" w:ascii="Times New Roman" w:hAnsi="Times New Roman" w:eastAsia="宋体" w:cs="Times New Roman"/>
                      <w:b w:val="0"/>
                      <w:bCs w:val="0"/>
                      <w:color w:val="auto"/>
                      <w:lang w:val="en-US" w:eastAsia="zh-CN"/>
                    </w:rPr>
                  </w:pPr>
                  <w:r>
                    <w:rPr>
                      <w:rFonts w:hint="default" w:ascii="Times New Roman" w:hAnsi="Times New Roman" w:eastAsia="宋体" w:cs="Times New Roman"/>
                      <w:b w:val="0"/>
                      <w:bCs w:val="0"/>
                      <w:color w:val="auto"/>
                    </w:rPr>
                    <w:t>监测</w:t>
                  </w:r>
                  <w:r>
                    <w:rPr>
                      <w:rFonts w:hint="eastAsia" w:cs="Times New Roman"/>
                      <w:b w:val="0"/>
                      <w:bCs w:val="0"/>
                      <w:color w:val="auto"/>
                      <w:lang w:val="en-US" w:eastAsia="zh-CN"/>
                    </w:rPr>
                    <w:t>点位</w:t>
                  </w:r>
                </w:p>
              </w:tc>
              <w:tc>
                <w:tcPr>
                  <w:tcW w:w="950" w:type="pct"/>
                  <w:noWrap w:val="0"/>
                  <w:vAlign w:val="center"/>
                </w:tcPr>
                <w:p w14:paraId="7B15FAEC">
                  <w:pPr>
                    <w:pStyle w:val="98"/>
                    <w:keepNext w:val="0"/>
                    <w:keepLines w:val="0"/>
                    <w:widowControl/>
                    <w:suppressLineNumbers w:val="0"/>
                    <w:spacing w:before="0" w:beforeAutospacing="0" w:after="0" w:afterAutospacing="0" w:line="300" w:lineRule="exact"/>
                    <w:ind w:left="0" w:right="0"/>
                    <w:rPr>
                      <w:rFonts w:hint="eastAsia" w:ascii="Times New Roman" w:hAnsi="Times New Roman" w:eastAsia="宋体" w:cs="Times New Roman"/>
                      <w:b w:val="0"/>
                      <w:bCs w:val="0"/>
                      <w:color w:val="auto"/>
                      <w:lang w:eastAsia="zh-CN"/>
                    </w:rPr>
                  </w:pPr>
                  <w:r>
                    <w:rPr>
                      <w:rFonts w:hint="default" w:ascii="Times New Roman" w:hAnsi="Times New Roman" w:eastAsia="宋体" w:cs="Times New Roman"/>
                      <w:b w:val="0"/>
                      <w:bCs w:val="0"/>
                      <w:color w:val="auto"/>
                    </w:rPr>
                    <w:t>监测</w:t>
                  </w:r>
                  <w:r>
                    <w:rPr>
                      <w:rFonts w:hint="eastAsia" w:cs="Times New Roman"/>
                      <w:b w:val="0"/>
                      <w:bCs w:val="0"/>
                      <w:color w:val="auto"/>
                      <w:lang w:val="en-US" w:eastAsia="zh-CN"/>
                    </w:rPr>
                    <w:t>因子</w:t>
                  </w:r>
                </w:p>
              </w:tc>
              <w:tc>
                <w:tcPr>
                  <w:tcW w:w="779" w:type="pct"/>
                  <w:noWrap w:val="0"/>
                  <w:vAlign w:val="center"/>
                </w:tcPr>
                <w:p w14:paraId="4909474F">
                  <w:pPr>
                    <w:pStyle w:val="98"/>
                    <w:keepNext w:val="0"/>
                    <w:keepLines w:val="0"/>
                    <w:widowControl/>
                    <w:suppressLineNumbers w:val="0"/>
                    <w:spacing w:before="0" w:beforeAutospacing="0" w:after="0" w:afterAutospacing="0" w:line="300" w:lineRule="exact"/>
                    <w:ind w:left="0" w:right="0"/>
                    <w:rPr>
                      <w:rFonts w:hint="default" w:ascii="Times New Roman" w:hAnsi="Times New Roman" w:eastAsia="宋体" w:cs="Times New Roman"/>
                      <w:b w:val="0"/>
                      <w:bCs w:val="0"/>
                      <w:color w:val="auto"/>
                    </w:rPr>
                  </w:pPr>
                  <w:r>
                    <w:rPr>
                      <w:rFonts w:hint="default" w:ascii="Times New Roman" w:hAnsi="Times New Roman" w:eastAsia="宋体" w:cs="Times New Roman"/>
                      <w:b w:val="0"/>
                      <w:bCs w:val="0"/>
                      <w:color w:val="auto"/>
                    </w:rPr>
                    <w:t>监测频次</w:t>
                  </w:r>
                </w:p>
              </w:tc>
              <w:tc>
                <w:tcPr>
                  <w:tcW w:w="1880" w:type="pct"/>
                  <w:noWrap w:val="0"/>
                  <w:vAlign w:val="center"/>
                </w:tcPr>
                <w:p w14:paraId="587CD6C9">
                  <w:pPr>
                    <w:pStyle w:val="98"/>
                    <w:keepNext w:val="0"/>
                    <w:keepLines w:val="0"/>
                    <w:widowControl/>
                    <w:suppressLineNumbers w:val="0"/>
                    <w:spacing w:before="0" w:beforeAutospacing="0" w:after="0" w:afterAutospacing="0" w:line="300" w:lineRule="exact"/>
                    <w:ind w:left="0" w:right="0"/>
                    <w:rPr>
                      <w:rFonts w:hint="default" w:ascii="Times New Roman" w:hAnsi="Times New Roman" w:eastAsia="宋体" w:cs="Times New Roman"/>
                      <w:b w:val="0"/>
                      <w:bCs w:val="0"/>
                      <w:color w:val="auto"/>
                    </w:rPr>
                  </w:pPr>
                  <w:r>
                    <w:rPr>
                      <w:rFonts w:hint="default" w:ascii="Times New Roman" w:hAnsi="Times New Roman" w:eastAsia="宋体" w:cs="Times New Roman"/>
                      <w:b w:val="0"/>
                      <w:bCs w:val="0"/>
                      <w:color w:val="auto"/>
                    </w:rPr>
                    <w:t>控制指标</w:t>
                  </w:r>
                </w:p>
              </w:tc>
            </w:tr>
            <w:tr w14:paraId="18E6BF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50" w:hRule="atLeast"/>
                <w:jc w:val="center"/>
              </w:trPr>
              <w:tc>
                <w:tcPr>
                  <w:tcW w:w="666" w:type="pct"/>
                  <w:noWrap w:val="0"/>
                  <w:vAlign w:val="center"/>
                </w:tcPr>
                <w:p w14:paraId="45DDE96A">
                  <w:pPr>
                    <w:pStyle w:val="98"/>
                    <w:keepNext w:val="0"/>
                    <w:keepLines w:val="0"/>
                    <w:widowControl/>
                    <w:suppressLineNumbers w:val="0"/>
                    <w:spacing w:before="0" w:beforeAutospacing="0" w:after="0" w:afterAutospacing="0" w:line="300" w:lineRule="exact"/>
                    <w:ind w:left="0" w:right="0"/>
                    <w:rPr>
                      <w:rFonts w:hint="eastAsia" w:ascii="Times New Roman" w:hAnsi="Times New Roman" w:eastAsia="宋体" w:cs="Times New Roman"/>
                      <w:color w:val="auto"/>
                      <w:lang w:eastAsia="zh-CN"/>
                    </w:rPr>
                  </w:pPr>
                  <w:r>
                    <w:rPr>
                      <w:rFonts w:hint="eastAsia" w:cs="Times New Roman"/>
                      <w:color w:val="auto"/>
                      <w:lang w:val="en-US" w:eastAsia="zh-CN"/>
                    </w:rPr>
                    <w:t>废水</w:t>
                  </w:r>
                </w:p>
              </w:tc>
              <w:tc>
                <w:tcPr>
                  <w:tcW w:w="723" w:type="pct"/>
                  <w:noWrap w:val="0"/>
                  <w:vAlign w:val="center"/>
                </w:tcPr>
                <w:p w14:paraId="19D7B861">
                  <w:pPr>
                    <w:pStyle w:val="98"/>
                    <w:keepNext w:val="0"/>
                    <w:keepLines w:val="0"/>
                    <w:widowControl/>
                    <w:suppressLineNumbers w:val="0"/>
                    <w:spacing w:before="0" w:beforeAutospacing="0" w:after="0" w:afterAutospacing="0" w:line="300" w:lineRule="exact"/>
                    <w:ind w:left="0" w:right="0"/>
                    <w:rPr>
                      <w:rFonts w:hint="default" w:ascii="Times New Roman" w:hAnsi="Times New Roman" w:eastAsia="宋体" w:cs="Times New Roman"/>
                      <w:color w:val="auto"/>
                      <w:lang w:val="en-US" w:eastAsia="zh-CN"/>
                    </w:rPr>
                  </w:pPr>
                  <w:r>
                    <w:rPr>
                      <w:rFonts w:hint="eastAsia" w:cs="Times New Roman"/>
                      <w:color w:val="auto"/>
                      <w:lang w:val="en-US" w:eastAsia="zh-CN"/>
                    </w:rPr>
                    <w:t>DW001污水排口</w:t>
                  </w:r>
                </w:p>
              </w:tc>
              <w:tc>
                <w:tcPr>
                  <w:tcW w:w="950" w:type="pct"/>
                  <w:noWrap w:val="0"/>
                  <w:vAlign w:val="center"/>
                </w:tcPr>
                <w:p w14:paraId="2EDE80EF">
                  <w:pPr>
                    <w:pStyle w:val="98"/>
                    <w:keepNext w:val="0"/>
                    <w:keepLines w:val="0"/>
                    <w:widowControl/>
                    <w:suppressLineNumbers w:val="0"/>
                    <w:spacing w:before="0" w:beforeAutospacing="0" w:after="0" w:afterAutospacing="0" w:line="300" w:lineRule="exact"/>
                    <w:ind w:left="0" w:right="0"/>
                    <w:rPr>
                      <w:rFonts w:hint="default" w:ascii="Times New Roman" w:hAnsi="Times New Roman" w:eastAsia="宋体" w:cs="Times New Roman"/>
                      <w:color w:val="auto"/>
                      <w:lang w:val="en-US"/>
                    </w:rPr>
                  </w:pPr>
                  <w:r>
                    <w:rPr>
                      <w:rFonts w:hint="default" w:ascii="Times New Roman" w:hAnsi="Times New Roman" w:eastAsia="宋体" w:cs="Times New Roman"/>
                      <w:color w:val="auto"/>
                      <w:lang w:val="en-US" w:eastAsia="zh-CN"/>
                    </w:rPr>
                    <w:t>pH值、COD、</w:t>
                  </w:r>
                  <w:r>
                    <w:rPr>
                      <w:rFonts w:hint="eastAsia" w:cs="Times New Roman"/>
                      <w:color w:val="auto"/>
                      <w:lang w:val="en-US" w:eastAsia="zh-CN"/>
                    </w:rPr>
                    <w:t>BOD</w:t>
                  </w:r>
                  <w:r>
                    <w:rPr>
                      <w:rFonts w:hint="eastAsia" w:cs="Times New Roman"/>
                      <w:color w:val="auto"/>
                      <w:vertAlign w:val="subscript"/>
                      <w:lang w:val="en-US" w:eastAsia="zh-CN"/>
                    </w:rPr>
                    <w:t>5</w:t>
                  </w:r>
                  <w:r>
                    <w:rPr>
                      <w:rFonts w:hint="eastAsia" w:cs="Times New Roman"/>
                      <w:color w:val="auto"/>
                      <w:lang w:val="en-US" w:eastAsia="zh-CN"/>
                    </w:rPr>
                    <w:t>、</w:t>
                  </w:r>
                  <w:r>
                    <w:rPr>
                      <w:rFonts w:hint="default" w:ascii="Times New Roman" w:hAnsi="Times New Roman" w:eastAsia="宋体" w:cs="Times New Roman"/>
                      <w:color w:val="auto"/>
                      <w:lang w:val="en-US" w:eastAsia="zh-CN"/>
                    </w:rPr>
                    <w:t>氨氮、</w:t>
                  </w:r>
                  <w:r>
                    <w:rPr>
                      <w:rFonts w:hint="eastAsia" w:cs="Times New Roman"/>
                      <w:color w:val="auto"/>
                      <w:lang w:val="en-US" w:eastAsia="zh-CN"/>
                    </w:rPr>
                    <w:t>SS、</w:t>
                  </w:r>
                  <w:r>
                    <w:rPr>
                      <w:rFonts w:hint="eastAsia"/>
                      <w:color w:val="auto"/>
                      <w:szCs w:val="21"/>
                      <w:lang w:val="en-US" w:eastAsia="zh-CN"/>
                    </w:rPr>
                    <w:t>总锌、总铜、总铅、总镉、总砷、总汞</w:t>
                  </w:r>
                </w:p>
              </w:tc>
              <w:tc>
                <w:tcPr>
                  <w:tcW w:w="779" w:type="pct"/>
                  <w:noWrap w:val="0"/>
                  <w:vAlign w:val="center"/>
                </w:tcPr>
                <w:p w14:paraId="4487EE1F">
                  <w:pPr>
                    <w:pStyle w:val="98"/>
                    <w:keepNext w:val="0"/>
                    <w:keepLines w:val="0"/>
                    <w:widowControl/>
                    <w:suppressLineNumbers w:val="0"/>
                    <w:spacing w:before="0" w:beforeAutospacing="0" w:after="0" w:afterAutospacing="0" w:line="300" w:lineRule="exact"/>
                    <w:ind w:left="0" w:right="0"/>
                    <w:rPr>
                      <w:rFonts w:hint="default" w:ascii="Times New Roman" w:hAnsi="Times New Roman" w:eastAsia="宋体" w:cs="Times New Roman"/>
                      <w:color w:val="auto"/>
                    </w:rPr>
                  </w:pPr>
                  <w:r>
                    <w:rPr>
                      <w:rFonts w:hint="default" w:ascii="Times New Roman" w:hAnsi="Times New Roman" w:eastAsia="宋体" w:cs="Times New Roman"/>
                      <w:color w:val="auto"/>
                      <w:lang w:val="en-US" w:eastAsia="zh-CN"/>
                    </w:rPr>
                    <w:t>1次/季</w:t>
                  </w:r>
                </w:p>
              </w:tc>
              <w:tc>
                <w:tcPr>
                  <w:tcW w:w="1880" w:type="pct"/>
                  <w:noWrap w:val="0"/>
                  <w:vAlign w:val="center"/>
                </w:tcPr>
                <w:p w14:paraId="3BB033D3">
                  <w:pPr>
                    <w:pStyle w:val="98"/>
                    <w:keepNext w:val="0"/>
                    <w:keepLines w:val="0"/>
                    <w:widowControl/>
                    <w:suppressLineNumbers w:val="0"/>
                    <w:spacing w:before="0" w:beforeAutospacing="0" w:after="0" w:afterAutospacing="0" w:line="300" w:lineRule="exact"/>
                    <w:ind w:left="0" w:right="0"/>
                    <w:rPr>
                      <w:rFonts w:hint="eastAsia" w:ascii="Times New Roman" w:hAnsi="Times New Roman" w:eastAsia="宋体" w:cs="Times New Roman"/>
                      <w:color w:val="auto"/>
                      <w:lang w:eastAsia="zh-CN"/>
                    </w:rPr>
                  </w:pPr>
                  <w:r>
                    <w:rPr>
                      <w:rFonts w:hint="eastAsia"/>
                      <w:color w:val="auto"/>
                      <w:szCs w:val="21"/>
                    </w:rPr>
                    <w:t>《污水综合排放标准》（GB8978-1996）表4三级标准</w:t>
                  </w:r>
                  <w:r>
                    <w:rPr>
                      <w:rFonts w:hint="eastAsia"/>
                      <w:color w:val="auto"/>
                      <w:szCs w:val="21"/>
                      <w:lang w:eastAsia="zh-CN"/>
                    </w:rPr>
                    <w:t>、</w:t>
                  </w:r>
                  <w:r>
                    <w:rPr>
                      <w:rFonts w:hint="eastAsia"/>
                      <w:color w:val="auto"/>
                      <w:szCs w:val="21"/>
                      <w:lang w:val="en-US" w:eastAsia="zh-CN"/>
                    </w:rPr>
                    <w:t>及《污水排入城镇下水道水质标准》（GB/T31962-2015）B级标准</w:t>
                  </w:r>
                </w:p>
              </w:tc>
            </w:tr>
          </w:tbl>
          <w:p w14:paraId="63C1FD2B">
            <w:pPr>
              <w:pStyle w:val="71"/>
              <w:snapToGrid w:val="0"/>
              <w:spacing w:line="360" w:lineRule="auto"/>
              <w:rPr>
                <w:b/>
                <w:bCs/>
                <w:color w:val="auto"/>
                <w:sz w:val="24"/>
                <w:szCs w:val="24"/>
              </w:rPr>
            </w:pPr>
            <w:r>
              <w:rPr>
                <w:rFonts w:hint="eastAsia"/>
                <w:b/>
                <w:bCs/>
                <w:color w:val="auto"/>
                <w:sz w:val="24"/>
                <w:szCs w:val="24"/>
              </w:rPr>
              <w:t>2</w:t>
            </w:r>
            <w:r>
              <w:rPr>
                <w:b/>
                <w:bCs/>
                <w:color w:val="auto"/>
                <w:sz w:val="24"/>
                <w:szCs w:val="24"/>
              </w:rPr>
              <w:t>.</w:t>
            </w:r>
            <w:r>
              <w:rPr>
                <w:rFonts w:hint="eastAsia"/>
                <w:b/>
                <w:bCs/>
                <w:color w:val="auto"/>
                <w:sz w:val="24"/>
                <w:szCs w:val="24"/>
                <w:lang w:val="en-US" w:eastAsia="zh-CN"/>
              </w:rPr>
              <w:t>6</w:t>
            </w:r>
            <w:r>
              <w:rPr>
                <w:rFonts w:hint="eastAsia"/>
                <w:b/>
                <w:bCs/>
                <w:color w:val="auto"/>
                <w:sz w:val="24"/>
                <w:szCs w:val="24"/>
              </w:rPr>
              <w:t>废水影响分析小结</w:t>
            </w:r>
          </w:p>
          <w:p w14:paraId="25DF8127">
            <w:pPr>
              <w:adjustRightInd w:val="0"/>
              <w:snapToGrid w:val="0"/>
              <w:spacing w:line="360" w:lineRule="auto"/>
              <w:ind w:firstLine="480" w:firstLineChars="200"/>
              <w:rPr>
                <w:rFonts w:hint="eastAsia"/>
                <w:color w:val="auto"/>
                <w:sz w:val="24"/>
              </w:rPr>
            </w:pPr>
            <w:r>
              <w:rPr>
                <w:rFonts w:hint="eastAsia"/>
                <w:color w:val="auto"/>
                <w:sz w:val="24"/>
              </w:rPr>
              <w:t>本项目运营期</w:t>
            </w:r>
            <w:r>
              <w:rPr>
                <w:rFonts w:hint="eastAsia"/>
                <w:color w:val="auto"/>
                <w:sz w:val="24"/>
                <w:lang w:val="en-US" w:eastAsia="zh-CN"/>
              </w:rPr>
              <w:t>实验器具中后段清洗废水、碱液喷淋塔</w:t>
            </w:r>
            <w:r>
              <w:rPr>
                <w:rFonts w:hint="eastAsia"/>
                <w:color w:val="auto"/>
                <w:sz w:val="24"/>
              </w:rPr>
              <w:t>废水经</w:t>
            </w:r>
            <w:r>
              <w:rPr>
                <w:rFonts w:hint="eastAsia"/>
                <w:color w:val="auto"/>
                <w:sz w:val="24"/>
                <w:lang w:val="en-US" w:eastAsia="zh-CN"/>
              </w:rPr>
              <w:t>一体化污水处理设备</w:t>
            </w:r>
            <w:r>
              <w:rPr>
                <w:rFonts w:hint="eastAsia"/>
                <w:color w:val="auto"/>
                <w:sz w:val="24"/>
              </w:rPr>
              <w:t>处理后排入</w:t>
            </w:r>
            <w:r>
              <w:rPr>
                <w:rFonts w:hint="eastAsia"/>
                <w:color w:val="auto"/>
                <w:sz w:val="24"/>
                <w:lang w:val="en-US" w:eastAsia="zh-CN"/>
              </w:rPr>
              <w:t>废水池</w:t>
            </w:r>
            <w:r>
              <w:rPr>
                <w:rFonts w:hint="eastAsia"/>
                <w:color w:val="auto"/>
                <w:sz w:val="24"/>
                <w:lang w:eastAsia="zh-CN"/>
              </w:rPr>
              <w:t>，</w:t>
            </w:r>
            <w:r>
              <w:rPr>
                <w:rFonts w:hint="eastAsia"/>
                <w:color w:val="auto"/>
                <w:sz w:val="24"/>
                <w:lang w:val="en-US" w:eastAsia="zh-CN"/>
              </w:rPr>
              <w:t>纯水设备浓水直接</w:t>
            </w:r>
            <w:r>
              <w:rPr>
                <w:rFonts w:hint="eastAsia"/>
                <w:color w:val="auto"/>
                <w:sz w:val="24"/>
              </w:rPr>
              <w:t>排入</w:t>
            </w:r>
            <w:r>
              <w:rPr>
                <w:rFonts w:hint="eastAsia"/>
                <w:color w:val="auto"/>
                <w:sz w:val="24"/>
                <w:lang w:val="en-US" w:eastAsia="zh-CN"/>
              </w:rPr>
              <w:t>废水池</w:t>
            </w:r>
            <w:r>
              <w:rPr>
                <w:rFonts w:hint="eastAsia"/>
                <w:color w:val="auto"/>
                <w:sz w:val="24"/>
              </w:rPr>
              <w:t>，</w:t>
            </w:r>
            <w:r>
              <w:rPr>
                <w:rFonts w:hint="eastAsia"/>
                <w:color w:val="auto"/>
                <w:sz w:val="24"/>
                <w:lang w:val="en-US" w:eastAsia="zh-CN"/>
              </w:rPr>
              <w:t>最终由吸污车拉运至昌吉高新技术产业开发区污水处理厂处理</w:t>
            </w:r>
            <w:r>
              <w:rPr>
                <w:rFonts w:hint="eastAsia"/>
                <w:color w:val="auto"/>
                <w:sz w:val="24"/>
              </w:rPr>
              <w:t>；</w:t>
            </w:r>
            <w:r>
              <w:rPr>
                <w:rFonts w:hint="eastAsia"/>
                <w:color w:val="auto"/>
                <w:sz w:val="24"/>
                <w:lang w:val="en-US" w:eastAsia="zh-CN"/>
              </w:rPr>
              <w:t>生活污水依托租用厂房已建化粪池处理</w:t>
            </w:r>
            <w:r>
              <w:rPr>
                <w:rFonts w:hint="eastAsia"/>
                <w:color w:val="auto"/>
                <w:sz w:val="24"/>
              </w:rPr>
              <w:t>，对周围环境影响较小。</w:t>
            </w:r>
          </w:p>
          <w:p w14:paraId="54E2D1F9">
            <w:pPr>
              <w:pStyle w:val="71"/>
              <w:snapToGrid w:val="0"/>
              <w:spacing w:line="360" w:lineRule="auto"/>
              <w:rPr>
                <w:b/>
                <w:bCs/>
                <w:color w:val="auto"/>
                <w:sz w:val="24"/>
                <w:szCs w:val="24"/>
              </w:rPr>
            </w:pPr>
            <w:r>
              <w:rPr>
                <w:b/>
                <w:bCs/>
                <w:color w:val="auto"/>
                <w:sz w:val="24"/>
                <w:szCs w:val="24"/>
              </w:rPr>
              <w:t>3</w:t>
            </w:r>
            <w:r>
              <w:rPr>
                <w:rFonts w:hint="eastAsia"/>
                <w:b/>
                <w:bCs/>
                <w:color w:val="auto"/>
                <w:sz w:val="24"/>
                <w:szCs w:val="24"/>
              </w:rPr>
              <w:t xml:space="preserve"> 声环境影响分析和保护措施</w:t>
            </w:r>
          </w:p>
          <w:p w14:paraId="78CF4719">
            <w:pPr>
              <w:pStyle w:val="71"/>
              <w:snapToGrid w:val="0"/>
              <w:spacing w:line="360" w:lineRule="auto"/>
              <w:rPr>
                <w:b/>
                <w:bCs/>
                <w:color w:val="auto"/>
                <w:sz w:val="24"/>
                <w:szCs w:val="24"/>
              </w:rPr>
            </w:pPr>
            <w:r>
              <w:rPr>
                <w:b/>
                <w:bCs/>
                <w:color w:val="auto"/>
                <w:sz w:val="24"/>
                <w:szCs w:val="24"/>
              </w:rPr>
              <w:t xml:space="preserve">3.1 </w:t>
            </w:r>
            <w:r>
              <w:rPr>
                <w:rFonts w:hint="eastAsia"/>
                <w:b/>
                <w:bCs/>
                <w:color w:val="auto"/>
                <w:sz w:val="24"/>
                <w:szCs w:val="24"/>
              </w:rPr>
              <w:t>噪声源强分析</w:t>
            </w:r>
          </w:p>
          <w:p w14:paraId="6C13BACC">
            <w:pPr>
              <w:adjustRightInd w:val="0"/>
              <w:snapToGrid w:val="0"/>
              <w:spacing w:line="360" w:lineRule="auto"/>
              <w:ind w:firstLine="480" w:firstLineChars="200"/>
              <w:rPr>
                <w:rFonts w:hint="eastAsia"/>
                <w:color w:val="auto"/>
                <w:sz w:val="24"/>
              </w:rPr>
            </w:pPr>
            <w:r>
              <w:rPr>
                <w:rFonts w:hint="eastAsia"/>
                <w:color w:val="auto"/>
                <w:sz w:val="24"/>
              </w:rPr>
              <w:t>本项目运营期噪声源主要是</w:t>
            </w:r>
            <w:r>
              <w:rPr>
                <w:rFonts w:hint="eastAsia"/>
                <w:color w:val="auto"/>
                <w:sz w:val="24"/>
                <w:lang w:val="en-US" w:eastAsia="zh-CN"/>
              </w:rPr>
              <w:t>实验小型破碎机</w:t>
            </w:r>
            <w:r>
              <w:rPr>
                <w:rFonts w:hint="eastAsia"/>
                <w:color w:val="auto"/>
                <w:sz w:val="24"/>
              </w:rPr>
              <w:t>、</w:t>
            </w:r>
            <w:r>
              <w:rPr>
                <w:rFonts w:hint="eastAsia"/>
                <w:color w:val="auto"/>
                <w:sz w:val="24"/>
                <w:lang w:val="en-US" w:eastAsia="zh-CN"/>
              </w:rPr>
              <w:t>风机</w:t>
            </w:r>
            <w:r>
              <w:rPr>
                <w:rFonts w:hint="eastAsia"/>
                <w:color w:val="auto"/>
                <w:sz w:val="24"/>
              </w:rPr>
              <w:t>、</w:t>
            </w:r>
            <w:r>
              <w:rPr>
                <w:rFonts w:hint="eastAsia"/>
                <w:color w:val="auto"/>
                <w:sz w:val="24"/>
                <w:lang w:val="en-US" w:eastAsia="zh-CN"/>
              </w:rPr>
              <w:t>振荡器</w:t>
            </w:r>
            <w:r>
              <w:rPr>
                <w:rFonts w:hint="eastAsia"/>
                <w:color w:val="auto"/>
                <w:sz w:val="24"/>
              </w:rPr>
              <w:t>等设备运转时产生的机械噪声，噪声源强为</w:t>
            </w:r>
            <w:r>
              <w:rPr>
                <w:color w:val="auto"/>
                <w:sz w:val="24"/>
              </w:rPr>
              <w:t>8</w:t>
            </w:r>
            <w:r>
              <w:rPr>
                <w:rFonts w:hint="eastAsia"/>
                <w:color w:val="auto"/>
                <w:sz w:val="24"/>
                <w:lang w:val="en-US" w:eastAsia="zh-CN"/>
              </w:rPr>
              <w:t>0</w:t>
            </w:r>
            <w:r>
              <w:rPr>
                <w:rFonts w:hint="eastAsia"/>
                <w:color w:val="auto"/>
                <w:sz w:val="24"/>
              </w:rPr>
              <w:t>～9</w:t>
            </w:r>
            <w:r>
              <w:rPr>
                <w:color w:val="auto"/>
                <w:sz w:val="24"/>
              </w:rPr>
              <w:t>0</w:t>
            </w:r>
            <w:r>
              <w:rPr>
                <w:rFonts w:hint="eastAsia"/>
                <w:color w:val="auto"/>
                <w:sz w:val="24"/>
              </w:rPr>
              <w:t>dB（A），具体见表4</w:t>
            </w:r>
            <w:r>
              <w:rPr>
                <w:color w:val="auto"/>
                <w:sz w:val="24"/>
              </w:rPr>
              <w:t>-</w:t>
            </w:r>
            <w:r>
              <w:rPr>
                <w:rFonts w:hint="eastAsia"/>
                <w:color w:val="auto"/>
                <w:sz w:val="24"/>
                <w:lang w:val="en-US" w:eastAsia="zh-CN"/>
              </w:rPr>
              <w:t>9</w:t>
            </w:r>
            <w:r>
              <w:rPr>
                <w:rFonts w:hint="eastAsia"/>
                <w:color w:val="auto"/>
                <w:sz w:val="24"/>
              </w:rPr>
              <w:t>。</w:t>
            </w:r>
          </w:p>
        </w:tc>
      </w:tr>
    </w:tbl>
    <w:p w14:paraId="6D4D3191">
      <w:pPr>
        <w:pStyle w:val="5"/>
        <w:ind w:left="0" w:leftChars="0" w:firstLine="0" w:firstLineChars="0"/>
        <w:rPr>
          <w:color w:val="auto"/>
        </w:rPr>
        <w:sectPr>
          <w:pgSz w:w="11907" w:h="16840"/>
          <w:pgMar w:top="1418" w:right="1418" w:bottom="1418" w:left="1418" w:header="851" w:footer="851" w:gutter="0"/>
          <w:pgBorders>
            <w:top w:val="none" w:sz="0" w:space="0"/>
            <w:left w:val="none" w:sz="0" w:space="0"/>
            <w:bottom w:val="none" w:sz="0" w:space="0"/>
            <w:right w:val="none" w:sz="0" w:space="0"/>
          </w:pgBorders>
          <w:cols w:space="720" w:num="1"/>
          <w:docGrid w:linePitch="312" w:charSpace="0"/>
        </w:sectPr>
      </w:pPr>
    </w:p>
    <w:tbl>
      <w:tblPr>
        <w:tblStyle w:val="2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220"/>
      </w:tblGrid>
      <w:tr w14:paraId="07D482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20" w:type="dxa"/>
            <w:noWrap w:val="0"/>
            <w:vAlign w:val="top"/>
          </w:tcPr>
          <w:p w14:paraId="624E4F1D">
            <w:pPr>
              <w:pStyle w:val="19"/>
              <w:adjustRightInd w:val="0"/>
              <w:jc w:val="center"/>
              <w:rPr>
                <w:color w:val="auto"/>
                <w:sz w:val="24"/>
              </w:rPr>
            </w:pPr>
            <w:r>
              <w:rPr>
                <w:rFonts w:hint="eastAsia"/>
                <w:b/>
                <w:color w:val="auto"/>
                <w:sz w:val="21"/>
                <w:szCs w:val="21"/>
              </w:rPr>
              <w:t>表4</w:t>
            </w:r>
            <w:r>
              <w:rPr>
                <w:b/>
                <w:color w:val="auto"/>
                <w:sz w:val="21"/>
                <w:szCs w:val="21"/>
              </w:rPr>
              <w:t>-</w:t>
            </w:r>
            <w:r>
              <w:rPr>
                <w:rFonts w:hint="eastAsia"/>
                <w:b/>
                <w:color w:val="auto"/>
                <w:sz w:val="21"/>
                <w:szCs w:val="21"/>
                <w:lang w:val="en-US" w:eastAsia="zh-CN"/>
              </w:rPr>
              <w:t>9</w:t>
            </w:r>
            <w:r>
              <w:rPr>
                <w:b/>
                <w:color w:val="auto"/>
                <w:sz w:val="21"/>
                <w:szCs w:val="21"/>
              </w:rPr>
              <w:t xml:space="preserve">   </w:t>
            </w:r>
            <w:r>
              <w:rPr>
                <w:rFonts w:hint="eastAsia"/>
                <w:b/>
                <w:color w:val="auto"/>
                <w:sz w:val="21"/>
                <w:szCs w:val="21"/>
              </w:rPr>
              <w:t>主要噪声设备源强一览表</w:t>
            </w:r>
          </w:p>
          <w:tbl>
            <w:tblPr>
              <w:tblStyle w:val="29"/>
              <w:tblW w:w="4997" w:type="pct"/>
              <w:tblInd w:w="1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436"/>
              <w:gridCol w:w="1108"/>
              <w:gridCol w:w="1773"/>
              <w:gridCol w:w="1538"/>
              <w:gridCol w:w="1018"/>
              <w:gridCol w:w="803"/>
              <w:gridCol w:w="766"/>
              <w:gridCol w:w="752"/>
              <w:gridCol w:w="1077"/>
              <w:gridCol w:w="1021"/>
              <w:gridCol w:w="741"/>
              <w:gridCol w:w="1175"/>
              <w:gridCol w:w="879"/>
              <w:gridCol w:w="899"/>
            </w:tblGrid>
            <w:tr w14:paraId="42584BC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56" w:type="pct"/>
                  <w:vMerge w:val="restart"/>
                  <w:tcBorders>
                    <w:tl2br w:val="nil"/>
                    <w:tr2bl w:val="nil"/>
                  </w:tcBorders>
                  <w:noWrap w:val="0"/>
                  <w:vAlign w:val="center"/>
                </w:tcPr>
                <w:p w14:paraId="419C7C34">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r>
                    <w:rPr>
                      <w:rFonts w:hint="default" w:ascii="Times New Roman" w:hAnsi="Times New Roman" w:cs="Times New Roman"/>
                      <w:color w:val="auto"/>
                      <w:spacing w:val="0"/>
                      <w:w w:val="100"/>
                      <w:sz w:val="21"/>
                      <w:szCs w:val="21"/>
                      <w:highlight w:val="none"/>
                      <w:lang w:val="en-US" w:eastAsia="zh-CN"/>
                    </w:rPr>
                    <w:t>序号</w:t>
                  </w:r>
                </w:p>
              </w:tc>
              <w:tc>
                <w:tcPr>
                  <w:tcW w:w="396" w:type="pct"/>
                  <w:vMerge w:val="restart"/>
                  <w:tcBorders>
                    <w:tl2br w:val="nil"/>
                    <w:tr2bl w:val="nil"/>
                  </w:tcBorders>
                  <w:noWrap w:val="0"/>
                  <w:vAlign w:val="center"/>
                </w:tcPr>
                <w:p w14:paraId="6F32C5A1">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r>
                    <w:rPr>
                      <w:rFonts w:hint="default" w:ascii="Times New Roman" w:hAnsi="Times New Roman" w:cs="Times New Roman"/>
                      <w:color w:val="auto"/>
                      <w:spacing w:val="0"/>
                      <w:w w:val="100"/>
                      <w:sz w:val="21"/>
                      <w:szCs w:val="21"/>
                      <w:highlight w:val="none"/>
                      <w:lang w:val="en-US" w:eastAsia="zh-CN"/>
                    </w:rPr>
                    <w:t>建筑物名称</w:t>
                  </w:r>
                </w:p>
              </w:tc>
              <w:tc>
                <w:tcPr>
                  <w:tcW w:w="634" w:type="pct"/>
                  <w:vMerge w:val="restart"/>
                  <w:tcBorders>
                    <w:tl2br w:val="nil"/>
                    <w:tr2bl w:val="nil"/>
                  </w:tcBorders>
                  <w:noWrap w:val="0"/>
                  <w:vAlign w:val="center"/>
                </w:tcPr>
                <w:p w14:paraId="53429F50">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r>
                    <w:rPr>
                      <w:rFonts w:hint="default" w:ascii="Times New Roman" w:hAnsi="Times New Roman" w:cs="Times New Roman"/>
                      <w:color w:val="auto"/>
                      <w:spacing w:val="0"/>
                      <w:w w:val="100"/>
                      <w:sz w:val="21"/>
                      <w:szCs w:val="21"/>
                      <w:highlight w:val="none"/>
                      <w:lang w:val="en-US" w:eastAsia="zh-CN"/>
                    </w:rPr>
                    <w:t>声源名称</w:t>
                  </w:r>
                </w:p>
              </w:tc>
              <w:tc>
                <w:tcPr>
                  <w:tcW w:w="550" w:type="pct"/>
                  <w:tcBorders>
                    <w:tl2br w:val="nil"/>
                    <w:tr2bl w:val="nil"/>
                  </w:tcBorders>
                  <w:noWrap w:val="0"/>
                  <w:vAlign w:val="center"/>
                </w:tcPr>
                <w:p w14:paraId="36F4F4BA">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r>
                    <w:rPr>
                      <w:rFonts w:hint="default" w:ascii="Times New Roman" w:hAnsi="Times New Roman" w:cs="Times New Roman"/>
                      <w:color w:val="auto"/>
                      <w:spacing w:val="0"/>
                      <w:w w:val="100"/>
                      <w:sz w:val="21"/>
                      <w:szCs w:val="21"/>
                      <w:highlight w:val="none"/>
                      <w:lang w:val="en-US" w:eastAsia="zh-CN"/>
                    </w:rPr>
                    <w:t>声源源强</w:t>
                  </w:r>
                </w:p>
              </w:tc>
              <w:tc>
                <w:tcPr>
                  <w:tcW w:w="364" w:type="pct"/>
                  <w:vMerge w:val="restart"/>
                  <w:tcBorders>
                    <w:tl2br w:val="nil"/>
                    <w:tr2bl w:val="nil"/>
                  </w:tcBorders>
                  <w:noWrap w:val="0"/>
                  <w:vAlign w:val="center"/>
                </w:tcPr>
                <w:p w14:paraId="4B5CBA74">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r>
                    <w:rPr>
                      <w:rFonts w:hint="default" w:ascii="Times New Roman" w:hAnsi="Times New Roman" w:cs="Times New Roman"/>
                      <w:color w:val="auto"/>
                      <w:spacing w:val="0"/>
                      <w:w w:val="100"/>
                      <w:sz w:val="21"/>
                      <w:szCs w:val="21"/>
                      <w:highlight w:val="none"/>
                      <w:lang w:val="en-US" w:eastAsia="zh-CN"/>
                    </w:rPr>
                    <w:t>声源控制措施</w:t>
                  </w:r>
                </w:p>
              </w:tc>
              <w:tc>
                <w:tcPr>
                  <w:tcW w:w="830" w:type="pct"/>
                  <w:gridSpan w:val="3"/>
                  <w:tcBorders>
                    <w:tl2br w:val="nil"/>
                    <w:tr2bl w:val="nil"/>
                  </w:tcBorders>
                  <w:noWrap w:val="0"/>
                  <w:vAlign w:val="center"/>
                </w:tcPr>
                <w:p w14:paraId="4EF7CA0A">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r>
                    <w:rPr>
                      <w:rFonts w:hint="default" w:ascii="Times New Roman" w:hAnsi="Times New Roman" w:cs="Times New Roman"/>
                      <w:color w:val="auto"/>
                      <w:spacing w:val="0"/>
                      <w:w w:val="100"/>
                      <w:sz w:val="21"/>
                      <w:szCs w:val="21"/>
                      <w:highlight w:val="none"/>
                      <w:lang w:val="en-US" w:eastAsia="zh-CN"/>
                    </w:rPr>
                    <w:t>空间相对位置/m</w:t>
                  </w:r>
                </w:p>
              </w:tc>
              <w:tc>
                <w:tcPr>
                  <w:tcW w:w="385" w:type="pct"/>
                  <w:vMerge w:val="restart"/>
                  <w:tcBorders>
                    <w:tl2br w:val="nil"/>
                    <w:tr2bl w:val="nil"/>
                  </w:tcBorders>
                  <w:noWrap w:val="0"/>
                  <w:vAlign w:val="center"/>
                </w:tcPr>
                <w:p w14:paraId="3E874224">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r>
                    <w:rPr>
                      <w:rFonts w:hint="default" w:ascii="Times New Roman" w:hAnsi="Times New Roman" w:cs="Times New Roman"/>
                      <w:color w:val="auto"/>
                      <w:spacing w:val="0"/>
                      <w:w w:val="100"/>
                      <w:sz w:val="21"/>
                      <w:szCs w:val="21"/>
                      <w:highlight w:val="none"/>
                      <w:lang w:val="en-US" w:eastAsia="zh-CN"/>
                    </w:rPr>
                    <w:t>距室内边界距离/m</w:t>
                  </w:r>
                </w:p>
              </w:tc>
              <w:tc>
                <w:tcPr>
                  <w:tcW w:w="365" w:type="pct"/>
                  <w:vMerge w:val="restart"/>
                  <w:tcBorders>
                    <w:tl2br w:val="nil"/>
                    <w:tr2bl w:val="nil"/>
                  </w:tcBorders>
                  <w:noWrap w:val="0"/>
                  <w:vAlign w:val="center"/>
                </w:tcPr>
                <w:p w14:paraId="10AB14BD">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r>
                    <w:rPr>
                      <w:rFonts w:hint="default" w:ascii="Times New Roman" w:hAnsi="Times New Roman" w:cs="Times New Roman"/>
                      <w:color w:val="auto"/>
                      <w:spacing w:val="0"/>
                      <w:w w:val="100"/>
                      <w:sz w:val="21"/>
                      <w:szCs w:val="21"/>
                      <w:highlight w:val="none"/>
                      <w:lang w:val="en-US" w:eastAsia="zh-CN"/>
                    </w:rPr>
                    <w:t>室内边界声级/dB（A）</w:t>
                  </w:r>
                </w:p>
              </w:tc>
              <w:tc>
                <w:tcPr>
                  <w:tcW w:w="265" w:type="pct"/>
                  <w:vMerge w:val="restart"/>
                  <w:tcBorders>
                    <w:tl2br w:val="nil"/>
                    <w:tr2bl w:val="nil"/>
                  </w:tcBorders>
                  <w:noWrap w:val="0"/>
                  <w:vAlign w:val="center"/>
                </w:tcPr>
                <w:p w14:paraId="3D9ABEC7">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r>
                    <w:rPr>
                      <w:rFonts w:hint="default" w:ascii="Times New Roman" w:hAnsi="Times New Roman" w:cs="Times New Roman"/>
                      <w:color w:val="auto"/>
                      <w:spacing w:val="0"/>
                      <w:w w:val="100"/>
                      <w:sz w:val="21"/>
                      <w:szCs w:val="21"/>
                      <w:highlight w:val="none"/>
                      <w:lang w:val="en-US" w:eastAsia="zh-CN"/>
                    </w:rPr>
                    <w:t>运行时段</w:t>
                  </w:r>
                </w:p>
              </w:tc>
              <w:tc>
                <w:tcPr>
                  <w:tcW w:w="420" w:type="pct"/>
                  <w:vMerge w:val="restart"/>
                  <w:tcBorders>
                    <w:tl2br w:val="nil"/>
                    <w:tr2bl w:val="nil"/>
                  </w:tcBorders>
                  <w:noWrap w:val="0"/>
                  <w:vAlign w:val="center"/>
                </w:tcPr>
                <w:p w14:paraId="5A94E7A1">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r>
                    <w:rPr>
                      <w:rFonts w:hint="default" w:ascii="Times New Roman" w:hAnsi="Times New Roman" w:cs="Times New Roman"/>
                      <w:color w:val="auto"/>
                      <w:spacing w:val="0"/>
                      <w:w w:val="100"/>
                      <w:sz w:val="21"/>
                      <w:szCs w:val="21"/>
                      <w:highlight w:val="none"/>
                      <w:lang w:val="en-US" w:eastAsia="zh-CN"/>
                    </w:rPr>
                    <w:t>建筑物插入损失/dB（A）</w:t>
                  </w:r>
                </w:p>
              </w:tc>
              <w:tc>
                <w:tcPr>
                  <w:tcW w:w="630" w:type="pct"/>
                  <w:gridSpan w:val="2"/>
                  <w:tcBorders>
                    <w:tl2br w:val="nil"/>
                    <w:tr2bl w:val="nil"/>
                  </w:tcBorders>
                  <w:noWrap w:val="0"/>
                  <w:vAlign w:val="center"/>
                </w:tcPr>
                <w:p w14:paraId="12961AEC">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r>
                    <w:rPr>
                      <w:rFonts w:hint="default" w:ascii="Times New Roman" w:hAnsi="Times New Roman" w:cs="Times New Roman"/>
                      <w:color w:val="auto"/>
                      <w:spacing w:val="0"/>
                      <w:w w:val="100"/>
                      <w:sz w:val="21"/>
                      <w:szCs w:val="21"/>
                      <w:highlight w:val="none"/>
                      <w:lang w:val="en-US" w:eastAsia="zh-CN"/>
                    </w:rPr>
                    <w:t>建筑物外噪声</w:t>
                  </w:r>
                </w:p>
              </w:tc>
            </w:tr>
            <w:tr w14:paraId="03F62DF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95" w:hRule="atLeast"/>
              </w:trPr>
              <w:tc>
                <w:tcPr>
                  <w:tcW w:w="156" w:type="pct"/>
                  <w:vMerge w:val="continue"/>
                  <w:tcBorders>
                    <w:tl2br w:val="nil"/>
                    <w:tr2bl w:val="nil"/>
                  </w:tcBorders>
                  <w:noWrap w:val="0"/>
                  <w:vAlign w:val="center"/>
                </w:tcPr>
                <w:p w14:paraId="3F10BE29">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p>
              </w:tc>
              <w:tc>
                <w:tcPr>
                  <w:tcW w:w="396" w:type="pct"/>
                  <w:vMerge w:val="continue"/>
                  <w:tcBorders>
                    <w:tl2br w:val="nil"/>
                    <w:tr2bl w:val="nil"/>
                  </w:tcBorders>
                  <w:noWrap w:val="0"/>
                  <w:vAlign w:val="center"/>
                </w:tcPr>
                <w:p w14:paraId="4BD95A22">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p>
              </w:tc>
              <w:tc>
                <w:tcPr>
                  <w:tcW w:w="634" w:type="pct"/>
                  <w:vMerge w:val="continue"/>
                  <w:tcBorders>
                    <w:tl2br w:val="nil"/>
                    <w:tr2bl w:val="nil"/>
                  </w:tcBorders>
                  <w:noWrap w:val="0"/>
                  <w:vAlign w:val="center"/>
                </w:tcPr>
                <w:p w14:paraId="4F560545">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p>
              </w:tc>
              <w:tc>
                <w:tcPr>
                  <w:tcW w:w="550" w:type="pct"/>
                  <w:tcBorders>
                    <w:tl2br w:val="nil"/>
                    <w:tr2bl w:val="nil"/>
                  </w:tcBorders>
                  <w:noWrap w:val="0"/>
                  <w:vAlign w:val="center"/>
                </w:tcPr>
                <w:p w14:paraId="35C10BCC">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r>
                    <w:rPr>
                      <w:rFonts w:hint="default" w:ascii="Times New Roman" w:hAnsi="Times New Roman" w:cs="Times New Roman"/>
                      <w:color w:val="auto"/>
                      <w:spacing w:val="0"/>
                      <w:w w:val="100"/>
                      <w:sz w:val="21"/>
                      <w:szCs w:val="21"/>
                      <w:highlight w:val="none"/>
                      <w:lang w:val="en-US" w:eastAsia="zh-CN"/>
                    </w:rPr>
                    <w:t>声功率级/dB（A）</w:t>
                  </w:r>
                </w:p>
              </w:tc>
              <w:tc>
                <w:tcPr>
                  <w:tcW w:w="364" w:type="pct"/>
                  <w:vMerge w:val="continue"/>
                  <w:tcBorders>
                    <w:tl2br w:val="nil"/>
                    <w:tr2bl w:val="nil"/>
                  </w:tcBorders>
                  <w:noWrap w:val="0"/>
                  <w:vAlign w:val="center"/>
                </w:tcPr>
                <w:p w14:paraId="38232EAC">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p>
              </w:tc>
              <w:tc>
                <w:tcPr>
                  <w:tcW w:w="287" w:type="pct"/>
                  <w:tcBorders>
                    <w:tl2br w:val="nil"/>
                    <w:tr2bl w:val="nil"/>
                  </w:tcBorders>
                  <w:noWrap w:val="0"/>
                  <w:vAlign w:val="center"/>
                </w:tcPr>
                <w:p w14:paraId="37115D5A">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r>
                    <w:rPr>
                      <w:rFonts w:hint="default" w:ascii="Times New Roman" w:hAnsi="Times New Roman" w:cs="Times New Roman"/>
                      <w:color w:val="auto"/>
                      <w:spacing w:val="0"/>
                      <w:w w:val="100"/>
                      <w:sz w:val="21"/>
                      <w:szCs w:val="21"/>
                      <w:highlight w:val="none"/>
                      <w:lang w:val="en-US" w:eastAsia="zh-CN"/>
                    </w:rPr>
                    <w:t>X</w:t>
                  </w:r>
                </w:p>
              </w:tc>
              <w:tc>
                <w:tcPr>
                  <w:tcW w:w="274" w:type="pct"/>
                  <w:tcBorders>
                    <w:tl2br w:val="nil"/>
                    <w:tr2bl w:val="nil"/>
                  </w:tcBorders>
                  <w:noWrap w:val="0"/>
                  <w:vAlign w:val="center"/>
                </w:tcPr>
                <w:p w14:paraId="13070078">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r>
                    <w:rPr>
                      <w:rFonts w:hint="default" w:ascii="Times New Roman" w:hAnsi="Times New Roman" w:cs="Times New Roman"/>
                      <w:color w:val="auto"/>
                      <w:spacing w:val="0"/>
                      <w:w w:val="100"/>
                      <w:sz w:val="21"/>
                      <w:szCs w:val="21"/>
                      <w:highlight w:val="none"/>
                      <w:lang w:val="en-US" w:eastAsia="zh-CN"/>
                    </w:rPr>
                    <w:t>Y</w:t>
                  </w:r>
                </w:p>
              </w:tc>
              <w:tc>
                <w:tcPr>
                  <w:tcW w:w="269" w:type="pct"/>
                  <w:tcBorders>
                    <w:tl2br w:val="nil"/>
                    <w:tr2bl w:val="nil"/>
                  </w:tcBorders>
                  <w:noWrap w:val="0"/>
                  <w:vAlign w:val="center"/>
                </w:tcPr>
                <w:p w14:paraId="21CD2791">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r>
                    <w:rPr>
                      <w:rFonts w:hint="default" w:ascii="Times New Roman" w:hAnsi="Times New Roman" w:cs="Times New Roman"/>
                      <w:color w:val="auto"/>
                      <w:spacing w:val="0"/>
                      <w:w w:val="100"/>
                      <w:sz w:val="21"/>
                      <w:szCs w:val="21"/>
                      <w:highlight w:val="none"/>
                      <w:lang w:val="en-US" w:eastAsia="zh-CN"/>
                    </w:rPr>
                    <w:t>Z</w:t>
                  </w:r>
                </w:p>
              </w:tc>
              <w:tc>
                <w:tcPr>
                  <w:tcW w:w="385" w:type="pct"/>
                  <w:vMerge w:val="continue"/>
                  <w:tcBorders>
                    <w:tl2br w:val="nil"/>
                    <w:tr2bl w:val="nil"/>
                  </w:tcBorders>
                  <w:noWrap w:val="0"/>
                  <w:vAlign w:val="center"/>
                </w:tcPr>
                <w:p w14:paraId="0BB04EE8">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p>
              </w:tc>
              <w:tc>
                <w:tcPr>
                  <w:tcW w:w="365" w:type="pct"/>
                  <w:vMerge w:val="continue"/>
                  <w:tcBorders>
                    <w:tl2br w:val="nil"/>
                    <w:tr2bl w:val="nil"/>
                  </w:tcBorders>
                  <w:noWrap w:val="0"/>
                  <w:vAlign w:val="center"/>
                </w:tcPr>
                <w:p w14:paraId="62AA2435">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p>
              </w:tc>
              <w:tc>
                <w:tcPr>
                  <w:tcW w:w="265" w:type="pct"/>
                  <w:vMerge w:val="continue"/>
                  <w:tcBorders>
                    <w:tl2br w:val="nil"/>
                    <w:tr2bl w:val="nil"/>
                  </w:tcBorders>
                  <w:noWrap w:val="0"/>
                  <w:vAlign w:val="center"/>
                </w:tcPr>
                <w:p w14:paraId="3860DF0E">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p>
              </w:tc>
              <w:tc>
                <w:tcPr>
                  <w:tcW w:w="420" w:type="pct"/>
                  <w:vMerge w:val="continue"/>
                  <w:tcBorders>
                    <w:tl2br w:val="nil"/>
                    <w:tr2bl w:val="nil"/>
                  </w:tcBorders>
                  <w:noWrap w:val="0"/>
                  <w:vAlign w:val="center"/>
                </w:tcPr>
                <w:p w14:paraId="7BD51553">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p>
              </w:tc>
              <w:tc>
                <w:tcPr>
                  <w:tcW w:w="314" w:type="pct"/>
                  <w:tcBorders>
                    <w:tl2br w:val="nil"/>
                    <w:tr2bl w:val="nil"/>
                  </w:tcBorders>
                  <w:noWrap w:val="0"/>
                  <w:vAlign w:val="center"/>
                </w:tcPr>
                <w:p w14:paraId="2388821A">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r>
                    <w:rPr>
                      <w:rFonts w:hint="default" w:ascii="Times New Roman" w:hAnsi="Times New Roman" w:cs="Times New Roman"/>
                      <w:color w:val="auto"/>
                      <w:spacing w:val="0"/>
                      <w:w w:val="100"/>
                      <w:sz w:val="21"/>
                      <w:szCs w:val="21"/>
                      <w:highlight w:val="none"/>
                      <w:lang w:val="en-US" w:eastAsia="zh-CN"/>
                    </w:rPr>
                    <w:t>声压级/dB（A）</w:t>
                  </w:r>
                </w:p>
              </w:tc>
              <w:tc>
                <w:tcPr>
                  <w:tcW w:w="316" w:type="pct"/>
                  <w:tcBorders>
                    <w:tl2br w:val="nil"/>
                    <w:tr2bl w:val="nil"/>
                  </w:tcBorders>
                  <w:noWrap w:val="0"/>
                  <w:vAlign w:val="center"/>
                </w:tcPr>
                <w:p w14:paraId="01C04D52">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r>
                    <w:rPr>
                      <w:rFonts w:hint="default" w:ascii="Times New Roman" w:hAnsi="Times New Roman" w:cs="Times New Roman"/>
                      <w:color w:val="auto"/>
                      <w:spacing w:val="0"/>
                      <w:w w:val="100"/>
                      <w:sz w:val="21"/>
                      <w:szCs w:val="21"/>
                      <w:highlight w:val="none"/>
                      <w:lang w:val="en-US" w:eastAsia="zh-CN"/>
                    </w:rPr>
                    <w:t>建筑物外距离</w:t>
                  </w:r>
                </w:p>
              </w:tc>
            </w:tr>
            <w:tr w14:paraId="2A32606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56" w:type="pct"/>
                  <w:tcBorders>
                    <w:tl2br w:val="nil"/>
                    <w:tr2bl w:val="nil"/>
                  </w:tcBorders>
                  <w:noWrap w:val="0"/>
                  <w:vAlign w:val="center"/>
                </w:tcPr>
                <w:p w14:paraId="730A140E">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r>
                    <w:rPr>
                      <w:rFonts w:hint="default" w:ascii="Times New Roman" w:hAnsi="Times New Roman" w:cs="Times New Roman"/>
                      <w:color w:val="auto"/>
                      <w:spacing w:val="0"/>
                      <w:w w:val="100"/>
                      <w:sz w:val="21"/>
                      <w:szCs w:val="21"/>
                      <w:highlight w:val="none"/>
                      <w:lang w:val="en-US" w:eastAsia="zh-CN"/>
                    </w:rPr>
                    <w:t>1</w:t>
                  </w:r>
                </w:p>
              </w:tc>
              <w:tc>
                <w:tcPr>
                  <w:tcW w:w="396" w:type="pct"/>
                  <w:vMerge w:val="restart"/>
                  <w:tcBorders>
                    <w:tl2br w:val="nil"/>
                    <w:tr2bl w:val="nil"/>
                  </w:tcBorders>
                  <w:noWrap w:val="0"/>
                  <w:vAlign w:val="center"/>
                </w:tcPr>
                <w:p w14:paraId="6FF1DACE">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r>
                    <w:rPr>
                      <w:rFonts w:hint="eastAsia" w:cs="Times New Roman"/>
                      <w:color w:val="auto"/>
                      <w:spacing w:val="0"/>
                      <w:w w:val="100"/>
                      <w:sz w:val="21"/>
                      <w:szCs w:val="21"/>
                      <w:highlight w:val="none"/>
                      <w:lang w:val="en-US" w:eastAsia="zh-CN"/>
                    </w:rPr>
                    <w:t>样品加工室</w:t>
                  </w:r>
                </w:p>
              </w:tc>
              <w:tc>
                <w:tcPr>
                  <w:tcW w:w="634" w:type="pct"/>
                  <w:tcBorders>
                    <w:tl2br w:val="nil"/>
                    <w:tr2bl w:val="nil"/>
                  </w:tcBorders>
                  <w:noWrap w:val="0"/>
                  <w:vAlign w:val="center"/>
                </w:tcPr>
                <w:p w14:paraId="4991E9E8">
                  <w:pPr>
                    <w:pStyle w:val="77"/>
                    <w:adjustRightInd w:val="0"/>
                    <w:snapToGrid w:val="0"/>
                    <w:spacing w:before="0"/>
                    <w:jc w:val="center"/>
                    <w:rPr>
                      <w:rFonts w:hint="default" w:ascii="Times New Roman" w:hAnsi="Times New Roman" w:cs="Times New Roman"/>
                      <w:color w:val="auto"/>
                      <w:spacing w:val="0"/>
                      <w:w w:val="100"/>
                      <w:sz w:val="21"/>
                      <w:szCs w:val="21"/>
                      <w:highlight w:val="none"/>
                      <w:lang w:val="en-US" w:eastAsia="zh-CN"/>
                    </w:rPr>
                  </w:pPr>
                  <w:r>
                    <w:rPr>
                      <w:rFonts w:hint="eastAsia"/>
                      <w:color w:val="auto"/>
                      <w:lang w:val="en-US" w:eastAsia="zh-CN"/>
                    </w:rPr>
                    <w:t>颚</w:t>
                  </w:r>
                  <w:r>
                    <w:rPr>
                      <w:rFonts w:hint="eastAsia" w:cs="Times New Roman"/>
                      <w:color w:val="auto"/>
                      <w:sz w:val="21"/>
                      <w:szCs w:val="21"/>
                    </w:rPr>
                    <w:t>式破碎机</w:t>
                  </w:r>
                </w:p>
              </w:tc>
              <w:tc>
                <w:tcPr>
                  <w:tcW w:w="550" w:type="pct"/>
                  <w:tcBorders>
                    <w:tl2br w:val="nil"/>
                    <w:tr2bl w:val="nil"/>
                  </w:tcBorders>
                  <w:noWrap w:val="0"/>
                  <w:vAlign w:val="center"/>
                </w:tcPr>
                <w:p w14:paraId="44307D8D">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r>
                    <w:rPr>
                      <w:rFonts w:hint="eastAsia" w:ascii="Times New Roman" w:hAnsi="Times New Roman" w:cs="Times New Roman"/>
                      <w:color w:val="auto"/>
                      <w:spacing w:val="0"/>
                      <w:w w:val="100"/>
                      <w:sz w:val="21"/>
                      <w:szCs w:val="21"/>
                      <w:highlight w:val="none"/>
                      <w:lang w:val="en-US" w:eastAsia="zh-CN"/>
                    </w:rPr>
                    <w:t>85</w:t>
                  </w:r>
                </w:p>
              </w:tc>
              <w:tc>
                <w:tcPr>
                  <w:tcW w:w="364" w:type="pct"/>
                  <w:vMerge w:val="restart"/>
                  <w:tcBorders>
                    <w:tl2br w:val="nil"/>
                    <w:tr2bl w:val="nil"/>
                  </w:tcBorders>
                  <w:noWrap w:val="0"/>
                  <w:vAlign w:val="center"/>
                </w:tcPr>
                <w:p w14:paraId="58987883">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r>
                    <w:rPr>
                      <w:rFonts w:hint="default" w:ascii="Times New Roman" w:hAnsi="Times New Roman" w:eastAsia="宋体" w:cs="Times New Roman"/>
                      <w:color w:val="auto"/>
                      <w:sz w:val="18"/>
                      <w:szCs w:val="18"/>
                      <w:highlight w:val="none"/>
                    </w:rPr>
                    <w:t>基础减振</w:t>
                  </w:r>
                  <w:r>
                    <w:rPr>
                      <w:rFonts w:hint="eastAsia" w:ascii="Times New Roman" w:hAnsi="Times New Roman" w:eastAsia="宋体" w:cs="Times New Roman"/>
                      <w:color w:val="auto"/>
                      <w:sz w:val="18"/>
                      <w:szCs w:val="18"/>
                      <w:highlight w:val="none"/>
                      <w:lang w:eastAsia="zh-CN"/>
                    </w:rPr>
                    <w:t>，安装防震垫，柔性连接</w:t>
                  </w:r>
                  <w:r>
                    <w:rPr>
                      <w:rFonts w:hint="eastAsia" w:cs="Times New Roman"/>
                      <w:color w:val="auto"/>
                      <w:sz w:val="18"/>
                      <w:szCs w:val="18"/>
                      <w:highlight w:val="none"/>
                      <w:lang w:eastAsia="zh-CN"/>
                    </w:rPr>
                    <w:t>、</w:t>
                  </w:r>
                  <w:r>
                    <w:rPr>
                      <w:rFonts w:hint="eastAsia" w:cs="Times New Roman"/>
                      <w:color w:val="auto"/>
                      <w:sz w:val="18"/>
                      <w:szCs w:val="18"/>
                      <w:highlight w:val="none"/>
                      <w:lang w:val="en-US" w:eastAsia="zh-CN"/>
                    </w:rPr>
                    <w:t>厂房隔声</w:t>
                  </w:r>
                </w:p>
              </w:tc>
              <w:tc>
                <w:tcPr>
                  <w:tcW w:w="287" w:type="pct"/>
                  <w:tcBorders>
                    <w:tl2br w:val="nil"/>
                    <w:tr2bl w:val="nil"/>
                  </w:tcBorders>
                  <w:noWrap w:val="0"/>
                  <w:vAlign w:val="center"/>
                </w:tcPr>
                <w:p w14:paraId="72460FBE">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r>
                    <w:rPr>
                      <w:rFonts w:hint="eastAsia" w:cs="Times New Roman"/>
                      <w:color w:val="auto"/>
                      <w:spacing w:val="0"/>
                      <w:w w:val="100"/>
                      <w:sz w:val="21"/>
                      <w:szCs w:val="21"/>
                      <w:highlight w:val="none"/>
                      <w:lang w:val="en-US" w:eastAsia="zh-CN"/>
                    </w:rPr>
                    <w:t>5</w:t>
                  </w:r>
                </w:p>
              </w:tc>
              <w:tc>
                <w:tcPr>
                  <w:tcW w:w="274" w:type="pct"/>
                  <w:tcBorders>
                    <w:tl2br w:val="nil"/>
                    <w:tr2bl w:val="nil"/>
                  </w:tcBorders>
                  <w:noWrap w:val="0"/>
                  <w:vAlign w:val="center"/>
                </w:tcPr>
                <w:p w14:paraId="4B2ACC60">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r>
                    <w:rPr>
                      <w:rFonts w:hint="eastAsia" w:cs="Times New Roman"/>
                      <w:color w:val="auto"/>
                      <w:spacing w:val="0"/>
                      <w:w w:val="100"/>
                      <w:sz w:val="21"/>
                      <w:szCs w:val="21"/>
                      <w:highlight w:val="none"/>
                      <w:lang w:val="en-US" w:eastAsia="zh-CN"/>
                    </w:rPr>
                    <w:t>13</w:t>
                  </w:r>
                </w:p>
              </w:tc>
              <w:tc>
                <w:tcPr>
                  <w:tcW w:w="269" w:type="pct"/>
                  <w:tcBorders>
                    <w:tl2br w:val="nil"/>
                    <w:tr2bl w:val="nil"/>
                  </w:tcBorders>
                  <w:noWrap w:val="0"/>
                  <w:vAlign w:val="center"/>
                </w:tcPr>
                <w:p w14:paraId="549DE656">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r>
                    <w:rPr>
                      <w:rFonts w:hint="eastAsia" w:ascii="Times New Roman" w:hAnsi="Times New Roman" w:cs="Times New Roman"/>
                      <w:color w:val="auto"/>
                      <w:spacing w:val="0"/>
                      <w:w w:val="100"/>
                      <w:sz w:val="21"/>
                      <w:szCs w:val="21"/>
                      <w:highlight w:val="none"/>
                      <w:lang w:val="en-US" w:eastAsia="zh-CN"/>
                    </w:rPr>
                    <w:t>1.5</w:t>
                  </w:r>
                </w:p>
              </w:tc>
              <w:tc>
                <w:tcPr>
                  <w:tcW w:w="385" w:type="pct"/>
                  <w:tcBorders>
                    <w:tl2br w:val="nil"/>
                    <w:tr2bl w:val="nil"/>
                  </w:tcBorders>
                  <w:noWrap w:val="0"/>
                  <w:vAlign w:val="center"/>
                </w:tcPr>
                <w:p w14:paraId="2F5AFB8A">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r>
                    <w:rPr>
                      <w:rFonts w:hint="eastAsia" w:cs="Times New Roman"/>
                      <w:color w:val="auto"/>
                      <w:spacing w:val="0"/>
                      <w:w w:val="100"/>
                      <w:sz w:val="21"/>
                      <w:szCs w:val="21"/>
                      <w:highlight w:val="none"/>
                      <w:lang w:val="en-US" w:eastAsia="zh-CN"/>
                    </w:rPr>
                    <w:t>3</w:t>
                  </w:r>
                </w:p>
              </w:tc>
              <w:tc>
                <w:tcPr>
                  <w:tcW w:w="1021" w:type="dxa"/>
                  <w:tcBorders>
                    <w:tl2br w:val="nil"/>
                    <w:tr2bl w:val="nil"/>
                  </w:tcBorders>
                  <w:noWrap w:val="0"/>
                  <w:vAlign w:val="center"/>
                </w:tcPr>
                <w:p w14:paraId="6512E5A9">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r>
                    <w:rPr>
                      <w:rFonts w:hint="eastAsia" w:cs="Times New Roman"/>
                      <w:color w:val="auto"/>
                      <w:spacing w:val="0"/>
                      <w:w w:val="100"/>
                      <w:sz w:val="21"/>
                      <w:szCs w:val="21"/>
                      <w:highlight w:val="none"/>
                      <w:lang w:val="en-US" w:eastAsia="zh-CN"/>
                    </w:rPr>
                    <w:t>68.5</w:t>
                  </w:r>
                </w:p>
              </w:tc>
              <w:tc>
                <w:tcPr>
                  <w:tcW w:w="265" w:type="pct"/>
                  <w:tcBorders>
                    <w:tl2br w:val="nil"/>
                    <w:tr2bl w:val="nil"/>
                  </w:tcBorders>
                  <w:noWrap w:val="0"/>
                  <w:vAlign w:val="center"/>
                </w:tcPr>
                <w:p w14:paraId="1C7E4F4A">
                  <w:pPr>
                    <w:widowControl w:val="0"/>
                    <w:wordWrap/>
                    <w:adjustRightInd/>
                    <w:snapToGrid/>
                    <w:spacing w:line="240" w:lineRule="auto"/>
                    <w:ind w:firstLine="0" w:firstLineChars="0"/>
                    <w:jc w:val="center"/>
                    <w:textAlignment w:val="auto"/>
                    <w:rPr>
                      <w:rFonts w:hint="default" w:ascii="Times New Roman" w:hAnsi="Times New Roman" w:eastAsia="宋体" w:cs="Times New Roman"/>
                      <w:color w:val="auto"/>
                      <w:spacing w:val="0"/>
                      <w:w w:val="100"/>
                      <w:kern w:val="2"/>
                      <w:sz w:val="21"/>
                      <w:szCs w:val="21"/>
                      <w:highlight w:val="none"/>
                      <w:lang w:val="en-US" w:eastAsia="zh-CN" w:bidi="ar-SA"/>
                    </w:rPr>
                  </w:pPr>
                  <w:r>
                    <w:rPr>
                      <w:rFonts w:hint="eastAsia" w:cs="Times New Roman"/>
                      <w:color w:val="auto"/>
                      <w:spacing w:val="0"/>
                      <w:w w:val="100"/>
                      <w:kern w:val="2"/>
                      <w:sz w:val="21"/>
                      <w:szCs w:val="21"/>
                      <w:highlight w:val="none"/>
                      <w:lang w:val="en-US" w:eastAsia="zh-CN" w:bidi="ar-SA"/>
                    </w:rPr>
                    <w:t>8</w:t>
                  </w:r>
                  <w:r>
                    <w:rPr>
                      <w:rFonts w:hint="eastAsia" w:ascii="Times New Roman" w:hAnsi="Times New Roman" w:eastAsia="宋体" w:cs="Times New Roman"/>
                      <w:color w:val="auto"/>
                      <w:spacing w:val="0"/>
                      <w:w w:val="100"/>
                      <w:kern w:val="2"/>
                      <w:sz w:val="21"/>
                      <w:szCs w:val="21"/>
                      <w:highlight w:val="none"/>
                      <w:lang w:val="en-US" w:eastAsia="zh-CN" w:bidi="ar-SA"/>
                    </w:rPr>
                    <w:t>h</w:t>
                  </w:r>
                </w:p>
              </w:tc>
              <w:tc>
                <w:tcPr>
                  <w:tcW w:w="420" w:type="pct"/>
                  <w:vMerge w:val="restart"/>
                  <w:tcBorders>
                    <w:tl2br w:val="nil"/>
                    <w:tr2bl w:val="nil"/>
                  </w:tcBorders>
                  <w:noWrap w:val="0"/>
                  <w:vAlign w:val="center"/>
                </w:tcPr>
                <w:p w14:paraId="5BE33F10">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r>
                    <w:rPr>
                      <w:rFonts w:hint="default" w:ascii="Times New Roman" w:hAnsi="Times New Roman" w:cs="Times New Roman"/>
                      <w:color w:val="auto"/>
                      <w:spacing w:val="0"/>
                      <w:w w:val="100"/>
                      <w:sz w:val="21"/>
                      <w:szCs w:val="21"/>
                      <w:highlight w:val="none"/>
                      <w:lang w:val="en-US" w:eastAsia="zh-CN"/>
                    </w:rPr>
                    <w:t>厂房隔声30</w:t>
                  </w:r>
                </w:p>
              </w:tc>
              <w:tc>
                <w:tcPr>
                  <w:tcW w:w="879" w:type="dxa"/>
                  <w:tcBorders>
                    <w:tl2br w:val="nil"/>
                    <w:tr2bl w:val="nil"/>
                  </w:tcBorders>
                  <w:noWrap w:val="0"/>
                  <w:vAlign w:val="center"/>
                </w:tcPr>
                <w:p w14:paraId="2556ED24">
                  <w:pPr>
                    <w:widowControl w:val="0"/>
                    <w:wordWrap/>
                    <w:adjustRightInd/>
                    <w:snapToGrid/>
                    <w:spacing w:line="240" w:lineRule="auto"/>
                    <w:ind w:firstLine="0" w:firstLineChars="0"/>
                    <w:jc w:val="center"/>
                    <w:textAlignment w:val="auto"/>
                    <w:rPr>
                      <w:rFonts w:hint="default" w:ascii="Times New Roman" w:hAnsi="Times New Roman" w:eastAsia="宋体" w:cs="Times New Roman"/>
                      <w:color w:val="auto"/>
                      <w:spacing w:val="0"/>
                      <w:w w:val="100"/>
                      <w:kern w:val="2"/>
                      <w:sz w:val="21"/>
                      <w:szCs w:val="21"/>
                      <w:highlight w:val="none"/>
                      <w:lang w:val="en-US" w:eastAsia="zh-CN" w:bidi="ar-SA"/>
                    </w:rPr>
                  </w:pPr>
                  <w:r>
                    <w:rPr>
                      <w:rFonts w:hint="eastAsia" w:ascii="Times New Roman" w:hAnsi="Times New Roman" w:eastAsia="宋体" w:cs="Times New Roman"/>
                      <w:color w:val="auto"/>
                      <w:spacing w:val="0"/>
                      <w:w w:val="100"/>
                      <w:kern w:val="2"/>
                      <w:sz w:val="21"/>
                      <w:szCs w:val="21"/>
                      <w:highlight w:val="none"/>
                      <w:lang w:val="en-US" w:eastAsia="zh-CN" w:bidi="ar-SA"/>
                    </w:rPr>
                    <w:t>38.5</w:t>
                  </w:r>
                </w:p>
              </w:tc>
              <w:tc>
                <w:tcPr>
                  <w:tcW w:w="316" w:type="pct"/>
                  <w:tcBorders>
                    <w:tl2br w:val="nil"/>
                    <w:tr2bl w:val="nil"/>
                  </w:tcBorders>
                  <w:noWrap w:val="0"/>
                  <w:vAlign w:val="center"/>
                </w:tcPr>
                <w:p w14:paraId="2B485C31">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r>
                    <w:rPr>
                      <w:rFonts w:hint="default" w:ascii="Times New Roman" w:hAnsi="Times New Roman" w:cs="Times New Roman"/>
                      <w:color w:val="auto"/>
                      <w:spacing w:val="0"/>
                      <w:w w:val="100"/>
                      <w:sz w:val="21"/>
                      <w:szCs w:val="21"/>
                      <w:highlight w:val="none"/>
                      <w:lang w:val="en-US" w:eastAsia="zh-CN"/>
                    </w:rPr>
                    <w:t>1</w:t>
                  </w:r>
                </w:p>
              </w:tc>
            </w:tr>
            <w:tr w14:paraId="78462FF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00" w:hRule="atLeast"/>
              </w:trPr>
              <w:tc>
                <w:tcPr>
                  <w:tcW w:w="156" w:type="pct"/>
                  <w:tcBorders>
                    <w:tl2br w:val="nil"/>
                    <w:tr2bl w:val="nil"/>
                  </w:tcBorders>
                  <w:noWrap w:val="0"/>
                  <w:vAlign w:val="center"/>
                </w:tcPr>
                <w:p w14:paraId="1C47654A">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r>
                    <w:rPr>
                      <w:rFonts w:hint="default" w:ascii="Times New Roman" w:hAnsi="Times New Roman" w:cs="Times New Roman"/>
                      <w:color w:val="auto"/>
                      <w:spacing w:val="0"/>
                      <w:w w:val="100"/>
                      <w:sz w:val="21"/>
                      <w:szCs w:val="21"/>
                      <w:highlight w:val="none"/>
                      <w:lang w:val="en-US" w:eastAsia="zh-CN"/>
                    </w:rPr>
                    <w:t>2</w:t>
                  </w:r>
                </w:p>
              </w:tc>
              <w:tc>
                <w:tcPr>
                  <w:tcW w:w="396" w:type="pct"/>
                  <w:vMerge w:val="continue"/>
                  <w:tcBorders>
                    <w:tl2br w:val="nil"/>
                    <w:tr2bl w:val="nil"/>
                  </w:tcBorders>
                  <w:noWrap w:val="0"/>
                  <w:vAlign w:val="center"/>
                </w:tcPr>
                <w:p w14:paraId="4DE774BA">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p>
              </w:tc>
              <w:tc>
                <w:tcPr>
                  <w:tcW w:w="634" w:type="pct"/>
                  <w:tcBorders>
                    <w:tl2br w:val="nil"/>
                    <w:tr2bl w:val="nil"/>
                  </w:tcBorders>
                  <w:noWrap w:val="0"/>
                  <w:vAlign w:val="center"/>
                </w:tcPr>
                <w:p w14:paraId="77DE60AE">
                  <w:pPr>
                    <w:pStyle w:val="77"/>
                    <w:adjustRightInd w:val="0"/>
                    <w:snapToGrid w:val="0"/>
                    <w:spacing w:before="0"/>
                    <w:jc w:val="center"/>
                    <w:rPr>
                      <w:rFonts w:hint="default" w:ascii="Times New Roman" w:hAnsi="Times New Roman" w:cs="Times New Roman"/>
                      <w:color w:val="auto"/>
                      <w:spacing w:val="0"/>
                      <w:w w:val="100"/>
                      <w:sz w:val="21"/>
                      <w:szCs w:val="21"/>
                      <w:highlight w:val="none"/>
                      <w:lang w:val="en-US" w:eastAsia="zh-CN"/>
                    </w:rPr>
                  </w:pPr>
                  <w:r>
                    <w:rPr>
                      <w:rFonts w:hint="eastAsia"/>
                      <w:color w:val="auto"/>
                      <w:lang w:val="en-US" w:eastAsia="zh-CN"/>
                    </w:rPr>
                    <w:t>颚</w:t>
                  </w:r>
                  <w:r>
                    <w:rPr>
                      <w:rFonts w:hint="eastAsia" w:cs="Times New Roman"/>
                      <w:color w:val="auto"/>
                      <w:sz w:val="21"/>
                      <w:szCs w:val="21"/>
                    </w:rPr>
                    <w:t>式破碎机</w:t>
                  </w:r>
                </w:p>
              </w:tc>
              <w:tc>
                <w:tcPr>
                  <w:tcW w:w="550" w:type="pct"/>
                  <w:tcBorders>
                    <w:tl2br w:val="nil"/>
                    <w:tr2bl w:val="nil"/>
                  </w:tcBorders>
                  <w:noWrap w:val="0"/>
                  <w:vAlign w:val="center"/>
                </w:tcPr>
                <w:p w14:paraId="55B04CC5">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r>
                    <w:rPr>
                      <w:rFonts w:hint="eastAsia" w:ascii="Times New Roman" w:hAnsi="Times New Roman" w:cs="Times New Roman"/>
                      <w:color w:val="auto"/>
                      <w:spacing w:val="0"/>
                      <w:w w:val="100"/>
                      <w:sz w:val="21"/>
                      <w:szCs w:val="21"/>
                      <w:highlight w:val="none"/>
                      <w:lang w:val="en-US" w:eastAsia="zh-CN"/>
                    </w:rPr>
                    <w:t>85</w:t>
                  </w:r>
                </w:p>
              </w:tc>
              <w:tc>
                <w:tcPr>
                  <w:tcW w:w="364" w:type="pct"/>
                  <w:vMerge w:val="continue"/>
                  <w:tcBorders>
                    <w:tl2br w:val="nil"/>
                    <w:tr2bl w:val="nil"/>
                  </w:tcBorders>
                  <w:noWrap w:val="0"/>
                  <w:vAlign w:val="center"/>
                </w:tcPr>
                <w:p w14:paraId="67BB3AD8">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p>
              </w:tc>
              <w:tc>
                <w:tcPr>
                  <w:tcW w:w="287" w:type="pct"/>
                  <w:tcBorders>
                    <w:tl2br w:val="nil"/>
                    <w:tr2bl w:val="nil"/>
                  </w:tcBorders>
                  <w:noWrap w:val="0"/>
                  <w:vAlign w:val="center"/>
                </w:tcPr>
                <w:p w14:paraId="6A6AD322">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r>
                    <w:rPr>
                      <w:rFonts w:hint="eastAsia" w:cs="Times New Roman"/>
                      <w:color w:val="auto"/>
                      <w:spacing w:val="0"/>
                      <w:w w:val="100"/>
                      <w:sz w:val="21"/>
                      <w:szCs w:val="21"/>
                      <w:highlight w:val="none"/>
                      <w:lang w:val="en-US" w:eastAsia="zh-CN"/>
                    </w:rPr>
                    <w:t>5</w:t>
                  </w:r>
                </w:p>
              </w:tc>
              <w:tc>
                <w:tcPr>
                  <w:tcW w:w="274" w:type="pct"/>
                  <w:tcBorders>
                    <w:tl2br w:val="nil"/>
                    <w:tr2bl w:val="nil"/>
                  </w:tcBorders>
                  <w:noWrap w:val="0"/>
                  <w:vAlign w:val="center"/>
                </w:tcPr>
                <w:p w14:paraId="5C414E7E">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r>
                    <w:rPr>
                      <w:rFonts w:hint="eastAsia" w:ascii="Times New Roman" w:hAnsi="Times New Roman" w:cs="Times New Roman"/>
                      <w:color w:val="auto"/>
                      <w:spacing w:val="0"/>
                      <w:w w:val="100"/>
                      <w:sz w:val="21"/>
                      <w:szCs w:val="21"/>
                      <w:highlight w:val="none"/>
                      <w:lang w:val="en-US" w:eastAsia="zh-CN"/>
                    </w:rPr>
                    <w:t>15</w:t>
                  </w:r>
                </w:p>
              </w:tc>
              <w:tc>
                <w:tcPr>
                  <w:tcW w:w="269" w:type="pct"/>
                  <w:tcBorders>
                    <w:tl2br w:val="nil"/>
                    <w:tr2bl w:val="nil"/>
                  </w:tcBorders>
                  <w:noWrap w:val="0"/>
                  <w:vAlign w:val="center"/>
                </w:tcPr>
                <w:p w14:paraId="2F6A5C3E">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r>
                    <w:rPr>
                      <w:rFonts w:hint="eastAsia" w:ascii="Times New Roman" w:hAnsi="Times New Roman" w:cs="Times New Roman"/>
                      <w:color w:val="auto"/>
                      <w:spacing w:val="0"/>
                      <w:w w:val="100"/>
                      <w:sz w:val="21"/>
                      <w:szCs w:val="21"/>
                      <w:highlight w:val="none"/>
                      <w:lang w:val="en-US" w:eastAsia="zh-CN"/>
                    </w:rPr>
                    <w:t>1.5</w:t>
                  </w:r>
                </w:p>
              </w:tc>
              <w:tc>
                <w:tcPr>
                  <w:tcW w:w="385" w:type="pct"/>
                  <w:tcBorders>
                    <w:tl2br w:val="nil"/>
                    <w:tr2bl w:val="nil"/>
                  </w:tcBorders>
                  <w:noWrap w:val="0"/>
                  <w:vAlign w:val="center"/>
                </w:tcPr>
                <w:p w14:paraId="67D84B83">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r>
                    <w:rPr>
                      <w:rFonts w:hint="eastAsia" w:cs="Times New Roman"/>
                      <w:color w:val="auto"/>
                      <w:spacing w:val="0"/>
                      <w:w w:val="100"/>
                      <w:sz w:val="21"/>
                      <w:szCs w:val="21"/>
                      <w:highlight w:val="none"/>
                      <w:lang w:val="en-US" w:eastAsia="zh-CN"/>
                    </w:rPr>
                    <w:t>2</w:t>
                  </w:r>
                </w:p>
              </w:tc>
              <w:tc>
                <w:tcPr>
                  <w:tcW w:w="1021" w:type="dxa"/>
                  <w:tcBorders>
                    <w:tl2br w:val="nil"/>
                    <w:tr2bl w:val="nil"/>
                  </w:tcBorders>
                  <w:noWrap w:val="0"/>
                  <w:vAlign w:val="center"/>
                </w:tcPr>
                <w:p w14:paraId="6C1C3907">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r>
                    <w:rPr>
                      <w:rFonts w:hint="eastAsia" w:cs="Times New Roman"/>
                      <w:color w:val="auto"/>
                      <w:spacing w:val="0"/>
                      <w:w w:val="100"/>
                      <w:sz w:val="21"/>
                      <w:szCs w:val="21"/>
                      <w:highlight w:val="none"/>
                      <w:lang w:val="en-US" w:eastAsia="zh-CN"/>
                    </w:rPr>
                    <w:t>70.9</w:t>
                  </w:r>
                </w:p>
              </w:tc>
              <w:tc>
                <w:tcPr>
                  <w:tcW w:w="265" w:type="pct"/>
                  <w:tcBorders>
                    <w:tl2br w:val="nil"/>
                    <w:tr2bl w:val="nil"/>
                  </w:tcBorders>
                  <w:noWrap w:val="0"/>
                  <w:vAlign w:val="center"/>
                </w:tcPr>
                <w:p w14:paraId="1F301875">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r>
                    <w:rPr>
                      <w:rFonts w:hint="eastAsia" w:cs="Times New Roman"/>
                      <w:color w:val="auto"/>
                      <w:spacing w:val="0"/>
                      <w:w w:val="100"/>
                      <w:kern w:val="2"/>
                      <w:sz w:val="21"/>
                      <w:szCs w:val="21"/>
                      <w:highlight w:val="none"/>
                      <w:lang w:val="en-US" w:eastAsia="zh-CN" w:bidi="ar-SA"/>
                    </w:rPr>
                    <w:t>8</w:t>
                  </w:r>
                  <w:r>
                    <w:rPr>
                      <w:rFonts w:hint="eastAsia" w:ascii="Times New Roman" w:hAnsi="Times New Roman" w:eastAsia="宋体" w:cs="Times New Roman"/>
                      <w:color w:val="auto"/>
                      <w:spacing w:val="0"/>
                      <w:w w:val="100"/>
                      <w:kern w:val="2"/>
                      <w:sz w:val="21"/>
                      <w:szCs w:val="21"/>
                      <w:highlight w:val="none"/>
                      <w:lang w:val="en-US" w:eastAsia="zh-CN" w:bidi="ar-SA"/>
                    </w:rPr>
                    <w:t>h</w:t>
                  </w:r>
                </w:p>
              </w:tc>
              <w:tc>
                <w:tcPr>
                  <w:tcW w:w="420" w:type="pct"/>
                  <w:vMerge w:val="continue"/>
                  <w:tcBorders>
                    <w:tl2br w:val="nil"/>
                    <w:tr2bl w:val="nil"/>
                  </w:tcBorders>
                  <w:noWrap w:val="0"/>
                  <w:vAlign w:val="center"/>
                </w:tcPr>
                <w:p w14:paraId="69D19E59">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p>
              </w:tc>
              <w:tc>
                <w:tcPr>
                  <w:tcW w:w="879" w:type="dxa"/>
                  <w:tcBorders>
                    <w:tl2br w:val="nil"/>
                    <w:tr2bl w:val="nil"/>
                  </w:tcBorders>
                  <w:noWrap w:val="0"/>
                  <w:vAlign w:val="center"/>
                </w:tcPr>
                <w:p w14:paraId="43E0D883">
                  <w:pPr>
                    <w:widowControl w:val="0"/>
                    <w:wordWrap/>
                    <w:adjustRightInd/>
                    <w:snapToGrid/>
                    <w:spacing w:line="240" w:lineRule="auto"/>
                    <w:ind w:firstLine="0" w:firstLineChars="0"/>
                    <w:jc w:val="center"/>
                    <w:textAlignment w:val="auto"/>
                    <w:rPr>
                      <w:rFonts w:hint="default" w:ascii="Times New Roman" w:hAnsi="Times New Roman" w:eastAsia="宋体" w:cs="Times New Roman"/>
                      <w:color w:val="auto"/>
                      <w:spacing w:val="0"/>
                      <w:w w:val="100"/>
                      <w:kern w:val="2"/>
                      <w:sz w:val="21"/>
                      <w:szCs w:val="21"/>
                      <w:highlight w:val="none"/>
                      <w:lang w:val="en-US" w:eastAsia="zh-CN" w:bidi="ar-SA"/>
                    </w:rPr>
                  </w:pPr>
                  <w:r>
                    <w:rPr>
                      <w:rFonts w:hint="eastAsia" w:ascii="Times New Roman" w:hAnsi="Times New Roman" w:eastAsia="宋体" w:cs="Times New Roman"/>
                      <w:color w:val="auto"/>
                      <w:spacing w:val="0"/>
                      <w:w w:val="100"/>
                      <w:kern w:val="2"/>
                      <w:sz w:val="21"/>
                      <w:szCs w:val="21"/>
                      <w:highlight w:val="none"/>
                      <w:lang w:val="en-US" w:eastAsia="zh-CN" w:bidi="ar-SA"/>
                    </w:rPr>
                    <w:t>40.9</w:t>
                  </w:r>
                </w:p>
              </w:tc>
              <w:tc>
                <w:tcPr>
                  <w:tcW w:w="316" w:type="pct"/>
                  <w:tcBorders>
                    <w:tl2br w:val="nil"/>
                    <w:tr2bl w:val="nil"/>
                  </w:tcBorders>
                  <w:noWrap w:val="0"/>
                  <w:vAlign w:val="center"/>
                </w:tcPr>
                <w:p w14:paraId="4172AA41">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r>
                    <w:rPr>
                      <w:rFonts w:hint="default" w:ascii="Times New Roman" w:hAnsi="Times New Roman" w:cs="Times New Roman"/>
                      <w:color w:val="auto"/>
                      <w:spacing w:val="0"/>
                      <w:w w:val="100"/>
                      <w:sz w:val="21"/>
                      <w:szCs w:val="21"/>
                      <w:highlight w:val="none"/>
                      <w:lang w:val="en-US" w:eastAsia="zh-CN"/>
                    </w:rPr>
                    <w:t>1</w:t>
                  </w:r>
                </w:p>
              </w:tc>
            </w:tr>
            <w:tr w14:paraId="0FD6C31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1" w:hRule="atLeast"/>
              </w:trPr>
              <w:tc>
                <w:tcPr>
                  <w:tcW w:w="156" w:type="pct"/>
                  <w:tcBorders>
                    <w:tl2br w:val="nil"/>
                    <w:tr2bl w:val="nil"/>
                  </w:tcBorders>
                  <w:noWrap w:val="0"/>
                  <w:vAlign w:val="center"/>
                </w:tcPr>
                <w:p w14:paraId="66FC8686">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r>
                    <w:rPr>
                      <w:rFonts w:hint="default" w:ascii="Times New Roman" w:hAnsi="Times New Roman" w:cs="Times New Roman"/>
                      <w:color w:val="auto"/>
                      <w:spacing w:val="0"/>
                      <w:w w:val="100"/>
                      <w:sz w:val="21"/>
                      <w:szCs w:val="21"/>
                      <w:highlight w:val="none"/>
                      <w:lang w:val="en-US" w:eastAsia="zh-CN"/>
                    </w:rPr>
                    <w:t>3</w:t>
                  </w:r>
                </w:p>
              </w:tc>
              <w:tc>
                <w:tcPr>
                  <w:tcW w:w="396" w:type="pct"/>
                  <w:vMerge w:val="continue"/>
                  <w:tcBorders>
                    <w:tl2br w:val="nil"/>
                    <w:tr2bl w:val="nil"/>
                  </w:tcBorders>
                  <w:noWrap w:val="0"/>
                  <w:vAlign w:val="center"/>
                </w:tcPr>
                <w:p w14:paraId="1D4083B3">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p>
              </w:tc>
              <w:tc>
                <w:tcPr>
                  <w:tcW w:w="634" w:type="pct"/>
                  <w:tcBorders>
                    <w:tl2br w:val="nil"/>
                    <w:tr2bl w:val="nil"/>
                  </w:tcBorders>
                  <w:noWrap w:val="0"/>
                  <w:vAlign w:val="center"/>
                </w:tcPr>
                <w:p w14:paraId="44C82109">
                  <w:pPr>
                    <w:pStyle w:val="77"/>
                    <w:adjustRightInd w:val="0"/>
                    <w:snapToGrid w:val="0"/>
                    <w:spacing w:before="0"/>
                    <w:jc w:val="center"/>
                    <w:rPr>
                      <w:rFonts w:hint="default" w:ascii="Times New Roman" w:hAnsi="Times New Roman" w:cs="Times New Roman"/>
                      <w:color w:val="auto"/>
                      <w:spacing w:val="0"/>
                      <w:w w:val="100"/>
                      <w:sz w:val="21"/>
                      <w:szCs w:val="21"/>
                      <w:highlight w:val="none"/>
                      <w:lang w:val="en-US" w:eastAsia="zh-CN"/>
                    </w:rPr>
                  </w:pPr>
                  <w:r>
                    <w:rPr>
                      <w:rFonts w:hint="eastAsia" w:cs="Times New Roman"/>
                      <w:color w:val="auto"/>
                      <w:sz w:val="21"/>
                      <w:szCs w:val="21"/>
                    </w:rPr>
                    <w:t>圆盘粉碎机</w:t>
                  </w:r>
                </w:p>
              </w:tc>
              <w:tc>
                <w:tcPr>
                  <w:tcW w:w="550" w:type="pct"/>
                  <w:tcBorders>
                    <w:tl2br w:val="nil"/>
                    <w:tr2bl w:val="nil"/>
                  </w:tcBorders>
                  <w:noWrap w:val="0"/>
                  <w:vAlign w:val="center"/>
                </w:tcPr>
                <w:p w14:paraId="1879269C">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r>
                    <w:rPr>
                      <w:rFonts w:hint="eastAsia" w:ascii="Times New Roman" w:hAnsi="Times New Roman" w:cs="Times New Roman"/>
                      <w:color w:val="auto"/>
                      <w:spacing w:val="0"/>
                      <w:w w:val="100"/>
                      <w:sz w:val="21"/>
                      <w:szCs w:val="21"/>
                      <w:highlight w:val="none"/>
                      <w:lang w:val="en-US" w:eastAsia="zh-CN"/>
                    </w:rPr>
                    <w:t>85</w:t>
                  </w:r>
                </w:p>
              </w:tc>
              <w:tc>
                <w:tcPr>
                  <w:tcW w:w="364" w:type="pct"/>
                  <w:vMerge w:val="continue"/>
                  <w:tcBorders>
                    <w:tl2br w:val="nil"/>
                    <w:tr2bl w:val="nil"/>
                  </w:tcBorders>
                  <w:noWrap w:val="0"/>
                  <w:vAlign w:val="center"/>
                </w:tcPr>
                <w:p w14:paraId="7794F611">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p>
              </w:tc>
              <w:tc>
                <w:tcPr>
                  <w:tcW w:w="287" w:type="pct"/>
                  <w:tcBorders>
                    <w:tl2br w:val="nil"/>
                    <w:tr2bl w:val="nil"/>
                  </w:tcBorders>
                  <w:noWrap w:val="0"/>
                  <w:vAlign w:val="center"/>
                </w:tcPr>
                <w:p w14:paraId="0799BADE">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r>
                    <w:rPr>
                      <w:rFonts w:hint="eastAsia" w:cs="Times New Roman"/>
                      <w:color w:val="auto"/>
                      <w:spacing w:val="0"/>
                      <w:w w:val="100"/>
                      <w:sz w:val="21"/>
                      <w:szCs w:val="21"/>
                      <w:highlight w:val="none"/>
                      <w:lang w:val="en-US" w:eastAsia="zh-CN"/>
                    </w:rPr>
                    <w:t>7</w:t>
                  </w:r>
                </w:p>
              </w:tc>
              <w:tc>
                <w:tcPr>
                  <w:tcW w:w="766" w:type="dxa"/>
                  <w:tcBorders>
                    <w:tl2br w:val="nil"/>
                    <w:tr2bl w:val="nil"/>
                  </w:tcBorders>
                  <w:noWrap w:val="0"/>
                  <w:vAlign w:val="center"/>
                </w:tcPr>
                <w:p w14:paraId="6697009B">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r>
                    <w:rPr>
                      <w:rFonts w:hint="eastAsia" w:cs="Times New Roman"/>
                      <w:color w:val="auto"/>
                      <w:spacing w:val="0"/>
                      <w:w w:val="100"/>
                      <w:sz w:val="21"/>
                      <w:szCs w:val="21"/>
                      <w:highlight w:val="none"/>
                      <w:lang w:val="en-US" w:eastAsia="zh-CN"/>
                    </w:rPr>
                    <w:t>13</w:t>
                  </w:r>
                </w:p>
              </w:tc>
              <w:tc>
                <w:tcPr>
                  <w:tcW w:w="269" w:type="pct"/>
                  <w:tcBorders>
                    <w:tl2br w:val="nil"/>
                    <w:tr2bl w:val="nil"/>
                  </w:tcBorders>
                  <w:noWrap w:val="0"/>
                  <w:vAlign w:val="center"/>
                </w:tcPr>
                <w:p w14:paraId="6F761F9C">
                  <w:pPr>
                    <w:widowControl w:val="0"/>
                    <w:wordWrap/>
                    <w:adjustRightInd/>
                    <w:snapToGrid/>
                    <w:spacing w:line="240" w:lineRule="auto"/>
                    <w:ind w:firstLine="0" w:firstLineChars="0"/>
                    <w:jc w:val="center"/>
                    <w:textAlignment w:val="auto"/>
                    <w:rPr>
                      <w:rFonts w:hint="default" w:ascii="Times New Roman" w:hAnsi="Times New Roman" w:eastAsia="宋体" w:cs="Times New Roman"/>
                      <w:color w:val="auto"/>
                      <w:spacing w:val="0"/>
                      <w:w w:val="100"/>
                      <w:sz w:val="21"/>
                      <w:szCs w:val="21"/>
                      <w:highlight w:val="none"/>
                      <w:lang w:val="en-US" w:eastAsia="zh-CN" w:bidi="ar-SA"/>
                    </w:rPr>
                  </w:pPr>
                  <w:r>
                    <w:rPr>
                      <w:rFonts w:hint="eastAsia" w:ascii="Times New Roman" w:hAnsi="Times New Roman" w:eastAsia="宋体" w:cs="Times New Roman"/>
                      <w:color w:val="auto"/>
                      <w:spacing w:val="0"/>
                      <w:w w:val="100"/>
                      <w:sz w:val="21"/>
                      <w:szCs w:val="21"/>
                      <w:highlight w:val="none"/>
                      <w:lang w:val="en-US" w:eastAsia="zh-CN" w:bidi="ar-SA"/>
                    </w:rPr>
                    <w:t>1.5</w:t>
                  </w:r>
                </w:p>
              </w:tc>
              <w:tc>
                <w:tcPr>
                  <w:tcW w:w="1077" w:type="dxa"/>
                  <w:tcBorders>
                    <w:tl2br w:val="nil"/>
                    <w:tr2bl w:val="nil"/>
                  </w:tcBorders>
                  <w:noWrap w:val="0"/>
                  <w:vAlign w:val="center"/>
                </w:tcPr>
                <w:p w14:paraId="4969B0EE">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r>
                    <w:rPr>
                      <w:rFonts w:hint="eastAsia" w:cs="Times New Roman"/>
                      <w:color w:val="auto"/>
                      <w:spacing w:val="0"/>
                      <w:w w:val="100"/>
                      <w:sz w:val="21"/>
                      <w:szCs w:val="21"/>
                      <w:highlight w:val="none"/>
                      <w:lang w:val="en-US" w:eastAsia="zh-CN"/>
                    </w:rPr>
                    <w:t>3</w:t>
                  </w:r>
                </w:p>
              </w:tc>
              <w:tc>
                <w:tcPr>
                  <w:tcW w:w="1021" w:type="dxa"/>
                  <w:tcBorders>
                    <w:tl2br w:val="nil"/>
                    <w:tr2bl w:val="nil"/>
                  </w:tcBorders>
                  <w:noWrap w:val="0"/>
                  <w:vAlign w:val="center"/>
                </w:tcPr>
                <w:p w14:paraId="7878C62E">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r>
                    <w:rPr>
                      <w:rFonts w:hint="eastAsia" w:cs="Times New Roman"/>
                      <w:color w:val="auto"/>
                      <w:spacing w:val="0"/>
                      <w:w w:val="100"/>
                      <w:sz w:val="21"/>
                      <w:szCs w:val="21"/>
                      <w:highlight w:val="none"/>
                      <w:lang w:val="en-US" w:eastAsia="zh-CN"/>
                    </w:rPr>
                    <w:t>68.5</w:t>
                  </w:r>
                </w:p>
              </w:tc>
              <w:tc>
                <w:tcPr>
                  <w:tcW w:w="265" w:type="pct"/>
                  <w:tcBorders>
                    <w:tl2br w:val="nil"/>
                    <w:tr2bl w:val="nil"/>
                  </w:tcBorders>
                  <w:noWrap w:val="0"/>
                  <w:vAlign w:val="center"/>
                </w:tcPr>
                <w:p w14:paraId="012BE16F">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r>
                    <w:rPr>
                      <w:rFonts w:hint="eastAsia" w:cs="Times New Roman"/>
                      <w:color w:val="auto"/>
                      <w:spacing w:val="0"/>
                      <w:w w:val="100"/>
                      <w:kern w:val="2"/>
                      <w:sz w:val="21"/>
                      <w:szCs w:val="21"/>
                      <w:highlight w:val="none"/>
                      <w:lang w:val="en-US" w:eastAsia="zh-CN" w:bidi="ar-SA"/>
                    </w:rPr>
                    <w:t>8</w:t>
                  </w:r>
                  <w:r>
                    <w:rPr>
                      <w:rFonts w:hint="eastAsia" w:ascii="Times New Roman" w:hAnsi="Times New Roman" w:eastAsia="宋体" w:cs="Times New Roman"/>
                      <w:color w:val="auto"/>
                      <w:spacing w:val="0"/>
                      <w:w w:val="100"/>
                      <w:kern w:val="2"/>
                      <w:sz w:val="21"/>
                      <w:szCs w:val="21"/>
                      <w:highlight w:val="none"/>
                      <w:lang w:val="en-US" w:eastAsia="zh-CN" w:bidi="ar-SA"/>
                    </w:rPr>
                    <w:t>h</w:t>
                  </w:r>
                </w:p>
              </w:tc>
              <w:tc>
                <w:tcPr>
                  <w:tcW w:w="420" w:type="pct"/>
                  <w:vMerge w:val="continue"/>
                  <w:tcBorders>
                    <w:tl2br w:val="nil"/>
                    <w:tr2bl w:val="nil"/>
                  </w:tcBorders>
                  <w:noWrap w:val="0"/>
                  <w:vAlign w:val="center"/>
                </w:tcPr>
                <w:p w14:paraId="53AEA26A">
                  <w:pPr>
                    <w:widowControl w:val="0"/>
                    <w:wordWrap/>
                    <w:adjustRightInd/>
                    <w:snapToGrid/>
                    <w:spacing w:line="240" w:lineRule="auto"/>
                    <w:ind w:firstLine="0" w:firstLineChars="0"/>
                    <w:jc w:val="center"/>
                    <w:textAlignment w:val="auto"/>
                    <w:rPr>
                      <w:rFonts w:hint="default" w:ascii="Times New Roman" w:hAnsi="Times New Roman" w:eastAsia="宋体" w:cs="Times New Roman"/>
                      <w:color w:val="auto"/>
                      <w:spacing w:val="0"/>
                      <w:w w:val="100"/>
                      <w:sz w:val="21"/>
                      <w:szCs w:val="21"/>
                      <w:highlight w:val="none"/>
                      <w:lang w:val="en-US" w:eastAsia="zh-CN" w:bidi="ar-SA"/>
                    </w:rPr>
                  </w:pPr>
                </w:p>
              </w:tc>
              <w:tc>
                <w:tcPr>
                  <w:tcW w:w="879" w:type="dxa"/>
                  <w:tcBorders>
                    <w:tl2br w:val="nil"/>
                    <w:tr2bl w:val="nil"/>
                  </w:tcBorders>
                  <w:noWrap w:val="0"/>
                  <w:vAlign w:val="center"/>
                </w:tcPr>
                <w:p w14:paraId="3199420F">
                  <w:pPr>
                    <w:widowControl w:val="0"/>
                    <w:wordWrap/>
                    <w:adjustRightInd/>
                    <w:snapToGrid/>
                    <w:spacing w:line="240" w:lineRule="auto"/>
                    <w:ind w:firstLine="0" w:firstLineChars="0"/>
                    <w:jc w:val="center"/>
                    <w:textAlignment w:val="auto"/>
                    <w:rPr>
                      <w:rFonts w:hint="default" w:ascii="Times New Roman" w:hAnsi="Times New Roman" w:eastAsia="宋体" w:cs="Times New Roman"/>
                      <w:color w:val="auto"/>
                      <w:spacing w:val="0"/>
                      <w:w w:val="100"/>
                      <w:kern w:val="2"/>
                      <w:sz w:val="21"/>
                      <w:szCs w:val="21"/>
                      <w:highlight w:val="none"/>
                      <w:lang w:val="en-US" w:eastAsia="zh-CN" w:bidi="ar-SA"/>
                    </w:rPr>
                  </w:pPr>
                  <w:r>
                    <w:rPr>
                      <w:rFonts w:hint="eastAsia" w:ascii="Times New Roman" w:hAnsi="Times New Roman" w:eastAsia="宋体" w:cs="Times New Roman"/>
                      <w:color w:val="auto"/>
                      <w:spacing w:val="0"/>
                      <w:w w:val="100"/>
                      <w:kern w:val="2"/>
                      <w:sz w:val="21"/>
                      <w:szCs w:val="21"/>
                      <w:highlight w:val="none"/>
                      <w:lang w:val="en-US" w:eastAsia="zh-CN" w:bidi="ar-SA"/>
                    </w:rPr>
                    <w:t>38.5</w:t>
                  </w:r>
                </w:p>
              </w:tc>
              <w:tc>
                <w:tcPr>
                  <w:tcW w:w="316" w:type="pct"/>
                  <w:tcBorders>
                    <w:tl2br w:val="nil"/>
                    <w:tr2bl w:val="nil"/>
                  </w:tcBorders>
                  <w:noWrap w:val="0"/>
                  <w:vAlign w:val="center"/>
                </w:tcPr>
                <w:p w14:paraId="53D2DA58">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r>
                    <w:rPr>
                      <w:rFonts w:hint="default" w:ascii="Times New Roman" w:hAnsi="Times New Roman" w:cs="Times New Roman"/>
                      <w:color w:val="auto"/>
                      <w:spacing w:val="0"/>
                      <w:w w:val="100"/>
                      <w:sz w:val="21"/>
                      <w:szCs w:val="21"/>
                      <w:highlight w:val="none"/>
                      <w:lang w:val="en-US" w:eastAsia="zh-CN"/>
                    </w:rPr>
                    <w:t>1</w:t>
                  </w:r>
                </w:p>
              </w:tc>
            </w:tr>
            <w:tr w14:paraId="78A7817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47" w:hRule="atLeast"/>
              </w:trPr>
              <w:tc>
                <w:tcPr>
                  <w:tcW w:w="156" w:type="pct"/>
                  <w:tcBorders>
                    <w:tl2br w:val="nil"/>
                    <w:tr2bl w:val="nil"/>
                  </w:tcBorders>
                  <w:noWrap w:val="0"/>
                  <w:vAlign w:val="center"/>
                </w:tcPr>
                <w:p w14:paraId="7AAEBE3E">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r>
                    <w:rPr>
                      <w:rFonts w:hint="default" w:ascii="Times New Roman" w:hAnsi="Times New Roman" w:cs="Times New Roman"/>
                      <w:color w:val="auto"/>
                      <w:spacing w:val="0"/>
                      <w:w w:val="100"/>
                      <w:sz w:val="21"/>
                      <w:szCs w:val="21"/>
                      <w:highlight w:val="none"/>
                      <w:lang w:val="en-US" w:eastAsia="zh-CN"/>
                    </w:rPr>
                    <w:t>4</w:t>
                  </w:r>
                </w:p>
              </w:tc>
              <w:tc>
                <w:tcPr>
                  <w:tcW w:w="396" w:type="pct"/>
                  <w:vMerge w:val="continue"/>
                  <w:tcBorders>
                    <w:tl2br w:val="nil"/>
                    <w:tr2bl w:val="nil"/>
                  </w:tcBorders>
                  <w:noWrap w:val="0"/>
                  <w:vAlign w:val="center"/>
                </w:tcPr>
                <w:p w14:paraId="3B2A88FE">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p>
              </w:tc>
              <w:tc>
                <w:tcPr>
                  <w:tcW w:w="634" w:type="pct"/>
                  <w:tcBorders>
                    <w:tl2br w:val="nil"/>
                    <w:tr2bl w:val="nil"/>
                  </w:tcBorders>
                  <w:noWrap w:val="0"/>
                  <w:vAlign w:val="top"/>
                </w:tcPr>
                <w:p w14:paraId="1E27BECA">
                  <w:pPr>
                    <w:pStyle w:val="77"/>
                    <w:adjustRightInd w:val="0"/>
                    <w:snapToGrid w:val="0"/>
                    <w:spacing w:before="0"/>
                    <w:jc w:val="center"/>
                    <w:rPr>
                      <w:rFonts w:hint="default" w:ascii="Times New Roman" w:hAnsi="Times New Roman" w:cs="Times New Roman"/>
                      <w:color w:val="auto"/>
                      <w:spacing w:val="0"/>
                      <w:w w:val="100"/>
                      <w:sz w:val="21"/>
                      <w:szCs w:val="21"/>
                      <w:highlight w:val="none"/>
                      <w:lang w:val="en-US" w:eastAsia="zh-CN"/>
                    </w:rPr>
                  </w:pPr>
                  <w:r>
                    <w:rPr>
                      <w:rFonts w:hint="eastAsia" w:cs="Times New Roman"/>
                      <w:color w:val="auto"/>
                      <w:sz w:val="21"/>
                      <w:szCs w:val="21"/>
                      <w:lang w:eastAsia="zh-CN"/>
                    </w:rPr>
                    <w:t>旋转缩分机</w:t>
                  </w:r>
                </w:p>
              </w:tc>
              <w:tc>
                <w:tcPr>
                  <w:tcW w:w="550" w:type="pct"/>
                  <w:tcBorders>
                    <w:tl2br w:val="nil"/>
                    <w:tr2bl w:val="nil"/>
                  </w:tcBorders>
                  <w:noWrap w:val="0"/>
                  <w:vAlign w:val="center"/>
                </w:tcPr>
                <w:p w14:paraId="64700CAD">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r>
                    <w:rPr>
                      <w:rFonts w:hint="eastAsia" w:ascii="Times New Roman" w:hAnsi="Times New Roman" w:cs="Times New Roman"/>
                      <w:color w:val="auto"/>
                      <w:spacing w:val="0"/>
                      <w:w w:val="100"/>
                      <w:sz w:val="21"/>
                      <w:szCs w:val="21"/>
                      <w:highlight w:val="none"/>
                      <w:lang w:val="en-US" w:eastAsia="zh-CN"/>
                    </w:rPr>
                    <w:t>85</w:t>
                  </w:r>
                </w:p>
              </w:tc>
              <w:tc>
                <w:tcPr>
                  <w:tcW w:w="364" w:type="pct"/>
                  <w:vMerge w:val="continue"/>
                  <w:tcBorders>
                    <w:tl2br w:val="nil"/>
                    <w:tr2bl w:val="nil"/>
                  </w:tcBorders>
                  <w:noWrap w:val="0"/>
                  <w:vAlign w:val="center"/>
                </w:tcPr>
                <w:p w14:paraId="4CB59A7B">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p>
              </w:tc>
              <w:tc>
                <w:tcPr>
                  <w:tcW w:w="287" w:type="pct"/>
                  <w:tcBorders>
                    <w:tl2br w:val="nil"/>
                    <w:tr2bl w:val="nil"/>
                  </w:tcBorders>
                  <w:noWrap w:val="0"/>
                  <w:vAlign w:val="center"/>
                </w:tcPr>
                <w:p w14:paraId="24CFFAE5">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r>
                    <w:rPr>
                      <w:rFonts w:hint="eastAsia" w:cs="Times New Roman"/>
                      <w:color w:val="auto"/>
                      <w:spacing w:val="0"/>
                      <w:w w:val="100"/>
                      <w:sz w:val="21"/>
                      <w:szCs w:val="21"/>
                      <w:highlight w:val="none"/>
                      <w:lang w:val="en-US" w:eastAsia="zh-CN"/>
                    </w:rPr>
                    <w:t>7</w:t>
                  </w:r>
                </w:p>
              </w:tc>
              <w:tc>
                <w:tcPr>
                  <w:tcW w:w="766" w:type="dxa"/>
                  <w:tcBorders>
                    <w:tl2br w:val="nil"/>
                    <w:tr2bl w:val="nil"/>
                  </w:tcBorders>
                  <w:noWrap w:val="0"/>
                  <w:vAlign w:val="center"/>
                </w:tcPr>
                <w:p w14:paraId="5BE62251">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r>
                    <w:rPr>
                      <w:rFonts w:hint="eastAsia" w:ascii="Times New Roman" w:hAnsi="Times New Roman" w:cs="Times New Roman"/>
                      <w:color w:val="auto"/>
                      <w:spacing w:val="0"/>
                      <w:w w:val="100"/>
                      <w:sz w:val="21"/>
                      <w:szCs w:val="21"/>
                      <w:highlight w:val="none"/>
                      <w:lang w:val="en-US" w:eastAsia="zh-CN"/>
                    </w:rPr>
                    <w:t>15</w:t>
                  </w:r>
                </w:p>
              </w:tc>
              <w:tc>
                <w:tcPr>
                  <w:tcW w:w="269" w:type="pct"/>
                  <w:tcBorders>
                    <w:tl2br w:val="nil"/>
                    <w:tr2bl w:val="nil"/>
                  </w:tcBorders>
                  <w:noWrap w:val="0"/>
                  <w:vAlign w:val="center"/>
                </w:tcPr>
                <w:p w14:paraId="25E5B1F6">
                  <w:pPr>
                    <w:widowControl w:val="0"/>
                    <w:wordWrap/>
                    <w:adjustRightInd/>
                    <w:snapToGrid/>
                    <w:spacing w:line="240" w:lineRule="auto"/>
                    <w:ind w:firstLine="0" w:firstLineChars="0"/>
                    <w:jc w:val="center"/>
                    <w:textAlignment w:val="auto"/>
                    <w:rPr>
                      <w:rFonts w:hint="default" w:ascii="Times New Roman" w:hAnsi="Times New Roman" w:eastAsia="宋体" w:cs="Times New Roman"/>
                      <w:color w:val="auto"/>
                      <w:spacing w:val="0"/>
                      <w:w w:val="100"/>
                      <w:sz w:val="21"/>
                      <w:szCs w:val="21"/>
                      <w:highlight w:val="none"/>
                      <w:lang w:val="en-US" w:eastAsia="zh-CN" w:bidi="ar-SA"/>
                    </w:rPr>
                  </w:pPr>
                  <w:r>
                    <w:rPr>
                      <w:rFonts w:hint="eastAsia" w:cs="Times New Roman"/>
                      <w:color w:val="auto"/>
                      <w:spacing w:val="0"/>
                      <w:w w:val="100"/>
                      <w:sz w:val="21"/>
                      <w:szCs w:val="21"/>
                      <w:highlight w:val="none"/>
                      <w:lang w:val="en-US" w:eastAsia="zh-CN"/>
                    </w:rPr>
                    <w:t>1.0</w:t>
                  </w:r>
                </w:p>
              </w:tc>
              <w:tc>
                <w:tcPr>
                  <w:tcW w:w="1077" w:type="dxa"/>
                  <w:tcBorders>
                    <w:tl2br w:val="nil"/>
                    <w:tr2bl w:val="nil"/>
                  </w:tcBorders>
                  <w:noWrap w:val="0"/>
                  <w:vAlign w:val="center"/>
                </w:tcPr>
                <w:p w14:paraId="155A2E48">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r>
                    <w:rPr>
                      <w:rFonts w:hint="eastAsia" w:cs="Times New Roman"/>
                      <w:color w:val="auto"/>
                      <w:spacing w:val="0"/>
                      <w:w w:val="100"/>
                      <w:sz w:val="21"/>
                      <w:szCs w:val="21"/>
                      <w:highlight w:val="none"/>
                      <w:lang w:val="en-US" w:eastAsia="zh-CN"/>
                    </w:rPr>
                    <w:t>2</w:t>
                  </w:r>
                </w:p>
              </w:tc>
              <w:tc>
                <w:tcPr>
                  <w:tcW w:w="1021" w:type="dxa"/>
                  <w:tcBorders>
                    <w:tl2br w:val="nil"/>
                    <w:tr2bl w:val="nil"/>
                  </w:tcBorders>
                  <w:noWrap w:val="0"/>
                  <w:vAlign w:val="center"/>
                </w:tcPr>
                <w:p w14:paraId="49CE5720">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r>
                    <w:rPr>
                      <w:rFonts w:hint="eastAsia" w:cs="Times New Roman"/>
                      <w:color w:val="auto"/>
                      <w:spacing w:val="0"/>
                      <w:w w:val="100"/>
                      <w:sz w:val="21"/>
                      <w:szCs w:val="21"/>
                      <w:highlight w:val="none"/>
                      <w:lang w:val="en-US" w:eastAsia="zh-CN"/>
                    </w:rPr>
                    <w:t>70.9</w:t>
                  </w:r>
                </w:p>
              </w:tc>
              <w:tc>
                <w:tcPr>
                  <w:tcW w:w="265" w:type="pct"/>
                  <w:tcBorders>
                    <w:tl2br w:val="nil"/>
                    <w:tr2bl w:val="nil"/>
                  </w:tcBorders>
                  <w:noWrap w:val="0"/>
                  <w:vAlign w:val="center"/>
                </w:tcPr>
                <w:p w14:paraId="7004106A">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r>
                    <w:rPr>
                      <w:rFonts w:hint="eastAsia" w:cs="Times New Roman"/>
                      <w:color w:val="auto"/>
                      <w:spacing w:val="0"/>
                      <w:w w:val="100"/>
                      <w:kern w:val="2"/>
                      <w:sz w:val="21"/>
                      <w:szCs w:val="21"/>
                      <w:highlight w:val="none"/>
                      <w:lang w:val="en-US" w:eastAsia="zh-CN" w:bidi="ar-SA"/>
                    </w:rPr>
                    <w:t>8</w:t>
                  </w:r>
                  <w:r>
                    <w:rPr>
                      <w:rFonts w:hint="eastAsia" w:ascii="Times New Roman" w:hAnsi="Times New Roman" w:eastAsia="宋体" w:cs="Times New Roman"/>
                      <w:color w:val="auto"/>
                      <w:spacing w:val="0"/>
                      <w:w w:val="100"/>
                      <w:kern w:val="2"/>
                      <w:sz w:val="21"/>
                      <w:szCs w:val="21"/>
                      <w:highlight w:val="none"/>
                      <w:lang w:val="en-US" w:eastAsia="zh-CN" w:bidi="ar-SA"/>
                    </w:rPr>
                    <w:t>h</w:t>
                  </w:r>
                </w:p>
              </w:tc>
              <w:tc>
                <w:tcPr>
                  <w:tcW w:w="420" w:type="pct"/>
                  <w:vMerge w:val="continue"/>
                  <w:tcBorders>
                    <w:tl2br w:val="nil"/>
                    <w:tr2bl w:val="nil"/>
                  </w:tcBorders>
                  <w:noWrap w:val="0"/>
                  <w:vAlign w:val="center"/>
                </w:tcPr>
                <w:p w14:paraId="68D45332">
                  <w:pPr>
                    <w:widowControl w:val="0"/>
                    <w:wordWrap/>
                    <w:adjustRightInd/>
                    <w:snapToGrid/>
                    <w:spacing w:line="240" w:lineRule="auto"/>
                    <w:ind w:firstLine="0" w:firstLineChars="0"/>
                    <w:jc w:val="center"/>
                    <w:textAlignment w:val="auto"/>
                    <w:rPr>
                      <w:rFonts w:hint="default" w:ascii="Times New Roman" w:hAnsi="Times New Roman" w:eastAsia="宋体" w:cs="Times New Roman"/>
                      <w:color w:val="auto"/>
                      <w:spacing w:val="0"/>
                      <w:w w:val="100"/>
                      <w:sz w:val="21"/>
                      <w:szCs w:val="21"/>
                      <w:highlight w:val="none"/>
                      <w:lang w:val="en-US" w:eastAsia="zh-CN" w:bidi="ar-SA"/>
                    </w:rPr>
                  </w:pPr>
                </w:p>
              </w:tc>
              <w:tc>
                <w:tcPr>
                  <w:tcW w:w="879" w:type="dxa"/>
                  <w:tcBorders>
                    <w:tl2br w:val="nil"/>
                    <w:tr2bl w:val="nil"/>
                  </w:tcBorders>
                  <w:noWrap w:val="0"/>
                  <w:vAlign w:val="center"/>
                </w:tcPr>
                <w:p w14:paraId="39BA2549">
                  <w:pPr>
                    <w:widowControl w:val="0"/>
                    <w:wordWrap/>
                    <w:adjustRightInd/>
                    <w:snapToGrid/>
                    <w:spacing w:line="240" w:lineRule="auto"/>
                    <w:ind w:firstLine="0" w:firstLineChars="0"/>
                    <w:jc w:val="center"/>
                    <w:textAlignment w:val="auto"/>
                    <w:rPr>
                      <w:rFonts w:hint="default" w:ascii="Times New Roman" w:hAnsi="Times New Roman" w:eastAsia="宋体" w:cs="Times New Roman"/>
                      <w:color w:val="auto"/>
                      <w:spacing w:val="0"/>
                      <w:w w:val="100"/>
                      <w:kern w:val="2"/>
                      <w:sz w:val="21"/>
                      <w:szCs w:val="21"/>
                      <w:highlight w:val="none"/>
                      <w:lang w:val="en-US" w:eastAsia="zh-CN" w:bidi="ar-SA"/>
                    </w:rPr>
                  </w:pPr>
                  <w:r>
                    <w:rPr>
                      <w:rFonts w:hint="eastAsia" w:ascii="Times New Roman" w:hAnsi="Times New Roman" w:eastAsia="宋体" w:cs="Times New Roman"/>
                      <w:color w:val="auto"/>
                      <w:spacing w:val="0"/>
                      <w:w w:val="100"/>
                      <w:kern w:val="2"/>
                      <w:sz w:val="21"/>
                      <w:szCs w:val="21"/>
                      <w:highlight w:val="none"/>
                      <w:lang w:val="en-US" w:eastAsia="zh-CN" w:bidi="ar-SA"/>
                    </w:rPr>
                    <w:t>40.9</w:t>
                  </w:r>
                </w:p>
              </w:tc>
              <w:tc>
                <w:tcPr>
                  <w:tcW w:w="316" w:type="pct"/>
                  <w:tcBorders>
                    <w:tl2br w:val="nil"/>
                    <w:tr2bl w:val="nil"/>
                  </w:tcBorders>
                  <w:noWrap w:val="0"/>
                  <w:vAlign w:val="center"/>
                </w:tcPr>
                <w:p w14:paraId="3BF77573">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r>
                    <w:rPr>
                      <w:rFonts w:hint="default" w:ascii="Times New Roman" w:hAnsi="Times New Roman" w:cs="Times New Roman"/>
                      <w:color w:val="auto"/>
                      <w:spacing w:val="0"/>
                      <w:w w:val="100"/>
                      <w:sz w:val="21"/>
                      <w:szCs w:val="21"/>
                      <w:highlight w:val="none"/>
                      <w:lang w:val="en-US" w:eastAsia="zh-CN"/>
                    </w:rPr>
                    <w:t>1</w:t>
                  </w:r>
                </w:p>
              </w:tc>
            </w:tr>
            <w:tr w14:paraId="278FD9B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56" w:type="pct"/>
                  <w:tcBorders>
                    <w:tl2br w:val="nil"/>
                    <w:tr2bl w:val="nil"/>
                  </w:tcBorders>
                  <w:noWrap w:val="0"/>
                  <w:vAlign w:val="center"/>
                </w:tcPr>
                <w:p w14:paraId="2421070F">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r>
                    <w:rPr>
                      <w:rFonts w:hint="default" w:ascii="Times New Roman" w:hAnsi="Times New Roman" w:cs="Times New Roman"/>
                      <w:color w:val="auto"/>
                      <w:spacing w:val="0"/>
                      <w:w w:val="100"/>
                      <w:sz w:val="21"/>
                      <w:szCs w:val="21"/>
                      <w:highlight w:val="none"/>
                      <w:lang w:val="en-US" w:eastAsia="zh-CN"/>
                    </w:rPr>
                    <w:t>5</w:t>
                  </w:r>
                </w:p>
              </w:tc>
              <w:tc>
                <w:tcPr>
                  <w:tcW w:w="396" w:type="pct"/>
                  <w:vMerge w:val="continue"/>
                  <w:tcBorders>
                    <w:tl2br w:val="nil"/>
                    <w:tr2bl w:val="nil"/>
                  </w:tcBorders>
                  <w:noWrap w:val="0"/>
                  <w:vAlign w:val="center"/>
                </w:tcPr>
                <w:p w14:paraId="15851057">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p>
              </w:tc>
              <w:tc>
                <w:tcPr>
                  <w:tcW w:w="634" w:type="pct"/>
                  <w:tcBorders>
                    <w:tl2br w:val="nil"/>
                    <w:tr2bl w:val="nil"/>
                  </w:tcBorders>
                  <w:noWrap w:val="0"/>
                  <w:vAlign w:val="top"/>
                </w:tcPr>
                <w:p w14:paraId="6DDA3892">
                  <w:pPr>
                    <w:pStyle w:val="77"/>
                    <w:adjustRightInd w:val="0"/>
                    <w:snapToGrid w:val="0"/>
                    <w:spacing w:before="0"/>
                    <w:jc w:val="center"/>
                    <w:rPr>
                      <w:rFonts w:hint="default" w:ascii="Times New Roman" w:hAnsi="Times New Roman" w:cs="Times New Roman"/>
                      <w:color w:val="auto"/>
                      <w:spacing w:val="0"/>
                      <w:w w:val="100"/>
                      <w:sz w:val="21"/>
                      <w:szCs w:val="21"/>
                      <w:highlight w:val="none"/>
                      <w:lang w:val="en-US" w:eastAsia="zh-CN"/>
                    </w:rPr>
                  </w:pPr>
                  <w:r>
                    <w:rPr>
                      <w:rFonts w:hint="eastAsia" w:cs="Times New Roman"/>
                      <w:color w:val="auto"/>
                      <w:sz w:val="21"/>
                      <w:szCs w:val="21"/>
                      <w:lang w:eastAsia="zh-CN"/>
                    </w:rPr>
                    <w:t>环保棒磨机</w:t>
                  </w:r>
                </w:p>
              </w:tc>
              <w:tc>
                <w:tcPr>
                  <w:tcW w:w="550" w:type="pct"/>
                  <w:tcBorders>
                    <w:tl2br w:val="nil"/>
                    <w:tr2bl w:val="nil"/>
                  </w:tcBorders>
                  <w:noWrap w:val="0"/>
                  <w:vAlign w:val="center"/>
                </w:tcPr>
                <w:p w14:paraId="682B20C5">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r>
                    <w:rPr>
                      <w:rFonts w:hint="eastAsia" w:ascii="Times New Roman" w:hAnsi="Times New Roman" w:cs="Times New Roman"/>
                      <w:color w:val="auto"/>
                      <w:spacing w:val="0"/>
                      <w:w w:val="100"/>
                      <w:sz w:val="21"/>
                      <w:szCs w:val="21"/>
                      <w:highlight w:val="none"/>
                      <w:lang w:val="en-US" w:eastAsia="zh-CN"/>
                    </w:rPr>
                    <w:t>85</w:t>
                  </w:r>
                </w:p>
              </w:tc>
              <w:tc>
                <w:tcPr>
                  <w:tcW w:w="364" w:type="pct"/>
                  <w:vMerge w:val="continue"/>
                  <w:tcBorders>
                    <w:tl2br w:val="nil"/>
                    <w:tr2bl w:val="nil"/>
                  </w:tcBorders>
                  <w:noWrap w:val="0"/>
                  <w:vAlign w:val="center"/>
                </w:tcPr>
                <w:p w14:paraId="36734E3B">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p>
              </w:tc>
              <w:tc>
                <w:tcPr>
                  <w:tcW w:w="287" w:type="pct"/>
                  <w:tcBorders>
                    <w:tl2br w:val="nil"/>
                    <w:tr2bl w:val="nil"/>
                  </w:tcBorders>
                  <w:noWrap w:val="0"/>
                  <w:vAlign w:val="center"/>
                </w:tcPr>
                <w:p w14:paraId="4C2790B7">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r>
                    <w:rPr>
                      <w:rFonts w:hint="eastAsia" w:cs="Times New Roman"/>
                      <w:color w:val="auto"/>
                      <w:spacing w:val="0"/>
                      <w:w w:val="100"/>
                      <w:sz w:val="21"/>
                      <w:szCs w:val="21"/>
                      <w:highlight w:val="none"/>
                      <w:lang w:val="en-US" w:eastAsia="zh-CN"/>
                    </w:rPr>
                    <w:t>10</w:t>
                  </w:r>
                </w:p>
              </w:tc>
              <w:tc>
                <w:tcPr>
                  <w:tcW w:w="766" w:type="dxa"/>
                  <w:tcBorders>
                    <w:tl2br w:val="nil"/>
                    <w:tr2bl w:val="nil"/>
                  </w:tcBorders>
                  <w:noWrap w:val="0"/>
                  <w:vAlign w:val="center"/>
                </w:tcPr>
                <w:p w14:paraId="31E75FC4">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r>
                    <w:rPr>
                      <w:rFonts w:hint="eastAsia" w:cs="Times New Roman"/>
                      <w:color w:val="auto"/>
                      <w:spacing w:val="0"/>
                      <w:w w:val="100"/>
                      <w:sz w:val="21"/>
                      <w:szCs w:val="21"/>
                      <w:highlight w:val="none"/>
                      <w:lang w:val="en-US" w:eastAsia="zh-CN"/>
                    </w:rPr>
                    <w:t>13</w:t>
                  </w:r>
                </w:p>
              </w:tc>
              <w:tc>
                <w:tcPr>
                  <w:tcW w:w="269" w:type="pct"/>
                  <w:tcBorders>
                    <w:tl2br w:val="nil"/>
                    <w:tr2bl w:val="nil"/>
                  </w:tcBorders>
                  <w:noWrap w:val="0"/>
                  <w:vAlign w:val="center"/>
                </w:tcPr>
                <w:p w14:paraId="0AB9FCF3">
                  <w:pPr>
                    <w:widowControl w:val="0"/>
                    <w:wordWrap/>
                    <w:adjustRightInd/>
                    <w:snapToGrid/>
                    <w:spacing w:line="240" w:lineRule="auto"/>
                    <w:ind w:firstLine="0" w:firstLineChars="0"/>
                    <w:jc w:val="center"/>
                    <w:textAlignment w:val="auto"/>
                    <w:rPr>
                      <w:rFonts w:hint="default" w:ascii="Times New Roman" w:hAnsi="Times New Roman" w:eastAsia="宋体" w:cs="Times New Roman"/>
                      <w:color w:val="auto"/>
                      <w:spacing w:val="0"/>
                      <w:w w:val="100"/>
                      <w:sz w:val="21"/>
                      <w:szCs w:val="21"/>
                      <w:highlight w:val="none"/>
                      <w:lang w:val="en-US" w:eastAsia="zh-CN" w:bidi="ar-SA"/>
                    </w:rPr>
                  </w:pPr>
                  <w:r>
                    <w:rPr>
                      <w:rFonts w:hint="eastAsia" w:cs="Times New Roman"/>
                      <w:color w:val="auto"/>
                      <w:spacing w:val="0"/>
                      <w:w w:val="100"/>
                      <w:sz w:val="21"/>
                      <w:szCs w:val="21"/>
                      <w:highlight w:val="none"/>
                      <w:lang w:val="en-US" w:eastAsia="zh-CN"/>
                    </w:rPr>
                    <w:t>1.0</w:t>
                  </w:r>
                </w:p>
              </w:tc>
              <w:tc>
                <w:tcPr>
                  <w:tcW w:w="1077" w:type="dxa"/>
                  <w:tcBorders>
                    <w:tl2br w:val="nil"/>
                    <w:tr2bl w:val="nil"/>
                  </w:tcBorders>
                  <w:noWrap w:val="0"/>
                  <w:vAlign w:val="center"/>
                </w:tcPr>
                <w:p w14:paraId="72D4AD9D">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r>
                    <w:rPr>
                      <w:rFonts w:hint="eastAsia" w:cs="Times New Roman"/>
                      <w:color w:val="auto"/>
                      <w:spacing w:val="0"/>
                      <w:w w:val="100"/>
                      <w:sz w:val="21"/>
                      <w:szCs w:val="21"/>
                      <w:highlight w:val="none"/>
                      <w:lang w:val="en-US" w:eastAsia="zh-CN"/>
                    </w:rPr>
                    <w:t>3</w:t>
                  </w:r>
                </w:p>
              </w:tc>
              <w:tc>
                <w:tcPr>
                  <w:tcW w:w="1021" w:type="dxa"/>
                  <w:tcBorders>
                    <w:tl2br w:val="nil"/>
                    <w:tr2bl w:val="nil"/>
                  </w:tcBorders>
                  <w:noWrap w:val="0"/>
                  <w:vAlign w:val="center"/>
                </w:tcPr>
                <w:p w14:paraId="42337D51">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r>
                    <w:rPr>
                      <w:rFonts w:hint="eastAsia" w:cs="Times New Roman"/>
                      <w:color w:val="auto"/>
                      <w:spacing w:val="0"/>
                      <w:w w:val="100"/>
                      <w:sz w:val="21"/>
                      <w:szCs w:val="21"/>
                      <w:highlight w:val="none"/>
                      <w:lang w:val="en-US" w:eastAsia="zh-CN"/>
                    </w:rPr>
                    <w:t>68.5</w:t>
                  </w:r>
                </w:p>
              </w:tc>
              <w:tc>
                <w:tcPr>
                  <w:tcW w:w="265" w:type="pct"/>
                  <w:tcBorders>
                    <w:tl2br w:val="nil"/>
                    <w:tr2bl w:val="nil"/>
                  </w:tcBorders>
                  <w:noWrap w:val="0"/>
                  <w:vAlign w:val="center"/>
                </w:tcPr>
                <w:p w14:paraId="2291D6D7">
                  <w:pPr>
                    <w:widowControl w:val="0"/>
                    <w:wordWrap/>
                    <w:adjustRightInd/>
                    <w:snapToGrid/>
                    <w:spacing w:line="240" w:lineRule="auto"/>
                    <w:ind w:firstLine="0" w:firstLineChars="0"/>
                    <w:jc w:val="center"/>
                    <w:textAlignment w:val="auto"/>
                    <w:rPr>
                      <w:rFonts w:hint="default" w:ascii="Times New Roman" w:hAnsi="Times New Roman" w:eastAsia="宋体" w:cs="Times New Roman"/>
                      <w:color w:val="auto"/>
                      <w:spacing w:val="0"/>
                      <w:w w:val="100"/>
                      <w:kern w:val="2"/>
                      <w:sz w:val="21"/>
                      <w:szCs w:val="21"/>
                      <w:highlight w:val="none"/>
                      <w:lang w:val="en-US" w:eastAsia="zh-CN" w:bidi="ar-SA"/>
                    </w:rPr>
                  </w:pPr>
                  <w:r>
                    <w:rPr>
                      <w:rFonts w:hint="eastAsia" w:cs="Times New Roman"/>
                      <w:color w:val="auto"/>
                      <w:spacing w:val="0"/>
                      <w:w w:val="100"/>
                      <w:kern w:val="2"/>
                      <w:sz w:val="21"/>
                      <w:szCs w:val="21"/>
                      <w:highlight w:val="none"/>
                      <w:lang w:val="en-US" w:eastAsia="zh-CN" w:bidi="ar-SA"/>
                    </w:rPr>
                    <w:t>8</w:t>
                  </w:r>
                  <w:r>
                    <w:rPr>
                      <w:rFonts w:hint="eastAsia" w:ascii="Times New Roman" w:hAnsi="Times New Roman" w:eastAsia="宋体" w:cs="Times New Roman"/>
                      <w:color w:val="auto"/>
                      <w:spacing w:val="0"/>
                      <w:w w:val="100"/>
                      <w:kern w:val="2"/>
                      <w:sz w:val="21"/>
                      <w:szCs w:val="21"/>
                      <w:highlight w:val="none"/>
                      <w:lang w:val="en-US" w:eastAsia="zh-CN" w:bidi="ar-SA"/>
                    </w:rPr>
                    <w:t>h</w:t>
                  </w:r>
                </w:p>
              </w:tc>
              <w:tc>
                <w:tcPr>
                  <w:tcW w:w="420" w:type="pct"/>
                  <w:vMerge w:val="continue"/>
                  <w:tcBorders>
                    <w:tl2br w:val="nil"/>
                    <w:tr2bl w:val="nil"/>
                  </w:tcBorders>
                  <w:noWrap w:val="0"/>
                  <w:vAlign w:val="center"/>
                </w:tcPr>
                <w:p w14:paraId="0F4A2B29">
                  <w:pPr>
                    <w:widowControl w:val="0"/>
                    <w:wordWrap/>
                    <w:adjustRightInd/>
                    <w:snapToGrid/>
                    <w:spacing w:line="240" w:lineRule="auto"/>
                    <w:ind w:firstLine="0" w:firstLineChars="0"/>
                    <w:jc w:val="center"/>
                    <w:textAlignment w:val="auto"/>
                    <w:rPr>
                      <w:rFonts w:hint="default" w:ascii="Times New Roman" w:hAnsi="Times New Roman" w:eastAsia="宋体" w:cs="Times New Roman"/>
                      <w:color w:val="auto"/>
                      <w:spacing w:val="0"/>
                      <w:w w:val="100"/>
                      <w:sz w:val="21"/>
                      <w:szCs w:val="21"/>
                      <w:highlight w:val="none"/>
                      <w:lang w:val="en-US" w:eastAsia="zh-CN" w:bidi="ar-SA"/>
                    </w:rPr>
                  </w:pPr>
                </w:p>
              </w:tc>
              <w:tc>
                <w:tcPr>
                  <w:tcW w:w="879" w:type="dxa"/>
                  <w:tcBorders>
                    <w:tl2br w:val="nil"/>
                    <w:tr2bl w:val="nil"/>
                  </w:tcBorders>
                  <w:noWrap w:val="0"/>
                  <w:vAlign w:val="center"/>
                </w:tcPr>
                <w:p w14:paraId="60361E8E">
                  <w:pPr>
                    <w:widowControl w:val="0"/>
                    <w:wordWrap/>
                    <w:adjustRightInd/>
                    <w:snapToGrid/>
                    <w:spacing w:line="240" w:lineRule="auto"/>
                    <w:ind w:firstLine="0" w:firstLineChars="0"/>
                    <w:jc w:val="center"/>
                    <w:textAlignment w:val="auto"/>
                    <w:rPr>
                      <w:rFonts w:hint="default" w:ascii="Times New Roman" w:hAnsi="Times New Roman" w:eastAsia="宋体" w:cs="Times New Roman"/>
                      <w:color w:val="auto"/>
                      <w:spacing w:val="0"/>
                      <w:w w:val="100"/>
                      <w:kern w:val="2"/>
                      <w:sz w:val="21"/>
                      <w:szCs w:val="21"/>
                      <w:highlight w:val="none"/>
                      <w:lang w:val="en-US" w:eastAsia="zh-CN" w:bidi="ar-SA"/>
                    </w:rPr>
                  </w:pPr>
                  <w:r>
                    <w:rPr>
                      <w:rFonts w:hint="eastAsia" w:ascii="Times New Roman" w:hAnsi="Times New Roman" w:eastAsia="宋体" w:cs="Times New Roman"/>
                      <w:color w:val="auto"/>
                      <w:spacing w:val="0"/>
                      <w:w w:val="100"/>
                      <w:kern w:val="2"/>
                      <w:sz w:val="21"/>
                      <w:szCs w:val="21"/>
                      <w:highlight w:val="none"/>
                      <w:lang w:val="en-US" w:eastAsia="zh-CN" w:bidi="ar-SA"/>
                    </w:rPr>
                    <w:t>38.5</w:t>
                  </w:r>
                </w:p>
              </w:tc>
              <w:tc>
                <w:tcPr>
                  <w:tcW w:w="316" w:type="pct"/>
                  <w:tcBorders>
                    <w:tl2br w:val="nil"/>
                    <w:tr2bl w:val="nil"/>
                  </w:tcBorders>
                  <w:noWrap w:val="0"/>
                  <w:vAlign w:val="center"/>
                </w:tcPr>
                <w:p w14:paraId="4FB56446">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r>
                    <w:rPr>
                      <w:rFonts w:hint="default" w:ascii="Times New Roman" w:hAnsi="Times New Roman" w:cs="Times New Roman"/>
                      <w:color w:val="auto"/>
                      <w:spacing w:val="0"/>
                      <w:w w:val="100"/>
                      <w:sz w:val="21"/>
                      <w:szCs w:val="21"/>
                      <w:highlight w:val="none"/>
                      <w:lang w:val="en-US" w:eastAsia="zh-CN"/>
                    </w:rPr>
                    <w:t>1</w:t>
                  </w:r>
                </w:p>
              </w:tc>
            </w:tr>
            <w:tr w14:paraId="1356556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56" w:type="pct"/>
                  <w:tcBorders>
                    <w:tl2br w:val="nil"/>
                    <w:tr2bl w:val="nil"/>
                  </w:tcBorders>
                  <w:noWrap w:val="0"/>
                  <w:vAlign w:val="center"/>
                </w:tcPr>
                <w:p w14:paraId="7981B85C">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r>
                    <w:rPr>
                      <w:rFonts w:hint="eastAsia" w:ascii="Times New Roman" w:hAnsi="Times New Roman" w:cs="Times New Roman"/>
                      <w:color w:val="auto"/>
                      <w:spacing w:val="0"/>
                      <w:w w:val="100"/>
                      <w:sz w:val="21"/>
                      <w:szCs w:val="21"/>
                      <w:highlight w:val="none"/>
                      <w:lang w:val="en-US" w:eastAsia="zh-CN"/>
                    </w:rPr>
                    <w:t>6</w:t>
                  </w:r>
                </w:p>
              </w:tc>
              <w:tc>
                <w:tcPr>
                  <w:tcW w:w="396" w:type="pct"/>
                  <w:vMerge w:val="continue"/>
                  <w:tcBorders>
                    <w:tl2br w:val="nil"/>
                    <w:tr2bl w:val="nil"/>
                  </w:tcBorders>
                  <w:noWrap w:val="0"/>
                  <w:vAlign w:val="center"/>
                </w:tcPr>
                <w:p w14:paraId="786EB639">
                  <w:pPr>
                    <w:widowControl w:val="0"/>
                    <w:wordWrap/>
                    <w:adjustRightInd/>
                    <w:snapToGrid/>
                    <w:spacing w:line="240" w:lineRule="auto"/>
                    <w:ind w:firstLine="0" w:firstLineChars="0"/>
                    <w:jc w:val="center"/>
                    <w:textAlignment w:val="auto"/>
                    <w:rPr>
                      <w:rFonts w:hint="default" w:ascii="Times New Roman" w:hAnsi="Times New Roman" w:eastAsia="宋体" w:cs="Times New Roman"/>
                      <w:color w:val="auto"/>
                      <w:spacing w:val="0"/>
                      <w:w w:val="100"/>
                      <w:sz w:val="21"/>
                      <w:szCs w:val="21"/>
                      <w:highlight w:val="none"/>
                      <w:lang w:val="en-US" w:eastAsia="zh-CN" w:bidi="ar-SA"/>
                    </w:rPr>
                  </w:pPr>
                </w:p>
              </w:tc>
              <w:tc>
                <w:tcPr>
                  <w:tcW w:w="634" w:type="pct"/>
                  <w:tcBorders>
                    <w:tl2br w:val="nil"/>
                    <w:tr2bl w:val="nil"/>
                  </w:tcBorders>
                  <w:noWrap w:val="0"/>
                  <w:vAlign w:val="center"/>
                </w:tcPr>
                <w:p w14:paraId="7A32B4FA">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kern w:val="2"/>
                      <w:sz w:val="21"/>
                      <w:szCs w:val="21"/>
                      <w:highlight w:val="none"/>
                      <w:lang w:val="en-US" w:eastAsia="zh-CN" w:bidi="ar-SA"/>
                    </w:rPr>
                  </w:pPr>
                  <w:r>
                    <w:rPr>
                      <w:rFonts w:hint="eastAsia" w:cs="Times New Roman"/>
                      <w:color w:val="auto"/>
                      <w:spacing w:val="0"/>
                      <w:w w:val="100"/>
                      <w:kern w:val="2"/>
                      <w:sz w:val="21"/>
                      <w:szCs w:val="21"/>
                      <w:highlight w:val="none"/>
                      <w:lang w:val="en-US" w:eastAsia="zh-CN" w:bidi="ar-SA"/>
                    </w:rPr>
                    <w:t>风机</w:t>
                  </w:r>
                </w:p>
              </w:tc>
              <w:tc>
                <w:tcPr>
                  <w:tcW w:w="550" w:type="pct"/>
                  <w:tcBorders>
                    <w:tl2br w:val="nil"/>
                    <w:tr2bl w:val="nil"/>
                  </w:tcBorders>
                  <w:noWrap w:val="0"/>
                  <w:vAlign w:val="center"/>
                </w:tcPr>
                <w:p w14:paraId="2305D92B">
                  <w:pPr>
                    <w:widowControl w:val="0"/>
                    <w:wordWrap/>
                    <w:adjustRightInd/>
                    <w:snapToGrid/>
                    <w:spacing w:line="240" w:lineRule="auto"/>
                    <w:ind w:firstLine="0" w:firstLineChars="0"/>
                    <w:jc w:val="center"/>
                    <w:textAlignment w:val="auto"/>
                    <w:rPr>
                      <w:rFonts w:hint="default" w:ascii="Times New Roman" w:hAnsi="Times New Roman" w:eastAsia="宋体" w:cs="Times New Roman"/>
                      <w:color w:val="auto"/>
                      <w:spacing w:val="0"/>
                      <w:w w:val="100"/>
                      <w:sz w:val="21"/>
                      <w:szCs w:val="21"/>
                      <w:highlight w:val="none"/>
                      <w:lang w:val="en-US" w:eastAsia="zh-CN" w:bidi="ar-SA"/>
                    </w:rPr>
                  </w:pPr>
                  <w:r>
                    <w:rPr>
                      <w:rFonts w:hint="eastAsia" w:cs="Times New Roman"/>
                      <w:color w:val="auto"/>
                      <w:spacing w:val="0"/>
                      <w:w w:val="100"/>
                      <w:sz w:val="21"/>
                      <w:szCs w:val="21"/>
                      <w:highlight w:val="none"/>
                      <w:lang w:val="en-US" w:eastAsia="zh-CN" w:bidi="ar-SA"/>
                    </w:rPr>
                    <w:t>90</w:t>
                  </w:r>
                </w:p>
              </w:tc>
              <w:tc>
                <w:tcPr>
                  <w:tcW w:w="364" w:type="pct"/>
                  <w:vMerge w:val="continue"/>
                  <w:tcBorders>
                    <w:tl2br w:val="nil"/>
                    <w:tr2bl w:val="nil"/>
                  </w:tcBorders>
                  <w:noWrap w:val="0"/>
                  <w:vAlign w:val="center"/>
                </w:tcPr>
                <w:p w14:paraId="3EB3A840">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p>
              </w:tc>
              <w:tc>
                <w:tcPr>
                  <w:tcW w:w="287" w:type="pct"/>
                  <w:tcBorders>
                    <w:tl2br w:val="nil"/>
                    <w:tr2bl w:val="nil"/>
                  </w:tcBorders>
                  <w:noWrap w:val="0"/>
                  <w:vAlign w:val="center"/>
                </w:tcPr>
                <w:p w14:paraId="3A0D1690">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r>
                    <w:rPr>
                      <w:rFonts w:hint="eastAsia" w:cs="Times New Roman"/>
                      <w:color w:val="auto"/>
                      <w:spacing w:val="0"/>
                      <w:w w:val="100"/>
                      <w:sz w:val="21"/>
                      <w:szCs w:val="21"/>
                      <w:highlight w:val="none"/>
                      <w:lang w:val="en-US" w:eastAsia="zh-CN"/>
                    </w:rPr>
                    <w:t>13</w:t>
                  </w:r>
                </w:p>
              </w:tc>
              <w:tc>
                <w:tcPr>
                  <w:tcW w:w="766" w:type="dxa"/>
                  <w:tcBorders>
                    <w:tl2br w:val="nil"/>
                    <w:tr2bl w:val="nil"/>
                  </w:tcBorders>
                  <w:noWrap w:val="0"/>
                  <w:vAlign w:val="center"/>
                </w:tcPr>
                <w:p w14:paraId="0277E3A2">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r>
                    <w:rPr>
                      <w:rFonts w:hint="eastAsia" w:ascii="Times New Roman" w:hAnsi="Times New Roman" w:cs="Times New Roman"/>
                      <w:color w:val="auto"/>
                      <w:spacing w:val="0"/>
                      <w:w w:val="100"/>
                      <w:sz w:val="21"/>
                      <w:szCs w:val="21"/>
                      <w:highlight w:val="none"/>
                      <w:lang w:val="en-US" w:eastAsia="zh-CN"/>
                    </w:rPr>
                    <w:t>15</w:t>
                  </w:r>
                </w:p>
              </w:tc>
              <w:tc>
                <w:tcPr>
                  <w:tcW w:w="269" w:type="pct"/>
                  <w:tcBorders>
                    <w:tl2br w:val="nil"/>
                    <w:tr2bl w:val="nil"/>
                  </w:tcBorders>
                  <w:noWrap w:val="0"/>
                  <w:vAlign w:val="center"/>
                </w:tcPr>
                <w:p w14:paraId="0B671E0E">
                  <w:pPr>
                    <w:widowControl w:val="0"/>
                    <w:wordWrap/>
                    <w:adjustRightInd/>
                    <w:snapToGrid/>
                    <w:spacing w:line="240" w:lineRule="auto"/>
                    <w:ind w:firstLine="0" w:firstLineChars="0"/>
                    <w:jc w:val="center"/>
                    <w:textAlignment w:val="auto"/>
                    <w:rPr>
                      <w:rFonts w:hint="default" w:ascii="Times New Roman" w:hAnsi="Times New Roman" w:eastAsia="宋体" w:cs="Times New Roman"/>
                      <w:color w:val="auto"/>
                      <w:spacing w:val="0"/>
                      <w:w w:val="100"/>
                      <w:sz w:val="21"/>
                      <w:szCs w:val="21"/>
                      <w:highlight w:val="none"/>
                      <w:lang w:val="en-US" w:eastAsia="zh-CN" w:bidi="ar-SA"/>
                    </w:rPr>
                  </w:pPr>
                  <w:r>
                    <w:rPr>
                      <w:rFonts w:hint="eastAsia" w:cs="Times New Roman"/>
                      <w:color w:val="auto"/>
                      <w:spacing w:val="0"/>
                      <w:w w:val="100"/>
                      <w:sz w:val="21"/>
                      <w:szCs w:val="21"/>
                      <w:highlight w:val="none"/>
                      <w:lang w:val="en-US" w:eastAsia="zh-CN"/>
                    </w:rPr>
                    <w:t>1.0</w:t>
                  </w:r>
                </w:p>
              </w:tc>
              <w:tc>
                <w:tcPr>
                  <w:tcW w:w="1077" w:type="dxa"/>
                  <w:tcBorders>
                    <w:tl2br w:val="nil"/>
                    <w:tr2bl w:val="nil"/>
                  </w:tcBorders>
                  <w:noWrap w:val="0"/>
                  <w:vAlign w:val="center"/>
                </w:tcPr>
                <w:p w14:paraId="79C6D2A4">
                  <w:pPr>
                    <w:widowControl w:val="0"/>
                    <w:wordWrap/>
                    <w:adjustRightInd/>
                    <w:snapToGrid/>
                    <w:spacing w:line="240" w:lineRule="auto"/>
                    <w:ind w:firstLine="0" w:firstLineChars="0"/>
                    <w:jc w:val="center"/>
                    <w:textAlignment w:val="auto"/>
                    <w:rPr>
                      <w:rFonts w:hint="default" w:ascii="Times New Roman" w:hAnsi="Times New Roman" w:eastAsia="宋体" w:cs="Times New Roman"/>
                      <w:color w:val="auto"/>
                      <w:spacing w:val="0"/>
                      <w:w w:val="100"/>
                      <w:sz w:val="21"/>
                      <w:szCs w:val="21"/>
                      <w:highlight w:val="none"/>
                      <w:lang w:val="en-US" w:eastAsia="zh-CN" w:bidi="ar-SA"/>
                    </w:rPr>
                  </w:pPr>
                  <w:r>
                    <w:rPr>
                      <w:rFonts w:hint="eastAsia" w:cs="Times New Roman"/>
                      <w:color w:val="auto"/>
                      <w:spacing w:val="0"/>
                      <w:w w:val="100"/>
                      <w:sz w:val="21"/>
                      <w:szCs w:val="21"/>
                      <w:highlight w:val="none"/>
                      <w:lang w:val="en-US" w:eastAsia="zh-CN"/>
                    </w:rPr>
                    <w:t>2</w:t>
                  </w:r>
                </w:p>
              </w:tc>
              <w:tc>
                <w:tcPr>
                  <w:tcW w:w="1021" w:type="dxa"/>
                  <w:tcBorders>
                    <w:tl2br w:val="nil"/>
                    <w:tr2bl w:val="nil"/>
                  </w:tcBorders>
                  <w:noWrap w:val="0"/>
                  <w:vAlign w:val="center"/>
                </w:tcPr>
                <w:p w14:paraId="089CB86E">
                  <w:pPr>
                    <w:widowControl w:val="0"/>
                    <w:wordWrap/>
                    <w:adjustRightInd/>
                    <w:snapToGrid/>
                    <w:spacing w:line="240" w:lineRule="auto"/>
                    <w:ind w:firstLine="0" w:firstLineChars="0"/>
                    <w:jc w:val="center"/>
                    <w:textAlignment w:val="auto"/>
                    <w:rPr>
                      <w:rFonts w:hint="default" w:ascii="Times New Roman" w:hAnsi="Times New Roman" w:eastAsia="宋体" w:cs="Times New Roman"/>
                      <w:color w:val="auto"/>
                      <w:spacing w:val="0"/>
                      <w:w w:val="100"/>
                      <w:sz w:val="21"/>
                      <w:szCs w:val="21"/>
                      <w:highlight w:val="none"/>
                      <w:lang w:val="en-US" w:eastAsia="zh-CN" w:bidi="ar-SA"/>
                    </w:rPr>
                  </w:pPr>
                  <w:r>
                    <w:rPr>
                      <w:rFonts w:hint="eastAsia" w:cs="Times New Roman"/>
                      <w:color w:val="auto"/>
                      <w:spacing w:val="0"/>
                      <w:w w:val="100"/>
                      <w:sz w:val="21"/>
                      <w:szCs w:val="21"/>
                      <w:highlight w:val="none"/>
                      <w:lang w:val="en-US" w:eastAsia="zh-CN" w:bidi="ar-SA"/>
                    </w:rPr>
                    <w:t>75.9</w:t>
                  </w:r>
                </w:p>
              </w:tc>
              <w:tc>
                <w:tcPr>
                  <w:tcW w:w="265" w:type="pct"/>
                  <w:tcBorders>
                    <w:tl2br w:val="nil"/>
                    <w:tr2bl w:val="nil"/>
                  </w:tcBorders>
                  <w:noWrap w:val="0"/>
                  <w:vAlign w:val="center"/>
                </w:tcPr>
                <w:p w14:paraId="6A870554">
                  <w:pPr>
                    <w:widowControl w:val="0"/>
                    <w:wordWrap/>
                    <w:adjustRightInd/>
                    <w:snapToGrid/>
                    <w:spacing w:line="240" w:lineRule="auto"/>
                    <w:ind w:firstLine="0" w:firstLineChars="0"/>
                    <w:jc w:val="center"/>
                    <w:textAlignment w:val="auto"/>
                    <w:rPr>
                      <w:rFonts w:hint="default" w:ascii="Times New Roman" w:hAnsi="Times New Roman" w:eastAsia="宋体" w:cs="Times New Roman"/>
                      <w:color w:val="auto"/>
                      <w:spacing w:val="0"/>
                      <w:w w:val="100"/>
                      <w:sz w:val="21"/>
                      <w:szCs w:val="21"/>
                      <w:highlight w:val="none"/>
                      <w:lang w:val="en-US" w:eastAsia="zh-CN" w:bidi="ar-SA"/>
                    </w:rPr>
                  </w:pPr>
                  <w:r>
                    <w:rPr>
                      <w:rFonts w:hint="eastAsia" w:cs="Times New Roman"/>
                      <w:color w:val="auto"/>
                      <w:spacing w:val="0"/>
                      <w:w w:val="100"/>
                      <w:kern w:val="2"/>
                      <w:sz w:val="21"/>
                      <w:szCs w:val="21"/>
                      <w:highlight w:val="none"/>
                      <w:lang w:val="en-US" w:eastAsia="zh-CN" w:bidi="ar-SA"/>
                    </w:rPr>
                    <w:t>8</w:t>
                  </w:r>
                  <w:r>
                    <w:rPr>
                      <w:rFonts w:hint="eastAsia" w:ascii="Times New Roman" w:hAnsi="Times New Roman" w:eastAsia="宋体" w:cs="Times New Roman"/>
                      <w:color w:val="auto"/>
                      <w:spacing w:val="0"/>
                      <w:w w:val="100"/>
                      <w:kern w:val="2"/>
                      <w:sz w:val="21"/>
                      <w:szCs w:val="21"/>
                      <w:highlight w:val="none"/>
                      <w:lang w:val="en-US" w:eastAsia="zh-CN" w:bidi="ar-SA"/>
                    </w:rPr>
                    <w:t>h</w:t>
                  </w:r>
                </w:p>
              </w:tc>
              <w:tc>
                <w:tcPr>
                  <w:tcW w:w="420" w:type="pct"/>
                  <w:vMerge w:val="continue"/>
                  <w:tcBorders>
                    <w:tl2br w:val="nil"/>
                    <w:tr2bl w:val="nil"/>
                  </w:tcBorders>
                  <w:noWrap w:val="0"/>
                  <w:vAlign w:val="center"/>
                </w:tcPr>
                <w:p w14:paraId="555372CD">
                  <w:pPr>
                    <w:widowControl w:val="0"/>
                    <w:wordWrap/>
                    <w:adjustRightInd/>
                    <w:snapToGrid/>
                    <w:spacing w:line="240" w:lineRule="auto"/>
                    <w:ind w:firstLine="0" w:firstLineChars="0"/>
                    <w:jc w:val="center"/>
                    <w:textAlignment w:val="auto"/>
                    <w:rPr>
                      <w:rFonts w:hint="default" w:ascii="Times New Roman" w:hAnsi="Times New Roman" w:eastAsia="宋体" w:cs="Times New Roman"/>
                      <w:color w:val="auto"/>
                      <w:spacing w:val="0"/>
                      <w:w w:val="100"/>
                      <w:sz w:val="21"/>
                      <w:szCs w:val="21"/>
                      <w:highlight w:val="none"/>
                      <w:lang w:val="en-US" w:eastAsia="zh-CN" w:bidi="ar-SA"/>
                    </w:rPr>
                  </w:pPr>
                </w:p>
              </w:tc>
              <w:tc>
                <w:tcPr>
                  <w:tcW w:w="879" w:type="dxa"/>
                  <w:tcBorders>
                    <w:tl2br w:val="nil"/>
                    <w:tr2bl w:val="nil"/>
                  </w:tcBorders>
                  <w:noWrap w:val="0"/>
                  <w:vAlign w:val="center"/>
                </w:tcPr>
                <w:p w14:paraId="55954E4B">
                  <w:pPr>
                    <w:widowControl w:val="0"/>
                    <w:wordWrap/>
                    <w:adjustRightInd/>
                    <w:snapToGrid/>
                    <w:spacing w:line="240" w:lineRule="auto"/>
                    <w:ind w:firstLine="0" w:firstLineChars="0"/>
                    <w:jc w:val="center"/>
                    <w:textAlignment w:val="auto"/>
                    <w:rPr>
                      <w:rFonts w:hint="default" w:ascii="Times New Roman" w:hAnsi="Times New Roman" w:eastAsia="宋体" w:cs="Times New Roman"/>
                      <w:color w:val="auto"/>
                      <w:spacing w:val="0"/>
                      <w:w w:val="100"/>
                      <w:kern w:val="2"/>
                      <w:sz w:val="21"/>
                      <w:szCs w:val="21"/>
                      <w:highlight w:val="none"/>
                      <w:lang w:val="en-US" w:eastAsia="zh-CN" w:bidi="ar-SA"/>
                    </w:rPr>
                  </w:pPr>
                  <w:r>
                    <w:rPr>
                      <w:rFonts w:hint="eastAsia" w:ascii="Times New Roman" w:hAnsi="Times New Roman" w:eastAsia="宋体" w:cs="Times New Roman"/>
                      <w:color w:val="auto"/>
                      <w:spacing w:val="0"/>
                      <w:w w:val="100"/>
                      <w:kern w:val="2"/>
                      <w:sz w:val="21"/>
                      <w:szCs w:val="21"/>
                      <w:highlight w:val="none"/>
                      <w:lang w:val="en-US" w:eastAsia="zh-CN" w:bidi="ar-SA"/>
                    </w:rPr>
                    <w:t>45.9</w:t>
                  </w:r>
                </w:p>
              </w:tc>
              <w:tc>
                <w:tcPr>
                  <w:tcW w:w="316" w:type="pct"/>
                  <w:tcBorders>
                    <w:tl2br w:val="nil"/>
                    <w:tr2bl w:val="nil"/>
                  </w:tcBorders>
                  <w:noWrap w:val="0"/>
                  <w:vAlign w:val="center"/>
                </w:tcPr>
                <w:p w14:paraId="207CA3FD">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r>
                    <w:rPr>
                      <w:rFonts w:hint="default" w:ascii="Times New Roman" w:hAnsi="Times New Roman" w:cs="Times New Roman"/>
                      <w:color w:val="auto"/>
                      <w:spacing w:val="0"/>
                      <w:w w:val="100"/>
                      <w:sz w:val="21"/>
                      <w:szCs w:val="21"/>
                      <w:highlight w:val="none"/>
                      <w:lang w:val="en-US" w:eastAsia="zh-CN"/>
                    </w:rPr>
                    <w:t>1</w:t>
                  </w:r>
                </w:p>
              </w:tc>
            </w:tr>
            <w:tr w14:paraId="533DA51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56" w:type="pct"/>
                  <w:tcBorders>
                    <w:tl2br w:val="nil"/>
                    <w:tr2bl w:val="nil"/>
                  </w:tcBorders>
                  <w:noWrap w:val="0"/>
                  <w:vAlign w:val="center"/>
                </w:tcPr>
                <w:p w14:paraId="2F26B0B6">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r>
                    <w:rPr>
                      <w:rFonts w:hint="eastAsia" w:ascii="Times New Roman" w:hAnsi="Times New Roman" w:cs="Times New Roman"/>
                      <w:color w:val="auto"/>
                      <w:spacing w:val="0"/>
                      <w:w w:val="100"/>
                      <w:sz w:val="21"/>
                      <w:szCs w:val="21"/>
                      <w:highlight w:val="none"/>
                      <w:lang w:val="en-US" w:eastAsia="zh-CN"/>
                    </w:rPr>
                    <w:t>7</w:t>
                  </w:r>
                </w:p>
              </w:tc>
              <w:tc>
                <w:tcPr>
                  <w:tcW w:w="396" w:type="pct"/>
                  <w:vMerge w:val="continue"/>
                  <w:tcBorders>
                    <w:tl2br w:val="nil"/>
                    <w:tr2bl w:val="nil"/>
                  </w:tcBorders>
                  <w:noWrap w:val="0"/>
                  <w:vAlign w:val="center"/>
                </w:tcPr>
                <w:p w14:paraId="38EF0E9F">
                  <w:pPr>
                    <w:widowControl w:val="0"/>
                    <w:wordWrap/>
                    <w:adjustRightInd/>
                    <w:snapToGrid/>
                    <w:spacing w:line="240" w:lineRule="auto"/>
                    <w:ind w:firstLine="0" w:firstLineChars="0"/>
                    <w:jc w:val="center"/>
                    <w:textAlignment w:val="auto"/>
                    <w:rPr>
                      <w:rFonts w:hint="default" w:ascii="Times New Roman" w:hAnsi="Times New Roman" w:eastAsia="宋体" w:cs="Times New Roman"/>
                      <w:color w:val="auto"/>
                      <w:spacing w:val="0"/>
                      <w:w w:val="100"/>
                      <w:sz w:val="21"/>
                      <w:szCs w:val="21"/>
                      <w:highlight w:val="none"/>
                      <w:lang w:val="en-US" w:eastAsia="zh-CN" w:bidi="ar-SA"/>
                    </w:rPr>
                  </w:pPr>
                </w:p>
              </w:tc>
              <w:tc>
                <w:tcPr>
                  <w:tcW w:w="634" w:type="pct"/>
                  <w:tcBorders>
                    <w:tl2br w:val="nil"/>
                    <w:tr2bl w:val="nil"/>
                  </w:tcBorders>
                  <w:noWrap w:val="0"/>
                  <w:vAlign w:val="center"/>
                </w:tcPr>
                <w:p w14:paraId="0DEAF3A2">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kern w:val="2"/>
                      <w:sz w:val="21"/>
                      <w:szCs w:val="21"/>
                      <w:highlight w:val="none"/>
                      <w:lang w:val="en-US" w:eastAsia="zh-CN" w:bidi="ar-SA"/>
                    </w:rPr>
                  </w:pPr>
                  <w:r>
                    <w:rPr>
                      <w:rFonts w:hint="eastAsia" w:ascii="Times New Roman" w:hAnsi="Times New Roman" w:eastAsia="宋体" w:cs="Times New Roman"/>
                      <w:color w:val="auto"/>
                      <w:spacing w:val="0"/>
                      <w:w w:val="100"/>
                      <w:sz w:val="21"/>
                      <w:szCs w:val="21"/>
                      <w:highlight w:val="none"/>
                      <w:lang w:val="en-US" w:eastAsia="zh-CN" w:bidi="ar-SA"/>
                    </w:rPr>
                    <w:t>空压机</w:t>
                  </w:r>
                </w:p>
              </w:tc>
              <w:tc>
                <w:tcPr>
                  <w:tcW w:w="550" w:type="pct"/>
                  <w:tcBorders>
                    <w:tl2br w:val="nil"/>
                    <w:tr2bl w:val="nil"/>
                  </w:tcBorders>
                  <w:noWrap w:val="0"/>
                  <w:vAlign w:val="center"/>
                </w:tcPr>
                <w:p w14:paraId="40CBDDA8">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r>
                    <w:rPr>
                      <w:rFonts w:hint="eastAsia" w:cs="Times New Roman"/>
                      <w:color w:val="auto"/>
                      <w:spacing w:val="0"/>
                      <w:w w:val="100"/>
                      <w:sz w:val="21"/>
                      <w:szCs w:val="21"/>
                      <w:highlight w:val="none"/>
                      <w:lang w:val="en-US" w:eastAsia="zh-CN"/>
                    </w:rPr>
                    <w:t>90</w:t>
                  </w:r>
                </w:p>
              </w:tc>
              <w:tc>
                <w:tcPr>
                  <w:tcW w:w="364" w:type="pct"/>
                  <w:vMerge w:val="continue"/>
                  <w:tcBorders>
                    <w:tl2br w:val="nil"/>
                    <w:tr2bl w:val="nil"/>
                  </w:tcBorders>
                  <w:noWrap w:val="0"/>
                  <w:vAlign w:val="center"/>
                </w:tcPr>
                <w:p w14:paraId="47B9A1D0">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p>
              </w:tc>
              <w:tc>
                <w:tcPr>
                  <w:tcW w:w="287" w:type="pct"/>
                  <w:tcBorders>
                    <w:tl2br w:val="nil"/>
                    <w:tr2bl w:val="nil"/>
                  </w:tcBorders>
                  <w:noWrap w:val="0"/>
                  <w:vAlign w:val="center"/>
                </w:tcPr>
                <w:p w14:paraId="6F1F5E89">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r>
                    <w:rPr>
                      <w:rFonts w:hint="eastAsia" w:cs="Times New Roman"/>
                      <w:color w:val="auto"/>
                      <w:spacing w:val="0"/>
                      <w:w w:val="100"/>
                      <w:sz w:val="21"/>
                      <w:szCs w:val="21"/>
                      <w:highlight w:val="none"/>
                      <w:lang w:val="en-US" w:eastAsia="zh-CN"/>
                    </w:rPr>
                    <w:t>10</w:t>
                  </w:r>
                </w:p>
              </w:tc>
              <w:tc>
                <w:tcPr>
                  <w:tcW w:w="766" w:type="dxa"/>
                  <w:tcBorders>
                    <w:tl2br w:val="nil"/>
                    <w:tr2bl w:val="nil"/>
                  </w:tcBorders>
                  <w:noWrap w:val="0"/>
                  <w:vAlign w:val="center"/>
                </w:tcPr>
                <w:p w14:paraId="78C0E3DF">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r>
                    <w:rPr>
                      <w:rFonts w:hint="eastAsia" w:cs="Times New Roman"/>
                      <w:color w:val="auto"/>
                      <w:spacing w:val="0"/>
                      <w:w w:val="100"/>
                      <w:sz w:val="21"/>
                      <w:szCs w:val="21"/>
                      <w:highlight w:val="none"/>
                      <w:lang w:val="en-US" w:eastAsia="zh-CN"/>
                    </w:rPr>
                    <w:t>13</w:t>
                  </w:r>
                </w:p>
              </w:tc>
              <w:tc>
                <w:tcPr>
                  <w:tcW w:w="269" w:type="pct"/>
                  <w:tcBorders>
                    <w:tl2br w:val="nil"/>
                    <w:tr2bl w:val="nil"/>
                  </w:tcBorders>
                  <w:noWrap w:val="0"/>
                  <w:vAlign w:val="center"/>
                </w:tcPr>
                <w:p w14:paraId="3A35E749">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r>
                    <w:rPr>
                      <w:rFonts w:hint="eastAsia" w:cs="Times New Roman"/>
                      <w:color w:val="auto"/>
                      <w:spacing w:val="0"/>
                      <w:w w:val="100"/>
                      <w:sz w:val="21"/>
                      <w:szCs w:val="21"/>
                      <w:highlight w:val="none"/>
                      <w:lang w:val="en-US" w:eastAsia="zh-CN"/>
                    </w:rPr>
                    <w:t>1.5</w:t>
                  </w:r>
                </w:p>
              </w:tc>
              <w:tc>
                <w:tcPr>
                  <w:tcW w:w="1077" w:type="dxa"/>
                  <w:tcBorders>
                    <w:tl2br w:val="nil"/>
                    <w:tr2bl w:val="nil"/>
                  </w:tcBorders>
                  <w:noWrap w:val="0"/>
                  <w:vAlign w:val="center"/>
                </w:tcPr>
                <w:p w14:paraId="388CDCAD">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r>
                    <w:rPr>
                      <w:rFonts w:hint="eastAsia" w:cs="Times New Roman"/>
                      <w:color w:val="auto"/>
                      <w:spacing w:val="0"/>
                      <w:w w:val="100"/>
                      <w:sz w:val="21"/>
                      <w:szCs w:val="21"/>
                      <w:highlight w:val="none"/>
                      <w:lang w:val="en-US" w:eastAsia="zh-CN"/>
                    </w:rPr>
                    <w:t>3</w:t>
                  </w:r>
                </w:p>
              </w:tc>
              <w:tc>
                <w:tcPr>
                  <w:tcW w:w="1021" w:type="dxa"/>
                  <w:tcBorders>
                    <w:tl2br w:val="nil"/>
                    <w:tr2bl w:val="nil"/>
                  </w:tcBorders>
                  <w:noWrap w:val="0"/>
                  <w:vAlign w:val="center"/>
                </w:tcPr>
                <w:p w14:paraId="2F54EE30">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r>
                    <w:rPr>
                      <w:rFonts w:hint="eastAsia" w:cs="Times New Roman"/>
                      <w:color w:val="auto"/>
                      <w:spacing w:val="0"/>
                      <w:w w:val="100"/>
                      <w:sz w:val="21"/>
                      <w:szCs w:val="21"/>
                      <w:highlight w:val="none"/>
                      <w:lang w:val="en-US" w:eastAsia="zh-CN"/>
                    </w:rPr>
                    <w:t>73.5</w:t>
                  </w:r>
                </w:p>
              </w:tc>
              <w:tc>
                <w:tcPr>
                  <w:tcW w:w="265" w:type="pct"/>
                  <w:tcBorders>
                    <w:tl2br w:val="nil"/>
                    <w:tr2bl w:val="nil"/>
                  </w:tcBorders>
                  <w:noWrap w:val="0"/>
                  <w:vAlign w:val="center"/>
                </w:tcPr>
                <w:p w14:paraId="5377A36C">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r>
                    <w:rPr>
                      <w:rFonts w:hint="eastAsia" w:cs="Times New Roman"/>
                      <w:color w:val="auto"/>
                      <w:spacing w:val="0"/>
                      <w:w w:val="100"/>
                      <w:kern w:val="2"/>
                      <w:sz w:val="21"/>
                      <w:szCs w:val="21"/>
                      <w:highlight w:val="none"/>
                      <w:lang w:val="en-US" w:eastAsia="zh-CN" w:bidi="ar-SA"/>
                    </w:rPr>
                    <w:t>8</w:t>
                  </w:r>
                  <w:r>
                    <w:rPr>
                      <w:rFonts w:hint="eastAsia" w:ascii="Times New Roman" w:hAnsi="Times New Roman" w:eastAsia="宋体" w:cs="Times New Roman"/>
                      <w:color w:val="auto"/>
                      <w:spacing w:val="0"/>
                      <w:w w:val="100"/>
                      <w:kern w:val="2"/>
                      <w:sz w:val="21"/>
                      <w:szCs w:val="21"/>
                      <w:highlight w:val="none"/>
                      <w:lang w:val="en-US" w:eastAsia="zh-CN" w:bidi="ar-SA"/>
                    </w:rPr>
                    <w:t>h</w:t>
                  </w:r>
                </w:p>
              </w:tc>
              <w:tc>
                <w:tcPr>
                  <w:tcW w:w="420" w:type="pct"/>
                  <w:vMerge w:val="continue"/>
                  <w:tcBorders>
                    <w:tl2br w:val="nil"/>
                    <w:tr2bl w:val="nil"/>
                  </w:tcBorders>
                  <w:noWrap w:val="0"/>
                  <w:vAlign w:val="center"/>
                </w:tcPr>
                <w:p w14:paraId="050E07B3">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p>
              </w:tc>
              <w:tc>
                <w:tcPr>
                  <w:tcW w:w="879" w:type="dxa"/>
                  <w:tcBorders>
                    <w:tl2br w:val="nil"/>
                    <w:tr2bl w:val="nil"/>
                  </w:tcBorders>
                  <w:noWrap w:val="0"/>
                  <w:vAlign w:val="center"/>
                </w:tcPr>
                <w:p w14:paraId="192B2AFD">
                  <w:pPr>
                    <w:widowControl w:val="0"/>
                    <w:wordWrap/>
                    <w:adjustRightInd/>
                    <w:snapToGrid/>
                    <w:spacing w:line="240" w:lineRule="auto"/>
                    <w:ind w:firstLine="0" w:firstLineChars="0"/>
                    <w:jc w:val="center"/>
                    <w:textAlignment w:val="auto"/>
                    <w:rPr>
                      <w:rFonts w:hint="default" w:ascii="Times New Roman" w:hAnsi="Times New Roman" w:eastAsia="宋体" w:cs="Times New Roman"/>
                      <w:color w:val="auto"/>
                      <w:spacing w:val="0"/>
                      <w:w w:val="100"/>
                      <w:kern w:val="2"/>
                      <w:sz w:val="21"/>
                      <w:szCs w:val="21"/>
                      <w:highlight w:val="none"/>
                      <w:lang w:val="en-US" w:eastAsia="zh-CN" w:bidi="ar-SA"/>
                    </w:rPr>
                  </w:pPr>
                  <w:r>
                    <w:rPr>
                      <w:rFonts w:hint="eastAsia" w:ascii="Times New Roman" w:hAnsi="Times New Roman" w:eastAsia="宋体" w:cs="Times New Roman"/>
                      <w:color w:val="auto"/>
                      <w:spacing w:val="0"/>
                      <w:w w:val="100"/>
                      <w:kern w:val="2"/>
                      <w:sz w:val="21"/>
                      <w:szCs w:val="21"/>
                      <w:highlight w:val="none"/>
                      <w:lang w:val="en-US" w:eastAsia="zh-CN" w:bidi="ar-SA"/>
                    </w:rPr>
                    <w:t>43.5</w:t>
                  </w:r>
                </w:p>
              </w:tc>
              <w:tc>
                <w:tcPr>
                  <w:tcW w:w="316" w:type="pct"/>
                  <w:tcBorders>
                    <w:tl2br w:val="nil"/>
                    <w:tr2bl w:val="nil"/>
                  </w:tcBorders>
                  <w:noWrap w:val="0"/>
                  <w:vAlign w:val="center"/>
                </w:tcPr>
                <w:p w14:paraId="4CF91070">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r>
                    <w:rPr>
                      <w:rFonts w:hint="eastAsia" w:ascii="Times New Roman" w:hAnsi="Times New Roman" w:cs="Times New Roman"/>
                      <w:color w:val="auto"/>
                      <w:spacing w:val="0"/>
                      <w:w w:val="100"/>
                      <w:sz w:val="21"/>
                      <w:szCs w:val="21"/>
                      <w:highlight w:val="none"/>
                      <w:lang w:val="en-US" w:eastAsia="zh-CN"/>
                    </w:rPr>
                    <w:t>1</w:t>
                  </w:r>
                </w:p>
              </w:tc>
            </w:tr>
            <w:tr w14:paraId="686CF9B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56" w:type="pct"/>
                  <w:tcBorders>
                    <w:tl2br w:val="nil"/>
                    <w:tr2bl w:val="nil"/>
                  </w:tcBorders>
                  <w:noWrap w:val="0"/>
                  <w:vAlign w:val="center"/>
                </w:tcPr>
                <w:p w14:paraId="4DA75DBA">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r>
                    <w:rPr>
                      <w:rFonts w:hint="eastAsia" w:ascii="Times New Roman" w:hAnsi="Times New Roman" w:cs="Times New Roman"/>
                      <w:color w:val="auto"/>
                      <w:spacing w:val="0"/>
                      <w:w w:val="100"/>
                      <w:sz w:val="21"/>
                      <w:szCs w:val="21"/>
                      <w:highlight w:val="none"/>
                      <w:lang w:val="en-US" w:eastAsia="zh-CN"/>
                    </w:rPr>
                    <w:t>8</w:t>
                  </w:r>
                </w:p>
              </w:tc>
              <w:tc>
                <w:tcPr>
                  <w:tcW w:w="396" w:type="pct"/>
                  <w:vMerge w:val="continue"/>
                  <w:tcBorders>
                    <w:tl2br w:val="nil"/>
                    <w:tr2bl w:val="nil"/>
                  </w:tcBorders>
                  <w:noWrap w:val="0"/>
                  <w:vAlign w:val="center"/>
                </w:tcPr>
                <w:p w14:paraId="7C972508">
                  <w:pPr>
                    <w:widowControl w:val="0"/>
                    <w:wordWrap/>
                    <w:adjustRightInd/>
                    <w:snapToGrid/>
                    <w:spacing w:line="240" w:lineRule="auto"/>
                    <w:ind w:firstLine="0" w:firstLineChars="0"/>
                    <w:jc w:val="center"/>
                    <w:textAlignment w:val="auto"/>
                    <w:rPr>
                      <w:rFonts w:hint="default" w:ascii="Times New Roman" w:hAnsi="Times New Roman" w:eastAsia="宋体" w:cs="Times New Roman"/>
                      <w:color w:val="auto"/>
                      <w:spacing w:val="0"/>
                      <w:w w:val="100"/>
                      <w:sz w:val="21"/>
                      <w:szCs w:val="21"/>
                      <w:highlight w:val="none"/>
                      <w:lang w:val="en-US" w:eastAsia="zh-CN" w:bidi="ar-SA"/>
                    </w:rPr>
                  </w:pPr>
                </w:p>
              </w:tc>
              <w:tc>
                <w:tcPr>
                  <w:tcW w:w="634" w:type="pct"/>
                  <w:tcBorders>
                    <w:tl2br w:val="nil"/>
                    <w:tr2bl w:val="nil"/>
                  </w:tcBorders>
                  <w:noWrap w:val="0"/>
                  <w:vAlign w:val="center"/>
                </w:tcPr>
                <w:p w14:paraId="6DEA7521">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r>
                    <w:rPr>
                      <w:rFonts w:hint="eastAsia" w:cs="Times New Roman"/>
                      <w:color w:val="auto"/>
                      <w:spacing w:val="0"/>
                      <w:w w:val="100"/>
                      <w:sz w:val="21"/>
                      <w:szCs w:val="21"/>
                      <w:highlight w:val="none"/>
                      <w:lang w:val="en-US" w:eastAsia="zh-CN"/>
                    </w:rPr>
                    <w:t>干燥箱</w:t>
                  </w:r>
                </w:p>
              </w:tc>
              <w:tc>
                <w:tcPr>
                  <w:tcW w:w="550" w:type="pct"/>
                  <w:tcBorders>
                    <w:tl2br w:val="nil"/>
                    <w:tr2bl w:val="nil"/>
                  </w:tcBorders>
                  <w:noWrap w:val="0"/>
                  <w:vAlign w:val="center"/>
                </w:tcPr>
                <w:p w14:paraId="272D920F">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r>
                    <w:rPr>
                      <w:rFonts w:hint="eastAsia" w:ascii="Times New Roman" w:hAnsi="Times New Roman" w:cs="Times New Roman"/>
                      <w:color w:val="auto"/>
                      <w:spacing w:val="0"/>
                      <w:w w:val="100"/>
                      <w:sz w:val="21"/>
                      <w:szCs w:val="21"/>
                      <w:highlight w:val="none"/>
                      <w:lang w:val="en-US" w:eastAsia="zh-CN"/>
                    </w:rPr>
                    <w:t>8</w:t>
                  </w:r>
                  <w:r>
                    <w:rPr>
                      <w:rFonts w:hint="eastAsia" w:cs="Times New Roman"/>
                      <w:color w:val="auto"/>
                      <w:spacing w:val="0"/>
                      <w:w w:val="100"/>
                      <w:sz w:val="21"/>
                      <w:szCs w:val="21"/>
                      <w:highlight w:val="none"/>
                      <w:lang w:val="en-US" w:eastAsia="zh-CN"/>
                    </w:rPr>
                    <w:t>0</w:t>
                  </w:r>
                </w:p>
              </w:tc>
              <w:tc>
                <w:tcPr>
                  <w:tcW w:w="364" w:type="pct"/>
                  <w:vMerge w:val="continue"/>
                  <w:tcBorders>
                    <w:tl2br w:val="nil"/>
                    <w:tr2bl w:val="nil"/>
                  </w:tcBorders>
                  <w:noWrap w:val="0"/>
                  <w:vAlign w:val="center"/>
                </w:tcPr>
                <w:p w14:paraId="4DD63D42">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p>
              </w:tc>
              <w:tc>
                <w:tcPr>
                  <w:tcW w:w="287" w:type="pct"/>
                  <w:tcBorders>
                    <w:tl2br w:val="nil"/>
                    <w:tr2bl w:val="nil"/>
                  </w:tcBorders>
                  <w:noWrap w:val="0"/>
                  <w:vAlign w:val="center"/>
                </w:tcPr>
                <w:p w14:paraId="3173C6A9">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r>
                    <w:rPr>
                      <w:rFonts w:hint="eastAsia" w:cs="Times New Roman"/>
                      <w:color w:val="auto"/>
                      <w:spacing w:val="0"/>
                      <w:w w:val="100"/>
                      <w:sz w:val="21"/>
                      <w:szCs w:val="21"/>
                      <w:highlight w:val="none"/>
                      <w:lang w:val="en-US" w:eastAsia="zh-CN"/>
                    </w:rPr>
                    <w:t>10</w:t>
                  </w:r>
                </w:p>
              </w:tc>
              <w:tc>
                <w:tcPr>
                  <w:tcW w:w="766" w:type="dxa"/>
                  <w:tcBorders>
                    <w:tl2br w:val="nil"/>
                    <w:tr2bl w:val="nil"/>
                  </w:tcBorders>
                  <w:noWrap w:val="0"/>
                  <w:vAlign w:val="center"/>
                </w:tcPr>
                <w:p w14:paraId="4A9B12E2">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r>
                    <w:rPr>
                      <w:rFonts w:hint="eastAsia" w:ascii="Times New Roman" w:hAnsi="Times New Roman" w:cs="Times New Roman"/>
                      <w:color w:val="auto"/>
                      <w:spacing w:val="0"/>
                      <w:w w:val="100"/>
                      <w:sz w:val="21"/>
                      <w:szCs w:val="21"/>
                      <w:highlight w:val="none"/>
                      <w:lang w:val="en-US" w:eastAsia="zh-CN"/>
                    </w:rPr>
                    <w:t>15</w:t>
                  </w:r>
                </w:p>
              </w:tc>
              <w:tc>
                <w:tcPr>
                  <w:tcW w:w="269" w:type="pct"/>
                  <w:tcBorders>
                    <w:tl2br w:val="nil"/>
                    <w:tr2bl w:val="nil"/>
                  </w:tcBorders>
                  <w:noWrap w:val="0"/>
                  <w:vAlign w:val="center"/>
                </w:tcPr>
                <w:p w14:paraId="6B6D388D">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r>
                    <w:rPr>
                      <w:rFonts w:hint="eastAsia" w:cs="Times New Roman"/>
                      <w:color w:val="auto"/>
                      <w:spacing w:val="0"/>
                      <w:w w:val="100"/>
                      <w:sz w:val="21"/>
                      <w:szCs w:val="21"/>
                      <w:highlight w:val="none"/>
                      <w:lang w:val="en-US" w:eastAsia="zh-CN"/>
                    </w:rPr>
                    <w:t>0.9</w:t>
                  </w:r>
                </w:p>
              </w:tc>
              <w:tc>
                <w:tcPr>
                  <w:tcW w:w="1077" w:type="dxa"/>
                  <w:tcBorders>
                    <w:tl2br w:val="nil"/>
                    <w:tr2bl w:val="nil"/>
                  </w:tcBorders>
                  <w:noWrap w:val="0"/>
                  <w:vAlign w:val="center"/>
                </w:tcPr>
                <w:p w14:paraId="2CE47036">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r>
                    <w:rPr>
                      <w:rFonts w:hint="eastAsia" w:cs="Times New Roman"/>
                      <w:color w:val="auto"/>
                      <w:spacing w:val="0"/>
                      <w:w w:val="100"/>
                      <w:sz w:val="21"/>
                      <w:szCs w:val="21"/>
                      <w:highlight w:val="none"/>
                      <w:lang w:val="en-US" w:eastAsia="zh-CN"/>
                    </w:rPr>
                    <w:t>2</w:t>
                  </w:r>
                </w:p>
              </w:tc>
              <w:tc>
                <w:tcPr>
                  <w:tcW w:w="1021" w:type="dxa"/>
                  <w:tcBorders>
                    <w:tl2br w:val="nil"/>
                    <w:tr2bl w:val="nil"/>
                  </w:tcBorders>
                  <w:noWrap w:val="0"/>
                  <w:vAlign w:val="center"/>
                </w:tcPr>
                <w:p w14:paraId="0C491108">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r>
                    <w:rPr>
                      <w:rFonts w:hint="eastAsia" w:cs="Times New Roman"/>
                      <w:color w:val="auto"/>
                      <w:spacing w:val="0"/>
                      <w:w w:val="100"/>
                      <w:sz w:val="21"/>
                      <w:szCs w:val="21"/>
                      <w:highlight w:val="none"/>
                      <w:lang w:val="en-US" w:eastAsia="zh-CN"/>
                    </w:rPr>
                    <w:t>65.9</w:t>
                  </w:r>
                </w:p>
              </w:tc>
              <w:tc>
                <w:tcPr>
                  <w:tcW w:w="265" w:type="pct"/>
                  <w:tcBorders>
                    <w:tl2br w:val="nil"/>
                    <w:tr2bl w:val="nil"/>
                  </w:tcBorders>
                  <w:noWrap w:val="0"/>
                  <w:vAlign w:val="center"/>
                </w:tcPr>
                <w:p w14:paraId="07DB2BD2">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r>
                    <w:rPr>
                      <w:rFonts w:hint="eastAsia" w:cs="Times New Roman"/>
                      <w:color w:val="auto"/>
                      <w:spacing w:val="0"/>
                      <w:w w:val="100"/>
                      <w:kern w:val="2"/>
                      <w:sz w:val="21"/>
                      <w:szCs w:val="21"/>
                      <w:highlight w:val="none"/>
                      <w:lang w:val="en-US" w:eastAsia="zh-CN" w:bidi="ar-SA"/>
                    </w:rPr>
                    <w:t>8</w:t>
                  </w:r>
                  <w:r>
                    <w:rPr>
                      <w:rFonts w:hint="eastAsia" w:ascii="Times New Roman" w:hAnsi="Times New Roman" w:eastAsia="宋体" w:cs="Times New Roman"/>
                      <w:color w:val="auto"/>
                      <w:spacing w:val="0"/>
                      <w:w w:val="100"/>
                      <w:kern w:val="2"/>
                      <w:sz w:val="21"/>
                      <w:szCs w:val="21"/>
                      <w:highlight w:val="none"/>
                      <w:lang w:val="en-US" w:eastAsia="zh-CN" w:bidi="ar-SA"/>
                    </w:rPr>
                    <w:t>h</w:t>
                  </w:r>
                </w:p>
              </w:tc>
              <w:tc>
                <w:tcPr>
                  <w:tcW w:w="420" w:type="pct"/>
                  <w:vMerge w:val="continue"/>
                  <w:tcBorders>
                    <w:tl2br w:val="nil"/>
                    <w:tr2bl w:val="nil"/>
                  </w:tcBorders>
                  <w:noWrap w:val="0"/>
                  <w:vAlign w:val="center"/>
                </w:tcPr>
                <w:p w14:paraId="5E2F25CE">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p>
              </w:tc>
              <w:tc>
                <w:tcPr>
                  <w:tcW w:w="879" w:type="dxa"/>
                  <w:tcBorders>
                    <w:tl2br w:val="nil"/>
                    <w:tr2bl w:val="nil"/>
                  </w:tcBorders>
                  <w:noWrap w:val="0"/>
                  <w:vAlign w:val="center"/>
                </w:tcPr>
                <w:p w14:paraId="10C6BCD5">
                  <w:pPr>
                    <w:widowControl w:val="0"/>
                    <w:wordWrap/>
                    <w:adjustRightInd/>
                    <w:snapToGrid/>
                    <w:spacing w:line="240" w:lineRule="auto"/>
                    <w:ind w:firstLine="0" w:firstLineChars="0"/>
                    <w:jc w:val="center"/>
                    <w:textAlignment w:val="auto"/>
                    <w:rPr>
                      <w:rFonts w:hint="default" w:ascii="Times New Roman" w:hAnsi="Times New Roman" w:eastAsia="宋体" w:cs="Times New Roman"/>
                      <w:color w:val="auto"/>
                      <w:spacing w:val="0"/>
                      <w:w w:val="100"/>
                      <w:kern w:val="2"/>
                      <w:sz w:val="21"/>
                      <w:szCs w:val="21"/>
                      <w:highlight w:val="none"/>
                      <w:lang w:val="en-US" w:eastAsia="zh-CN" w:bidi="ar-SA"/>
                    </w:rPr>
                  </w:pPr>
                  <w:r>
                    <w:rPr>
                      <w:rFonts w:hint="eastAsia" w:ascii="Times New Roman" w:hAnsi="Times New Roman" w:eastAsia="宋体" w:cs="Times New Roman"/>
                      <w:color w:val="auto"/>
                      <w:spacing w:val="0"/>
                      <w:w w:val="100"/>
                      <w:kern w:val="2"/>
                      <w:sz w:val="21"/>
                      <w:szCs w:val="21"/>
                      <w:highlight w:val="none"/>
                      <w:lang w:val="en-US" w:eastAsia="zh-CN" w:bidi="ar-SA"/>
                    </w:rPr>
                    <w:t>35.9</w:t>
                  </w:r>
                </w:p>
              </w:tc>
              <w:tc>
                <w:tcPr>
                  <w:tcW w:w="316" w:type="pct"/>
                  <w:tcBorders>
                    <w:tl2br w:val="nil"/>
                    <w:tr2bl w:val="nil"/>
                  </w:tcBorders>
                  <w:noWrap w:val="0"/>
                  <w:vAlign w:val="center"/>
                </w:tcPr>
                <w:p w14:paraId="4B51AD81">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r>
                    <w:rPr>
                      <w:rFonts w:hint="eastAsia" w:ascii="Times New Roman" w:hAnsi="Times New Roman" w:cs="Times New Roman"/>
                      <w:color w:val="auto"/>
                      <w:spacing w:val="0"/>
                      <w:w w:val="100"/>
                      <w:sz w:val="21"/>
                      <w:szCs w:val="21"/>
                      <w:highlight w:val="none"/>
                      <w:lang w:val="en-US" w:eastAsia="zh-CN"/>
                    </w:rPr>
                    <w:t>1</w:t>
                  </w:r>
                </w:p>
              </w:tc>
            </w:tr>
            <w:tr w14:paraId="63E4C03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56" w:type="pct"/>
                  <w:tcBorders>
                    <w:tl2br w:val="nil"/>
                    <w:tr2bl w:val="nil"/>
                  </w:tcBorders>
                  <w:noWrap w:val="0"/>
                  <w:vAlign w:val="center"/>
                </w:tcPr>
                <w:p w14:paraId="6EFF58CF">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r>
                    <w:rPr>
                      <w:rFonts w:hint="eastAsia" w:cs="Times New Roman"/>
                      <w:color w:val="auto"/>
                      <w:spacing w:val="0"/>
                      <w:w w:val="100"/>
                      <w:sz w:val="21"/>
                      <w:szCs w:val="21"/>
                      <w:highlight w:val="none"/>
                      <w:lang w:val="en-US" w:eastAsia="zh-CN"/>
                    </w:rPr>
                    <w:t>9</w:t>
                  </w:r>
                </w:p>
              </w:tc>
              <w:tc>
                <w:tcPr>
                  <w:tcW w:w="396" w:type="pct"/>
                  <w:tcBorders>
                    <w:tl2br w:val="nil"/>
                    <w:tr2bl w:val="nil"/>
                  </w:tcBorders>
                  <w:noWrap w:val="0"/>
                  <w:vAlign w:val="center"/>
                </w:tcPr>
                <w:p w14:paraId="41306C81">
                  <w:pPr>
                    <w:widowControl w:val="0"/>
                    <w:wordWrap/>
                    <w:adjustRightInd/>
                    <w:snapToGrid/>
                    <w:spacing w:line="240" w:lineRule="auto"/>
                    <w:ind w:firstLine="0" w:firstLineChars="0"/>
                    <w:jc w:val="center"/>
                    <w:textAlignment w:val="auto"/>
                    <w:rPr>
                      <w:rFonts w:hint="default" w:ascii="Times New Roman" w:hAnsi="Times New Roman" w:eastAsia="宋体" w:cs="Times New Roman"/>
                      <w:color w:val="auto"/>
                      <w:spacing w:val="0"/>
                      <w:w w:val="100"/>
                      <w:sz w:val="21"/>
                      <w:szCs w:val="21"/>
                      <w:highlight w:val="none"/>
                      <w:lang w:val="en-US" w:eastAsia="zh-CN" w:bidi="ar-SA"/>
                    </w:rPr>
                  </w:pPr>
                  <w:r>
                    <w:rPr>
                      <w:rFonts w:hint="eastAsia" w:cs="Times New Roman"/>
                      <w:color w:val="auto"/>
                      <w:spacing w:val="0"/>
                      <w:w w:val="100"/>
                      <w:sz w:val="21"/>
                      <w:szCs w:val="21"/>
                      <w:highlight w:val="none"/>
                      <w:lang w:val="en-US" w:eastAsia="zh-CN" w:bidi="ar-SA"/>
                    </w:rPr>
                    <w:t>操作室1</w:t>
                  </w:r>
                </w:p>
              </w:tc>
              <w:tc>
                <w:tcPr>
                  <w:tcW w:w="634" w:type="pct"/>
                  <w:tcBorders>
                    <w:tl2br w:val="nil"/>
                    <w:tr2bl w:val="nil"/>
                  </w:tcBorders>
                  <w:noWrap w:val="0"/>
                  <w:vAlign w:val="center"/>
                </w:tcPr>
                <w:p w14:paraId="2778D2A4">
                  <w:pPr>
                    <w:widowControl w:val="0"/>
                    <w:wordWrap/>
                    <w:adjustRightInd/>
                    <w:snapToGrid/>
                    <w:spacing w:line="240" w:lineRule="auto"/>
                    <w:ind w:firstLine="0" w:firstLineChars="0"/>
                    <w:jc w:val="center"/>
                    <w:textAlignment w:val="auto"/>
                    <w:rPr>
                      <w:rFonts w:hint="default" w:ascii="Times New Roman" w:hAnsi="Times New Roman" w:eastAsia="宋体" w:cs="Times New Roman"/>
                      <w:color w:val="auto"/>
                      <w:spacing w:val="0"/>
                      <w:w w:val="100"/>
                      <w:sz w:val="21"/>
                      <w:szCs w:val="21"/>
                      <w:highlight w:val="none"/>
                      <w:lang w:val="en-US" w:eastAsia="zh-CN" w:bidi="ar-SA"/>
                    </w:rPr>
                  </w:pPr>
                  <w:r>
                    <w:rPr>
                      <w:rFonts w:hint="eastAsia" w:cs="Times New Roman"/>
                      <w:color w:val="auto"/>
                      <w:spacing w:val="0"/>
                      <w:w w:val="100"/>
                      <w:sz w:val="21"/>
                      <w:szCs w:val="21"/>
                      <w:highlight w:val="none"/>
                      <w:lang w:val="en-US" w:eastAsia="zh-CN" w:bidi="ar-SA"/>
                    </w:rPr>
                    <w:t>振荡器</w:t>
                  </w:r>
                </w:p>
              </w:tc>
              <w:tc>
                <w:tcPr>
                  <w:tcW w:w="550" w:type="pct"/>
                  <w:tcBorders>
                    <w:tl2br w:val="nil"/>
                    <w:tr2bl w:val="nil"/>
                  </w:tcBorders>
                  <w:noWrap w:val="0"/>
                  <w:vAlign w:val="center"/>
                </w:tcPr>
                <w:p w14:paraId="3703775B">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r>
                    <w:rPr>
                      <w:rFonts w:hint="eastAsia" w:cs="Times New Roman"/>
                      <w:color w:val="auto"/>
                      <w:spacing w:val="0"/>
                      <w:w w:val="100"/>
                      <w:sz w:val="21"/>
                      <w:szCs w:val="21"/>
                      <w:highlight w:val="none"/>
                      <w:lang w:val="en-US" w:eastAsia="zh-CN"/>
                    </w:rPr>
                    <w:t>80</w:t>
                  </w:r>
                </w:p>
              </w:tc>
              <w:tc>
                <w:tcPr>
                  <w:tcW w:w="364" w:type="pct"/>
                  <w:vMerge w:val="continue"/>
                  <w:tcBorders>
                    <w:tl2br w:val="nil"/>
                    <w:tr2bl w:val="nil"/>
                  </w:tcBorders>
                  <w:noWrap w:val="0"/>
                  <w:vAlign w:val="center"/>
                </w:tcPr>
                <w:p w14:paraId="7D5386D2">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p>
              </w:tc>
              <w:tc>
                <w:tcPr>
                  <w:tcW w:w="287" w:type="pct"/>
                  <w:tcBorders>
                    <w:tl2br w:val="nil"/>
                    <w:tr2bl w:val="nil"/>
                  </w:tcBorders>
                  <w:noWrap w:val="0"/>
                  <w:vAlign w:val="center"/>
                </w:tcPr>
                <w:p w14:paraId="423ED50C">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r>
                    <w:rPr>
                      <w:rFonts w:hint="eastAsia" w:cs="Times New Roman"/>
                      <w:color w:val="auto"/>
                      <w:spacing w:val="0"/>
                      <w:w w:val="100"/>
                      <w:sz w:val="21"/>
                      <w:szCs w:val="21"/>
                      <w:highlight w:val="none"/>
                      <w:lang w:val="en-US" w:eastAsia="zh-CN"/>
                    </w:rPr>
                    <w:t>12</w:t>
                  </w:r>
                </w:p>
              </w:tc>
              <w:tc>
                <w:tcPr>
                  <w:tcW w:w="274" w:type="pct"/>
                  <w:tcBorders>
                    <w:tl2br w:val="nil"/>
                    <w:tr2bl w:val="nil"/>
                  </w:tcBorders>
                  <w:noWrap w:val="0"/>
                  <w:vAlign w:val="center"/>
                </w:tcPr>
                <w:p w14:paraId="0E6AFE0C">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r>
                    <w:rPr>
                      <w:rFonts w:hint="eastAsia" w:cs="Times New Roman"/>
                      <w:color w:val="auto"/>
                      <w:spacing w:val="0"/>
                      <w:w w:val="100"/>
                      <w:sz w:val="21"/>
                      <w:szCs w:val="21"/>
                      <w:highlight w:val="none"/>
                      <w:lang w:val="en-US" w:eastAsia="zh-CN"/>
                    </w:rPr>
                    <w:t>15</w:t>
                  </w:r>
                </w:p>
              </w:tc>
              <w:tc>
                <w:tcPr>
                  <w:tcW w:w="269" w:type="pct"/>
                  <w:tcBorders>
                    <w:tl2br w:val="nil"/>
                    <w:tr2bl w:val="nil"/>
                  </w:tcBorders>
                  <w:noWrap w:val="0"/>
                  <w:vAlign w:val="center"/>
                </w:tcPr>
                <w:p w14:paraId="7A37EC61">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r>
                    <w:rPr>
                      <w:rFonts w:hint="eastAsia" w:cs="Times New Roman"/>
                      <w:color w:val="auto"/>
                      <w:spacing w:val="0"/>
                      <w:w w:val="100"/>
                      <w:sz w:val="21"/>
                      <w:szCs w:val="21"/>
                      <w:highlight w:val="none"/>
                      <w:lang w:val="en-US" w:eastAsia="zh-CN"/>
                    </w:rPr>
                    <w:t>0.9</w:t>
                  </w:r>
                </w:p>
              </w:tc>
              <w:tc>
                <w:tcPr>
                  <w:tcW w:w="385" w:type="pct"/>
                  <w:tcBorders>
                    <w:tl2br w:val="nil"/>
                    <w:tr2bl w:val="nil"/>
                  </w:tcBorders>
                  <w:noWrap w:val="0"/>
                  <w:vAlign w:val="center"/>
                </w:tcPr>
                <w:p w14:paraId="3884D04F">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r>
                    <w:rPr>
                      <w:rFonts w:hint="eastAsia" w:cs="Times New Roman"/>
                      <w:color w:val="auto"/>
                      <w:spacing w:val="0"/>
                      <w:w w:val="100"/>
                      <w:sz w:val="21"/>
                      <w:szCs w:val="21"/>
                      <w:highlight w:val="none"/>
                      <w:lang w:val="en-US" w:eastAsia="zh-CN"/>
                    </w:rPr>
                    <w:t>2</w:t>
                  </w:r>
                </w:p>
              </w:tc>
              <w:tc>
                <w:tcPr>
                  <w:tcW w:w="1021" w:type="dxa"/>
                  <w:tcBorders>
                    <w:tl2br w:val="nil"/>
                    <w:tr2bl w:val="nil"/>
                  </w:tcBorders>
                  <w:noWrap w:val="0"/>
                  <w:vAlign w:val="center"/>
                </w:tcPr>
                <w:p w14:paraId="09074449">
                  <w:pPr>
                    <w:widowControl w:val="0"/>
                    <w:wordWrap/>
                    <w:adjustRightInd/>
                    <w:snapToGrid/>
                    <w:spacing w:line="240" w:lineRule="auto"/>
                    <w:ind w:firstLine="0" w:firstLineChars="0"/>
                    <w:jc w:val="center"/>
                    <w:textAlignment w:val="auto"/>
                    <w:rPr>
                      <w:rFonts w:hint="eastAsia" w:ascii="Times New Roman" w:hAnsi="Times New Roman" w:cs="Times New Roman"/>
                      <w:color w:val="auto"/>
                      <w:spacing w:val="0"/>
                      <w:w w:val="100"/>
                      <w:sz w:val="21"/>
                      <w:szCs w:val="21"/>
                      <w:highlight w:val="none"/>
                      <w:lang w:val="en-US" w:eastAsia="zh-CN"/>
                    </w:rPr>
                  </w:pPr>
                  <w:r>
                    <w:rPr>
                      <w:rFonts w:hint="eastAsia" w:cs="Times New Roman"/>
                      <w:color w:val="auto"/>
                      <w:spacing w:val="0"/>
                      <w:w w:val="100"/>
                      <w:sz w:val="21"/>
                      <w:szCs w:val="21"/>
                      <w:highlight w:val="none"/>
                      <w:lang w:val="en-US" w:eastAsia="zh-CN"/>
                    </w:rPr>
                    <w:t>65.9</w:t>
                  </w:r>
                </w:p>
              </w:tc>
              <w:tc>
                <w:tcPr>
                  <w:tcW w:w="265" w:type="pct"/>
                  <w:tcBorders>
                    <w:tl2br w:val="nil"/>
                    <w:tr2bl w:val="nil"/>
                  </w:tcBorders>
                  <w:noWrap w:val="0"/>
                  <w:vAlign w:val="center"/>
                </w:tcPr>
                <w:p w14:paraId="5B49E434">
                  <w:pPr>
                    <w:widowControl w:val="0"/>
                    <w:wordWrap/>
                    <w:adjustRightInd/>
                    <w:snapToGrid/>
                    <w:spacing w:line="240" w:lineRule="auto"/>
                    <w:ind w:firstLine="0" w:firstLineChars="0"/>
                    <w:jc w:val="center"/>
                    <w:textAlignment w:val="auto"/>
                    <w:rPr>
                      <w:rFonts w:hint="eastAsia" w:ascii="Times New Roman" w:hAnsi="Times New Roman" w:eastAsia="宋体" w:cs="Times New Roman"/>
                      <w:color w:val="auto"/>
                      <w:spacing w:val="0"/>
                      <w:w w:val="100"/>
                      <w:kern w:val="2"/>
                      <w:sz w:val="21"/>
                      <w:szCs w:val="21"/>
                      <w:highlight w:val="none"/>
                      <w:lang w:val="en-US" w:eastAsia="zh-CN" w:bidi="ar-SA"/>
                    </w:rPr>
                  </w:pPr>
                  <w:r>
                    <w:rPr>
                      <w:rFonts w:hint="eastAsia" w:cs="Times New Roman"/>
                      <w:color w:val="auto"/>
                      <w:spacing w:val="0"/>
                      <w:w w:val="100"/>
                      <w:kern w:val="2"/>
                      <w:sz w:val="21"/>
                      <w:szCs w:val="21"/>
                      <w:highlight w:val="none"/>
                      <w:lang w:val="en-US" w:eastAsia="zh-CN" w:bidi="ar-SA"/>
                    </w:rPr>
                    <w:t>8</w:t>
                  </w:r>
                  <w:r>
                    <w:rPr>
                      <w:rFonts w:hint="eastAsia" w:ascii="Times New Roman" w:hAnsi="Times New Roman" w:eastAsia="宋体" w:cs="Times New Roman"/>
                      <w:color w:val="auto"/>
                      <w:spacing w:val="0"/>
                      <w:w w:val="100"/>
                      <w:kern w:val="2"/>
                      <w:sz w:val="21"/>
                      <w:szCs w:val="21"/>
                      <w:highlight w:val="none"/>
                      <w:lang w:val="en-US" w:eastAsia="zh-CN" w:bidi="ar-SA"/>
                    </w:rPr>
                    <w:t>h</w:t>
                  </w:r>
                </w:p>
              </w:tc>
              <w:tc>
                <w:tcPr>
                  <w:tcW w:w="420" w:type="pct"/>
                  <w:vMerge w:val="continue"/>
                  <w:tcBorders>
                    <w:tl2br w:val="nil"/>
                    <w:tr2bl w:val="nil"/>
                  </w:tcBorders>
                  <w:noWrap w:val="0"/>
                  <w:vAlign w:val="center"/>
                </w:tcPr>
                <w:p w14:paraId="08FD42FD">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p>
              </w:tc>
              <w:tc>
                <w:tcPr>
                  <w:tcW w:w="879" w:type="dxa"/>
                  <w:tcBorders>
                    <w:tl2br w:val="nil"/>
                    <w:tr2bl w:val="nil"/>
                  </w:tcBorders>
                  <w:noWrap w:val="0"/>
                  <w:vAlign w:val="center"/>
                </w:tcPr>
                <w:p w14:paraId="4C9A65DA">
                  <w:pPr>
                    <w:widowControl w:val="0"/>
                    <w:wordWrap/>
                    <w:adjustRightInd/>
                    <w:snapToGrid/>
                    <w:spacing w:line="240" w:lineRule="auto"/>
                    <w:ind w:firstLine="0" w:firstLineChars="0"/>
                    <w:jc w:val="center"/>
                    <w:textAlignment w:val="auto"/>
                    <w:rPr>
                      <w:rFonts w:hint="eastAsia" w:ascii="Times New Roman" w:hAnsi="Times New Roman" w:eastAsia="宋体" w:cs="Times New Roman"/>
                      <w:color w:val="auto"/>
                      <w:spacing w:val="0"/>
                      <w:w w:val="100"/>
                      <w:kern w:val="2"/>
                      <w:sz w:val="21"/>
                      <w:szCs w:val="21"/>
                      <w:highlight w:val="none"/>
                      <w:lang w:val="en-US" w:eastAsia="zh-CN" w:bidi="ar-SA"/>
                    </w:rPr>
                  </w:pPr>
                  <w:r>
                    <w:rPr>
                      <w:rFonts w:hint="eastAsia" w:ascii="Times New Roman" w:hAnsi="Times New Roman" w:eastAsia="宋体" w:cs="Times New Roman"/>
                      <w:color w:val="auto"/>
                      <w:spacing w:val="0"/>
                      <w:w w:val="100"/>
                      <w:kern w:val="2"/>
                      <w:sz w:val="21"/>
                      <w:szCs w:val="21"/>
                      <w:highlight w:val="none"/>
                      <w:lang w:val="en-US" w:eastAsia="zh-CN" w:bidi="ar-SA"/>
                    </w:rPr>
                    <w:t>35.9</w:t>
                  </w:r>
                </w:p>
              </w:tc>
              <w:tc>
                <w:tcPr>
                  <w:tcW w:w="316" w:type="pct"/>
                  <w:tcBorders>
                    <w:tl2br w:val="nil"/>
                    <w:tr2bl w:val="nil"/>
                  </w:tcBorders>
                  <w:noWrap w:val="0"/>
                  <w:vAlign w:val="center"/>
                </w:tcPr>
                <w:p w14:paraId="6EFB0923">
                  <w:pPr>
                    <w:widowControl w:val="0"/>
                    <w:wordWrap/>
                    <w:adjustRightInd/>
                    <w:snapToGrid/>
                    <w:spacing w:line="240" w:lineRule="auto"/>
                    <w:ind w:firstLine="0" w:firstLineChars="0"/>
                    <w:jc w:val="center"/>
                    <w:textAlignment w:val="auto"/>
                    <w:rPr>
                      <w:rFonts w:hint="eastAsia" w:ascii="Times New Roman" w:hAnsi="Times New Roman" w:cs="Times New Roman"/>
                      <w:color w:val="auto"/>
                      <w:spacing w:val="0"/>
                      <w:w w:val="100"/>
                      <w:sz w:val="21"/>
                      <w:szCs w:val="21"/>
                      <w:highlight w:val="none"/>
                      <w:lang w:val="en-US" w:eastAsia="zh-CN"/>
                    </w:rPr>
                  </w:pPr>
                  <w:r>
                    <w:rPr>
                      <w:rFonts w:hint="eastAsia" w:ascii="Times New Roman" w:hAnsi="Times New Roman" w:cs="Times New Roman"/>
                      <w:color w:val="auto"/>
                      <w:spacing w:val="0"/>
                      <w:w w:val="100"/>
                      <w:sz w:val="21"/>
                      <w:szCs w:val="21"/>
                      <w:highlight w:val="none"/>
                      <w:lang w:val="en-US" w:eastAsia="zh-CN"/>
                    </w:rPr>
                    <w:t>1</w:t>
                  </w:r>
                </w:p>
              </w:tc>
            </w:tr>
            <w:tr w14:paraId="61DC24C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56" w:type="pct"/>
                  <w:tcBorders>
                    <w:tl2br w:val="nil"/>
                    <w:tr2bl w:val="nil"/>
                  </w:tcBorders>
                  <w:noWrap w:val="0"/>
                  <w:vAlign w:val="center"/>
                </w:tcPr>
                <w:p w14:paraId="1D7DCAB4">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r>
                    <w:rPr>
                      <w:rFonts w:hint="eastAsia" w:cs="Times New Roman"/>
                      <w:color w:val="auto"/>
                      <w:spacing w:val="0"/>
                      <w:w w:val="100"/>
                      <w:sz w:val="21"/>
                      <w:szCs w:val="21"/>
                      <w:highlight w:val="none"/>
                      <w:lang w:val="en-US" w:eastAsia="zh-CN"/>
                    </w:rPr>
                    <w:t>10</w:t>
                  </w:r>
                </w:p>
              </w:tc>
              <w:tc>
                <w:tcPr>
                  <w:tcW w:w="396" w:type="pct"/>
                  <w:tcBorders>
                    <w:tl2br w:val="nil"/>
                    <w:tr2bl w:val="nil"/>
                  </w:tcBorders>
                  <w:noWrap w:val="0"/>
                  <w:vAlign w:val="center"/>
                </w:tcPr>
                <w:p w14:paraId="657F7489">
                  <w:pPr>
                    <w:widowControl w:val="0"/>
                    <w:wordWrap/>
                    <w:adjustRightInd/>
                    <w:snapToGrid/>
                    <w:spacing w:line="240" w:lineRule="auto"/>
                    <w:ind w:firstLine="0" w:firstLineChars="0"/>
                    <w:jc w:val="center"/>
                    <w:textAlignment w:val="auto"/>
                    <w:rPr>
                      <w:rFonts w:hint="default" w:ascii="Times New Roman" w:hAnsi="Times New Roman" w:eastAsia="宋体" w:cs="Times New Roman"/>
                      <w:color w:val="auto"/>
                      <w:spacing w:val="0"/>
                      <w:w w:val="100"/>
                      <w:sz w:val="21"/>
                      <w:szCs w:val="21"/>
                      <w:highlight w:val="none"/>
                      <w:lang w:val="en-US" w:eastAsia="zh-CN" w:bidi="ar-SA"/>
                    </w:rPr>
                  </w:pPr>
                  <w:r>
                    <w:rPr>
                      <w:rFonts w:hint="eastAsia" w:cs="Times New Roman"/>
                      <w:color w:val="auto"/>
                      <w:spacing w:val="0"/>
                      <w:w w:val="100"/>
                      <w:sz w:val="21"/>
                      <w:szCs w:val="21"/>
                      <w:highlight w:val="none"/>
                      <w:lang w:val="en-US" w:eastAsia="zh-CN" w:bidi="ar-SA"/>
                    </w:rPr>
                    <w:t>操作室2</w:t>
                  </w:r>
                </w:p>
              </w:tc>
              <w:tc>
                <w:tcPr>
                  <w:tcW w:w="634" w:type="pct"/>
                  <w:tcBorders>
                    <w:tl2br w:val="nil"/>
                    <w:tr2bl w:val="nil"/>
                  </w:tcBorders>
                  <w:noWrap w:val="0"/>
                  <w:vAlign w:val="center"/>
                </w:tcPr>
                <w:p w14:paraId="13FBBFD7">
                  <w:pPr>
                    <w:widowControl w:val="0"/>
                    <w:wordWrap/>
                    <w:adjustRightInd/>
                    <w:snapToGrid/>
                    <w:spacing w:line="240" w:lineRule="auto"/>
                    <w:ind w:firstLine="0" w:firstLineChars="0"/>
                    <w:jc w:val="center"/>
                    <w:textAlignment w:val="auto"/>
                    <w:rPr>
                      <w:rFonts w:hint="default" w:ascii="Times New Roman" w:hAnsi="Times New Roman" w:eastAsia="宋体" w:cs="Times New Roman"/>
                      <w:color w:val="auto"/>
                      <w:spacing w:val="0"/>
                      <w:w w:val="100"/>
                      <w:sz w:val="21"/>
                      <w:szCs w:val="21"/>
                      <w:highlight w:val="none"/>
                      <w:lang w:val="en-US" w:eastAsia="zh-CN" w:bidi="ar-SA"/>
                    </w:rPr>
                  </w:pPr>
                  <w:r>
                    <w:rPr>
                      <w:rFonts w:hint="eastAsia" w:cs="Times New Roman"/>
                      <w:color w:val="auto"/>
                      <w:spacing w:val="0"/>
                      <w:w w:val="100"/>
                      <w:sz w:val="21"/>
                      <w:szCs w:val="21"/>
                      <w:highlight w:val="none"/>
                      <w:lang w:val="en-US" w:eastAsia="zh-CN" w:bidi="ar-SA"/>
                    </w:rPr>
                    <w:t>风机</w:t>
                  </w:r>
                </w:p>
              </w:tc>
              <w:tc>
                <w:tcPr>
                  <w:tcW w:w="550" w:type="pct"/>
                  <w:tcBorders>
                    <w:tl2br w:val="nil"/>
                    <w:tr2bl w:val="nil"/>
                  </w:tcBorders>
                  <w:noWrap w:val="0"/>
                  <w:vAlign w:val="center"/>
                </w:tcPr>
                <w:p w14:paraId="77DA65C3">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r>
                    <w:rPr>
                      <w:rFonts w:hint="eastAsia" w:cs="Times New Roman"/>
                      <w:color w:val="auto"/>
                      <w:spacing w:val="0"/>
                      <w:w w:val="100"/>
                      <w:sz w:val="21"/>
                      <w:szCs w:val="21"/>
                      <w:highlight w:val="none"/>
                      <w:lang w:val="en-US" w:eastAsia="zh-CN"/>
                    </w:rPr>
                    <w:t>90</w:t>
                  </w:r>
                </w:p>
              </w:tc>
              <w:tc>
                <w:tcPr>
                  <w:tcW w:w="364" w:type="pct"/>
                  <w:vMerge w:val="continue"/>
                  <w:tcBorders>
                    <w:tl2br w:val="nil"/>
                    <w:tr2bl w:val="nil"/>
                  </w:tcBorders>
                  <w:noWrap w:val="0"/>
                  <w:vAlign w:val="center"/>
                </w:tcPr>
                <w:p w14:paraId="20030001">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p>
              </w:tc>
              <w:tc>
                <w:tcPr>
                  <w:tcW w:w="287" w:type="pct"/>
                  <w:tcBorders>
                    <w:tl2br w:val="nil"/>
                    <w:tr2bl w:val="nil"/>
                  </w:tcBorders>
                  <w:noWrap w:val="0"/>
                  <w:vAlign w:val="center"/>
                </w:tcPr>
                <w:p w14:paraId="6159F466">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r>
                    <w:rPr>
                      <w:rFonts w:hint="eastAsia" w:cs="Times New Roman"/>
                      <w:color w:val="auto"/>
                      <w:spacing w:val="0"/>
                      <w:w w:val="100"/>
                      <w:sz w:val="21"/>
                      <w:szCs w:val="21"/>
                      <w:highlight w:val="none"/>
                      <w:lang w:val="en-US" w:eastAsia="zh-CN"/>
                    </w:rPr>
                    <w:t>7</w:t>
                  </w:r>
                </w:p>
              </w:tc>
              <w:tc>
                <w:tcPr>
                  <w:tcW w:w="274" w:type="pct"/>
                  <w:tcBorders>
                    <w:tl2br w:val="nil"/>
                    <w:tr2bl w:val="nil"/>
                  </w:tcBorders>
                  <w:noWrap w:val="0"/>
                  <w:vAlign w:val="center"/>
                </w:tcPr>
                <w:p w14:paraId="15EA4803">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r>
                    <w:rPr>
                      <w:rFonts w:hint="eastAsia" w:cs="Times New Roman"/>
                      <w:color w:val="auto"/>
                      <w:spacing w:val="0"/>
                      <w:w w:val="100"/>
                      <w:sz w:val="21"/>
                      <w:szCs w:val="21"/>
                      <w:highlight w:val="none"/>
                      <w:lang w:val="en-US" w:eastAsia="zh-CN"/>
                    </w:rPr>
                    <w:t>15</w:t>
                  </w:r>
                </w:p>
              </w:tc>
              <w:tc>
                <w:tcPr>
                  <w:tcW w:w="269" w:type="pct"/>
                  <w:tcBorders>
                    <w:tl2br w:val="nil"/>
                    <w:tr2bl w:val="nil"/>
                  </w:tcBorders>
                  <w:noWrap w:val="0"/>
                  <w:vAlign w:val="center"/>
                </w:tcPr>
                <w:p w14:paraId="6B81C96E">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r>
                    <w:rPr>
                      <w:rFonts w:hint="eastAsia" w:cs="Times New Roman"/>
                      <w:color w:val="auto"/>
                      <w:spacing w:val="0"/>
                      <w:w w:val="100"/>
                      <w:sz w:val="21"/>
                      <w:szCs w:val="21"/>
                      <w:highlight w:val="none"/>
                      <w:lang w:val="en-US" w:eastAsia="zh-CN"/>
                    </w:rPr>
                    <w:t>1.0</w:t>
                  </w:r>
                </w:p>
              </w:tc>
              <w:tc>
                <w:tcPr>
                  <w:tcW w:w="385" w:type="pct"/>
                  <w:tcBorders>
                    <w:tl2br w:val="nil"/>
                    <w:tr2bl w:val="nil"/>
                  </w:tcBorders>
                  <w:noWrap w:val="0"/>
                  <w:vAlign w:val="center"/>
                </w:tcPr>
                <w:p w14:paraId="015D3172">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r>
                    <w:rPr>
                      <w:rFonts w:hint="eastAsia" w:cs="Times New Roman"/>
                      <w:color w:val="auto"/>
                      <w:spacing w:val="0"/>
                      <w:w w:val="100"/>
                      <w:sz w:val="21"/>
                      <w:szCs w:val="21"/>
                      <w:highlight w:val="none"/>
                      <w:lang w:val="en-US" w:eastAsia="zh-CN"/>
                    </w:rPr>
                    <w:t>2</w:t>
                  </w:r>
                </w:p>
              </w:tc>
              <w:tc>
                <w:tcPr>
                  <w:tcW w:w="1021" w:type="dxa"/>
                  <w:tcBorders>
                    <w:tl2br w:val="nil"/>
                    <w:tr2bl w:val="nil"/>
                  </w:tcBorders>
                  <w:noWrap w:val="0"/>
                  <w:vAlign w:val="center"/>
                </w:tcPr>
                <w:p w14:paraId="52EDFD37">
                  <w:pPr>
                    <w:widowControl w:val="0"/>
                    <w:wordWrap/>
                    <w:adjustRightInd/>
                    <w:snapToGrid/>
                    <w:spacing w:line="240" w:lineRule="auto"/>
                    <w:ind w:firstLine="0" w:firstLineChars="0"/>
                    <w:jc w:val="center"/>
                    <w:textAlignment w:val="auto"/>
                    <w:rPr>
                      <w:rFonts w:hint="eastAsia" w:ascii="Times New Roman" w:hAnsi="Times New Roman" w:cs="Times New Roman"/>
                      <w:color w:val="auto"/>
                      <w:spacing w:val="0"/>
                      <w:w w:val="100"/>
                      <w:sz w:val="21"/>
                      <w:szCs w:val="21"/>
                      <w:highlight w:val="none"/>
                      <w:lang w:val="en-US" w:eastAsia="zh-CN"/>
                    </w:rPr>
                  </w:pPr>
                  <w:r>
                    <w:rPr>
                      <w:rFonts w:hint="eastAsia" w:cs="Times New Roman"/>
                      <w:color w:val="auto"/>
                      <w:spacing w:val="0"/>
                      <w:w w:val="100"/>
                      <w:sz w:val="21"/>
                      <w:szCs w:val="21"/>
                      <w:highlight w:val="none"/>
                      <w:lang w:val="en-US" w:eastAsia="zh-CN"/>
                    </w:rPr>
                    <w:t>75.9</w:t>
                  </w:r>
                </w:p>
              </w:tc>
              <w:tc>
                <w:tcPr>
                  <w:tcW w:w="265" w:type="pct"/>
                  <w:tcBorders>
                    <w:tl2br w:val="nil"/>
                    <w:tr2bl w:val="nil"/>
                  </w:tcBorders>
                  <w:noWrap w:val="0"/>
                  <w:vAlign w:val="center"/>
                </w:tcPr>
                <w:p w14:paraId="297229E6">
                  <w:pPr>
                    <w:widowControl w:val="0"/>
                    <w:wordWrap/>
                    <w:adjustRightInd/>
                    <w:snapToGrid/>
                    <w:spacing w:line="240" w:lineRule="auto"/>
                    <w:ind w:firstLine="0" w:firstLineChars="0"/>
                    <w:jc w:val="center"/>
                    <w:textAlignment w:val="auto"/>
                    <w:rPr>
                      <w:rFonts w:hint="default" w:ascii="Times New Roman" w:hAnsi="Times New Roman" w:eastAsia="宋体" w:cs="Times New Roman"/>
                      <w:color w:val="auto"/>
                      <w:spacing w:val="0"/>
                      <w:w w:val="100"/>
                      <w:kern w:val="2"/>
                      <w:sz w:val="21"/>
                      <w:szCs w:val="21"/>
                      <w:highlight w:val="none"/>
                      <w:lang w:val="en-US" w:eastAsia="zh-CN" w:bidi="ar-SA"/>
                    </w:rPr>
                  </w:pPr>
                  <w:r>
                    <w:rPr>
                      <w:rFonts w:hint="eastAsia" w:cs="Times New Roman"/>
                      <w:color w:val="auto"/>
                      <w:spacing w:val="0"/>
                      <w:w w:val="100"/>
                      <w:kern w:val="2"/>
                      <w:sz w:val="21"/>
                      <w:szCs w:val="21"/>
                      <w:highlight w:val="none"/>
                      <w:lang w:val="en-US" w:eastAsia="zh-CN" w:bidi="ar-SA"/>
                    </w:rPr>
                    <w:t>8</w:t>
                  </w:r>
                  <w:r>
                    <w:rPr>
                      <w:rFonts w:hint="eastAsia" w:ascii="Times New Roman" w:hAnsi="Times New Roman" w:eastAsia="宋体" w:cs="Times New Roman"/>
                      <w:color w:val="auto"/>
                      <w:spacing w:val="0"/>
                      <w:w w:val="100"/>
                      <w:kern w:val="2"/>
                      <w:sz w:val="21"/>
                      <w:szCs w:val="21"/>
                      <w:highlight w:val="none"/>
                      <w:lang w:val="en-US" w:eastAsia="zh-CN" w:bidi="ar-SA"/>
                    </w:rPr>
                    <w:t>h</w:t>
                  </w:r>
                </w:p>
              </w:tc>
              <w:tc>
                <w:tcPr>
                  <w:tcW w:w="420" w:type="pct"/>
                  <w:vMerge w:val="continue"/>
                  <w:tcBorders>
                    <w:tl2br w:val="nil"/>
                    <w:tr2bl w:val="nil"/>
                  </w:tcBorders>
                  <w:noWrap w:val="0"/>
                  <w:vAlign w:val="center"/>
                </w:tcPr>
                <w:p w14:paraId="7A09204E">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p>
              </w:tc>
              <w:tc>
                <w:tcPr>
                  <w:tcW w:w="879" w:type="dxa"/>
                  <w:tcBorders>
                    <w:tl2br w:val="nil"/>
                    <w:tr2bl w:val="nil"/>
                  </w:tcBorders>
                  <w:noWrap w:val="0"/>
                  <w:vAlign w:val="center"/>
                </w:tcPr>
                <w:p w14:paraId="2FA039EE">
                  <w:pPr>
                    <w:widowControl w:val="0"/>
                    <w:wordWrap/>
                    <w:adjustRightInd/>
                    <w:snapToGrid/>
                    <w:spacing w:line="240" w:lineRule="auto"/>
                    <w:ind w:firstLine="0" w:firstLineChars="0"/>
                    <w:jc w:val="center"/>
                    <w:textAlignment w:val="auto"/>
                    <w:rPr>
                      <w:rFonts w:hint="eastAsia" w:ascii="Times New Roman" w:hAnsi="Times New Roman" w:eastAsia="宋体" w:cs="Times New Roman"/>
                      <w:color w:val="auto"/>
                      <w:spacing w:val="0"/>
                      <w:w w:val="100"/>
                      <w:kern w:val="2"/>
                      <w:sz w:val="21"/>
                      <w:szCs w:val="21"/>
                      <w:highlight w:val="none"/>
                      <w:lang w:val="en-US" w:eastAsia="zh-CN" w:bidi="ar-SA"/>
                    </w:rPr>
                  </w:pPr>
                  <w:r>
                    <w:rPr>
                      <w:rFonts w:hint="eastAsia" w:ascii="Times New Roman" w:hAnsi="Times New Roman" w:eastAsia="宋体" w:cs="Times New Roman"/>
                      <w:color w:val="auto"/>
                      <w:spacing w:val="0"/>
                      <w:w w:val="100"/>
                      <w:kern w:val="2"/>
                      <w:sz w:val="21"/>
                      <w:szCs w:val="21"/>
                      <w:highlight w:val="none"/>
                      <w:lang w:val="en-US" w:eastAsia="zh-CN" w:bidi="ar-SA"/>
                    </w:rPr>
                    <w:t>45.9</w:t>
                  </w:r>
                </w:p>
              </w:tc>
              <w:tc>
                <w:tcPr>
                  <w:tcW w:w="316" w:type="pct"/>
                  <w:tcBorders>
                    <w:tl2br w:val="nil"/>
                    <w:tr2bl w:val="nil"/>
                  </w:tcBorders>
                  <w:noWrap w:val="0"/>
                  <w:vAlign w:val="center"/>
                </w:tcPr>
                <w:p w14:paraId="6A13EF21">
                  <w:pPr>
                    <w:widowControl w:val="0"/>
                    <w:wordWrap/>
                    <w:adjustRightInd/>
                    <w:snapToGrid/>
                    <w:spacing w:line="240" w:lineRule="auto"/>
                    <w:ind w:firstLine="0" w:firstLineChars="0"/>
                    <w:jc w:val="center"/>
                    <w:textAlignment w:val="auto"/>
                    <w:rPr>
                      <w:rFonts w:hint="eastAsia" w:ascii="Times New Roman" w:hAnsi="Times New Roman" w:cs="Times New Roman"/>
                      <w:color w:val="auto"/>
                      <w:spacing w:val="0"/>
                      <w:w w:val="100"/>
                      <w:sz w:val="21"/>
                      <w:szCs w:val="21"/>
                      <w:highlight w:val="none"/>
                      <w:lang w:val="en-US" w:eastAsia="zh-CN"/>
                    </w:rPr>
                  </w:pPr>
                  <w:r>
                    <w:rPr>
                      <w:rFonts w:hint="eastAsia" w:ascii="Times New Roman" w:hAnsi="Times New Roman" w:cs="Times New Roman"/>
                      <w:color w:val="auto"/>
                      <w:spacing w:val="0"/>
                      <w:w w:val="100"/>
                      <w:sz w:val="21"/>
                      <w:szCs w:val="21"/>
                      <w:highlight w:val="none"/>
                      <w:lang w:val="en-US" w:eastAsia="zh-CN"/>
                    </w:rPr>
                    <w:t>1</w:t>
                  </w:r>
                </w:p>
              </w:tc>
            </w:tr>
            <w:tr w14:paraId="76F57A7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56" w:type="pct"/>
                  <w:tcBorders>
                    <w:tl2br w:val="nil"/>
                    <w:tr2bl w:val="nil"/>
                  </w:tcBorders>
                  <w:noWrap w:val="0"/>
                  <w:vAlign w:val="center"/>
                </w:tcPr>
                <w:p w14:paraId="562077C9">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r>
                    <w:rPr>
                      <w:rFonts w:hint="eastAsia" w:cs="Times New Roman"/>
                      <w:color w:val="auto"/>
                      <w:spacing w:val="0"/>
                      <w:w w:val="100"/>
                      <w:sz w:val="21"/>
                      <w:szCs w:val="21"/>
                      <w:highlight w:val="none"/>
                      <w:lang w:val="en-US" w:eastAsia="zh-CN"/>
                    </w:rPr>
                    <w:t>11</w:t>
                  </w:r>
                </w:p>
              </w:tc>
              <w:tc>
                <w:tcPr>
                  <w:tcW w:w="396" w:type="pct"/>
                  <w:tcBorders>
                    <w:tl2br w:val="nil"/>
                    <w:tr2bl w:val="nil"/>
                  </w:tcBorders>
                  <w:shd w:val="clear" w:color="auto" w:fill="auto"/>
                  <w:noWrap w:val="0"/>
                  <w:vAlign w:val="center"/>
                </w:tcPr>
                <w:p w14:paraId="629B9708">
                  <w:pPr>
                    <w:widowControl w:val="0"/>
                    <w:wordWrap/>
                    <w:adjustRightInd/>
                    <w:snapToGrid/>
                    <w:spacing w:line="240" w:lineRule="auto"/>
                    <w:ind w:firstLine="0" w:firstLineChars="0"/>
                    <w:jc w:val="center"/>
                    <w:textAlignment w:val="auto"/>
                    <w:rPr>
                      <w:rFonts w:hint="default" w:ascii="Times New Roman" w:hAnsi="Times New Roman" w:eastAsia="宋体" w:cs="Times New Roman"/>
                      <w:color w:val="auto"/>
                      <w:spacing w:val="0"/>
                      <w:w w:val="100"/>
                      <w:kern w:val="2"/>
                      <w:sz w:val="21"/>
                      <w:szCs w:val="21"/>
                      <w:highlight w:val="none"/>
                      <w:lang w:val="en-US" w:eastAsia="zh-CN" w:bidi="ar-SA"/>
                    </w:rPr>
                  </w:pPr>
                  <w:r>
                    <w:rPr>
                      <w:rFonts w:hint="eastAsia" w:cs="Times New Roman"/>
                      <w:color w:val="auto"/>
                      <w:spacing w:val="0"/>
                      <w:w w:val="100"/>
                      <w:sz w:val="21"/>
                      <w:szCs w:val="21"/>
                      <w:highlight w:val="none"/>
                      <w:lang w:val="en-US" w:eastAsia="zh-CN" w:bidi="ar-SA"/>
                    </w:rPr>
                    <w:t>高温炉室</w:t>
                  </w:r>
                </w:p>
              </w:tc>
              <w:tc>
                <w:tcPr>
                  <w:tcW w:w="634" w:type="pct"/>
                  <w:tcBorders>
                    <w:tl2br w:val="nil"/>
                    <w:tr2bl w:val="nil"/>
                  </w:tcBorders>
                  <w:shd w:val="clear" w:color="auto" w:fill="auto"/>
                  <w:noWrap w:val="0"/>
                  <w:vAlign w:val="center"/>
                </w:tcPr>
                <w:p w14:paraId="309D9659">
                  <w:pPr>
                    <w:widowControl w:val="0"/>
                    <w:wordWrap/>
                    <w:adjustRightInd/>
                    <w:snapToGrid/>
                    <w:spacing w:line="240" w:lineRule="auto"/>
                    <w:ind w:firstLine="0" w:firstLineChars="0"/>
                    <w:jc w:val="center"/>
                    <w:textAlignment w:val="auto"/>
                    <w:rPr>
                      <w:rFonts w:hint="default" w:ascii="Times New Roman" w:hAnsi="Times New Roman" w:eastAsia="宋体" w:cs="Times New Roman"/>
                      <w:color w:val="auto"/>
                      <w:spacing w:val="0"/>
                      <w:w w:val="100"/>
                      <w:kern w:val="2"/>
                      <w:sz w:val="21"/>
                      <w:szCs w:val="21"/>
                      <w:highlight w:val="none"/>
                      <w:lang w:val="en-US" w:eastAsia="zh-CN" w:bidi="ar-SA"/>
                    </w:rPr>
                  </w:pPr>
                  <w:r>
                    <w:rPr>
                      <w:rFonts w:hint="eastAsia" w:cs="Times New Roman"/>
                      <w:color w:val="auto"/>
                      <w:spacing w:val="0"/>
                      <w:w w:val="100"/>
                      <w:sz w:val="21"/>
                      <w:szCs w:val="21"/>
                      <w:highlight w:val="none"/>
                      <w:lang w:val="en-US" w:eastAsia="zh-CN" w:bidi="ar-SA"/>
                    </w:rPr>
                    <w:t>电热鼓风干燥箱</w:t>
                  </w:r>
                </w:p>
              </w:tc>
              <w:tc>
                <w:tcPr>
                  <w:tcW w:w="550" w:type="pct"/>
                  <w:tcBorders>
                    <w:tl2br w:val="nil"/>
                    <w:tr2bl w:val="nil"/>
                  </w:tcBorders>
                  <w:noWrap w:val="0"/>
                  <w:vAlign w:val="center"/>
                </w:tcPr>
                <w:p w14:paraId="07CC7420">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r>
                    <w:rPr>
                      <w:rFonts w:hint="eastAsia" w:cs="Times New Roman"/>
                      <w:color w:val="auto"/>
                      <w:spacing w:val="0"/>
                      <w:w w:val="100"/>
                      <w:sz w:val="21"/>
                      <w:szCs w:val="21"/>
                      <w:highlight w:val="none"/>
                      <w:lang w:val="en-US" w:eastAsia="zh-CN"/>
                    </w:rPr>
                    <w:t>80</w:t>
                  </w:r>
                </w:p>
              </w:tc>
              <w:tc>
                <w:tcPr>
                  <w:tcW w:w="364" w:type="pct"/>
                  <w:vMerge w:val="continue"/>
                  <w:tcBorders>
                    <w:tl2br w:val="nil"/>
                    <w:tr2bl w:val="nil"/>
                  </w:tcBorders>
                  <w:noWrap w:val="0"/>
                  <w:vAlign w:val="center"/>
                </w:tcPr>
                <w:p w14:paraId="28C655A5">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p>
              </w:tc>
              <w:tc>
                <w:tcPr>
                  <w:tcW w:w="287" w:type="pct"/>
                  <w:tcBorders>
                    <w:tl2br w:val="nil"/>
                    <w:tr2bl w:val="nil"/>
                  </w:tcBorders>
                  <w:noWrap w:val="0"/>
                  <w:vAlign w:val="center"/>
                </w:tcPr>
                <w:p w14:paraId="25671221">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r>
                    <w:rPr>
                      <w:rFonts w:hint="eastAsia" w:cs="Times New Roman"/>
                      <w:color w:val="auto"/>
                      <w:spacing w:val="0"/>
                      <w:w w:val="100"/>
                      <w:sz w:val="21"/>
                      <w:szCs w:val="21"/>
                      <w:highlight w:val="none"/>
                      <w:lang w:val="en-US" w:eastAsia="zh-CN"/>
                    </w:rPr>
                    <w:t>11</w:t>
                  </w:r>
                </w:p>
              </w:tc>
              <w:tc>
                <w:tcPr>
                  <w:tcW w:w="274" w:type="pct"/>
                  <w:tcBorders>
                    <w:tl2br w:val="nil"/>
                    <w:tr2bl w:val="nil"/>
                  </w:tcBorders>
                  <w:noWrap w:val="0"/>
                  <w:vAlign w:val="center"/>
                </w:tcPr>
                <w:p w14:paraId="446801D4">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r>
                    <w:rPr>
                      <w:rFonts w:hint="eastAsia" w:cs="Times New Roman"/>
                      <w:color w:val="auto"/>
                      <w:spacing w:val="0"/>
                      <w:w w:val="100"/>
                      <w:sz w:val="21"/>
                      <w:szCs w:val="21"/>
                      <w:highlight w:val="none"/>
                      <w:lang w:val="en-US" w:eastAsia="zh-CN"/>
                    </w:rPr>
                    <w:t>5</w:t>
                  </w:r>
                </w:p>
              </w:tc>
              <w:tc>
                <w:tcPr>
                  <w:tcW w:w="269" w:type="pct"/>
                  <w:tcBorders>
                    <w:tl2br w:val="nil"/>
                    <w:tr2bl w:val="nil"/>
                  </w:tcBorders>
                  <w:noWrap w:val="0"/>
                  <w:vAlign w:val="center"/>
                </w:tcPr>
                <w:p w14:paraId="3D6E6B30">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r>
                    <w:rPr>
                      <w:rFonts w:hint="eastAsia" w:cs="Times New Roman"/>
                      <w:color w:val="auto"/>
                      <w:spacing w:val="0"/>
                      <w:w w:val="100"/>
                      <w:sz w:val="21"/>
                      <w:szCs w:val="21"/>
                      <w:highlight w:val="none"/>
                      <w:lang w:val="en-US" w:eastAsia="zh-CN"/>
                    </w:rPr>
                    <w:t>1.0</w:t>
                  </w:r>
                </w:p>
              </w:tc>
              <w:tc>
                <w:tcPr>
                  <w:tcW w:w="385" w:type="pct"/>
                  <w:tcBorders>
                    <w:tl2br w:val="nil"/>
                    <w:tr2bl w:val="nil"/>
                  </w:tcBorders>
                  <w:noWrap w:val="0"/>
                  <w:vAlign w:val="center"/>
                </w:tcPr>
                <w:p w14:paraId="5AF702FB">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r>
                    <w:rPr>
                      <w:rFonts w:hint="eastAsia" w:cs="Times New Roman"/>
                      <w:color w:val="auto"/>
                      <w:spacing w:val="0"/>
                      <w:w w:val="100"/>
                      <w:sz w:val="21"/>
                      <w:szCs w:val="21"/>
                      <w:highlight w:val="none"/>
                      <w:lang w:val="en-US" w:eastAsia="zh-CN"/>
                    </w:rPr>
                    <w:t>2</w:t>
                  </w:r>
                </w:p>
              </w:tc>
              <w:tc>
                <w:tcPr>
                  <w:tcW w:w="1021" w:type="dxa"/>
                  <w:tcBorders>
                    <w:tl2br w:val="nil"/>
                    <w:tr2bl w:val="nil"/>
                  </w:tcBorders>
                  <w:noWrap w:val="0"/>
                  <w:vAlign w:val="center"/>
                </w:tcPr>
                <w:p w14:paraId="02A331C0">
                  <w:pPr>
                    <w:widowControl w:val="0"/>
                    <w:wordWrap/>
                    <w:adjustRightInd/>
                    <w:snapToGrid/>
                    <w:spacing w:line="240" w:lineRule="auto"/>
                    <w:ind w:firstLine="0" w:firstLineChars="0"/>
                    <w:jc w:val="center"/>
                    <w:textAlignment w:val="auto"/>
                    <w:rPr>
                      <w:rFonts w:hint="eastAsia" w:ascii="Times New Roman" w:hAnsi="Times New Roman" w:cs="Times New Roman"/>
                      <w:color w:val="auto"/>
                      <w:spacing w:val="0"/>
                      <w:w w:val="100"/>
                      <w:sz w:val="21"/>
                      <w:szCs w:val="21"/>
                      <w:highlight w:val="none"/>
                      <w:lang w:val="en-US" w:eastAsia="zh-CN"/>
                    </w:rPr>
                  </w:pPr>
                  <w:r>
                    <w:rPr>
                      <w:rFonts w:hint="eastAsia" w:cs="Times New Roman"/>
                      <w:color w:val="auto"/>
                      <w:spacing w:val="0"/>
                      <w:w w:val="100"/>
                      <w:sz w:val="21"/>
                      <w:szCs w:val="21"/>
                      <w:highlight w:val="none"/>
                      <w:lang w:val="en-US" w:eastAsia="zh-CN"/>
                    </w:rPr>
                    <w:t>65.9</w:t>
                  </w:r>
                </w:p>
              </w:tc>
              <w:tc>
                <w:tcPr>
                  <w:tcW w:w="265" w:type="pct"/>
                  <w:tcBorders>
                    <w:tl2br w:val="nil"/>
                    <w:tr2bl w:val="nil"/>
                  </w:tcBorders>
                  <w:noWrap w:val="0"/>
                  <w:vAlign w:val="center"/>
                </w:tcPr>
                <w:p w14:paraId="62A3F332">
                  <w:pPr>
                    <w:widowControl w:val="0"/>
                    <w:wordWrap/>
                    <w:adjustRightInd/>
                    <w:snapToGrid/>
                    <w:spacing w:line="240" w:lineRule="auto"/>
                    <w:ind w:firstLine="0" w:firstLineChars="0"/>
                    <w:jc w:val="center"/>
                    <w:textAlignment w:val="auto"/>
                    <w:rPr>
                      <w:rFonts w:hint="eastAsia" w:ascii="Times New Roman" w:hAnsi="Times New Roman" w:eastAsia="宋体" w:cs="Times New Roman"/>
                      <w:color w:val="auto"/>
                      <w:spacing w:val="0"/>
                      <w:w w:val="100"/>
                      <w:kern w:val="2"/>
                      <w:sz w:val="21"/>
                      <w:szCs w:val="21"/>
                      <w:highlight w:val="none"/>
                      <w:lang w:val="en-US" w:eastAsia="zh-CN" w:bidi="ar-SA"/>
                    </w:rPr>
                  </w:pPr>
                  <w:r>
                    <w:rPr>
                      <w:rFonts w:hint="eastAsia" w:cs="Times New Roman"/>
                      <w:color w:val="auto"/>
                      <w:spacing w:val="0"/>
                      <w:w w:val="100"/>
                      <w:kern w:val="2"/>
                      <w:sz w:val="21"/>
                      <w:szCs w:val="21"/>
                      <w:highlight w:val="none"/>
                      <w:lang w:val="en-US" w:eastAsia="zh-CN" w:bidi="ar-SA"/>
                    </w:rPr>
                    <w:t>8</w:t>
                  </w:r>
                  <w:r>
                    <w:rPr>
                      <w:rFonts w:hint="eastAsia" w:ascii="Times New Roman" w:hAnsi="Times New Roman" w:eastAsia="宋体" w:cs="Times New Roman"/>
                      <w:color w:val="auto"/>
                      <w:spacing w:val="0"/>
                      <w:w w:val="100"/>
                      <w:kern w:val="2"/>
                      <w:sz w:val="21"/>
                      <w:szCs w:val="21"/>
                      <w:highlight w:val="none"/>
                      <w:lang w:val="en-US" w:eastAsia="zh-CN" w:bidi="ar-SA"/>
                    </w:rPr>
                    <w:t>h</w:t>
                  </w:r>
                </w:p>
              </w:tc>
              <w:tc>
                <w:tcPr>
                  <w:tcW w:w="420" w:type="pct"/>
                  <w:vMerge w:val="continue"/>
                  <w:tcBorders>
                    <w:tl2br w:val="nil"/>
                    <w:tr2bl w:val="nil"/>
                  </w:tcBorders>
                  <w:noWrap w:val="0"/>
                  <w:vAlign w:val="center"/>
                </w:tcPr>
                <w:p w14:paraId="34045DB4">
                  <w:pPr>
                    <w:widowControl w:val="0"/>
                    <w:wordWrap/>
                    <w:adjustRightInd/>
                    <w:snapToGrid/>
                    <w:spacing w:line="240" w:lineRule="auto"/>
                    <w:ind w:firstLine="0" w:firstLineChars="0"/>
                    <w:jc w:val="center"/>
                    <w:textAlignment w:val="auto"/>
                    <w:rPr>
                      <w:rFonts w:hint="default" w:ascii="Times New Roman" w:hAnsi="Times New Roman" w:cs="Times New Roman"/>
                      <w:color w:val="auto"/>
                      <w:spacing w:val="0"/>
                      <w:w w:val="100"/>
                      <w:sz w:val="21"/>
                      <w:szCs w:val="21"/>
                      <w:highlight w:val="none"/>
                      <w:lang w:val="en-US" w:eastAsia="zh-CN"/>
                    </w:rPr>
                  </w:pPr>
                </w:p>
              </w:tc>
              <w:tc>
                <w:tcPr>
                  <w:tcW w:w="879" w:type="dxa"/>
                  <w:tcBorders>
                    <w:tl2br w:val="nil"/>
                    <w:tr2bl w:val="nil"/>
                  </w:tcBorders>
                  <w:noWrap w:val="0"/>
                  <w:vAlign w:val="center"/>
                </w:tcPr>
                <w:p w14:paraId="35BFBCF4">
                  <w:pPr>
                    <w:widowControl w:val="0"/>
                    <w:wordWrap/>
                    <w:adjustRightInd/>
                    <w:snapToGrid/>
                    <w:spacing w:line="240" w:lineRule="auto"/>
                    <w:ind w:firstLine="0" w:firstLineChars="0"/>
                    <w:jc w:val="center"/>
                    <w:textAlignment w:val="auto"/>
                    <w:rPr>
                      <w:rFonts w:hint="eastAsia" w:ascii="Times New Roman" w:hAnsi="Times New Roman" w:eastAsia="宋体" w:cs="Times New Roman"/>
                      <w:color w:val="auto"/>
                      <w:spacing w:val="0"/>
                      <w:w w:val="100"/>
                      <w:kern w:val="2"/>
                      <w:sz w:val="21"/>
                      <w:szCs w:val="21"/>
                      <w:highlight w:val="none"/>
                      <w:lang w:val="en-US" w:eastAsia="zh-CN" w:bidi="ar-SA"/>
                    </w:rPr>
                  </w:pPr>
                  <w:r>
                    <w:rPr>
                      <w:rFonts w:hint="eastAsia" w:ascii="Times New Roman" w:hAnsi="Times New Roman" w:eastAsia="宋体" w:cs="Times New Roman"/>
                      <w:color w:val="auto"/>
                      <w:spacing w:val="0"/>
                      <w:w w:val="100"/>
                      <w:kern w:val="2"/>
                      <w:sz w:val="21"/>
                      <w:szCs w:val="21"/>
                      <w:highlight w:val="none"/>
                      <w:lang w:val="en-US" w:eastAsia="zh-CN" w:bidi="ar-SA"/>
                    </w:rPr>
                    <w:t>35.9</w:t>
                  </w:r>
                </w:p>
              </w:tc>
              <w:tc>
                <w:tcPr>
                  <w:tcW w:w="316" w:type="pct"/>
                  <w:tcBorders>
                    <w:tl2br w:val="nil"/>
                    <w:tr2bl w:val="nil"/>
                  </w:tcBorders>
                  <w:noWrap w:val="0"/>
                  <w:vAlign w:val="center"/>
                </w:tcPr>
                <w:p w14:paraId="12DE139D">
                  <w:pPr>
                    <w:widowControl w:val="0"/>
                    <w:wordWrap/>
                    <w:adjustRightInd/>
                    <w:snapToGrid/>
                    <w:spacing w:line="240" w:lineRule="auto"/>
                    <w:ind w:firstLine="0" w:firstLineChars="0"/>
                    <w:jc w:val="center"/>
                    <w:textAlignment w:val="auto"/>
                    <w:rPr>
                      <w:rFonts w:hint="eastAsia" w:ascii="Times New Roman" w:hAnsi="Times New Roman" w:cs="Times New Roman"/>
                      <w:color w:val="auto"/>
                      <w:spacing w:val="0"/>
                      <w:w w:val="100"/>
                      <w:sz w:val="21"/>
                      <w:szCs w:val="21"/>
                      <w:highlight w:val="none"/>
                      <w:lang w:val="en-US" w:eastAsia="zh-CN"/>
                    </w:rPr>
                  </w:pPr>
                  <w:r>
                    <w:rPr>
                      <w:rFonts w:hint="eastAsia" w:ascii="Times New Roman" w:hAnsi="Times New Roman" w:cs="Times New Roman"/>
                      <w:color w:val="auto"/>
                      <w:spacing w:val="0"/>
                      <w:w w:val="100"/>
                      <w:sz w:val="21"/>
                      <w:szCs w:val="21"/>
                      <w:highlight w:val="none"/>
                      <w:lang w:val="en-US" w:eastAsia="zh-CN"/>
                    </w:rPr>
                    <w:t>1</w:t>
                  </w:r>
                </w:p>
              </w:tc>
            </w:tr>
            <w:tr w14:paraId="51240E0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000" w:type="pct"/>
                  <w:gridSpan w:val="14"/>
                  <w:tcBorders>
                    <w:tl2br w:val="nil"/>
                    <w:tr2bl w:val="nil"/>
                  </w:tcBorders>
                  <w:noWrap w:val="0"/>
                  <w:vAlign w:val="center"/>
                </w:tcPr>
                <w:p w14:paraId="50F8BB03">
                  <w:pPr>
                    <w:widowControl w:val="0"/>
                    <w:wordWrap/>
                    <w:adjustRightInd/>
                    <w:snapToGrid/>
                    <w:spacing w:line="240" w:lineRule="auto"/>
                    <w:ind w:firstLine="0" w:firstLineChars="0"/>
                    <w:jc w:val="both"/>
                    <w:textAlignment w:val="auto"/>
                    <w:rPr>
                      <w:rFonts w:hint="default" w:ascii="Times New Roman" w:hAnsi="Times New Roman" w:cs="Times New Roman"/>
                      <w:color w:val="auto"/>
                      <w:spacing w:val="0"/>
                      <w:w w:val="100"/>
                      <w:sz w:val="21"/>
                      <w:szCs w:val="21"/>
                      <w:highlight w:val="none"/>
                      <w:lang w:val="en-US" w:eastAsia="zh-CN"/>
                    </w:rPr>
                  </w:pPr>
                  <w:r>
                    <w:rPr>
                      <w:rFonts w:hint="eastAsia" w:ascii="Times New Roman" w:hAnsi="Times New Roman" w:cs="Times New Roman"/>
                      <w:color w:val="auto"/>
                      <w:spacing w:val="0"/>
                      <w:w w:val="100"/>
                      <w:sz w:val="21"/>
                      <w:szCs w:val="21"/>
                      <w:highlight w:val="none"/>
                      <w:lang w:val="en-US" w:eastAsia="zh-CN"/>
                    </w:rPr>
                    <w:t>以实验室中心为原点</w:t>
                  </w:r>
                </w:p>
              </w:tc>
            </w:tr>
          </w:tbl>
          <w:p w14:paraId="72F06095">
            <w:pPr>
              <w:rPr>
                <w:color w:val="auto"/>
                <w:vertAlign w:val="baseline"/>
              </w:rPr>
            </w:pPr>
          </w:p>
        </w:tc>
      </w:tr>
    </w:tbl>
    <w:p w14:paraId="4A189831">
      <w:pPr>
        <w:rPr>
          <w:color w:val="auto"/>
        </w:rPr>
        <w:sectPr>
          <w:pgSz w:w="16840" w:h="11907" w:orient="landscape"/>
          <w:pgMar w:top="1418" w:right="1418" w:bottom="1418" w:left="1418" w:header="851" w:footer="851" w:gutter="0"/>
          <w:pgBorders>
            <w:top w:val="none" w:sz="0" w:space="0"/>
            <w:left w:val="none" w:sz="0" w:space="0"/>
            <w:bottom w:val="none" w:sz="0" w:space="0"/>
            <w:right w:val="none" w:sz="0" w:space="0"/>
          </w:pgBorders>
          <w:cols w:space="720" w:num="1"/>
          <w:docGrid w:linePitch="312" w:charSpace="0"/>
        </w:sectPr>
      </w:pPr>
    </w:p>
    <w:tbl>
      <w:tblPr>
        <w:tblStyle w:val="2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83"/>
        <w:gridCol w:w="8904"/>
      </w:tblGrid>
      <w:tr w14:paraId="4696D1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3441" w:hRule="atLeast"/>
        </w:trPr>
        <w:tc>
          <w:tcPr>
            <w:tcW w:w="367" w:type="pct"/>
            <w:tcBorders>
              <w:tl2br w:val="nil"/>
              <w:tr2bl w:val="nil"/>
            </w:tcBorders>
            <w:noWrap w:val="0"/>
            <w:vAlign w:val="center"/>
          </w:tcPr>
          <w:p w14:paraId="6529F38F">
            <w:pPr>
              <w:adjustRightInd w:val="0"/>
              <w:snapToGrid w:val="0"/>
              <w:spacing w:line="520" w:lineRule="exact"/>
              <w:jc w:val="center"/>
              <w:rPr>
                <w:rFonts w:hint="eastAsia" w:ascii="宋体" w:hAnsi="宋体" w:cs="宋体"/>
                <w:color w:val="auto"/>
                <w:kern w:val="0"/>
                <w:sz w:val="24"/>
              </w:rPr>
            </w:pPr>
          </w:p>
        </w:tc>
        <w:tc>
          <w:tcPr>
            <w:tcW w:w="4632" w:type="pct"/>
            <w:tcBorders>
              <w:tl2br w:val="nil"/>
              <w:tr2bl w:val="nil"/>
            </w:tcBorders>
            <w:noWrap w:val="0"/>
            <w:vAlign w:val="top"/>
          </w:tcPr>
          <w:p w14:paraId="58C90D6D">
            <w:pPr>
              <w:widowControl/>
              <w:adjustRightInd w:val="0"/>
              <w:snapToGrid w:val="0"/>
              <w:spacing w:before="120" w:beforeLines="50" w:line="360" w:lineRule="auto"/>
              <w:textAlignment w:val="center"/>
              <w:rPr>
                <w:b/>
                <w:color w:val="auto"/>
                <w:kern w:val="24"/>
                <w:sz w:val="24"/>
              </w:rPr>
            </w:pPr>
            <w:r>
              <w:rPr>
                <w:rFonts w:hint="eastAsia"/>
                <w:b/>
                <w:color w:val="auto"/>
                <w:kern w:val="24"/>
                <w:sz w:val="24"/>
              </w:rPr>
              <w:t>3</w:t>
            </w:r>
            <w:r>
              <w:rPr>
                <w:b/>
                <w:color w:val="auto"/>
                <w:kern w:val="24"/>
                <w:sz w:val="24"/>
              </w:rPr>
              <w:t>.2</w:t>
            </w:r>
            <w:r>
              <w:rPr>
                <w:rFonts w:hint="eastAsia"/>
                <w:b/>
                <w:color w:val="auto"/>
                <w:kern w:val="24"/>
                <w:sz w:val="24"/>
              </w:rPr>
              <w:t>噪声影响预测</w:t>
            </w:r>
          </w:p>
          <w:p w14:paraId="51F63D39">
            <w:pPr>
              <w:adjustRightInd w:val="0"/>
              <w:snapToGrid w:val="0"/>
              <w:spacing w:line="360" w:lineRule="auto"/>
              <w:ind w:firstLine="480" w:firstLineChars="200"/>
              <w:rPr>
                <w:color w:val="auto"/>
                <w:sz w:val="24"/>
              </w:rPr>
            </w:pPr>
            <w:r>
              <w:rPr>
                <w:rFonts w:hint="eastAsia"/>
                <w:color w:val="auto"/>
                <w:sz w:val="24"/>
              </w:rPr>
              <w:t>本项目噪声源均位于封闭空间内，属于室内噪声，根据《环境影响评价技术导则 声环境》（H</w:t>
            </w:r>
            <w:r>
              <w:rPr>
                <w:color w:val="auto"/>
                <w:sz w:val="24"/>
              </w:rPr>
              <w:t>J2.4-2021</w:t>
            </w:r>
            <w:r>
              <w:rPr>
                <w:rFonts w:hint="eastAsia"/>
                <w:color w:val="auto"/>
                <w:sz w:val="24"/>
              </w:rPr>
              <w:t>）中的有关规定，室内噪声源为等效室外噪声源，按如下方法进行。</w:t>
            </w:r>
          </w:p>
          <w:p w14:paraId="31F646E1">
            <w:pPr>
              <w:widowControl/>
              <w:adjustRightInd w:val="0"/>
              <w:snapToGrid w:val="0"/>
              <w:spacing w:line="360" w:lineRule="auto"/>
              <w:ind w:firstLine="480" w:firstLineChars="200"/>
              <w:textAlignment w:val="center"/>
              <w:rPr>
                <w:color w:val="auto"/>
                <w:kern w:val="0"/>
                <w:sz w:val="24"/>
              </w:rPr>
            </w:pPr>
            <w:r>
              <w:rPr>
                <w:color w:val="auto"/>
                <w:kern w:val="0"/>
                <w:sz w:val="24"/>
              </w:rPr>
              <w:t>（1）室外声源</w:t>
            </w:r>
          </w:p>
          <w:p w14:paraId="3090A794">
            <w:pPr>
              <w:adjustRightInd w:val="0"/>
              <w:snapToGrid w:val="0"/>
              <w:spacing w:line="360" w:lineRule="auto"/>
              <w:jc w:val="center"/>
              <w:rPr>
                <w:color w:val="auto"/>
                <w:sz w:val="24"/>
              </w:rPr>
            </w:pPr>
            <w:r>
              <w:rPr>
                <w:color w:val="auto"/>
                <w:position w:val="-14"/>
                <w:sz w:val="24"/>
              </w:rPr>
              <w:drawing>
                <wp:inline distT="0" distB="0" distL="114300" distR="114300">
                  <wp:extent cx="2009775" cy="228600"/>
                  <wp:effectExtent l="0" t="0" r="9525" b="0"/>
                  <wp:docPr id="14"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96"/>
                          <pic:cNvPicPr>
                            <a:picLocks noChangeAspect="1"/>
                          </pic:cNvPicPr>
                        </pic:nvPicPr>
                        <pic:blipFill>
                          <a:blip r:embed="rId24"/>
                          <a:stretch>
                            <a:fillRect/>
                          </a:stretch>
                        </pic:blipFill>
                        <pic:spPr>
                          <a:xfrm>
                            <a:off x="0" y="0"/>
                            <a:ext cx="2009775" cy="228600"/>
                          </a:xfrm>
                          <a:prstGeom prst="rect">
                            <a:avLst/>
                          </a:prstGeom>
                          <a:noFill/>
                          <a:ln>
                            <a:noFill/>
                          </a:ln>
                        </pic:spPr>
                      </pic:pic>
                    </a:graphicData>
                  </a:graphic>
                </wp:inline>
              </w:drawing>
            </w:r>
          </w:p>
          <w:p w14:paraId="11056BAB">
            <w:pPr>
              <w:adjustRightInd w:val="0"/>
              <w:snapToGrid w:val="0"/>
              <w:spacing w:line="360" w:lineRule="auto"/>
              <w:ind w:firstLine="480" w:firstLineChars="200"/>
              <w:rPr>
                <w:color w:val="auto"/>
                <w:sz w:val="24"/>
              </w:rPr>
            </w:pPr>
            <w:r>
              <w:rPr>
                <w:color w:val="auto"/>
                <w:sz w:val="24"/>
              </w:rPr>
              <w:t>式中：</w:t>
            </w:r>
            <w:r>
              <w:rPr>
                <w:color w:val="auto"/>
                <w:sz w:val="24"/>
              </w:rPr>
              <w:drawing>
                <wp:inline distT="0" distB="0" distL="114300" distR="114300">
                  <wp:extent cx="381000" cy="228600"/>
                  <wp:effectExtent l="0" t="0" r="0" b="0"/>
                  <wp:docPr id="15"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97"/>
                          <pic:cNvPicPr>
                            <a:picLocks noChangeAspect="1"/>
                          </pic:cNvPicPr>
                        </pic:nvPicPr>
                        <pic:blipFill>
                          <a:blip r:embed="rId25"/>
                          <a:stretch>
                            <a:fillRect/>
                          </a:stretch>
                        </pic:blipFill>
                        <pic:spPr>
                          <a:xfrm>
                            <a:off x="0" y="0"/>
                            <a:ext cx="381000" cy="228600"/>
                          </a:xfrm>
                          <a:prstGeom prst="rect">
                            <a:avLst/>
                          </a:prstGeom>
                          <a:noFill/>
                          <a:ln>
                            <a:noFill/>
                          </a:ln>
                        </pic:spPr>
                      </pic:pic>
                    </a:graphicData>
                  </a:graphic>
                </wp:inline>
              </w:drawing>
            </w:r>
            <w:r>
              <w:rPr>
                <w:color w:val="auto"/>
                <w:sz w:val="24"/>
              </w:rPr>
              <w:t>—噪声源在预测点的声压级，dB(A)；</w:t>
            </w:r>
          </w:p>
          <w:p w14:paraId="7949711E">
            <w:pPr>
              <w:adjustRightInd w:val="0"/>
              <w:snapToGrid w:val="0"/>
              <w:spacing w:line="360" w:lineRule="auto"/>
              <w:ind w:firstLine="480" w:firstLineChars="200"/>
              <w:rPr>
                <w:color w:val="auto"/>
                <w:sz w:val="24"/>
              </w:rPr>
            </w:pPr>
            <w:r>
              <w:rPr>
                <w:color w:val="auto"/>
                <w:sz w:val="24"/>
              </w:rPr>
              <w:t xml:space="preserve">      </w:t>
            </w:r>
            <w:r>
              <w:rPr>
                <w:color w:val="auto"/>
                <w:sz w:val="24"/>
              </w:rPr>
              <w:drawing>
                <wp:inline distT="0" distB="0" distL="114300" distR="114300">
                  <wp:extent cx="400050" cy="228600"/>
                  <wp:effectExtent l="0" t="0" r="0" b="0"/>
                  <wp:docPr id="16"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98"/>
                          <pic:cNvPicPr>
                            <a:picLocks noChangeAspect="1"/>
                          </pic:cNvPicPr>
                        </pic:nvPicPr>
                        <pic:blipFill>
                          <a:blip r:embed="rId26"/>
                          <a:stretch>
                            <a:fillRect/>
                          </a:stretch>
                        </pic:blipFill>
                        <pic:spPr>
                          <a:xfrm>
                            <a:off x="0" y="0"/>
                            <a:ext cx="400050" cy="228600"/>
                          </a:xfrm>
                          <a:prstGeom prst="rect">
                            <a:avLst/>
                          </a:prstGeom>
                          <a:noFill/>
                          <a:ln>
                            <a:noFill/>
                          </a:ln>
                        </pic:spPr>
                      </pic:pic>
                    </a:graphicData>
                  </a:graphic>
                </wp:inline>
              </w:drawing>
            </w:r>
            <w:r>
              <w:rPr>
                <w:color w:val="auto"/>
                <w:sz w:val="24"/>
              </w:rPr>
              <w:t>—参考位置</w:t>
            </w:r>
            <w:r>
              <w:rPr>
                <w:color w:val="auto"/>
                <w:sz w:val="24"/>
              </w:rPr>
              <w:drawing>
                <wp:inline distT="0" distB="0" distL="114300" distR="114300">
                  <wp:extent cx="152400" cy="228600"/>
                  <wp:effectExtent l="0" t="0" r="0" b="0"/>
                  <wp:docPr id="17"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99"/>
                          <pic:cNvPicPr>
                            <a:picLocks noChangeAspect="1"/>
                          </pic:cNvPicPr>
                        </pic:nvPicPr>
                        <pic:blipFill>
                          <a:blip r:embed="rId27"/>
                          <a:stretch>
                            <a:fillRect/>
                          </a:stretch>
                        </pic:blipFill>
                        <pic:spPr>
                          <a:xfrm>
                            <a:off x="0" y="0"/>
                            <a:ext cx="152400" cy="228600"/>
                          </a:xfrm>
                          <a:prstGeom prst="rect">
                            <a:avLst/>
                          </a:prstGeom>
                          <a:noFill/>
                          <a:ln>
                            <a:noFill/>
                          </a:ln>
                        </pic:spPr>
                      </pic:pic>
                    </a:graphicData>
                  </a:graphic>
                </wp:inline>
              </w:drawing>
            </w:r>
            <w:r>
              <w:rPr>
                <w:color w:val="auto"/>
                <w:sz w:val="24"/>
              </w:rPr>
              <w:t>处的声压级，dB(A)；</w:t>
            </w:r>
          </w:p>
          <w:p w14:paraId="349F6B76">
            <w:pPr>
              <w:adjustRightInd w:val="0"/>
              <w:snapToGrid w:val="0"/>
              <w:spacing w:line="360" w:lineRule="auto"/>
              <w:ind w:firstLine="480" w:firstLineChars="200"/>
              <w:rPr>
                <w:color w:val="auto"/>
                <w:sz w:val="24"/>
              </w:rPr>
            </w:pPr>
            <w:r>
              <w:rPr>
                <w:color w:val="auto"/>
                <w:sz w:val="24"/>
              </w:rPr>
              <w:t xml:space="preserve">      </w:t>
            </w:r>
            <w:r>
              <w:rPr>
                <w:color w:val="auto"/>
                <w:sz w:val="24"/>
              </w:rPr>
              <w:drawing>
                <wp:inline distT="0" distB="0" distL="114300" distR="114300">
                  <wp:extent cx="152400" cy="228600"/>
                  <wp:effectExtent l="0" t="0" r="0" b="0"/>
                  <wp:docPr id="18"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00"/>
                          <pic:cNvPicPr>
                            <a:picLocks noChangeAspect="1"/>
                          </pic:cNvPicPr>
                        </pic:nvPicPr>
                        <pic:blipFill>
                          <a:blip r:embed="rId27"/>
                          <a:stretch>
                            <a:fillRect/>
                          </a:stretch>
                        </pic:blipFill>
                        <pic:spPr>
                          <a:xfrm>
                            <a:off x="0" y="0"/>
                            <a:ext cx="152400" cy="228600"/>
                          </a:xfrm>
                          <a:prstGeom prst="rect">
                            <a:avLst/>
                          </a:prstGeom>
                          <a:noFill/>
                          <a:ln>
                            <a:noFill/>
                          </a:ln>
                        </pic:spPr>
                      </pic:pic>
                    </a:graphicData>
                  </a:graphic>
                </wp:inline>
              </w:drawing>
            </w:r>
            <w:r>
              <w:rPr>
                <w:color w:val="auto"/>
                <w:sz w:val="24"/>
              </w:rPr>
              <w:t>—参考位置距声源中心的位置，m；</w:t>
            </w:r>
          </w:p>
          <w:p w14:paraId="1B8756A3">
            <w:pPr>
              <w:adjustRightInd w:val="0"/>
              <w:snapToGrid w:val="0"/>
              <w:spacing w:line="360" w:lineRule="auto"/>
              <w:ind w:firstLine="480" w:firstLineChars="200"/>
              <w:rPr>
                <w:color w:val="auto"/>
                <w:sz w:val="24"/>
              </w:rPr>
            </w:pPr>
            <w:r>
              <w:rPr>
                <w:color w:val="auto"/>
                <w:sz w:val="24"/>
              </w:rPr>
              <w:t xml:space="preserve">      </w:t>
            </w:r>
            <w:r>
              <w:rPr>
                <w:color w:val="auto"/>
                <w:sz w:val="24"/>
              </w:rPr>
              <w:drawing>
                <wp:inline distT="0" distB="0" distL="114300" distR="114300">
                  <wp:extent cx="133350" cy="133350"/>
                  <wp:effectExtent l="0" t="0" r="0" b="0"/>
                  <wp:docPr id="19"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01"/>
                          <pic:cNvPicPr>
                            <a:picLocks noChangeAspect="1"/>
                          </pic:cNvPicPr>
                        </pic:nvPicPr>
                        <pic:blipFill>
                          <a:blip r:embed="rId28"/>
                          <a:stretch>
                            <a:fillRect/>
                          </a:stretch>
                        </pic:blipFill>
                        <pic:spPr>
                          <a:xfrm>
                            <a:off x="0" y="0"/>
                            <a:ext cx="133350" cy="133350"/>
                          </a:xfrm>
                          <a:prstGeom prst="rect">
                            <a:avLst/>
                          </a:prstGeom>
                          <a:noFill/>
                          <a:ln>
                            <a:noFill/>
                          </a:ln>
                        </pic:spPr>
                      </pic:pic>
                    </a:graphicData>
                  </a:graphic>
                </wp:inline>
              </w:drawing>
            </w:r>
            <w:r>
              <w:rPr>
                <w:color w:val="auto"/>
                <w:sz w:val="24"/>
              </w:rPr>
              <w:t>—声源中心至预测点的距离，m；</w:t>
            </w:r>
          </w:p>
          <w:p w14:paraId="34E29750">
            <w:pPr>
              <w:adjustRightInd w:val="0"/>
              <w:snapToGrid w:val="0"/>
              <w:spacing w:line="360" w:lineRule="auto"/>
              <w:ind w:firstLine="480" w:firstLineChars="200"/>
              <w:rPr>
                <w:color w:val="auto"/>
                <w:sz w:val="24"/>
              </w:rPr>
            </w:pPr>
            <w:r>
              <w:rPr>
                <w:color w:val="auto"/>
                <w:sz w:val="24"/>
              </w:rPr>
              <w:t xml:space="preserve">      </w:t>
            </w:r>
            <w:r>
              <w:rPr>
                <w:color w:val="auto"/>
                <w:sz w:val="24"/>
              </w:rPr>
              <w:drawing>
                <wp:inline distT="0" distB="0" distL="114300" distR="114300">
                  <wp:extent cx="228600" cy="152400"/>
                  <wp:effectExtent l="0" t="0" r="0" b="0"/>
                  <wp:docPr id="20"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02"/>
                          <pic:cNvPicPr>
                            <a:picLocks noChangeAspect="1"/>
                          </pic:cNvPicPr>
                        </pic:nvPicPr>
                        <pic:blipFill>
                          <a:blip r:embed="rId29"/>
                          <a:stretch>
                            <a:fillRect/>
                          </a:stretch>
                        </pic:blipFill>
                        <pic:spPr>
                          <a:xfrm>
                            <a:off x="0" y="0"/>
                            <a:ext cx="228600" cy="152400"/>
                          </a:xfrm>
                          <a:prstGeom prst="rect">
                            <a:avLst/>
                          </a:prstGeom>
                          <a:noFill/>
                          <a:ln>
                            <a:noFill/>
                          </a:ln>
                        </pic:spPr>
                      </pic:pic>
                    </a:graphicData>
                  </a:graphic>
                </wp:inline>
              </w:drawing>
            </w:r>
            <w:r>
              <w:rPr>
                <w:color w:val="auto"/>
                <w:sz w:val="24"/>
              </w:rPr>
              <w:t>—各种因素引起的声衰减量（如声屏障，遮挡物，空气吸收，地面吸收等引起的声衰减），dB(A)。</w:t>
            </w:r>
          </w:p>
          <w:p w14:paraId="6F9234F5">
            <w:pPr>
              <w:widowControl/>
              <w:adjustRightInd w:val="0"/>
              <w:snapToGrid w:val="0"/>
              <w:spacing w:line="360" w:lineRule="auto"/>
              <w:ind w:firstLine="480" w:firstLineChars="200"/>
              <w:textAlignment w:val="center"/>
              <w:rPr>
                <w:color w:val="auto"/>
                <w:sz w:val="24"/>
              </w:rPr>
            </w:pPr>
            <w:r>
              <w:rPr>
                <w:color w:val="auto"/>
                <w:sz w:val="24"/>
              </w:rPr>
              <w:t>（2）室内声源</w:t>
            </w:r>
          </w:p>
          <w:p w14:paraId="53152FA1">
            <w:pPr>
              <w:widowControl/>
              <w:adjustRightInd w:val="0"/>
              <w:snapToGrid w:val="0"/>
              <w:spacing w:line="360" w:lineRule="auto"/>
              <w:ind w:firstLine="480" w:firstLineChars="200"/>
              <w:textAlignment w:val="center"/>
              <w:rPr>
                <w:color w:val="auto"/>
                <w:sz w:val="24"/>
              </w:rPr>
            </w:pPr>
            <w:r>
              <w:rPr>
                <w:color w:val="auto"/>
                <w:sz w:val="24"/>
              </w:rPr>
              <w:t>A.计算车间室内声源靠近围护结构处产生的声压级：</w:t>
            </w:r>
          </w:p>
          <w:p w14:paraId="4A767D37">
            <w:pPr>
              <w:adjustRightInd w:val="0"/>
              <w:snapToGrid w:val="0"/>
              <w:jc w:val="center"/>
              <w:rPr>
                <w:color w:val="auto"/>
                <w:sz w:val="24"/>
              </w:rPr>
            </w:pPr>
            <w:r>
              <w:rPr>
                <w:color w:val="auto"/>
                <w:position w:val="-32"/>
                <w:sz w:val="24"/>
              </w:rPr>
              <w:drawing>
                <wp:inline distT="0" distB="0" distL="114300" distR="114300">
                  <wp:extent cx="1743075" cy="438150"/>
                  <wp:effectExtent l="0" t="0" r="9525" b="0"/>
                  <wp:docPr id="21"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03"/>
                          <pic:cNvPicPr>
                            <a:picLocks noChangeAspect="1"/>
                          </pic:cNvPicPr>
                        </pic:nvPicPr>
                        <pic:blipFill>
                          <a:blip r:embed="rId30"/>
                          <a:stretch>
                            <a:fillRect/>
                          </a:stretch>
                        </pic:blipFill>
                        <pic:spPr>
                          <a:xfrm>
                            <a:off x="0" y="0"/>
                            <a:ext cx="1743075" cy="438150"/>
                          </a:xfrm>
                          <a:prstGeom prst="rect">
                            <a:avLst/>
                          </a:prstGeom>
                          <a:noFill/>
                          <a:ln>
                            <a:noFill/>
                          </a:ln>
                        </pic:spPr>
                      </pic:pic>
                    </a:graphicData>
                  </a:graphic>
                </wp:inline>
              </w:drawing>
            </w:r>
          </w:p>
          <w:p w14:paraId="652569DE">
            <w:pPr>
              <w:adjustRightInd w:val="0"/>
              <w:snapToGrid w:val="0"/>
              <w:spacing w:line="360" w:lineRule="auto"/>
              <w:ind w:firstLine="480" w:firstLineChars="200"/>
              <w:jc w:val="left"/>
              <w:rPr>
                <w:color w:val="auto"/>
                <w:sz w:val="24"/>
              </w:rPr>
            </w:pPr>
            <w:r>
              <w:rPr>
                <w:color w:val="auto"/>
                <w:sz w:val="24"/>
              </w:rPr>
              <w:t>式中：</w:t>
            </w:r>
            <w:r>
              <w:rPr>
                <w:color w:val="auto"/>
                <w:sz w:val="24"/>
              </w:rPr>
              <w:drawing>
                <wp:inline distT="0" distB="0" distL="114300" distR="114300">
                  <wp:extent cx="152400" cy="228600"/>
                  <wp:effectExtent l="0" t="0" r="0" b="0"/>
                  <wp:docPr id="22"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04"/>
                          <pic:cNvPicPr>
                            <a:picLocks noChangeAspect="1"/>
                          </pic:cNvPicPr>
                        </pic:nvPicPr>
                        <pic:blipFill>
                          <a:blip r:embed="rId31"/>
                          <a:stretch>
                            <a:fillRect/>
                          </a:stretch>
                        </pic:blipFill>
                        <pic:spPr>
                          <a:xfrm>
                            <a:off x="0" y="0"/>
                            <a:ext cx="152400" cy="228600"/>
                          </a:xfrm>
                          <a:prstGeom prst="rect">
                            <a:avLst/>
                          </a:prstGeom>
                          <a:noFill/>
                          <a:ln>
                            <a:noFill/>
                          </a:ln>
                        </pic:spPr>
                      </pic:pic>
                    </a:graphicData>
                  </a:graphic>
                </wp:inline>
              </w:drawing>
            </w:r>
            <w:r>
              <w:rPr>
                <w:color w:val="auto"/>
                <w:sz w:val="24"/>
              </w:rPr>
              <w:t>—指向性因子；</w:t>
            </w:r>
          </w:p>
          <w:p w14:paraId="32A2A2B1">
            <w:pPr>
              <w:adjustRightInd w:val="0"/>
              <w:snapToGrid w:val="0"/>
              <w:spacing w:line="360" w:lineRule="auto"/>
              <w:ind w:firstLine="1200" w:firstLineChars="500"/>
              <w:jc w:val="left"/>
              <w:rPr>
                <w:color w:val="auto"/>
                <w:sz w:val="24"/>
              </w:rPr>
            </w:pPr>
            <w:r>
              <w:rPr>
                <w:color w:val="auto"/>
                <w:sz w:val="24"/>
              </w:rPr>
              <w:t>L</w:t>
            </w:r>
            <w:r>
              <w:rPr>
                <w:color w:val="auto"/>
                <w:sz w:val="24"/>
                <w:vertAlign w:val="subscript"/>
              </w:rPr>
              <w:t>W</w:t>
            </w:r>
            <w:r>
              <w:rPr>
                <w:color w:val="auto"/>
                <w:sz w:val="24"/>
              </w:rPr>
              <w:t>—室内声源声功率级，dB；</w:t>
            </w:r>
          </w:p>
          <w:p w14:paraId="4128E977">
            <w:pPr>
              <w:adjustRightInd w:val="0"/>
              <w:snapToGrid w:val="0"/>
              <w:spacing w:line="360" w:lineRule="auto"/>
              <w:ind w:firstLine="1200" w:firstLineChars="500"/>
              <w:jc w:val="left"/>
              <w:rPr>
                <w:color w:val="auto"/>
                <w:sz w:val="24"/>
              </w:rPr>
            </w:pPr>
            <w:r>
              <w:rPr>
                <w:color w:val="auto"/>
                <w:sz w:val="24"/>
              </w:rPr>
              <w:drawing>
                <wp:inline distT="0" distB="0" distL="114300" distR="114300">
                  <wp:extent cx="152400" cy="152400"/>
                  <wp:effectExtent l="0" t="0" r="0" b="0"/>
                  <wp:docPr id="23"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05"/>
                          <pic:cNvPicPr>
                            <a:picLocks noChangeAspect="1"/>
                          </pic:cNvPicPr>
                        </pic:nvPicPr>
                        <pic:blipFill>
                          <a:blip r:embed="rId32"/>
                          <a:stretch>
                            <a:fillRect/>
                          </a:stretch>
                        </pic:blipFill>
                        <pic:spPr>
                          <a:xfrm>
                            <a:off x="0" y="0"/>
                            <a:ext cx="152400" cy="152400"/>
                          </a:xfrm>
                          <a:prstGeom prst="rect">
                            <a:avLst/>
                          </a:prstGeom>
                          <a:noFill/>
                          <a:ln>
                            <a:noFill/>
                          </a:ln>
                        </pic:spPr>
                      </pic:pic>
                    </a:graphicData>
                  </a:graphic>
                </wp:inline>
              </w:drawing>
            </w:r>
            <w:r>
              <w:rPr>
                <w:color w:val="auto"/>
                <w:sz w:val="24"/>
              </w:rPr>
              <w:t>—房间常数；</w:t>
            </w:r>
          </w:p>
          <w:p w14:paraId="30C16101">
            <w:pPr>
              <w:adjustRightInd w:val="0"/>
              <w:snapToGrid w:val="0"/>
              <w:spacing w:line="360" w:lineRule="auto"/>
              <w:ind w:firstLine="1200" w:firstLineChars="500"/>
              <w:jc w:val="left"/>
              <w:rPr>
                <w:color w:val="auto"/>
                <w:sz w:val="24"/>
              </w:rPr>
            </w:pPr>
            <w:r>
              <w:rPr>
                <w:color w:val="auto"/>
                <w:sz w:val="24"/>
              </w:rPr>
              <w:t>r</w:t>
            </w:r>
            <w:r>
              <w:rPr>
                <w:color w:val="auto"/>
                <w:sz w:val="24"/>
                <w:vertAlign w:val="subscript"/>
              </w:rPr>
              <w:t>1</w:t>
            </w:r>
            <w:r>
              <w:rPr>
                <w:color w:val="auto"/>
                <w:sz w:val="24"/>
              </w:rPr>
              <w:t>—声源到靠近围护结构某点处的距离，m。</w:t>
            </w:r>
          </w:p>
          <w:p w14:paraId="70C54CC0">
            <w:pPr>
              <w:adjustRightInd w:val="0"/>
              <w:snapToGrid w:val="0"/>
              <w:spacing w:line="360" w:lineRule="auto"/>
              <w:ind w:firstLine="480" w:firstLineChars="200"/>
              <w:jc w:val="left"/>
              <w:rPr>
                <w:color w:val="auto"/>
                <w:sz w:val="24"/>
              </w:rPr>
            </w:pPr>
            <w:r>
              <w:rPr>
                <w:color w:val="auto"/>
                <w:sz w:val="24"/>
              </w:rPr>
              <w:t>B.计算所有室内声源在围护结构处产生的叠加声压级：</w:t>
            </w:r>
          </w:p>
          <w:p w14:paraId="27267F64">
            <w:pPr>
              <w:adjustRightInd w:val="0"/>
              <w:snapToGrid w:val="0"/>
              <w:jc w:val="center"/>
              <w:rPr>
                <w:color w:val="auto"/>
                <w:sz w:val="24"/>
              </w:rPr>
            </w:pPr>
            <w:r>
              <w:rPr>
                <w:color w:val="auto"/>
                <w:position w:val="-30"/>
                <w:sz w:val="24"/>
              </w:rPr>
              <w:drawing>
                <wp:inline distT="0" distB="0" distL="114300" distR="114300">
                  <wp:extent cx="1600200" cy="438150"/>
                  <wp:effectExtent l="0" t="0" r="0" b="0"/>
                  <wp:docPr id="24"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06"/>
                          <pic:cNvPicPr>
                            <a:picLocks noChangeAspect="1"/>
                          </pic:cNvPicPr>
                        </pic:nvPicPr>
                        <pic:blipFill>
                          <a:blip r:embed="rId33"/>
                          <a:stretch>
                            <a:fillRect/>
                          </a:stretch>
                        </pic:blipFill>
                        <pic:spPr>
                          <a:xfrm>
                            <a:off x="0" y="0"/>
                            <a:ext cx="1600200" cy="438150"/>
                          </a:xfrm>
                          <a:prstGeom prst="rect">
                            <a:avLst/>
                          </a:prstGeom>
                          <a:noFill/>
                          <a:ln>
                            <a:noFill/>
                          </a:ln>
                        </pic:spPr>
                      </pic:pic>
                    </a:graphicData>
                  </a:graphic>
                </wp:inline>
              </w:drawing>
            </w:r>
          </w:p>
          <w:p w14:paraId="5C76F8FD">
            <w:pPr>
              <w:adjustRightInd w:val="0"/>
              <w:snapToGrid w:val="0"/>
              <w:spacing w:line="360" w:lineRule="auto"/>
              <w:ind w:firstLine="480" w:firstLineChars="200"/>
              <w:jc w:val="left"/>
              <w:rPr>
                <w:color w:val="auto"/>
                <w:sz w:val="24"/>
              </w:rPr>
            </w:pPr>
            <w:r>
              <w:rPr>
                <w:color w:val="auto"/>
                <w:sz w:val="24"/>
              </w:rPr>
              <w:t>式中：L</w:t>
            </w:r>
            <w:r>
              <w:rPr>
                <w:color w:val="auto"/>
                <w:sz w:val="24"/>
                <w:vertAlign w:val="subscript"/>
              </w:rPr>
              <w:t>P1</w:t>
            </w:r>
            <w:r>
              <w:rPr>
                <w:color w:val="auto"/>
                <w:sz w:val="24"/>
              </w:rPr>
              <w:t>(T)—靠近围护结构处室内N个声源的叠加声压级，dB；</w:t>
            </w:r>
          </w:p>
          <w:p w14:paraId="57591652">
            <w:pPr>
              <w:adjustRightInd w:val="0"/>
              <w:snapToGrid w:val="0"/>
              <w:spacing w:line="360" w:lineRule="auto"/>
              <w:ind w:firstLine="1200" w:firstLineChars="500"/>
              <w:jc w:val="left"/>
              <w:rPr>
                <w:color w:val="auto"/>
                <w:sz w:val="24"/>
              </w:rPr>
            </w:pPr>
            <w:r>
              <w:rPr>
                <w:color w:val="auto"/>
                <w:sz w:val="24"/>
              </w:rPr>
              <w:t>L</w:t>
            </w:r>
            <w:r>
              <w:rPr>
                <w:color w:val="auto"/>
                <w:sz w:val="24"/>
                <w:vertAlign w:val="subscript"/>
              </w:rPr>
              <w:t>P1j</w:t>
            </w:r>
            <w:r>
              <w:rPr>
                <w:color w:val="auto"/>
                <w:sz w:val="24"/>
              </w:rPr>
              <w:t>(T)—室内j声源声压级，dB；</w:t>
            </w:r>
          </w:p>
          <w:p w14:paraId="37921099">
            <w:pPr>
              <w:adjustRightInd w:val="0"/>
              <w:snapToGrid w:val="0"/>
              <w:spacing w:line="360" w:lineRule="auto"/>
              <w:ind w:firstLine="1200" w:firstLineChars="500"/>
              <w:jc w:val="left"/>
              <w:rPr>
                <w:color w:val="auto"/>
                <w:sz w:val="24"/>
              </w:rPr>
            </w:pPr>
            <w:r>
              <w:rPr>
                <w:color w:val="auto"/>
                <w:sz w:val="24"/>
              </w:rPr>
              <w:t>N—室内声源总数。</w:t>
            </w:r>
          </w:p>
          <w:p w14:paraId="29D63A10">
            <w:pPr>
              <w:adjustRightInd w:val="0"/>
              <w:snapToGrid w:val="0"/>
              <w:spacing w:line="360" w:lineRule="auto"/>
              <w:ind w:firstLine="480" w:firstLineChars="200"/>
              <w:jc w:val="left"/>
              <w:rPr>
                <w:color w:val="auto"/>
                <w:sz w:val="24"/>
              </w:rPr>
            </w:pPr>
            <w:r>
              <w:rPr>
                <w:color w:val="auto"/>
                <w:sz w:val="24"/>
              </w:rPr>
              <w:t>C.计算靠近室外维护结构处的声压级：</w:t>
            </w:r>
          </w:p>
          <w:p w14:paraId="3D46C5B8">
            <w:pPr>
              <w:adjustRightInd w:val="0"/>
              <w:snapToGrid w:val="0"/>
              <w:jc w:val="center"/>
              <w:rPr>
                <w:color w:val="auto"/>
                <w:sz w:val="24"/>
              </w:rPr>
            </w:pPr>
            <w:r>
              <w:rPr>
                <w:color w:val="auto"/>
                <w:position w:val="-14"/>
                <w:sz w:val="24"/>
              </w:rPr>
              <w:drawing>
                <wp:inline distT="0" distB="0" distL="114300" distR="114300">
                  <wp:extent cx="1695450" cy="228600"/>
                  <wp:effectExtent l="0" t="0" r="0" b="0"/>
                  <wp:docPr id="25"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07"/>
                          <pic:cNvPicPr>
                            <a:picLocks noChangeAspect="1"/>
                          </pic:cNvPicPr>
                        </pic:nvPicPr>
                        <pic:blipFill>
                          <a:blip r:embed="rId34"/>
                          <a:stretch>
                            <a:fillRect/>
                          </a:stretch>
                        </pic:blipFill>
                        <pic:spPr>
                          <a:xfrm>
                            <a:off x="0" y="0"/>
                            <a:ext cx="1695450" cy="228600"/>
                          </a:xfrm>
                          <a:prstGeom prst="rect">
                            <a:avLst/>
                          </a:prstGeom>
                          <a:noFill/>
                          <a:ln>
                            <a:noFill/>
                          </a:ln>
                        </pic:spPr>
                      </pic:pic>
                    </a:graphicData>
                  </a:graphic>
                </wp:inline>
              </w:drawing>
            </w:r>
          </w:p>
          <w:p w14:paraId="5EDFD3E1">
            <w:pPr>
              <w:adjustRightInd w:val="0"/>
              <w:snapToGrid w:val="0"/>
              <w:spacing w:line="360" w:lineRule="auto"/>
              <w:ind w:firstLine="480" w:firstLineChars="200"/>
              <w:rPr>
                <w:color w:val="auto"/>
                <w:sz w:val="24"/>
              </w:rPr>
            </w:pPr>
            <w:r>
              <w:rPr>
                <w:color w:val="auto"/>
                <w:sz w:val="24"/>
              </w:rPr>
              <w:t>式中：L</w:t>
            </w:r>
            <w:r>
              <w:rPr>
                <w:color w:val="auto"/>
                <w:sz w:val="24"/>
                <w:vertAlign w:val="subscript"/>
              </w:rPr>
              <w:t>P2</w:t>
            </w:r>
            <w:r>
              <w:rPr>
                <w:color w:val="auto"/>
                <w:sz w:val="24"/>
              </w:rPr>
              <w:t>(T)—靠近围护结构处室内N个声源的叠加声压级，dB；</w:t>
            </w:r>
          </w:p>
          <w:p w14:paraId="2EFBCA2E">
            <w:pPr>
              <w:adjustRightInd w:val="0"/>
              <w:snapToGrid w:val="0"/>
              <w:spacing w:line="360" w:lineRule="auto"/>
              <w:ind w:firstLine="1200" w:firstLineChars="500"/>
              <w:rPr>
                <w:color w:val="auto"/>
                <w:sz w:val="24"/>
              </w:rPr>
            </w:pPr>
            <w:r>
              <w:rPr>
                <w:color w:val="auto"/>
                <w:sz w:val="24"/>
              </w:rPr>
              <w:t>TL—围护结构的隔声量，dB；</w:t>
            </w:r>
          </w:p>
          <w:p w14:paraId="0D32DF24">
            <w:pPr>
              <w:adjustRightInd w:val="0"/>
              <w:snapToGrid w:val="0"/>
              <w:spacing w:line="360" w:lineRule="auto"/>
              <w:ind w:firstLine="480" w:firstLineChars="200"/>
              <w:rPr>
                <w:color w:val="auto"/>
                <w:sz w:val="24"/>
              </w:rPr>
            </w:pPr>
            <w:r>
              <w:rPr>
                <w:color w:val="auto"/>
                <w:sz w:val="24"/>
              </w:rPr>
              <w:t>D.将室外声源的声压级和透过面积换算成等效的室外声源，计算中心位置位于透声面积处的等效声源的声功率级：</w:t>
            </w:r>
          </w:p>
          <w:p w14:paraId="29098A00">
            <w:pPr>
              <w:adjustRightInd w:val="0"/>
              <w:snapToGrid w:val="0"/>
              <w:spacing w:line="480" w:lineRule="exact"/>
              <w:ind w:firstLine="480" w:firstLineChars="200"/>
              <w:jc w:val="center"/>
              <w:rPr>
                <w:color w:val="auto"/>
                <w:sz w:val="24"/>
              </w:rPr>
            </w:pPr>
            <w:r>
              <w:rPr>
                <w:color w:val="auto"/>
                <w:position w:val="-12"/>
                <w:sz w:val="24"/>
              </w:rPr>
              <w:drawing>
                <wp:inline distT="0" distB="0" distL="114300" distR="114300">
                  <wp:extent cx="1333500" cy="228600"/>
                  <wp:effectExtent l="0" t="0" r="0" b="0"/>
                  <wp:docPr id="26"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08"/>
                          <pic:cNvPicPr>
                            <a:picLocks noChangeAspect="1"/>
                          </pic:cNvPicPr>
                        </pic:nvPicPr>
                        <pic:blipFill>
                          <a:blip r:embed="rId35"/>
                          <a:stretch>
                            <a:fillRect/>
                          </a:stretch>
                        </pic:blipFill>
                        <pic:spPr>
                          <a:xfrm>
                            <a:off x="0" y="0"/>
                            <a:ext cx="1333500" cy="228600"/>
                          </a:xfrm>
                          <a:prstGeom prst="rect">
                            <a:avLst/>
                          </a:prstGeom>
                          <a:noFill/>
                          <a:ln>
                            <a:noFill/>
                          </a:ln>
                        </pic:spPr>
                      </pic:pic>
                    </a:graphicData>
                  </a:graphic>
                </wp:inline>
              </w:drawing>
            </w:r>
          </w:p>
          <w:p w14:paraId="0F06503F">
            <w:pPr>
              <w:adjustRightInd w:val="0"/>
              <w:snapToGrid w:val="0"/>
              <w:spacing w:before="120" w:beforeLines="50" w:line="360" w:lineRule="auto"/>
              <w:ind w:firstLine="480" w:firstLineChars="200"/>
              <w:rPr>
                <w:color w:val="auto"/>
                <w:sz w:val="24"/>
              </w:rPr>
            </w:pPr>
            <w:r>
              <w:rPr>
                <w:color w:val="auto"/>
                <w:sz w:val="24"/>
              </w:rPr>
              <w:t>E.按室外声源预测方法计算预测点处的声压级。</w:t>
            </w:r>
          </w:p>
          <w:p w14:paraId="379FEC19">
            <w:pPr>
              <w:adjustRightInd w:val="0"/>
              <w:snapToGrid w:val="0"/>
              <w:spacing w:line="480" w:lineRule="exact"/>
              <w:ind w:firstLine="480" w:firstLineChars="200"/>
              <w:jc w:val="center"/>
              <w:rPr>
                <w:color w:val="auto"/>
                <w:sz w:val="24"/>
              </w:rPr>
            </w:pPr>
            <w:r>
              <w:rPr>
                <w:color w:val="auto"/>
                <w:position w:val="-14"/>
                <w:sz w:val="24"/>
              </w:rPr>
              <w:drawing>
                <wp:inline distT="0" distB="0" distL="114300" distR="114300">
                  <wp:extent cx="1695450" cy="228600"/>
                  <wp:effectExtent l="0" t="0" r="0" b="0"/>
                  <wp:docPr id="27"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09"/>
                          <pic:cNvPicPr>
                            <a:picLocks noChangeAspect="1"/>
                          </pic:cNvPicPr>
                        </pic:nvPicPr>
                        <pic:blipFill>
                          <a:blip r:embed="rId36"/>
                          <a:stretch>
                            <a:fillRect/>
                          </a:stretch>
                        </pic:blipFill>
                        <pic:spPr>
                          <a:xfrm>
                            <a:off x="0" y="0"/>
                            <a:ext cx="1695450" cy="228600"/>
                          </a:xfrm>
                          <a:prstGeom prst="rect">
                            <a:avLst/>
                          </a:prstGeom>
                          <a:noFill/>
                          <a:ln>
                            <a:noFill/>
                          </a:ln>
                        </pic:spPr>
                      </pic:pic>
                    </a:graphicData>
                  </a:graphic>
                </wp:inline>
              </w:drawing>
            </w:r>
          </w:p>
          <w:p w14:paraId="4AF659B3">
            <w:pPr>
              <w:adjustRightInd w:val="0"/>
              <w:snapToGrid w:val="0"/>
              <w:spacing w:before="120" w:beforeLines="50" w:line="360" w:lineRule="auto"/>
              <w:ind w:firstLine="480" w:firstLineChars="200"/>
              <w:rPr>
                <w:color w:val="auto"/>
                <w:sz w:val="24"/>
              </w:rPr>
            </w:pPr>
            <w:r>
              <w:rPr>
                <w:color w:val="auto"/>
                <w:sz w:val="24"/>
              </w:rPr>
              <w:t>F.如预测点在靠近声源处，但不能满足声源条件时，需按线声源或面声源模式计算。</w:t>
            </w:r>
          </w:p>
          <w:p w14:paraId="6F9CF2B0">
            <w:pPr>
              <w:adjustRightInd w:val="0"/>
              <w:snapToGrid w:val="0"/>
              <w:spacing w:line="360" w:lineRule="auto"/>
              <w:ind w:firstLine="480" w:firstLineChars="200"/>
              <w:rPr>
                <w:color w:val="auto"/>
                <w:sz w:val="24"/>
              </w:rPr>
            </w:pPr>
            <w:r>
              <w:rPr>
                <w:color w:val="auto"/>
                <w:sz w:val="24"/>
              </w:rPr>
              <w:t>（3）总声压级</w:t>
            </w:r>
          </w:p>
          <w:p w14:paraId="5D614F2A">
            <w:pPr>
              <w:adjustRightInd w:val="0"/>
              <w:snapToGrid w:val="0"/>
              <w:jc w:val="center"/>
              <w:rPr>
                <w:color w:val="auto"/>
                <w:sz w:val="24"/>
              </w:rPr>
            </w:pPr>
            <w:r>
              <w:rPr>
                <w:color w:val="auto"/>
                <w:position w:val="-30"/>
                <w:sz w:val="24"/>
              </w:rPr>
              <w:drawing>
                <wp:inline distT="0" distB="0" distL="114300" distR="114300">
                  <wp:extent cx="3067050" cy="438150"/>
                  <wp:effectExtent l="0" t="0" r="0" b="0"/>
                  <wp:docPr id="28"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10"/>
                          <pic:cNvPicPr>
                            <a:picLocks noChangeAspect="1"/>
                          </pic:cNvPicPr>
                        </pic:nvPicPr>
                        <pic:blipFill>
                          <a:blip r:embed="rId37"/>
                          <a:stretch>
                            <a:fillRect/>
                          </a:stretch>
                        </pic:blipFill>
                        <pic:spPr>
                          <a:xfrm>
                            <a:off x="0" y="0"/>
                            <a:ext cx="3067050" cy="438150"/>
                          </a:xfrm>
                          <a:prstGeom prst="rect">
                            <a:avLst/>
                          </a:prstGeom>
                          <a:noFill/>
                          <a:ln>
                            <a:noFill/>
                          </a:ln>
                        </pic:spPr>
                      </pic:pic>
                    </a:graphicData>
                  </a:graphic>
                </wp:inline>
              </w:drawing>
            </w:r>
          </w:p>
          <w:p w14:paraId="72ED72C1">
            <w:pPr>
              <w:adjustRightInd w:val="0"/>
              <w:snapToGrid w:val="0"/>
              <w:spacing w:before="120" w:beforeLines="50" w:line="360" w:lineRule="auto"/>
              <w:ind w:firstLine="480" w:firstLineChars="200"/>
              <w:rPr>
                <w:color w:val="auto"/>
                <w:sz w:val="24"/>
              </w:rPr>
            </w:pPr>
            <w:r>
              <w:rPr>
                <w:color w:val="auto"/>
                <w:sz w:val="24"/>
              </w:rPr>
              <w:t>式中</w:t>
            </w:r>
            <w:r>
              <w:rPr>
                <w:rFonts w:hint="eastAsia"/>
                <w:color w:val="auto"/>
                <w:sz w:val="24"/>
              </w:rPr>
              <w:t>：</w:t>
            </w:r>
            <w:r>
              <w:rPr>
                <w:color w:val="auto"/>
                <w:sz w:val="24"/>
              </w:rPr>
              <w:t>T为计算等效声级的时间；</w:t>
            </w:r>
          </w:p>
          <w:p w14:paraId="6225818E">
            <w:pPr>
              <w:adjustRightInd w:val="0"/>
              <w:snapToGrid w:val="0"/>
              <w:spacing w:line="360" w:lineRule="auto"/>
              <w:ind w:firstLine="960" w:firstLineChars="400"/>
              <w:rPr>
                <w:color w:val="auto"/>
                <w:sz w:val="24"/>
              </w:rPr>
            </w:pPr>
            <w:r>
              <w:rPr>
                <w:color w:val="auto"/>
                <w:sz w:val="24"/>
              </w:rPr>
              <w:t xml:space="preserve">  M为室外声源个数；N为室内声源个数；</w:t>
            </w:r>
          </w:p>
          <w:p w14:paraId="79E3EAAF">
            <w:pPr>
              <w:adjustRightInd w:val="0"/>
              <w:snapToGrid w:val="0"/>
              <w:spacing w:line="360" w:lineRule="auto"/>
              <w:ind w:firstLine="960" w:firstLineChars="400"/>
              <w:rPr>
                <w:color w:val="auto"/>
                <w:sz w:val="24"/>
              </w:rPr>
            </w:pPr>
            <w:r>
              <w:rPr>
                <w:color w:val="auto"/>
                <w:sz w:val="24"/>
              </w:rPr>
              <w:t xml:space="preserve">  </w:t>
            </w:r>
            <w:r>
              <w:rPr>
                <w:color w:val="auto"/>
                <w:sz w:val="24"/>
              </w:rPr>
              <w:drawing>
                <wp:inline distT="0" distB="0" distL="114300" distR="114300">
                  <wp:extent cx="257175" cy="228600"/>
                  <wp:effectExtent l="0" t="0" r="9525" b="0"/>
                  <wp:docPr id="29"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11"/>
                          <pic:cNvPicPr>
                            <a:picLocks noChangeAspect="1"/>
                          </pic:cNvPicPr>
                        </pic:nvPicPr>
                        <pic:blipFill>
                          <a:blip r:embed="rId38"/>
                          <a:stretch>
                            <a:fillRect/>
                          </a:stretch>
                        </pic:blipFill>
                        <pic:spPr>
                          <a:xfrm>
                            <a:off x="0" y="0"/>
                            <a:ext cx="257175" cy="228600"/>
                          </a:xfrm>
                          <a:prstGeom prst="rect">
                            <a:avLst/>
                          </a:prstGeom>
                          <a:noFill/>
                          <a:ln>
                            <a:noFill/>
                          </a:ln>
                        </pic:spPr>
                      </pic:pic>
                    </a:graphicData>
                  </a:graphic>
                </wp:inline>
              </w:drawing>
            </w:r>
            <w:r>
              <w:rPr>
                <w:color w:val="auto"/>
                <w:sz w:val="24"/>
              </w:rPr>
              <w:t>为T时间内第i个室外声源的工作时间；</w:t>
            </w:r>
          </w:p>
          <w:p w14:paraId="400A1A58">
            <w:pPr>
              <w:adjustRightInd w:val="0"/>
              <w:snapToGrid w:val="0"/>
              <w:spacing w:line="360" w:lineRule="auto"/>
              <w:ind w:firstLine="960" w:firstLineChars="400"/>
              <w:rPr>
                <w:color w:val="auto"/>
                <w:sz w:val="24"/>
              </w:rPr>
            </w:pPr>
            <w:r>
              <w:rPr>
                <w:color w:val="auto"/>
                <w:sz w:val="24"/>
              </w:rPr>
              <w:t xml:space="preserve">  </w:t>
            </w:r>
            <w:r>
              <w:rPr>
                <w:color w:val="auto"/>
                <w:sz w:val="24"/>
              </w:rPr>
              <w:drawing>
                <wp:inline distT="0" distB="0" distL="114300" distR="114300">
                  <wp:extent cx="228600" cy="228600"/>
                  <wp:effectExtent l="0" t="0" r="0" b="0"/>
                  <wp:docPr id="30"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12"/>
                          <pic:cNvPicPr>
                            <a:picLocks noChangeAspect="1"/>
                          </pic:cNvPicPr>
                        </pic:nvPicPr>
                        <pic:blipFill>
                          <a:blip r:embed="rId39"/>
                          <a:stretch>
                            <a:fillRect/>
                          </a:stretch>
                        </pic:blipFill>
                        <pic:spPr>
                          <a:xfrm>
                            <a:off x="0" y="0"/>
                            <a:ext cx="228600" cy="228600"/>
                          </a:xfrm>
                          <a:prstGeom prst="rect">
                            <a:avLst/>
                          </a:prstGeom>
                          <a:noFill/>
                          <a:ln>
                            <a:noFill/>
                          </a:ln>
                        </pic:spPr>
                      </pic:pic>
                    </a:graphicData>
                  </a:graphic>
                </wp:inline>
              </w:drawing>
            </w:r>
            <w:r>
              <w:rPr>
                <w:color w:val="auto"/>
                <w:sz w:val="24"/>
              </w:rPr>
              <w:t>为T时间内第j个室内声源的工作时间。</w:t>
            </w:r>
          </w:p>
          <w:p w14:paraId="15601B7F">
            <w:pPr>
              <w:adjustRightInd w:val="0"/>
              <w:snapToGrid w:val="0"/>
              <w:spacing w:line="360" w:lineRule="auto"/>
              <w:ind w:firstLine="960" w:firstLineChars="400"/>
              <w:rPr>
                <w:color w:val="auto"/>
                <w:sz w:val="24"/>
              </w:rPr>
            </w:pPr>
            <w:r>
              <w:rPr>
                <w:color w:val="auto"/>
                <w:sz w:val="24"/>
              </w:rPr>
              <w:t xml:space="preserve">  </w:t>
            </w:r>
            <w:r>
              <w:rPr>
                <w:color w:val="auto"/>
                <w:sz w:val="24"/>
              </w:rPr>
              <w:drawing>
                <wp:inline distT="0" distB="0" distL="114300" distR="114300">
                  <wp:extent cx="228600" cy="228600"/>
                  <wp:effectExtent l="0" t="0" r="0" b="0"/>
                  <wp:docPr id="31"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13"/>
                          <pic:cNvPicPr>
                            <a:picLocks noChangeAspect="1"/>
                          </pic:cNvPicPr>
                        </pic:nvPicPr>
                        <pic:blipFill>
                          <a:blip r:embed="rId40"/>
                          <a:stretch>
                            <a:fillRect/>
                          </a:stretch>
                        </pic:blipFill>
                        <pic:spPr>
                          <a:xfrm>
                            <a:off x="0" y="0"/>
                            <a:ext cx="228600" cy="228600"/>
                          </a:xfrm>
                          <a:prstGeom prst="rect">
                            <a:avLst/>
                          </a:prstGeom>
                          <a:noFill/>
                          <a:ln>
                            <a:noFill/>
                          </a:ln>
                        </pic:spPr>
                      </pic:pic>
                    </a:graphicData>
                  </a:graphic>
                </wp:inline>
              </w:drawing>
            </w:r>
            <w:r>
              <w:rPr>
                <w:color w:val="auto"/>
                <w:sz w:val="24"/>
              </w:rPr>
              <w:t>和</w:t>
            </w:r>
            <w:r>
              <w:rPr>
                <w:color w:val="auto"/>
                <w:sz w:val="24"/>
              </w:rPr>
              <w:drawing>
                <wp:inline distT="0" distB="0" distL="114300" distR="114300">
                  <wp:extent cx="152400" cy="228600"/>
                  <wp:effectExtent l="0" t="0" r="0" b="0"/>
                  <wp:docPr id="32"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14"/>
                          <pic:cNvPicPr>
                            <a:picLocks noChangeAspect="1"/>
                          </pic:cNvPicPr>
                        </pic:nvPicPr>
                        <pic:blipFill>
                          <a:blip r:embed="rId41"/>
                          <a:stretch>
                            <a:fillRect/>
                          </a:stretch>
                        </pic:blipFill>
                        <pic:spPr>
                          <a:xfrm>
                            <a:off x="0" y="0"/>
                            <a:ext cx="152400" cy="228600"/>
                          </a:xfrm>
                          <a:prstGeom prst="rect">
                            <a:avLst/>
                          </a:prstGeom>
                          <a:noFill/>
                          <a:ln>
                            <a:noFill/>
                          </a:ln>
                        </pic:spPr>
                      </pic:pic>
                    </a:graphicData>
                  </a:graphic>
                </wp:inline>
              </w:drawing>
            </w:r>
            <w:r>
              <w:rPr>
                <w:color w:val="auto"/>
                <w:sz w:val="24"/>
              </w:rPr>
              <w:t>均按T时间内实际工作时间计算。</w:t>
            </w:r>
          </w:p>
          <w:p w14:paraId="7549CE7B">
            <w:pPr>
              <w:adjustRightInd w:val="0"/>
              <w:snapToGrid w:val="0"/>
              <w:spacing w:line="360" w:lineRule="auto"/>
              <w:ind w:firstLine="480" w:firstLineChars="200"/>
              <w:rPr>
                <w:color w:val="auto"/>
                <w:sz w:val="24"/>
              </w:rPr>
            </w:pPr>
            <w:r>
              <w:rPr>
                <w:color w:val="auto"/>
                <w:sz w:val="24"/>
              </w:rPr>
              <w:t>由于距离和其它因素的作用，一般来说噪声强度随传播距离的增大而衰减，计算公式为：</w:t>
            </w:r>
          </w:p>
          <w:p w14:paraId="4F3EE645">
            <w:pPr>
              <w:adjustRightInd w:val="0"/>
              <w:snapToGrid w:val="0"/>
              <w:jc w:val="center"/>
              <w:rPr>
                <w:i/>
                <w:color w:val="auto"/>
                <w:sz w:val="24"/>
              </w:rPr>
            </w:pPr>
            <w:r>
              <w:rPr>
                <w:i/>
                <w:color w:val="auto"/>
                <w:sz w:val="24"/>
              </w:rPr>
              <w:t>L</w:t>
            </w:r>
            <w:r>
              <w:rPr>
                <w:i/>
                <w:color w:val="auto"/>
                <w:sz w:val="24"/>
                <w:vertAlign w:val="subscript"/>
              </w:rPr>
              <w:t>p</w:t>
            </w:r>
            <w:r>
              <w:rPr>
                <w:i/>
                <w:color w:val="auto"/>
                <w:sz w:val="24"/>
              </w:rPr>
              <w:t>=L</w:t>
            </w:r>
            <w:r>
              <w:rPr>
                <w:i/>
                <w:color w:val="auto"/>
                <w:sz w:val="24"/>
                <w:vertAlign w:val="subscript"/>
              </w:rPr>
              <w:t>w</w:t>
            </w:r>
            <w:r>
              <w:rPr>
                <w:i/>
                <w:color w:val="auto"/>
                <w:sz w:val="24"/>
              </w:rPr>
              <w:t>-</w:t>
            </w:r>
            <w:r>
              <w:rPr>
                <w:color w:val="auto"/>
                <w:sz w:val="24"/>
              </w:rPr>
              <w:t>20</w:t>
            </w:r>
            <w:r>
              <w:rPr>
                <w:i/>
                <w:color w:val="auto"/>
                <w:sz w:val="24"/>
              </w:rPr>
              <w:t>lgr-K</w:t>
            </w:r>
          </w:p>
          <w:p w14:paraId="11916E43">
            <w:pPr>
              <w:adjustRightInd w:val="0"/>
              <w:snapToGrid w:val="0"/>
              <w:spacing w:before="120" w:beforeLines="50" w:line="360" w:lineRule="auto"/>
              <w:ind w:firstLine="480" w:firstLineChars="200"/>
              <w:rPr>
                <w:color w:val="auto"/>
                <w:sz w:val="24"/>
              </w:rPr>
            </w:pPr>
            <w:r>
              <w:rPr>
                <w:color w:val="auto"/>
                <w:sz w:val="24"/>
              </w:rPr>
              <w:t>式中：</w:t>
            </w:r>
            <w:r>
              <w:rPr>
                <w:i/>
                <w:color w:val="auto"/>
                <w:sz w:val="24"/>
              </w:rPr>
              <w:t>L</w:t>
            </w:r>
            <w:r>
              <w:rPr>
                <w:i/>
                <w:color w:val="auto"/>
                <w:sz w:val="24"/>
                <w:vertAlign w:val="subscript"/>
              </w:rPr>
              <w:t>p</w:t>
            </w:r>
            <w:r>
              <w:rPr>
                <w:color w:val="auto"/>
                <w:sz w:val="24"/>
              </w:rPr>
              <w:t>——距声源r（m）处的A声级，dB（A）；</w:t>
            </w:r>
          </w:p>
          <w:p w14:paraId="71DD2427">
            <w:pPr>
              <w:adjustRightInd w:val="0"/>
              <w:snapToGrid w:val="0"/>
              <w:spacing w:line="360" w:lineRule="auto"/>
              <w:ind w:firstLine="1200" w:firstLineChars="500"/>
              <w:rPr>
                <w:color w:val="auto"/>
                <w:sz w:val="24"/>
              </w:rPr>
            </w:pPr>
            <w:r>
              <w:rPr>
                <w:i/>
                <w:color w:val="auto"/>
                <w:sz w:val="24"/>
              </w:rPr>
              <w:t>L</w:t>
            </w:r>
            <w:r>
              <w:rPr>
                <w:i/>
                <w:color w:val="auto"/>
                <w:sz w:val="24"/>
                <w:vertAlign w:val="subscript"/>
              </w:rPr>
              <w:t>w</w:t>
            </w:r>
            <w:r>
              <w:rPr>
                <w:color w:val="auto"/>
                <w:sz w:val="24"/>
              </w:rPr>
              <w:t>——噪声源1m处的A声级，dB（A）；</w:t>
            </w:r>
          </w:p>
          <w:p w14:paraId="6F63D355">
            <w:pPr>
              <w:adjustRightInd w:val="0"/>
              <w:snapToGrid w:val="0"/>
              <w:spacing w:line="360" w:lineRule="auto"/>
              <w:ind w:firstLine="1200" w:firstLineChars="500"/>
              <w:rPr>
                <w:color w:val="auto"/>
                <w:sz w:val="24"/>
              </w:rPr>
            </w:pPr>
            <w:r>
              <w:rPr>
                <w:i/>
                <w:color w:val="auto"/>
                <w:sz w:val="24"/>
              </w:rPr>
              <w:t>r</w:t>
            </w:r>
            <w:r>
              <w:rPr>
                <w:color w:val="auto"/>
                <w:sz w:val="24"/>
              </w:rPr>
              <w:t>——距声源的距离，m；</w:t>
            </w:r>
          </w:p>
          <w:p w14:paraId="1D507E5F">
            <w:pPr>
              <w:adjustRightInd w:val="0"/>
              <w:snapToGrid w:val="0"/>
              <w:spacing w:line="360" w:lineRule="auto"/>
              <w:ind w:firstLine="480" w:firstLineChars="200"/>
              <w:rPr>
                <w:color w:val="auto"/>
                <w:sz w:val="24"/>
              </w:rPr>
            </w:pPr>
            <w:r>
              <w:rPr>
                <w:i/>
                <w:color w:val="auto"/>
                <w:sz w:val="24"/>
              </w:rPr>
              <w:t xml:space="preserve">      K</w:t>
            </w:r>
            <w:r>
              <w:rPr>
                <w:color w:val="auto"/>
                <w:sz w:val="24"/>
              </w:rPr>
              <w:t>——半自由空间常数，取值8。</w:t>
            </w:r>
          </w:p>
          <w:p w14:paraId="314CE9BC">
            <w:pPr>
              <w:widowControl/>
              <w:adjustRightInd w:val="0"/>
              <w:snapToGrid w:val="0"/>
              <w:spacing w:line="360" w:lineRule="auto"/>
              <w:textAlignment w:val="center"/>
              <w:rPr>
                <w:b/>
                <w:bCs/>
                <w:color w:val="auto"/>
                <w:sz w:val="24"/>
              </w:rPr>
            </w:pPr>
            <w:r>
              <w:rPr>
                <w:b/>
                <w:bCs/>
                <w:color w:val="auto"/>
                <w:sz w:val="24"/>
              </w:rPr>
              <w:t>3.3 噪声影响预测</w:t>
            </w:r>
            <w:r>
              <w:rPr>
                <w:rFonts w:hint="eastAsia"/>
                <w:b/>
                <w:bCs/>
                <w:color w:val="auto"/>
                <w:sz w:val="24"/>
              </w:rPr>
              <w:t>结果</w:t>
            </w:r>
          </w:p>
          <w:p w14:paraId="04BAA613">
            <w:pPr>
              <w:adjustRightInd w:val="0"/>
              <w:snapToGrid w:val="0"/>
              <w:spacing w:line="360" w:lineRule="auto"/>
              <w:ind w:firstLine="480" w:firstLineChars="200"/>
              <w:rPr>
                <w:color w:val="auto"/>
                <w:sz w:val="24"/>
              </w:rPr>
            </w:pPr>
            <w:r>
              <w:rPr>
                <w:rFonts w:hint="eastAsia"/>
                <w:color w:val="auto"/>
                <w:sz w:val="24"/>
                <w:lang w:val="en-US" w:eastAsia="zh-CN"/>
              </w:rPr>
              <w:t>项目实验室运行时间为8h运行，夜间不生产，</w:t>
            </w:r>
            <w:r>
              <w:rPr>
                <w:rFonts w:hint="eastAsia"/>
                <w:color w:val="auto"/>
                <w:sz w:val="24"/>
              </w:rPr>
              <w:t>根据项目设备的布置，利用上述噪声预测公式，预测点的昼间噪声的预测结果见表4-</w:t>
            </w:r>
            <w:r>
              <w:rPr>
                <w:rFonts w:hint="eastAsia"/>
                <w:color w:val="auto"/>
                <w:sz w:val="24"/>
                <w:lang w:val="en-US" w:eastAsia="zh-CN"/>
              </w:rPr>
              <w:t>10</w:t>
            </w:r>
            <w:r>
              <w:rPr>
                <w:rFonts w:hint="eastAsia"/>
                <w:color w:val="auto"/>
                <w:sz w:val="24"/>
              </w:rPr>
              <w:t>。</w:t>
            </w:r>
          </w:p>
          <w:p w14:paraId="74E3AD68">
            <w:pPr>
              <w:autoSpaceDE w:val="0"/>
              <w:autoSpaceDN w:val="0"/>
              <w:adjustRightInd w:val="0"/>
              <w:snapToGrid w:val="0"/>
              <w:jc w:val="center"/>
              <w:rPr>
                <w:b/>
                <w:color w:val="auto"/>
                <w:szCs w:val="21"/>
              </w:rPr>
            </w:pPr>
            <w:r>
              <w:rPr>
                <w:b/>
                <w:color w:val="auto"/>
                <w:szCs w:val="21"/>
              </w:rPr>
              <w:t>表4</w:t>
            </w:r>
            <w:r>
              <w:rPr>
                <w:rFonts w:hint="eastAsia"/>
                <w:b/>
                <w:color w:val="auto"/>
                <w:szCs w:val="21"/>
              </w:rPr>
              <w:t>-</w:t>
            </w:r>
            <w:r>
              <w:rPr>
                <w:rFonts w:hint="eastAsia"/>
                <w:b/>
                <w:color w:val="auto"/>
                <w:szCs w:val="21"/>
                <w:lang w:val="en-US" w:eastAsia="zh-CN"/>
              </w:rPr>
              <w:t>10</w:t>
            </w:r>
            <w:r>
              <w:rPr>
                <w:b/>
                <w:color w:val="auto"/>
                <w:szCs w:val="21"/>
              </w:rPr>
              <w:t xml:space="preserve">   噪声影响预测结果表</w:t>
            </w:r>
            <w:r>
              <w:rPr>
                <w:rFonts w:hint="eastAsia"/>
                <w:b/>
                <w:color w:val="auto"/>
                <w:szCs w:val="21"/>
              </w:rPr>
              <w:t xml:space="preserve"> </w:t>
            </w:r>
            <w:r>
              <w:rPr>
                <w:b/>
                <w:color w:val="auto"/>
                <w:szCs w:val="21"/>
              </w:rPr>
              <w:t xml:space="preserve"> 单位：dB(A)</w:t>
            </w:r>
          </w:p>
          <w:tbl>
            <w:tblPr>
              <w:tblStyle w:val="28"/>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83"/>
              <w:gridCol w:w="1884"/>
              <w:gridCol w:w="1470"/>
              <w:gridCol w:w="1395"/>
              <w:gridCol w:w="1103"/>
              <w:gridCol w:w="1338"/>
            </w:tblGrid>
            <w:tr w14:paraId="3B2E39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5" w:type="pct"/>
                  <w:noWrap w:val="0"/>
                  <w:vAlign w:val="center"/>
                </w:tcPr>
                <w:p w14:paraId="67A6D4C9">
                  <w:pPr>
                    <w:jc w:val="center"/>
                    <w:rPr>
                      <w:rFonts w:ascii="Calibri" w:hAnsi="Calibri" w:cs="Calibri"/>
                      <w:color w:val="auto"/>
                      <w:szCs w:val="21"/>
                    </w:rPr>
                  </w:pPr>
                  <w:r>
                    <w:rPr>
                      <w:rFonts w:hint="eastAsia" w:ascii="Calibri" w:hAnsi="Calibri" w:cs="Calibri"/>
                      <w:color w:val="auto"/>
                      <w:szCs w:val="21"/>
                    </w:rPr>
                    <w:t>编号</w:t>
                  </w:r>
                </w:p>
              </w:tc>
              <w:tc>
                <w:tcPr>
                  <w:tcW w:w="1086" w:type="pct"/>
                  <w:noWrap w:val="0"/>
                  <w:vAlign w:val="center"/>
                </w:tcPr>
                <w:p w14:paraId="321D0EAE">
                  <w:pPr>
                    <w:jc w:val="center"/>
                    <w:rPr>
                      <w:rFonts w:ascii="Calibri" w:hAnsi="Calibri" w:cs="Calibri"/>
                      <w:color w:val="auto"/>
                      <w:szCs w:val="21"/>
                    </w:rPr>
                  </w:pPr>
                  <w:r>
                    <w:rPr>
                      <w:rFonts w:hint="eastAsia" w:ascii="Calibri" w:hAnsi="Calibri" w:cs="Calibri"/>
                      <w:color w:val="auto"/>
                      <w:szCs w:val="21"/>
                    </w:rPr>
                    <w:t>预测点位置</w:t>
                  </w:r>
                </w:p>
              </w:tc>
              <w:tc>
                <w:tcPr>
                  <w:tcW w:w="847" w:type="pct"/>
                  <w:noWrap w:val="0"/>
                  <w:vAlign w:val="center"/>
                </w:tcPr>
                <w:p w14:paraId="4C80D230">
                  <w:pPr>
                    <w:jc w:val="center"/>
                    <w:rPr>
                      <w:rFonts w:ascii="Calibri" w:hAnsi="Calibri" w:cs="Calibri"/>
                      <w:color w:val="auto"/>
                      <w:szCs w:val="21"/>
                    </w:rPr>
                  </w:pPr>
                  <w:r>
                    <w:rPr>
                      <w:rFonts w:hint="eastAsia" w:ascii="Calibri" w:hAnsi="Calibri" w:cs="Calibri"/>
                      <w:color w:val="auto"/>
                      <w:szCs w:val="21"/>
                    </w:rPr>
                    <w:t>预测时段</w:t>
                  </w:r>
                </w:p>
              </w:tc>
              <w:tc>
                <w:tcPr>
                  <w:tcW w:w="804" w:type="pct"/>
                  <w:noWrap w:val="0"/>
                  <w:vAlign w:val="center"/>
                </w:tcPr>
                <w:p w14:paraId="3608A702">
                  <w:pPr>
                    <w:jc w:val="center"/>
                    <w:rPr>
                      <w:rFonts w:ascii="Calibri" w:hAnsi="Calibri" w:cs="Calibri"/>
                      <w:color w:val="auto"/>
                      <w:szCs w:val="21"/>
                    </w:rPr>
                  </w:pPr>
                  <w:r>
                    <w:rPr>
                      <w:rFonts w:hint="eastAsia" w:ascii="Calibri" w:hAnsi="Calibri" w:cs="Calibri"/>
                      <w:color w:val="auto"/>
                      <w:szCs w:val="21"/>
                    </w:rPr>
                    <w:t>噪声贡献值</w:t>
                  </w:r>
                </w:p>
              </w:tc>
              <w:tc>
                <w:tcPr>
                  <w:tcW w:w="636" w:type="pct"/>
                  <w:noWrap w:val="0"/>
                  <w:vAlign w:val="center"/>
                </w:tcPr>
                <w:p w14:paraId="215E35CB">
                  <w:pPr>
                    <w:jc w:val="center"/>
                    <w:rPr>
                      <w:rFonts w:hint="eastAsia" w:ascii="Calibri" w:hAnsi="Calibri" w:cs="Calibri"/>
                      <w:color w:val="auto"/>
                      <w:szCs w:val="21"/>
                    </w:rPr>
                  </w:pPr>
                  <w:r>
                    <w:rPr>
                      <w:rFonts w:hint="eastAsia" w:ascii="Calibri" w:hAnsi="Calibri" w:cs="Calibri"/>
                      <w:color w:val="auto"/>
                      <w:szCs w:val="21"/>
                    </w:rPr>
                    <w:t>标准值</w:t>
                  </w:r>
                </w:p>
              </w:tc>
              <w:tc>
                <w:tcPr>
                  <w:tcW w:w="771" w:type="pct"/>
                  <w:noWrap w:val="0"/>
                  <w:vAlign w:val="center"/>
                </w:tcPr>
                <w:p w14:paraId="27BF908C">
                  <w:pPr>
                    <w:jc w:val="center"/>
                    <w:rPr>
                      <w:rFonts w:hint="eastAsia" w:ascii="Calibri" w:hAnsi="Calibri" w:cs="Calibri"/>
                      <w:color w:val="auto"/>
                      <w:szCs w:val="21"/>
                    </w:rPr>
                  </w:pPr>
                  <w:r>
                    <w:rPr>
                      <w:rFonts w:hint="eastAsia" w:ascii="Calibri" w:hAnsi="Calibri" w:cs="Calibri"/>
                      <w:color w:val="auto"/>
                      <w:szCs w:val="21"/>
                    </w:rPr>
                    <w:t>是否达标</w:t>
                  </w:r>
                </w:p>
              </w:tc>
            </w:tr>
            <w:tr w14:paraId="216544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5" w:type="pct"/>
                  <w:noWrap w:val="0"/>
                  <w:vAlign w:val="center"/>
                </w:tcPr>
                <w:p w14:paraId="43C8EBAA">
                  <w:pPr>
                    <w:jc w:val="center"/>
                    <w:rPr>
                      <w:color w:val="auto"/>
                      <w:szCs w:val="21"/>
                    </w:rPr>
                  </w:pPr>
                  <w:r>
                    <w:rPr>
                      <w:color w:val="auto"/>
                      <w:szCs w:val="21"/>
                    </w:rPr>
                    <w:t>1#</w:t>
                  </w:r>
                </w:p>
              </w:tc>
              <w:tc>
                <w:tcPr>
                  <w:tcW w:w="1086" w:type="pct"/>
                  <w:noWrap w:val="0"/>
                  <w:vAlign w:val="center"/>
                </w:tcPr>
                <w:p w14:paraId="32B96C74">
                  <w:pPr>
                    <w:jc w:val="center"/>
                    <w:rPr>
                      <w:rFonts w:hint="eastAsia"/>
                      <w:color w:val="auto"/>
                      <w:szCs w:val="21"/>
                    </w:rPr>
                  </w:pPr>
                  <w:r>
                    <w:rPr>
                      <w:color w:val="auto"/>
                      <w:szCs w:val="21"/>
                    </w:rPr>
                    <w:t>厂界</w:t>
                  </w:r>
                  <w:r>
                    <w:rPr>
                      <w:rFonts w:hint="eastAsia"/>
                      <w:color w:val="auto"/>
                      <w:szCs w:val="21"/>
                    </w:rPr>
                    <w:t>东</w:t>
                  </w:r>
                </w:p>
              </w:tc>
              <w:tc>
                <w:tcPr>
                  <w:tcW w:w="847" w:type="pct"/>
                  <w:noWrap w:val="0"/>
                  <w:vAlign w:val="center"/>
                </w:tcPr>
                <w:p w14:paraId="5FA0BA73">
                  <w:pPr>
                    <w:jc w:val="center"/>
                    <w:rPr>
                      <w:color w:val="auto"/>
                      <w:szCs w:val="21"/>
                    </w:rPr>
                  </w:pPr>
                  <w:r>
                    <w:rPr>
                      <w:color w:val="auto"/>
                      <w:szCs w:val="21"/>
                    </w:rPr>
                    <w:t>昼间</w:t>
                  </w:r>
                </w:p>
              </w:tc>
              <w:tc>
                <w:tcPr>
                  <w:tcW w:w="804" w:type="pct"/>
                  <w:noWrap w:val="0"/>
                  <w:vAlign w:val="center"/>
                </w:tcPr>
                <w:p w14:paraId="77CF709F">
                  <w:pPr>
                    <w:jc w:val="center"/>
                    <w:rPr>
                      <w:rFonts w:hint="default" w:eastAsia="宋体"/>
                      <w:color w:val="auto"/>
                      <w:szCs w:val="21"/>
                      <w:lang w:val="en-US" w:eastAsia="zh-CN"/>
                    </w:rPr>
                  </w:pPr>
                  <w:r>
                    <w:rPr>
                      <w:rFonts w:hint="eastAsia"/>
                      <w:color w:val="auto"/>
                      <w:szCs w:val="21"/>
                      <w:lang w:val="en-US" w:eastAsia="zh-CN"/>
                    </w:rPr>
                    <w:t>48</w:t>
                  </w:r>
                </w:p>
              </w:tc>
              <w:tc>
                <w:tcPr>
                  <w:tcW w:w="636" w:type="pct"/>
                  <w:vMerge w:val="restart"/>
                  <w:noWrap w:val="0"/>
                  <w:vAlign w:val="center"/>
                </w:tcPr>
                <w:p w14:paraId="4B9F1DA5">
                  <w:pPr>
                    <w:jc w:val="center"/>
                    <w:rPr>
                      <w:rFonts w:hint="eastAsia"/>
                      <w:color w:val="auto"/>
                    </w:rPr>
                  </w:pPr>
                  <w:r>
                    <w:rPr>
                      <w:rFonts w:hint="eastAsia"/>
                      <w:color w:val="auto"/>
                      <w:szCs w:val="21"/>
                    </w:rPr>
                    <w:t>昼间：65</w:t>
                  </w:r>
                </w:p>
                <w:p w14:paraId="74C418CC">
                  <w:pPr>
                    <w:pStyle w:val="5"/>
                    <w:ind w:firstLine="0" w:firstLineChars="0"/>
                    <w:rPr>
                      <w:color w:val="auto"/>
                    </w:rPr>
                  </w:pPr>
                  <w:r>
                    <w:rPr>
                      <w:rFonts w:hint="eastAsia"/>
                      <w:color w:val="auto"/>
                      <w:szCs w:val="21"/>
                    </w:rPr>
                    <w:t>夜间：55</w:t>
                  </w:r>
                </w:p>
              </w:tc>
              <w:tc>
                <w:tcPr>
                  <w:tcW w:w="771" w:type="pct"/>
                  <w:noWrap w:val="0"/>
                  <w:vAlign w:val="center"/>
                </w:tcPr>
                <w:p w14:paraId="74583749">
                  <w:pPr>
                    <w:jc w:val="center"/>
                    <w:rPr>
                      <w:color w:val="auto"/>
                      <w:szCs w:val="21"/>
                    </w:rPr>
                  </w:pPr>
                  <w:r>
                    <w:rPr>
                      <w:color w:val="auto"/>
                      <w:szCs w:val="21"/>
                    </w:rPr>
                    <w:t>达标</w:t>
                  </w:r>
                </w:p>
              </w:tc>
            </w:tr>
            <w:tr w14:paraId="12FC3F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5" w:type="pct"/>
                  <w:noWrap w:val="0"/>
                  <w:vAlign w:val="center"/>
                </w:tcPr>
                <w:p w14:paraId="26D72829">
                  <w:pPr>
                    <w:jc w:val="center"/>
                    <w:rPr>
                      <w:color w:val="auto"/>
                      <w:szCs w:val="21"/>
                    </w:rPr>
                  </w:pPr>
                  <w:r>
                    <w:rPr>
                      <w:color w:val="auto"/>
                      <w:szCs w:val="21"/>
                    </w:rPr>
                    <w:t>2#</w:t>
                  </w:r>
                </w:p>
              </w:tc>
              <w:tc>
                <w:tcPr>
                  <w:tcW w:w="1086" w:type="pct"/>
                  <w:noWrap w:val="0"/>
                  <w:vAlign w:val="center"/>
                </w:tcPr>
                <w:p w14:paraId="0933884A">
                  <w:pPr>
                    <w:jc w:val="center"/>
                    <w:rPr>
                      <w:rFonts w:hint="eastAsia"/>
                      <w:color w:val="auto"/>
                      <w:szCs w:val="21"/>
                    </w:rPr>
                  </w:pPr>
                  <w:r>
                    <w:rPr>
                      <w:color w:val="auto"/>
                      <w:szCs w:val="21"/>
                    </w:rPr>
                    <w:t>厂界</w:t>
                  </w:r>
                  <w:r>
                    <w:rPr>
                      <w:rFonts w:hint="eastAsia"/>
                      <w:color w:val="auto"/>
                      <w:szCs w:val="21"/>
                    </w:rPr>
                    <w:t>西</w:t>
                  </w:r>
                </w:p>
              </w:tc>
              <w:tc>
                <w:tcPr>
                  <w:tcW w:w="847" w:type="pct"/>
                  <w:noWrap w:val="0"/>
                  <w:vAlign w:val="center"/>
                </w:tcPr>
                <w:p w14:paraId="23DB6A57">
                  <w:pPr>
                    <w:jc w:val="center"/>
                    <w:rPr>
                      <w:color w:val="auto"/>
                      <w:szCs w:val="21"/>
                    </w:rPr>
                  </w:pPr>
                  <w:r>
                    <w:rPr>
                      <w:color w:val="auto"/>
                      <w:szCs w:val="21"/>
                    </w:rPr>
                    <w:t>昼间</w:t>
                  </w:r>
                </w:p>
              </w:tc>
              <w:tc>
                <w:tcPr>
                  <w:tcW w:w="804" w:type="pct"/>
                  <w:noWrap w:val="0"/>
                  <w:vAlign w:val="center"/>
                </w:tcPr>
                <w:p w14:paraId="17A0EBDF">
                  <w:pPr>
                    <w:jc w:val="center"/>
                    <w:rPr>
                      <w:color w:val="auto"/>
                      <w:szCs w:val="21"/>
                    </w:rPr>
                  </w:pPr>
                  <w:r>
                    <w:rPr>
                      <w:rFonts w:hint="eastAsia"/>
                      <w:color w:val="auto"/>
                      <w:szCs w:val="21"/>
                      <w:lang w:val="en-US" w:eastAsia="zh-CN"/>
                    </w:rPr>
                    <w:t>48</w:t>
                  </w:r>
                </w:p>
              </w:tc>
              <w:tc>
                <w:tcPr>
                  <w:tcW w:w="636" w:type="pct"/>
                  <w:vMerge w:val="continue"/>
                  <w:noWrap w:val="0"/>
                  <w:vAlign w:val="center"/>
                </w:tcPr>
                <w:p w14:paraId="4D260F57">
                  <w:pPr>
                    <w:jc w:val="center"/>
                    <w:rPr>
                      <w:color w:val="auto"/>
                      <w:szCs w:val="21"/>
                    </w:rPr>
                  </w:pPr>
                </w:p>
              </w:tc>
              <w:tc>
                <w:tcPr>
                  <w:tcW w:w="771" w:type="pct"/>
                  <w:noWrap w:val="0"/>
                  <w:vAlign w:val="center"/>
                </w:tcPr>
                <w:p w14:paraId="01CDAD3E">
                  <w:pPr>
                    <w:jc w:val="center"/>
                    <w:rPr>
                      <w:color w:val="auto"/>
                      <w:szCs w:val="21"/>
                    </w:rPr>
                  </w:pPr>
                  <w:r>
                    <w:rPr>
                      <w:color w:val="auto"/>
                      <w:szCs w:val="21"/>
                    </w:rPr>
                    <w:t>达标</w:t>
                  </w:r>
                </w:p>
              </w:tc>
            </w:tr>
            <w:tr w14:paraId="2D1E48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5" w:type="pct"/>
                  <w:noWrap w:val="0"/>
                  <w:vAlign w:val="center"/>
                </w:tcPr>
                <w:p w14:paraId="38895977">
                  <w:pPr>
                    <w:jc w:val="center"/>
                    <w:rPr>
                      <w:color w:val="auto"/>
                      <w:szCs w:val="21"/>
                    </w:rPr>
                  </w:pPr>
                  <w:r>
                    <w:rPr>
                      <w:color w:val="auto"/>
                      <w:szCs w:val="21"/>
                    </w:rPr>
                    <w:t>3#</w:t>
                  </w:r>
                </w:p>
              </w:tc>
              <w:tc>
                <w:tcPr>
                  <w:tcW w:w="1086" w:type="pct"/>
                  <w:noWrap w:val="0"/>
                  <w:vAlign w:val="center"/>
                </w:tcPr>
                <w:p w14:paraId="476E7727">
                  <w:pPr>
                    <w:jc w:val="center"/>
                    <w:rPr>
                      <w:rFonts w:hint="eastAsia"/>
                      <w:color w:val="auto"/>
                      <w:szCs w:val="21"/>
                    </w:rPr>
                  </w:pPr>
                  <w:r>
                    <w:rPr>
                      <w:color w:val="auto"/>
                      <w:szCs w:val="21"/>
                    </w:rPr>
                    <w:t>厂界</w:t>
                  </w:r>
                  <w:r>
                    <w:rPr>
                      <w:rFonts w:hint="eastAsia"/>
                      <w:color w:val="auto"/>
                      <w:szCs w:val="21"/>
                    </w:rPr>
                    <w:t>北</w:t>
                  </w:r>
                </w:p>
              </w:tc>
              <w:tc>
                <w:tcPr>
                  <w:tcW w:w="847" w:type="pct"/>
                  <w:noWrap w:val="0"/>
                  <w:vAlign w:val="center"/>
                </w:tcPr>
                <w:p w14:paraId="0B3049EA">
                  <w:pPr>
                    <w:jc w:val="center"/>
                    <w:rPr>
                      <w:color w:val="auto"/>
                      <w:szCs w:val="21"/>
                    </w:rPr>
                  </w:pPr>
                  <w:r>
                    <w:rPr>
                      <w:color w:val="auto"/>
                      <w:szCs w:val="21"/>
                    </w:rPr>
                    <w:t>昼间</w:t>
                  </w:r>
                </w:p>
              </w:tc>
              <w:tc>
                <w:tcPr>
                  <w:tcW w:w="804" w:type="pct"/>
                  <w:noWrap w:val="0"/>
                  <w:vAlign w:val="center"/>
                </w:tcPr>
                <w:p w14:paraId="01B97D61">
                  <w:pPr>
                    <w:jc w:val="center"/>
                    <w:rPr>
                      <w:color w:val="auto"/>
                      <w:szCs w:val="21"/>
                    </w:rPr>
                  </w:pPr>
                  <w:r>
                    <w:rPr>
                      <w:rFonts w:hint="eastAsia"/>
                      <w:color w:val="auto"/>
                      <w:szCs w:val="21"/>
                      <w:lang w:val="en-US" w:eastAsia="zh-CN"/>
                    </w:rPr>
                    <w:t>48</w:t>
                  </w:r>
                </w:p>
              </w:tc>
              <w:tc>
                <w:tcPr>
                  <w:tcW w:w="636" w:type="pct"/>
                  <w:vMerge w:val="continue"/>
                  <w:noWrap w:val="0"/>
                  <w:vAlign w:val="center"/>
                </w:tcPr>
                <w:p w14:paraId="6665E4AB">
                  <w:pPr>
                    <w:jc w:val="center"/>
                    <w:rPr>
                      <w:color w:val="auto"/>
                      <w:szCs w:val="21"/>
                    </w:rPr>
                  </w:pPr>
                </w:p>
              </w:tc>
              <w:tc>
                <w:tcPr>
                  <w:tcW w:w="771" w:type="pct"/>
                  <w:noWrap w:val="0"/>
                  <w:vAlign w:val="center"/>
                </w:tcPr>
                <w:p w14:paraId="2FD42671">
                  <w:pPr>
                    <w:jc w:val="center"/>
                    <w:rPr>
                      <w:color w:val="auto"/>
                      <w:szCs w:val="21"/>
                    </w:rPr>
                  </w:pPr>
                  <w:r>
                    <w:rPr>
                      <w:color w:val="auto"/>
                      <w:szCs w:val="21"/>
                    </w:rPr>
                    <w:t>达标</w:t>
                  </w:r>
                </w:p>
              </w:tc>
            </w:tr>
            <w:tr w14:paraId="6FCDCB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5" w:type="pct"/>
                  <w:noWrap w:val="0"/>
                  <w:vAlign w:val="center"/>
                </w:tcPr>
                <w:p w14:paraId="20669536">
                  <w:pPr>
                    <w:jc w:val="center"/>
                    <w:rPr>
                      <w:color w:val="auto"/>
                      <w:szCs w:val="21"/>
                    </w:rPr>
                  </w:pPr>
                  <w:r>
                    <w:rPr>
                      <w:color w:val="auto"/>
                      <w:szCs w:val="21"/>
                    </w:rPr>
                    <w:t>4#</w:t>
                  </w:r>
                </w:p>
              </w:tc>
              <w:tc>
                <w:tcPr>
                  <w:tcW w:w="1086" w:type="pct"/>
                  <w:noWrap w:val="0"/>
                  <w:vAlign w:val="center"/>
                </w:tcPr>
                <w:p w14:paraId="30FF3A3D">
                  <w:pPr>
                    <w:jc w:val="center"/>
                    <w:rPr>
                      <w:rFonts w:hint="eastAsia"/>
                      <w:color w:val="auto"/>
                      <w:szCs w:val="21"/>
                    </w:rPr>
                  </w:pPr>
                  <w:r>
                    <w:rPr>
                      <w:color w:val="auto"/>
                      <w:szCs w:val="21"/>
                    </w:rPr>
                    <w:t>厂界</w:t>
                  </w:r>
                  <w:r>
                    <w:rPr>
                      <w:rFonts w:hint="eastAsia"/>
                      <w:color w:val="auto"/>
                      <w:szCs w:val="21"/>
                    </w:rPr>
                    <w:t>南</w:t>
                  </w:r>
                </w:p>
              </w:tc>
              <w:tc>
                <w:tcPr>
                  <w:tcW w:w="847" w:type="pct"/>
                  <w:noWrap w:val="0"/>
                  <w:vAlign w:val="center"/>
                </w:tcPr>
                <w:p w14:paraId="6488AD31">
                  <w:pPr>
                    <w:jc w:val="center"/>
                    <w:rPr>
                      <w:color w:val="auto"/>
                      <w:szCs w:val="21"/>
                    </w:rPr>
                  </w:pPr>
                  <w:r>
                    <w:rPr>
                      <w:color w:val="auto"/>
                      <w:szCs w:val="21"/>
                    </w:rPr>
                    <w:t>昼间</w:t>
                  </w:r>
                </w:p>
              </w:tc>
              <w:tc>
                <w:tcPr>
                  <w:tcW w:w="804" w:type="pct"/>
                  <w:noWrap w:val="0"/>
                  <w:vAlign w:val="center"/>
                </w:tcPr>
                <w:p w14:paraId="70C6BA1C">
                  <w:pPr>
                    <w:jc w:val="center"/>
                    <w:rPr>
                      <w:color w:val="auto"/>
                      <w:szCs w:val="21"/>
                    </w:rPr>
                  </w:pPr>
                  <w:r>
                    <w:rPr>
                      <w:rFonts w:hint="eastAsia"/>
                      <w:color w:val="auto"/>
                      <w:szCs w:val="21"/>
                      <w:lang w:val="en-US" w:eastAsia="zh-CN"/>
                    </w:rPr>
                    <w:t>48</w:t>
                  </w:r>
                </w:p>
              </w:tc>
              <w:tc>
                <w:tcPr>
                  <w:tcW w:w="636" w:type="pct"/>
                  <w:vMerge w:val="continue"/>
                  <w:noWrap w:val="0"/>
                  <w:vAlign w:val="center"/>
                </w:tcPr>
                <w:p w14:paraId="0DA2ED99">
                  <w:pPr>
                    <w:jc w:val="center"/>
                    <w:rPr>
                      <w:color w:val="auto"/>
                      <w:szCs w:val="21"/>
                    </w:rPr>
                  </w:pPr>
                </w:p>
              </w:tc>
              <w:tc>
                <w:tcPr>
                  <w:tcW w:w="771" w:type="pct"/>
                  <w:noWrap w:val="0"/>
                  <w:vAlign w:val="center"/>
                </w:tcPr>
                <w:p w14:paraId="3F0E15C5">
                  <w:pPr>
                    <w:jc w:val="center"/>
                    <w:rPr>
                      <w:color w:val="auto"/>
                      <w:szCs w:val="21"/>
                    </w:rPr>
                  </w:pPr>
                  <w:r>
                    <w:rPr>
                      <w:color w:val="auto"/>
                      <w:szCs w:val="21"/>
                    </w:rPr>
                    <w:t>达标</w:t>
                  </w:r>
                </w:p>
              </w:tc>
            </w:tr>
          </w:tbl>
          <w:p w14:paraId="29D7D755">
            <w:pPr>
              <w:adjustRightInd w:val="0"/>
              <w:snapToGrid w:val="0"/>
              <w:spacing w:before="120" w:beforeLines="50" w:line="360" w:lineRule="auto"/>
              <w:ind w:firstLine="480" w:firstLineChars="200"/>
              <w:rPr>
                <w:color w:val="auto"/>
                <w:sz w:val="24"/>
              </w:rPr>
            </w:pPr>
            <w:r>
              <w:rPr>
                <w:rFonts w:hint="eastAsia"/>
                <w:color w:val="auto"/>
                <w:sz w:val="24"/>
              </w:rPr>
              <w:t>预测结果表明，项目在各厂界的最大贡献值</w:t>
            </w:r>
            <w:r>
              <w:rPr>
                <w:rFonts w:hint="eastAsia"/>
                <w:color w:val="auto"/>
                <w:sz w:val="24"/>
                <w:lang w:val="en-US" w:eastAsia="zh-CN"/>
              </w:rPr>
              <w:t>48</w:t>
            </w:r>
            <w:r>
              <w:rPr>
                <w:rFonts w:hint="eastAsia"/>
                <w:color w:val="auto"/>
                <w:sz w:val="24"/>
              </w:rPr>
              <w:t>dB(A)，满足《工业企业厂界环境噪声排放标准》（GB12348-2008）</w:t>
            </w:r>
            <w:r>
              <w:rPr>
                <w:color w:val="auto"/>
                <w:sz w:val="24"/>
              </w:rPr>
              <w:t>3</w:t>
            </w:r>
            <w:r>
              <w:rPr>
                <w:rFonts w:hint="eastAsia"/>
                <w:color w:val="auto"/>
                <w:sz w:val="24"/>
              </w:rPr>
              <w:t>类区标准的要求。</w:t>
            </w:r>
          </w:p>
          <w:p w14:paraId="5F6FAC88">
            <w:pPr>
              <w:pStyle w:val="71"/>
              <w:snapToGrid w:val="0"/>
              <w:spacing w:line="360" w:lineRule="auto"/>
              <w:rPr>
                <w:b/>
                <w:bCs/>
                <w:color w:val="auto"/>
                <w:sz w:val="24"/>
                <w:szCs w:val="24"/>
              </w:rPr>
            </w:pPr>
            <w:r>
              <w:rPr>
                <w:rFonts w:hint="eastAsia"/>
                <w:b/>
                <w:bCs/>
                <w:color w:val="auto"/>
                <w:sz w:val="24"/>
                <w:szCs w:val="24"/>
              </w:rPr>
              <w:t>3</w:t>
            </w:r>
            <w:r>
              <w:rPr>
                <w:b/>
                <w:bCs/>
                <w:color w:val="auto"/>
                <w:sz w:val="24"/>
                <w:szCs w:val="24"/>
              </w:rPr>
              <w:t>.4</w:t>
            </w:r>
            <w:r>
              <w:rPr>
                <w:rFonts w:hint="eastAsia"/>
                <w:b/>
                <w:bCs/>
                <w:color w:val="auto"/>
                <w:sz w:val="24"/>
                <w:szCs w:val="24"/>
              </w:rPr>
              <w:t>防治措施</w:t>
            </w:r>
          </w:p>
          <w:p w14:paraId="04BDED30">
            <w:pPr>
              <w:adjustRightInd w:val="0"/>
              <w:snapToGrid w:val="0"/>
              <w:spacing w:line="360" w:lineRule="auto"/>
              <w:ind w:firstLine="480" w:firstLineChars="200"/>
              <w:rPr>
                <w:rFonts w:hint="eastAsia"/>
                <w:color w:val="auto"/>
                <w:sz w:val="24"/>
              </w:rPr>
            </w:pPr>
            <w:r>
              <w:rPr>
                <w:rFonts w:hint="eastAsia"/>
                <w:color w:val="auto"/>
                <w:sz w:val="24"/>
              </w:rPr>
              <w:t>为确保项目运营期，厂界噪声达标排放，建设单位采用以下措施：</w:t>
            </w:r>
          </w:p>
          <w:p w14:paraId="06B72167">
            <w:pPr>
              <w:adjustRightInd w:val="0"/>
              <w:snapToGrid w:val="0"/>
              <w:spacing w:line="360" w:lineRule="auto"/>
              <w:ind w:firstLine="480" w:firstLineChars="200"/>
              <w:rPr>
                <w:rFonts w:hint="eastAsia"/>
                <w:color w:val="auto"/>
                <w:sz w:val="24"/>
              </w:rPr>
            </w:pPr>
            <w:r>
              <w:rPr>
                <w:rFonts w:hint="eastAsia"/>
                <w:color w:val="auto"/>
                <w:sz w:val="24"/>
              </w:rPr>
              <w:t>（1）在订购高噪声设备时，应对其噪声值有明确的要求，同时在设备安装阶段严格把关，提高安装精度；</w:t>
            </w:r>
          </w:p>
          <w:p w14:paraId="5F6544C1">
            <w:pPr>
              <w:adjustRightInd w:val="0"/>
              <w:snapToGrid w:val="0"/>
              <w:spacing w:line="360" w:lineRule="auto"/>
              <w:ind w:firstLine="480" w:firstLineChars="200"/>
              <w:rPr>
                <w:rFonts w:hint="eastAsia"/>
                <w:color w:val="auto"/>
                <w:sz w:val="24"/>
              </w:rPr>
            </w:pPr>
            <w:r>
              <w:rPr>
                <w:rFonts w:hint="eastAsia"/>
                <w:color w:val="auto"/>
                <w:sz w:val="24"/>
              </w:rPr>
              <w:t>（2）对</w:t>
            </w:r>
            <w:r>
              <w:rPr>
                <w:rFonts w:hint="eastAsia"/>
                <w:color w:val="auto"/>
                <w:sz w:val="24"/>
                <w:lang w:val="en-US" w:eastAsia="zh-CN"/>
              </w:rPr>
              <w:t>破碎</w:t>
            </w:r>
            <w:r>
              <w:rPr>
                <w:rFonts w:hint="eastAsia"/>
                <w:color w:val="auto"/>
                <w:sz w:val="24"/>
              </w:rPr>
              <w:t>机等噪声设备设置减震基座，墙体隔声，风机和空压机安装消声器，空压机设在独立密闭空间；</w:t>
            </w:r>
          </w:p>
          <w:p w14:paraId="2ED9532A">
            <w:pPr>
              <w:adjustRightInd w:val="0"/>
              <w:snapToGrid w:val="0"/>
              <w:spacing w:line="360" w:lineRule="auto"/>
              <w:ind w:firstLine="480" w:firstLineChars="200"/>
              <w:rPr>
                <w:rFonts w:hint="eastAsia"/>
                <w:color w:val="auto"/>
                <w:sz w:val="24"/>
              </w:rPr>
            </w:pPr>
            <w:r>
              <w:rPr>
                <w:rFonts w:hint="eastAsia"/>
                <w:color w:val="auto"/>
                <w:sz w:val="24"/>
              </w:rPr>
              <w:t>（3）加强设备的维护，确保设备处于良好的运转状态，杜绝因设备不正常运转产生的高噪声现象；</w:t>
            </w:r>
          </w:p>
          <w:p w14:paraId="6E84F78E">
            <w:pPr>
              <w:adjustRightInd w:val="0"/>
              <w:snapToGrid w:val="0"/>
              <w:spacing w:line="360" w:lineRule="auto"/>
              <w:ind w:firstLine="480" w:firstLineChars="200"/>
              <w:rPr>
                <w:rFonts w:hint="eastAsia"/>
                <w:color w:val="auto"/>
                <w:sz w:val="24"/>
              </w:rPr>
            </w:pPr>
            <w:r>
              <w:rPr>
                <w:rFonts w:hint="eastAsia"/>
                <w:color w:val="auto"/>
                <w:sz w:val="24"/>
              </w:rPr>
              <w:t>（4）原料装卸避免在夜间以及休息时段进行，装卸时应轻拿轻放，装卸车辆进出厂时进行禁鸣、限速等控制，优化厂区运输路线并保持道路畅通；</w:t>
            </w:r>
          </w:p>
          <w:p w14:paraId="2C3F472E">
            <w:pPr>
              <w:adjustRightInd w:val="0"/>
              <w:snapToGrid w:val="0"/>
              <w:spacing w:line="360" w:lineRule="auto"/>
              <w:ind w:firstLine="480" w:firstLineChars="200"/>
              <w:rPr>
                <w:rFonts w:hint="eastAsia"/>
                <w:color w:val="auto"/>
                <w:sz w:val="24"/>
              </w:rPr>
            </w:pPr>
            <w:r>
              <w:rPr>
                <w:rFonts w:hint="eastAsia"/>
                <w:color w:val="auto"/>
                <w:sz w:val="24"/>
              </w:rPr>
              <w:t>采取以上噪声防治措施后，项目厂界能够达标排放，不会降低该区域声环境质量，对周边环境影响较小。</w:t>
            </w:r>
          </w:p>
          <w:p w14:paraId="6E2AEAEB">
            <w:pPr>
              <w:pStyle w:val="71"/>
              <w:snapToGrid w:val="0"/>
              <w:spacing w:line="360" w:lineRule="auto"/>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rPr>
              <w:t>3.</w:t>
            </w:r>
            <w:r>
              <w:rPr>
                <w:rFonts w:hint="eastAsia" w:ascii="Times New Roman" w:hAnsi="Times New Roman" w:eastAsia="宋体" w:cs="Times New Roman"/>
                <w:b/>
                <w:bCs/>
                <w:color w:val="auto"/>
                <w:sz w:val="24"/>
                <w:szCs w:val="24"/>
                <w:lang w:val="en-US" w:eastAsia="zh-CN"/>
              </w:rPr>
              <w:t>5</w:t>
            </w:r>
            <w:r>
              <w:rPr>
                <w:rFonts w:hint="default" w:ascii="Times New Roman" w:hAnsi="Times New Roman" w:eastAsia="宋体" w:cs="Times New Roman"/>
                <w:b/>
                <w:bCs/>
                <w:color w:val="auto"/>
                <w:sz w:val="24"/>
                <w:szCs w:val="24"/>
                <w:lang w:val="en-US" w:eastAsia="zh-CN"/>
              </w:rPr>
              <w:t>运行期噪声监测要求</w:t>
            </w:r>
          </w:p>
          <w:p w14:paraId="1A30F145">
            <w:pPr>
              <w:keepNext w:val="0"/>
              <w:keepLines w:val="0"/>
              <w:suppressLineNumbers w:val="0"/>
              <w:autoSpaceDE w:val="0"/>
              <w:autoSpaceDN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b/>
                <w:color w:val="auto"/>
                <w:spacing w:val="-10"/>
                <w:sz w:val="21"/>
                <w:szCs w:val="21"/>
              </w:rPr>
            </w:pPr>
            <w:r>
              <w:rPr>
                <w:rFonts w:hint="default" w:ascii="Times New Roman" w:hAnsi="Times New Roman" w:eastAsia="宋体" w:cs="Times New Roman"/>
                <w:color w:val="auto"/>
                <w:sz w:val="24"/>
              </w:rPr>
              <w:t>本项目运营期噪声监测要求详见表4-</w:t>
            </w:r>
            <w:r>
              <w:rPr>
                <w:rFonts w:hint="eastAsia" w:ascii="Times New Roman" w:hAnsi="Times New Roman" w:eastAsia="宋体" w:cs="Times New Roman"/>
                <w:color w:val="auto"/>
                <w:sz w:val="24"/>
                <w:lang w:val="en-US" w:eastAsia="zh-CN"/>
              </w:rPr>
              <w:t>1</w:t>
            </w:r>
            <w:r>
              <w:rPr>
                <w:rFonts w:hint="eastAsia" w:cs="Times New Roman"/>
                <w:color w:val="auto"/>
                <w:sz w:val="24"/>
                <w:lang w:val="en-US" w:eastAsia="zh-CN"/>
              </w:rPr>
              <w:t>1</w:t>
            </w:r>
            <w:r>
              <w:rPr>
                <w:rFonts w:hint="default" w:ascii="Times New Roman" w:hAnsi="Times New Roman" w:eastAsia="宋体" w:cs="Times New Roman"/>
                <w:color w:val="auto"/>
                <w:sz w:val="24"/>
              </w:rPr>
              <w:t>。</w:t>
            </w:r>
          </w:p>
          <w:p w14:paraId="326CA0A2">
            <w:pPr>
              <w:keepNext w:val="0"/>
              <w:keepLines w:val="0"/>
              <w:suppressLineNumbers w:val="0"/>
              <w:tabs>
                <w:tab w:val="left" w:pos="0"/>
              </w:tabs>
              <w:spacing w:before="0" w:beforeAutospacing="0" w:after="0" w:afterAutospacing="0"/>
              <w:ind w:left="2730" w:right="0"/>
              <w:rPr>
                <w:rFonts w:hint="default" w:ascii="Times New Roman" w:hAnsi="Times New Roman" w:eastAsia="宋体" w:cs="Times New Roman"/>
                <w:b/>
                <w:color w:val="auto"/>
                <w:spacing w:val="-10"/>
                <w:sz w:val="21"/>
                <w:szCs w:val="21"/>
              </w:rPr>
            </w:pPr>
            <w:r>
              <w:rPr>
                <w:rFonts w:hint="default" w:ascii="Times New Roman" w:hAnsi="Times New Roman" w:eastAsia="宋体" w:cs="Times New Roman"/>
                <w:b/>
                <w:color w:val="auto"/>
                <w:spacing w:val="-10"/>
                <w:sz w:val="21"/>
                <w:szCs w:val="21"/>
              </w:rPr>
              <w:t>表4-</w:t>
            </w:r>
            <w:r>
              <w:rPr>
                <w:rFonts w:hint="eastAsia" w:ascii="Times New Roman" w:hAnsi="Times New Roman" w:eastAsia="宋体" w:cs="Times New Roman"/>
                <w:b/>
                <w:color w:val="auto"/>
                <w:spacing w:val="-10"/>
                <w:sz w:val="21"/>
                <w:szCs w:val="21"/>
                <w:lang w:val="en-US" w:eastAsia="zh-CN"/>
              </w:rPr>
              <w:t>1</w:t>
            </w:r>
            <w:r>
              <w:rPr>
                <w:rFonts w:hint="eastAsia" w:cs="Times New Roman"/>
                <w:b/>
                <w:color w:val="auto"/>
                <w:spacing w:val="-10"/>
                <w:sz w:val="21"/>
                <w:szCs w:val="21"/>
                <w:lang w:val="en-US" w:eastAsia="zh-CN"/>
              </w:rPr>
              <w:t>1</w:t>
            </w:r>
            <w:r>
              <w:rPr>
                <w:rFonts w:hint="default" w:ascii="Times New Roman" w:hAnsi="Times New Roman" w:eastAsia="宋体" w:cs="Times New Roman"/>
                <w:b/>
                <w:color w:val="auto"/>
                <w:spacing w:val="-10"/>
                <w:sz w:val="21"/>
                <w:szCs w:val="21"/>
              </w:rPr>
              <w:t xml:space="preserve">  运营期噪声环境监测计划表</w:t>
            </w:r>
          </w:p>
          <w:tbl>
            <w:tblPr>
              <w:tblStyle w:val="28"/>
              <w:tblW w:w="860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105"/>
              <w:gridCol w:w="1198"/>
              <w:gridCol w:w="1479"/>
              <w:gridCol w:w="1387"/>
              <w:gridCol w:w="3433"/>
            </w:tblGrid>
            <w:tr w14:paraId="01353A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25" w:hRule="atLeast"/>
                <w:jc w:val="center"/>
              </w:trPr>
              <w:tc>
                <w:tcPr>
                  <w:tcW w:w="642" w:type="pct"/>
                  <w:noWrap w:val="0"/>
                  <w:vAlign w:val="center"/>
                </w:tcPr>
                <w:p w14:paraId="5BFD85ED">
                  <w:pPr>
                    <w:pStyle w:val="98"/>
                    <w:keepNext w:val="0"/>
                    <w:keepLines w:val="0"/>
                    <w:widowControl/>
                    <w:suppressLineNumbers w:val="0"/>
                    <w:spacing w:before="0" w:beforeAutospacing="0" w:after="0" w:afterAutospacing="0" w:line="300" w:lineRule="exact"/>
                    <w:ind w:left="0" w:right="0"/>
                    <w:rPr>
                      <w:rFonts w:hint="default" w:ascii="Times New Roman" w:hAnsi="Times New Roman" w:eastAsia="宋体" w:cs="Times New Roman"/>
                      <w:b w:val="0"/>
                      <w:bCs w:val="0"/>
                      <w:color w:val="auto"/>
                    </w:rPr>
                  </w:pPr>
                  <w:r>
                    <w:rPr>
                      <w:rFonts w:hint="default" w:ascii="Times New Roman" w:hAnsi="Times New Roman" w:eastAsia="宋体" w:cs="Times New Roman"/>
                      <w:b w:val="0"/>
                      <w:bCs w:val="0"/>
                      <w:color w:val="auto"/>
                    </w:rPr>
                    <w:t>类别</w:t>
                  </w:r>
                </w:p>
              </w:tc>
              <w:tc>
                <w:tcPr>
                  <w:tcW w:w="696" w:type="pct"/>
                  <w:noWrap w:val="0"/>
                  <w:vAlign w:val="center"/>
                </w:tcPr>
                <w:p w14:paraId="41B1407F">
                  <w:pPr>
                    <w:pStyle w:val="98"/>
                    <w:keepNext w:val="0"/>
                    <w:keepLines w:val="0"/>
                    <w:widowControl/>
                    <w:suppressLineNumbers w:val="0"/>
                    <w:spacing w:before="0" w:beforeAutospacing="0" w:after="0" w:afterAutospacing="0" w:line="300" w:lineRule="exact"/>
                    <w:ind w:left="0" w:right="0"/>
                    <w:rPr>
                      <w:rFonts w:hint="default" w:ascii="Times New Roman" w:hAnsi="Times New Roman" w:eastAsia="宋体" w:cs="Times New Roman"/>
                      <w:b w:val="0"/>
                      <w:bCs w:val="0"/>
                      <w:color w:val="auto"/>
                    </w:rPr>
                  </w:pPr>
                  <w:r>
                    <w:rPr>
                      <w:rFonts w:hint="default" w:ascii="Times New Roman" w:hAnsi="Times New Roman" w:eastAsia="宋体" w:cs="Times New Roman"/>
                      <w:b w:val="0"/>
                      <w:bCs w:val="0"/>
                      <w:color w:val="auto"/>
                    </w:rPr>
                    <w:t>监测因子</w:t>
                  </w:r>
                </w:p>
              </w:tc>
              <w:tc>
                <w:tcPr>
                  <w:tcW w:w="859" w:type="pct"/>
                  <w:noWrap w:val="0"/>
                  <w:vAlign w:val="center"/>
                </w:tcPr>
                <w:p w14:paraId="46971DF2">
                  <w:pPr>
                    <w:pStyle w:val="98"/>
                    <w:keepNext w:val="0"/>
                    <w:keepLines w:val="0"/>
                    <w:widowControl/>
                    <w:suppressLineNumbers w:val="0"/>
                    <w:spacing w:before="0" w:beforeAutospacing="0" w:after="0" w:afterAutospacing="0" w:line="300" w:lineRule="exact"/>
                    <w:ind w:left="0" w:right="0"/>
                    <w:rPr>
                      <w:rFonts w:hint="default" w:ascii="Times New Roman" w:hAnsi="Times New Roman" w:eastAsia="宋体" w:cs="Times New Roman"/>
                      <w:b w:val="0"/>
                      <w:bCs w:val="0"/>
                      <w:color w:val="auto"/>
                    </w:rPr>
                  </w:pPr>
                  <w:r>
                    <w:rPr>
                      <w:rFonts w:hint="default" w:ascii="Times New Roman" w:hAnsi="Times New Roman" w:eastAsia="宋体" w:cs="Times New Roman"/>
                      <w:b w:val="0"/>
                      <w:bCs w:val="0"/>
                      <w:color w:val="auto"/>
                    </w:rPr>
                    <w:t>监测点位</w:t>
                  </w:r>
                </w:p>
              </w:tc>
              <w:tc>
                <w:tcPr>
                  <w:tcW w:w="806" w:type="pct"/>
                  <w:noWrap w:val="0"/>
                  <w:vAlign w:val="center"/>
                </w:tcPr>
                <w:p w14:paraId="333AB5D3">
                  <w:pPr>
                    <w:pStyle w:val="98"/>
                    <w:keepNext w:val="0"/>
                    <w:keepLines w:val="0"/>
                    <w:widowControl/>
                    <w:suppressLineNumbers w:val="0"/>
                    <w:spacing w:before="0" w:beforeAutospacing="0" w:after="0" w:afterAutospacing="0" w:line="300" w:lineRule="exact"/>
                    <w:ind w:left="0" w:right="0"/>
                    <w:rPr>
                      <w:rFonts w:hint="default" w:ascii="Times New Roman" w:hAnsi="Times New Roman" w:eastAsia="宋体" w:cs="Times New Roman"/>
                      <w:b w:val="0"/>
                      <w:bCs w:val="0"/>
                      <w:color w:val="auto"/>
                    </w:rPr>
                  </w:pPr>
                  <w:r>
                    <w:rPr>
                      <w:rFonts w:hint="default" w:ascii="Times New Roman" w:hAnsi="Times New Roman" w:eastAsia="宋体" w:cs="Times New Roman"/>
                      <w:b w:val="0"/>
                      <w:bCs w:val="0"/>
                      <w:color w:val="auto"/>
                    </w:rPr>
                    <w:t>监测频次</w:t>
                  </w:r>
                </w:p>
              </w:tc>
              <w:tc>
                <w:tcPr>
                  <w:tcW w:w="1994" w:type="pct"/>
                  <w:noWrap w:val="0"/>
                  <w:vAlign w:val="center"/>
                </w:tcPr>
                <w:p w14:paraId="7DEE97FE">
                  <w:pPr>
                    <w:pStyle w:val="98"/>
                    <w:keepNext w:val="0"/>
                    <w:keepLines w:val="0"/>
                    <w:widowControl/>
                    <w:suppressLineNumbers w:val="0"/>
                    <w:spacing w:before="0" w:beforeAutospacing="0" w:after="0" w:afterAutospacing="0" w:line="300" w:lineRule="exact"/>
                    <w:ind w:left="0" w:right="0"/>
                    <w:rPr>
                      <w:rFonts w:hint="default" w:ascii="Times New Roman" w:hAnsi="Times New Roman" w:eastAsia="宋体" w:cs="Times New Roman"/>
                      <w:b w:val="0"/>
                      <w:bCs w:val="0"/>
                      <w:color w:val="auto"/>
                    </w:rPr>
                  </w:pPr>
                  <w:r>
                    <w:rPr>
                      <w:rFonts w:hint="default" w:ascii="Times New Roman" w:hAnsi="Times New Roman" w:eastAsia="宋体" w:cs="Times New Roman"/>
                      <w:b w:val="0"/>
                      <w:bCs w:val="0"/>
                      <w:color w:val="auto"/>
                    </w:rPr>
                    <w:t>控制指标</w:t>
                  </w:r>
                </w:p>
              </w:tc>
            </w:tr>
            <w:tr w14:paraId="503D9F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50" w:hRule="atLeast"/>
                <w:jc w:val="center"/>
              </w:trPr>
              <w:tc>
                <w:tcPr>
                  <w:tcW w:w="642" w:type="pct"/>
                  <w:noWrap w:val="0"/>
                  <w:vAlign w:val="center"/>
                </w:tcPr>
                <w:p w14:paraId="75DE4B60">
                  <w:pPr>
                    <w:pStyle w:val="98"/>
                    <w:keepNext w:val="0"/>
                    <w:keepLines w:val="0"/>
                    <w:widowControl/>
                    <w:suppressLineNumbers w:val="0"/>
                    <w:spacing w:before="0" w:beforeAutospacing="0" w:after="0" w:afterAutospacing="0" w:line="300" w:lineRule="exact"/>
                    <w:ind w:left="0" w:right="0"/>
                    <w:rPr>
                      <w:rFonts w:hint="default" w:ascii="Times New Roman" w:hAnsi="Times New Roman" w:eastAsia="宋体" w:cs="Times New Roman"/>
                      <w:color w:val="auto"/>
                    </w:rPr>
                  </w:pPr>
                  <w:r>
                    <w:rPr>
                      <w:rFonts w:hint="default" w:ascii="Times New Roman" w:hAnsi="Times New Roman" w:eastAsia="宋体" w:cs="Times New Roman"/>
                      <w:color w:val="auto"/>
                    </w:rPr>
                    <w:t>噪声</w:t>
                  </w:r>
                </w:p>
              </w:tc>
              <w:tc>
                <w:tcPr>
                  <w:tcW w:w="696" w:type="pct"/>
                  <w:noWrap w:val="0"/>
                  <w:vAlign w:val="center"/>
                </w:tcPr>
                <w:p w14:paraId="47CDBFCE">
                  <w:pPr>
                    <w:pStyle w:val="98"/>
                    <w:keepNext w:val="0"/>
                    <w:keepLines w:val="0"/>
                    <w:widowControl/>
                    <w:suppressLineNumbers w:val="0"/>
                    <w:spacing w:before="0" w:beforeAutospacing="0" w:after="0" w:afterAutospacing="0" w:line="300" w:lineRule="exact"/>
                    <w:ind w:left="0" w:right="0"/>
                    <w:rPr>
                      <w:rFonts w:hint="default" w:ascii="Times New Roman" w:hAnsi="Times New Roman" w:eastAsia="宋体" w:cs="Times New Roman"/>
                      <w:color w:val="auto"/>
                    </w:rPr>
                  </w:pPr>
                  <w:r>
                    <w:rPr>
                      <w:rFonts w:hint="default" w:ascii="Times New Roman" w:hAnsi="Times New Roman" w:eastAsia="宋体" w:cs="Times New Roman"/>
                      <w:color w:val="auto"/>
                    </w:rPr>
                    <w:t>Leq(A)</w:t>
                  </w:r>
                </w:p>
              </w:tc>
              <w:tc>
                <w:tcPr>
                  <w:tcW w:w="859" w:type="pct"/>
                  <w:noWrap w:val="0"/>
                  <w:vAlign w:val="center"/>
                </w:tcPr>
                <w:p w14:paraId="72587B08">
                  <w:pPr>
                    <w:pStyle w:val="98"/>
                    <w:keepNext w:val="0"/>
                    <w:keepLines w:val="0"/>
                    <w:widowControl/>
                    <w:suppressLineNumbers w:val="0"/>
                    <w:spacing w:before="0" w:beforeAutospacing="0" w:after="0" w:afterAutospacing="0" w:line="300" w:lineRule="exact"/>
                    <w:ind w:left="0" w:right="0"/>
                    <w:rPr>
                      <w:rFonts w:hint="default" w:ascii="Times New Roman" w:hAnsi="Times New Roman" w:eastAsia="宋体" w:cs="Times New Roman"/>
                      <w:color w:val="auto"/>
                    </w:rPr>
                  </w:pPr>
                  <w:r>
                    <w:rPr>
                      <w:rFonts w:hint="default" w:ascii="Times New Roman" w:hAnsi="Times New Roman" w:eastAsia="宋体" w:cs="Times New Roman"/>
                      <w:color w:val="auto"/>
                    </w:rPr>
                    <w:t>厂界四周外1m</w:t>
                  </w:r>
                </w:p>
              </w:tc>
              <w:tc>
                <w:tcPr>
                  <w:tcW w:w="806" w:type="pct"/>
                  <w:noWrap w:val="0"/>
                  <w:vAlign w:val="center"/>
                </w:tcPr>
                <w:p w14:paraId="4CB544BA">
                  <w:pPr>
                    <w:pStyle w:val="98"/>
                    <w:keepNext w:val="0"/>
                    <w:keepLines w:val="0"/>
                    <w:widowControl/>
                    <w:suppressLineNumbers w:val="0"/>
                    <w:spacing w:before="0" w:beforeAutospacing="0" w:after="0" w:afterAutospacing="0" w:line="300" w:lineRule="exact"/>
                    <w:ind w:left="0" w:right="0"/>
                    <w:rPr>
                      <w:rFonts w:hint="default" w:ascii="Times New Roman" w:hAnsi="Times New Roman" w:eastAsia="宋体" w:cs="Times New Roman"/>
                      <w:color w:val="auto"/>
                    </w:rPr>
                  </w:pPr>
                  <w:r>
                    <w:rPr>
                      <w:rFonts w:hint="default" w:ascii="Times New Roman" w:hAnsi="Times New Roman" w:eastAsia="宋体" w:cs="Times New Roman"/>
                      <w:color w:val="auto"/>
                    </w:rPr>
                    <w:t>每季度1次</w:t>
                  </w:r>
                </w:p>
              </w:tc>
              <w:tc>
                <w:tcPr>
                  <w:tcW w:w="1994" w:type="pct"/>
                  <w:noWrap w:val="0"/>
                  <w:vAlign w:val="center"/>
                </w:tcPr>
                <w:p w14:paraId="424F3798">
                  <w:pPr>
                    <w:pStyle w:val="98"/>
                    <w:keepNext w:val="0"/>
                    <w:keepLines w:val="0"/>
                    <w:widowControl/>
                    <w:suppressLineNumbers w:val="0"/>
                    <w:spacing w:before="0" w:beforeAutospacing="0" w:after="0" w:afterAutospacing="0" w:line="300" w:lineRule="exact"/>
                    <w:ind w:left="0" w:right="0"/>
                    <w:rPr>
                      <w:rFonts w:hint="default" w:ascii="Times New Roman" w:hAnsi="Times New Roman" w:eastAsia="宋体" w:cs="Times New Roman"/>
                      <w:color w:val="auto"/>
                    </w:rPr>
                  </w:pPr>
                  <w:r>
                    <w:rPr>
                      <w:rFonts w:hint="default" w:ascii="Times New Roman" w:hAnsi="Times New Roman" w:eastAsia="宋体" w:cs="Times New Roman"/>
                      <w:color w:val="auto"/>
                    </w:rPr>
                    <w:t>《工业企业厂界环境噪声排放标准》（GB12348-2008）</w:t>
                  </w:r>
                  <w:r>
                    <w:rPr>
                      <w:rFonts w:hint="default" w:ascii="Times New Roman" w:hAnsi="Times New Roman" w:eastAsia="宋体" w:cs="Times New Roman"/>
                      <w:color w:val="auto"/>
                      <w:lang w:val="en-US" w:eastAsia="zh-CN"/>
                    </w:rPr>
                    <w:t>3</w:t>
                  </w:r>
                  <w:r>
                    <w:rPr>
                      <w:rFonts w:hint="default" w:ascii="Times New Roman" w:hAnsi="Times New Roman" w:eastAsia="宋体" w:cs="Times New Roman"/>
                      <w:color w:val="auto"/>
                    </w:rPr>
                    <w:t>类</w:t>
                  </w:r>
                </w:p>
              </w:tc>
            </w:tr>
          </w:tbl>
          <w:p w14:paraId="53518348">
            <w:pPr>
              <w:pStyle w:val="71"/>
              <w:snapToGrid w:val="0"/>
              <w:spacing w:line="360" w:lineRule="auto"/>
              <w:rPr>
                <w:b/>
                <w:bCs/>
                <w:color w:val="auto"/>
                <w:sz w:val="24"/>
                <w:szCs w:val="24"/>
              </w:rPr>
            </w:pPr>
            <w:r>
              <w:rPr>
                <w:b/>
                <w:bCs/>
                <w:color w:val="auto"/>
                <w:sz w:val="24"/>
                <w:szCs w:val="24"/>
              </w:rPr>
              <w:t>4</w:t>
            </w:r>
            <w:r>
              <w:rPr>
                <w:rFonts w:hint="eastAsia"/>
                <w:b/>
                <w:bCs/>
                <w:color w:val="auto"/>
                <w:sz w:val="24"/>
                <w:szCs w:val="24"/>
              </w:rPr>
              <w:t xml:space="preserve"> 固体废物环境影响分析</w:t>
            </w:r>
          </w:p>
          <w:p w14:paraId="7A1629C6">
            <w:pPr>
              <w:pStyle w:val="71"/>
              <w:snapToGrid w:val="0"/>
              <w:spacing w:line="360" w:lineRule="auto"/>
              <w:rPr>
                <w:rFonts w:hint="eastAsia"/>
                <w:b/>
                <w:bCs/>
                <w:color w:val="auto"/>
                <w:sz w:val="24"/>
                <w:szCs w:val="24"/>
              </w:rPr>
            </w:pPr>
            <w:r>
              <w:rPr>
                <w:rFonts w:hint="eastAsia"/>
                <w:b/>
                <w:bCs/>
                <w:color w:val="auto"/>
                <w:sz w:val="24"/>
                <w:szCs w:val="24"/>
              </w:rPr>
              <w:t>4</w:t>
            </w:r>
            <w:r>
              <w:rPr>
                <w:b/>
                <w:bCs/>
                <w:color w:val="auto"/>
                <w:sz w:val="24"/>
                <w:szCs w:val="24"/>
              </w:rPr>
              <w:t>.1</w:t>
            </w:r>
            <w:r>
              <w:rPr>
                <w:rFonts w:hint="eastAsia"/>
                <w:b/>
                <w:bCs/>
                <w:color w:val="auto"/>
                <w:sz w:val="24"/>
                <w:szCs w:val="24"/>
              </w:rPr>
              <w:t>源强分析</w:t>
            </w:r>
          </w:p>
          <w:p w14:paraId="4F6298F4">
            <w:pPr>
              <w:adjustRightInd w:val="0"/>
              <w:snapToGrid w:val="0"/>
              <w:spacing w:line="360" w:lineRule="auto"/>
              <w:ind w:firstLine="480" w:firstLineChars="200"/>
              <w:rPr>
                <w:rFonts w:hint="eastAsia"/>
                <w:color w:val="auto"/>
                <w:sz w:val="24"/>
              </w:rPr>
            </w:pPr>
            <w:r>
              <w:rPr>
                <w:rFonts w:hint="eastAsia"/>
                <w:color w:val="auto"/>
                <w:sz w:val="24"/>
              </w:rPr>
              <w:t>本项目运营期固体废物主要为一般固废、危险废物和生活垃圾。</w:t>
            </w:r>
          </w:p>
          <w:p w14:paraId="2F810EC6">
            <w:pPr>
              <w:adjustRightInd w:val="0"/>
              <w:snapToGrid w:val="0"/>
              <w:spacing w:line="360" w:lineRule="auto"/>
              <w:ind w:firstLine="480" w:firstLineChars="200"/>
              <w:rPr>
                <w:rFonts w:hint="eastAsia"/>
                <w:color w:val="auto"/>
                <w:sz w:val="24"/>
                <w:lang w:val="en-US" w:eastAsia="zh-CN"/>
              </w:rPr>
            </w:pPr>
            <w:r>
              <w:rPr>
                <w:rFonts w:hint="eastAsia"/>
                <w:color w:val="auto"/>
                <w:sz w:val="24"/>
                <w:lang w:val="en-US" w:eastAsia="zh-CN"/>
              </w:rPr>
              <w:t>1、生活垃圾</w:t>
            </w:r>
          </w:p>
          <w:p w14:paraId="3A8CCB93">
            <w:pPr>
              <w:adjustRightInd w:val="0"/>
              <w:snapToGrid w:val="0"/>
              <w:spacing w:line="360" w:lineRule="auto"/>
              <w:ind w:firstLine="480" w:firstLineChars="200"/>
              <w:rPr>
                <w:rFonts w:hint="default"/>
                <w:color w:val="auto"/>
                <w:lang w:val="en-US" w:eastAsia="zh-CN"/>
              </w:rPr>
            </w:pPr>
            <w:r>
              <w:rPr>
                <w:rFonts w:hint="eastAsia"/>
                <w:bCs/>
                <w:color w:val="auto"/>
                <w:sz w:val="24"/>
              </w:rPr>
              <w:t>生活垃圾每人产生量为0.5kg/d，本项目劳动定员</w:t>
            </w:r>
            <w:r>
              <w:rPr>
                <w:bCs/>
                <w:color w:val="auto"/>
                <w:sz w:val="24"/>
              </w:rPr>
              <w:t>1</w:t>
            </w:r>
            <w:r>
              <w:rPr>
                <w:rFonts w:hint="eastAsia"/>
                <w:bCs/>
                <w:color w:val="auto"/>
                <w:sz w:val="24"/>
                <w:lang w:val="en-US" w:eastAsia="zh-CN"/>
              </w:rPr>
              <w:t>2</w:t>
            </w:r>
            <w:r>
              <w:rPr>
                <w:rFonts w:hint="eastAsia"/>
                <w:bCs/>
                <w:color w:val="auto"/>
                <w:sz w:val="24"/>
              </w:rPr>
              <w:t>人，全年工作300天，则本项目生活垃圾产生量为1</w:t>
            </w:r>
            <w:r>
              <w:rPr>
                <w:rFonts w:hint="eastAsia"/>
                <w:bCs/>
                <w:color w:val="auto"/>
                <w:sz w:val="24"/>
                <w:lang w:val="en-US" w:eastAsia="zh-CN"/>
              </w:rPr>
              <w:t>.8</w:t>
            </w:r>
            <w:r>
              <w:rPr>
                <w:rFonts w:hint="eastAsia"/>
                <w:bCs/>
                <w:color w:val="auto"/>
                <w:sz w:val="24"/>
              </w:rPr>
              <w:t>t</w:t>
            </w:r>
            <w:r>
              <w:rPr>
                <w:bCs/>
                <w:color w:val="auto"/>
                <w:sz w:val="24"/>
              </w:rPr>
              <w:t>/a</w:t>
            </w:r>
            <w:r>
              <w:rPr>
                <w:rFonts w:hint="eastAsia"/>
                <w:bCs/>
                <w:color w:val="auto"/>
                <w:sz w:val="24"/>
              </w:rPr>
              <w:t>。</w:t>
            </w:r>
            <w:r>
              <w:rPr>
                <w:rFonts w:hint="eastAsia"/>
                <w:bCs/>
                <w:color w:val="auto"/>
                <w:sz w:val="24"/>
                <w:lang w:val="en-US" w:eastAsia="zh-CN"/>
              </w:rPr>
              <w:t>办公室</w:t>
            </w:r>
            <w:r>
              <w:rPr>
                <w:rFonts w:hint="eastAsia"/>
                <w:bCs/>
                <w:color w:val="auto"/>
                <w:sz w:val="24"/>
              </w:rPr>
              <w:t>内设置垃圾桶，生活垃圾集中收集后，由当地环卫部门定期清运。</w:t>
            </w:r>
          </w:p>
          <w:p w14:paraId="598B5050">
            <w:pPr>
              <w:adjustRightInd w:val="0"/>
              <w:snapToGrid w:val="0"/>
              <w:spacing w:line="360" w:lineRule="auto"/>
              <w:ind w:firstLine="480" w:firstLineChars="200"/>
              <w:rPr>
                <w:rFonts w:hint="default" w:eastAsia="宋体"/>
                <w:color w:val="auto"/>
                <w:sz w:val="24"/>
                <w:lang w:val="en-US" w:eastAsia="zh-CN"/>
              </w:rPr>
            </w:pPr>
            <w:r>
              <w:rPr>
                <w:rFonts w:hint="eastAsia"/>
                <w:color w:val="auto"/>
                <w:sz w:val="24"/>
                <w:lang w:val="en-US" w:eastAsia="zh-CN"/>
              </w:rPr>
              <w:t>2、一般固废</w:t>
            </w:r>
          </w:p>
          <w:p w14:paraId="7CA09CD9">
            <w:pPr>
              <w:adjustRightInd w:val="0"/>
              <w:snapToGrid w:val="0"/>
              <w:spacing w:line="360" w:lineRule="auto"/>
              <w:ind w:firstLine="480" w:firstLineChars="200"/>
              <w:rPr>
                <w:rFonts w:hint="eastAsia"/>
                <w:color w:val="auto"/>
                <w:sz w:val="24"/>
              </w:rPr>
            </w:pPr>
            <w:r>
              <w:rPr>
                <w:rFonts w:hint="eastAsia"/>
                <w:color w:val="auto"/>
                <w:sz w:val="24"/>
              </w:rPr>
              <w:t>（1）</w:t>
            </w:r>
            <w:r>
              <w:rPr>
                <w:rFonts w:hint="eastAsia"/>
                <w:color w:val="auto"/>
                <w:sz w:val="24"/>
                <w:lang w:val="en-US" w:eastAsia="zh-CN"/>
              </w:rPr>
              <w:t>样品边角料</w:t>
            </w:r>
          </w:p>
          <w:p w14:paraId="1D26C101">
            <w:pPr>
              <w:adjustRightInd w:val="0"/>
              <w:snapToGrid w:val="0"/>
              <w:spacing w:line="360" w:lineRule="auto"/>
              <w:ind w:firstLine="480" w:firstLineChars="200"/>
              <w:rPr>
                <w:rFonts w:hint="eastAsia" w:eastAsia="宋体"/>
                <w:color w:val="auto"/>
                <w:sz w:val="24"/>
                <w:lang w:eastAsia="zh-CN"/>
              </w:rPr>
            </w:pPr>
            <w:r>
              <w:rPr>
                <w:rFonts w:hint="eastAsia"/>
                <w:color w:val="auto"/>
                <w:sz w:val="24"/>
              </w:rPr>
              <w:t>本项目样品前处理过程会产生样品边角料，样品边角料为样品直接通过</w:t>
            </w:r>
            <w:r>
              <w:rPr>
                <w:rFonts w:hint="eastAsia"/>
                <w:color w:val="auto"/>
                <w:sz w:val="24"/>
                <w:lang w:val="en-US" w:eastAsia="zh-CN"/>
              </w:rPr>
              <w:t>破碎</w:t>
            </w:r>
            <w:r>
              <w:rPr>
                <w:rFonts w:hint="eastAsia"/>
                <w:color w:val="auto"/>
                <w:sz w:val="24"/>
              </w:rPr>
              <w:t>、</w:t>
            </w:r>
            <w:r>
              <w:rPr>
                <w:rFonts w:hint="eastAsia"/>
                <w:color w:val="auto"/>
                <w:sz w:val="24"/>
                <w:lang w:val="en-US" w:eastAsia="zh-CN"/>
              </w:rPr>
              <w:t>研磨</w:t>
            </w:r>
            <w:r>
              <w:rPr>
                <w:rFonts w:hint="eastAsia"/>
                <w:color w:val="auto"/>
                <w:sz w:val="24"/>
              </w:rPr>
              <w:t>等处理措施的</w:t>
            </w:r>
            <w:r>
              <w:rPr>
                <w:rFonts w:hint="eastAsia"/>
                <w:color w:val="auto"/>
                <w:sz w:val="24"/>
                <w:lang w:val="en-US" w:eastAsia="zh-CN"/>
              </w:rPr>
              <w:t>加工</w:t>
            </w:r>
            <w:r>
              <w:rPr>
                <w:rFonts w:hint="eastAsia"/>
                <w:color w:val="auto"/>
                <w:sz w:val="24"/>
              </w:rPr>
              <w:t>处理，样品边角料</w:t>
            </w:r>
            <w:r>
              <w:rPr>
                <w:rFonts w:hint="eastAsia"/>
                <w:color w:val="auto"/>
                <w:sz w:val="24"/>
                <w:lang w:eastAsia="zh-CN"/>
              </w:rPr>
              <w:t>（</w:t>
            </w:r>
            <w:r>
              <w:rPr>
                <w:rFonts w:hint="eastAsia"/>
                <w:color w:val="auto"/>
                <w:sz w:val="24"/>
              </w:rPr>
              <w:t>固态</w:t>
            </w:r>
            <w:r>
              <w:rPr>
                <w:rFonts w:hint="eastAsia"/>
                <w:color w:val="auto"/>
                <w:sz w:val="24"/>
                <w:lang w:eastAsia="zh-CN"/>
              </w:rPr>
              <w:t>）</w:t>
            </w:r>
            <w:r>
              <w:rPr>
                <w:rFonts w:hint="eastAsia"/>
                <w:color w:val="auto"/>
                <w:sz w:val="24"/>
              </w:rPr>
              <w:t>损失约0.3t/a。</w:t>
            </w:r>
            <w:r>
              <w:rPr>
                <w:rFonts w:hint="eastAsia"/>
                <w:color w:val="auto"/>
                <w:sz w:val="24"/>
                <w:szCs w:val="24"/>
                <w:lang w:val="en-US" w:eastAsia="zh-CN"/>
              </w:rPr>
              <w:t>外售建材公司</w:t>
            </w:r>
            <w:r>
              <w:rPr>
                <w:rFonts w:hint="eastAsia"/>
                <w:color w:val="auto"/>
                <w:sz w:val="24"/>
                <w:szCs w:val="24"/>
              </w:rPr>
              <w:t>回收利用</w:t>
            </w:r>
            <w:r>
              <w:rPr>
                <w:rFonts w:hint="eastAsia"/>
                <w:color w:val="auto"/>
                <w:sz w:val="24"/>
                <w:szCs w:val="24"/>
                <w:lang w:eastAsia="zh-CN"/>
              </w:rPr>
              <w:t>。</w:t>
            </w:r>
          </w:p>
          <w:p w14:paraId="34035618">
            <w:pPr>
              <w:pStyle w:val="10"/>
              <w:snapToGrid w:val="0"/>
              <w:spacing w:line="360" w:lineRule="auto"/>
              <w:ind w:firstLine="480" w:firstLineChars="200"/>
              <w:jc w:val="both"/>
              <w:rPr>
                <w:color w:val="auto"/>
                <w:szCs w:val="24"/>
              </w:rPr>
            </w:pPr>
            <w:r>
              <w:rPr>
                <w:rFonts w:hint="eastAsia" w:ascii="Times New Roman" w:hAnsi="Times New Roman" w:cs="Times New Roman"/>
                <w:color w:val="auto"/>
                <w:highlight w:val="none"/>
                <w:lang w:val="en-US" w:eastAsia="zh-CN"/>
              </w:rPr>
              <w:t>对照《固体废物分类与代码目录》，</w:t>
            </w:r>
            <w:r>
              <w:rPr>
                <w:rFonts w:hint="eastAsia"/>
                <w:color w:val="auto"/>
                <w:sz w:val="24"/>
                <w:lang w:val="en-US" w:eastAsia="zh-CN"/>
              </w:rPr>
              <w:t>样品边角料</w:t>
            </w:r>
            <w:r>
              <w:rPr>
                <w:rFonts w:hint="eastAsia" w:ascii="Times New Roman" w:hAnsi="Times New Roman" w:cs="Times New Roman"/>
                <w:color w:val="auto"/>
                <w:highlight w:val="none"/>
                <w:lang w:val="en-US" w:eastAsia="zh-CN"/>
              </w:rPr>
              <w:t>属于SW17可再生类废物，900-010-S17废</w:t>
            </w:r>
            <w:r>
              <w:rPr>
                <w:rFonts w:hint="eastAsia" w:cs="Times New Roman"/>
                <w:color w:val="auto"/>
                <w:highlight w:val="none"/>
                <w:lang w:val="en-US" w:eastAsia="zh-CN"/>
              </w:rPr>
              <w:t>石材</w:t>
            </w:r>
            <w:r>
              <w:rPr>
                <w:rFonts w:hint="eastAsia" w:ascii="Times New Roman" w:hAnsi="Times New Roman" w:cs="Times New Roman"/>
                <w:color w:val="auto"/>
                <w:highlight w:val="none"/>
                <w:lang w:val="en-US" w:eastAsia="zh-CN"/>
              </w:rPr>
              <w:t>。工业生产活动中产生的废石材类边角料、残次品等废物。</w:t>
            </w:r>
          </w:p>
          <w:p w14:paraId="153EBC58">
            <w:pPr>
              <w:adjustRightInd w:val="0"/>
              <w:snapToGrid w:val="0"/>
              <w:spacing w:line="360" w:lineRule="auto"/>
              <w:ind w:firstLine="480" w:firstLineChars="200"/>
              <w:rPr>
                <w:rFonts w:hint="default" w:eastAsia="宋体"/>
                <w:color w:val="auto"/>
                <w:sz w:val="24"/>
                <w:lang w:val="en-US" w:eastAsia="zh-CN"/>
              </w:rPr>
            </w:pPr>
            <w:r>
              <w:rPr>
                <w:rFonts w:hint="eastAsia"/>
                <w:color w:val="auto"/>
                <w:sz w:val="24"/>
              </w:rPr>
              <w:t>（2）</w:t>
            </w:r>
            <w:r>
              <w:rPr>
                <w:rFonts w:hint="eastAsia"/>
                <w:color w:val="auto"/>
                <w:sz w:val="24"/>
                <w:lang w:val="en-US" w:eastAsia="zh-CN"/>
              </w:rPr>
              <w:t>布袋除尘器收尘灰</w:t>
            </w:r>
          </w:p>
          <w:p w14:paraId="3AAEA42E">
            <w:pPr>
              <w:pStyle w:val="71"/>
              <w:snapToGrid w:val="0"/>
              <w:spacing w:line="360" w:lineRule="auto"/>
              <w:ind w:firstLine="480"/>
              <w:rPr>
                <w:rFonts w:hint="eastAsia"/>
                <w:color w:val="auto"/>
                <w:sz w:val="24"/>
                <w:szCs w:val="24"/>
              </w:rPr>
            </w:pPr>
            <w:r>
              <w:rPr>
                <w:rFonts w:hint="eastAsia"/>
                <w:color w:val="auto"/>
                <w:sz w:val="24"/>
                <w:szCs w:val="24"/>
                <w:lang w:val="en-US" w:eastAsia="zh-CN"/>
              </w:rPr>
              <w:t>根据前文计算，除尘工作台中除尘系统收集处理粉尘约0.154t/a，外售建材公司</w:t>
            </w:r>
            <w:r>
              <w:rPr>
                <w:rFonts w:hint="eastAsia"/>
                <w:color w:val="auto"/>
                <w:sz w:val="24"/>
                <w:szCs w:val="24"/>
              </w:rPr>
              <w:t>回收利用。</w:t>
            </w:r>
            <w:r>
              <w:rPr>
                <w:rFonts w:hint="eastAsia"/>
                <w:color w:val="auto"/>
                <w:sz w:val="24"/>
                <w:szCs w:val="24"/>
                <w:lang w:val="en-US" w:eastAsia="zh-CN"/>
              </w:rPr>
              <w:t>对照《固体废物分类与代码目录》，除尘灰属于SW59其他工业固体废物，900-099-S59其他工业生产过程中产生的固体废物。</w:t>
            </w:r>
          </w:p>
          <w:p w14:paraId="10E4F04C">
            <w:pPr>
              <w:adjustRightInd w:val="0"/>
              <w:snapToGrid w:val="0"/>
              <w:spacing w:line="360" w:lineRule="auto"/>
              <w:ind w:firstLine="480" w:firstLineChars="200"/>
              <w:rPr>
                <w:rFonts w:hint="eastAsia"/>
                <w:color w:val="auto"/>
                <w:sz w:val="24"/>
              </w:rPr>
            </w:pPr>
            <w:r>
              <w:rPr>
                <w:rFonts w:hint="eastAsia"/>
                <w:color w:val="auto"/>
                <w:sz w:val="24"/>
              </w:rPr>
              <w:t>（3）</w:t>
            </w:r>
            <w:r>
              <w:rPr>
                <w:rFonts w:hint="eastAsia"/>
                <w:color w:val="auto"/>
                <w:sz w:val="24"/>
                <w:lang w:val="en-US" w:eastAsia="zh-CN"/>
              </w:rPr>
              <w:t>纯水制备过程产生的废离子交换树脂</w:t>
            </w:r>
          </w:p>
          <w:p w14:paraId="5F82724D">
            <w:pPr>
              <w:adjustRightInd w:val="0"/>
              <w:snapToGrid w:val="0"/>
              <w:spacing w:line="360" w:lineRule="auto"/>
              <w:ind w:firstLine="480" w:firstLineChars="200"/>
              <w:rPr>
                <w:rFonts w:hint="eastAsia"/>
                <w:color w:val="auto"/>
                <w:sz w:val="24"/>
                <w:lang w:eastAsia="zh-CN"/>
              </w:rPr>
            </w:pPr>
            <w:r>
              <w:rPr>
                <w:rFonts w:hint="eastAsia"/>
                <w:color w:val="auto"/>
                <w:sz w:val="24"/>
              </w:rPr>
              <w:t>纯水制备设备过滤树脂定期更换，每年更换一次，产生废过滤树脂属于一般固废。根据建设单位提供资料，废过滤树脂产生量约为0.005</w:t>
            </w:r>
            <w:r>
              <w:rPr>
                <w:rFonts w:hint="eastAsia"/>
                <w:color w:val="auto"/>
                <w:sz w:val="24"/>
                <w:lang w:val="en-US" w:eastAsia="zh-CN"/>
              </w:rPr>
              <w:t>t</w:t>
            </w:r>
            <w:r>
              <w:rPr>
                <w:rFonts w:hint="eastAsia"/>
                <w:color w:val="auto"/>
                <w:sz w:val="24"/>
              </w:rPr>
              <w:t>/a</w:t>
            </w:r>
            <w:r>
              <w:rPr>
                <w:rFonts w:hint="eastAsia"/>
                <w:color w:val="auto"/>
                <w:sz w:val="24"/>
                <w:lang w:eastAsia="zh-CN"/>
              </w:rPr>
              <w:t>，</w:t>
            </w:r>
            <w:r>
              <w:rPr>
                <w:rFonts w:hint="eastAsia"/>
                <w:color w:val="auto"/>
                <w:sz w:val="24"/>
              </w:rPr>
              <w:t>在</w:t>
            </w:r>
            <w:r>
              <w:rPr>
                <w:rFonts w:hint="eastAsia"/>
                <w:color w:val="auto"/>
                <w:sz w:val="24"/>
                <w:lang w:val="en-US" w:eastAsia="zh-CN"/>
              </w:rPr>
              <w:t>生产厂家更换时</w:t>
            </w:r>
            <w:r>
              <w:rPr>
                <w:rFonts w:hint="eastAsia"/>
                <w:color w:val="auto"/>
                <w:sz w:val="24"/>
              </w:rPr>
              <w:t>，由厂家回收处理</w:t>
            </w:r>
            <w:r>
              <w:rPr>
                <w:rFonts w:hint="eastAsia"/>
                <w:color w:val="auto"/>
                <w:sz w:val="24"/>
                <w:lang w:eastAsia="zh-CN"/>
              </w:rPr>
              <w:t>。</w:t>
            </w:r>
            <w:r>
              <w:rPr>
                <w:rFonts w:hint="eastAsia"/>
                <w:color w:val="auto"/>
                <w:sz w:val="24"/>
                <w:szCs w:val="24"/>
                <w:lang w:val="en-US" w:eastAsia="zh-CN"/>
              </w:rPr>
              <w:t>对照《固体废物分类与代码目录》，</w:t>
            </w:r>
            <w:r>
              <w:rPr>
                <w:rFonts w:hint="eastAsia"/>
                <w:color w:val="auto"/>
                <w:sz w:val="24"/>
                <w:lang w:val="en-US" w:eastAsia="zh-CN"/>
              </w:rPr>
              <w:t>废离子交换树脂</w:t>
            </w:r>
            <w:r>
              <w:rPr>
                <w:rFonts w:hint="eastAsia"/>
                <w:color w:val="auto"/>
                <w:sz w:val="24"/>
                <w:szCs w:val="24"/>
                <w:lang w:val="en-US" w:eastAsia="zh-CN"/>
              </w:rPr>
              <w:t>属于SW59其他工业固体废物，900-008-S59废吸附剂。</w:t>
            </w:r>
          </w:p>
          <w:p w14:paraId="0C552AB7">
            <w:pPr>
              <w:adjustRightInd w:val="0"/>
              <w:snapToGrid w:val="0"/>
              <w:spacing w:line="360" w:lineRule="auto"/>
              <w:ind w:firstLine="480" w:firstLineChars="200"/>
              <w:rPr>
                <w:rFonts w:hint="default"/>
                <w:color w:val="auto"/>
                <w:sz w:val="24"/>
                <w:lang w:val="en-US" w:eastAsia="zh-CN"/>
              </w:rPr>
            </w:pPr>
            <w:r>
              <w:rPr>
                <w:rFonts w:hint="eastAsia"/>
                <w:color w:val="auto"/>
                <w:sz w:val="24"/>
                <w:lang w:val="en-US" w:eastAsia="zh-CN"/>
              </w:rPr>
              <w:t>（4）废实验室用品</w:t>
            </w:r>
          </w:p>
          <w:p w14:paraId="08B24B1F">
            <w:pPr>
              <w:adjustRightInd w:val="0"/>
              <w:snapToGrid w:val="0"/>
              <w:spacing w:line="360" w:lineRule="auto"/>
              <w:ind w:firstLine="480" w:firstLineChars="200"/>
              <w:rPr>
                <w:rFonts w:hint="eastAsia"/>
                <w:color w:val="auto"/>
                <w:sz w:val="24"/>
                <w:lang w:val="en-US" w:eastAsia="zh-CN"/>
              </w:rPr>
            </w:pPr>
            <w:r>
              <w:rPr>
                <w:rFonts w:hint="eastAsia"/>
                <w:color w:val="auto"/>
                <w:sz w:val="24"/>
                <w:lang w:val="en-US" w:eastAsia="zh-CN"/>
              </w:rPr>
              <w:t>按实验室管理要求进行清洗后的废弃的烧杯、量器、漏斗等实验室用品，以及未沾染具有危险特性残留的一次性实验用品等，产生量约为0.01t/a，外售废品回收公司综合利用。</w:t>
            </w:r>
            <w:r>
              <w:rPr>
                <w:rFonts w:hint="eastAsia"/>
                <w:color w:val="auto"/>
                <w:sz w:val="24"/>
                <w:szCs w:val="24"/>
                <w:lang w:val="en-US" w:eastAsia="zh-CN"/>
              </w:rPr>
              <w:t>对照《固体废物分类与代码目录》，</w:t>
            </w:r>
            <w:r>
              <w:rPr>
                <w:rFonts w:hint="eastAsia"/>
                <w:color w:val="auto"/>
                <w:sz w:val="24"/>
                <w:lang w:val="en-US" w:eastAsia="zh-CN"/>
              </w:rPr>
              <w:t>废实验室用品</w:t>
            </w:r>
            <w:r>
              <w:rPr>
                <w:rFonts w:hint="eastAsia"/>
                <w:color w:val="auto"/>
                <w:sz w:val="24"/>
                <w:szCs w:val="24"/>
                <w:lang w:val="en-US" w:eastAsia="zh-CN"/>
              </w:rPr>
              <w:t>属于SW92实验室固体废物，900-001-S92实验室固体废物。实验室在教学、研究等过程产生的，一次性实验用品、废弃包装物和容器、报废仪器设备、破碎仪器等固体废物。</w:t>
            </w:r>
          </w:p>
          <w:p w14:paraId="78613C1A">
            <w:pPr>
              <w:adjustRightInd w:val="0"/>
              <w:snapToGrid w:val="0"/>
              <w:spacing w:line="360" w:lineRule="auto"/>
              <w:ind w:firstLine="480" w:firstLineChars="200"/>
              <w:rPr>
                <w:rFonts w:hint="default" w:eastAsia="宋体"/>
                <w:color w:val="auto"/>
                <w:sz w:val="24"/>
                <w:lang w:val="en-US" w:eastAsia="zh-CN"/>
              </w:rPr>
            </w:pPr>
            <w:r>
              <w:rPr>
                <w:rFonts w:hint="eastAsia"/>
                <w:color w:val="auto"/>
                <w:sz w:val="24"/>
                <w:lang w:val="en-US" w:eastAsia="zh-CN"/>
              </w:rPr>
              <w:t>3、危险废物</w:t>
            </w:r>
          </w:p>
          <w:p w14:paraId="657656A2">
            <w:pPr>
              <w:adjustRightInd w:val="0"/>
              <w:snapToGrid w:val="0"/>
              <w:spacing w:line="360" w:lineRule="auto"/>
              <w:ind w:firstLine="480" w:firstLineChars="200"/>
              <w:rPr>
                <w:rFonts w:hint="default" w:eastAsia="宋体"/>
                <w:color w:val="auto"/>
                <w:sz w:val="24"/>
                <w:lang w:val="en-US" w:eastAsia="zh-CN"/>
              </w:rPr>
            </w:pPr>
            <w:r>
              <w:rPr>
                <w:rFonts w:hint="eastAsia"/>
                <w:color w:val="auto"/>
                <w:sz w:val="24"/>
              </w:rPr>
              <w:t>（</w:t>
            </w:r>
            <w:r>
              <w:rPr>
                <w:rFonts w:hint="eastAsia"/>
                <w:color w:val="auto"/>
                <w:sz w:val="24"/>
                <w:lang w:val="en-US" w:eastAsia="zh-CN"/>
              </w:rPr>
              <w:t>1</w:t>
            </w:r>
            <w:r>
              <w:rPr>
                <w:rFonts w:hint="eastAsia"/>
                <w:color w:val="auto"/>
                <w:sz w:val="24"/>
              </w:rPr>
              <w:t>）</w:t>
            </w:r>
            <w:r>
              <w:rPr>
                <w:rFonts w:hint="eastAsia"/>
                <w:color w:val="auto"/>
                <w:sz w:val="24"/>
                <w:lang w:val="en-US" w:eastAsia="zh-CN"/>
              </w:rPr>
              <w:t>实验废液</w:t>
            </w:r>
          </w:p>
          <w:p w14:paraId="3EE54091">
            <w:pPr>
              <w:adjustRightInd w:val="0"/>
              <w:snapToGrid w:val="0"/>
              <w:spacing w:line="360" w:lineRule="auto"/>
              <w:ind w:firstLine="480" w:firstLineChars="200"/>
              <w:rPr>
                <w:color w:val="auto"/>
                <w:sz w:val="24"/>
              </w:rPr>
            </w:pPr>
            <w:r>
              <w:rPr>
                <w:rFonts w:hint="eastAsia"/>
                <w:color w:val="auto"/>
                <w:sz w:val="24"/>
                <w:lang w:val="en-US" w:eastAsia="zh-CN"/>
              </w:rPr>
              <w:t>实验废液包括实验分析产生的废液及实验器具初次清洗产生的高浓度废液，根据水平衡计算，项目实验废液产生量约为7.95t/a</w:t>
            </w:r>
            <w:r>
              <w:rPr>
                <w:rFonts w:hint="eastAsia"/>
                <w:color w:val="auto"/>
                <w:sz w:val="24"/>
              </w:rPr>
              <w:t>。对照《国家危险废物名录（2025年版）》，</w:t>
            </w:r>
            <w:r>
              <w:rPr>
                <w:rFonts w:hint="eastAsia"/>
                <w:color w:val="auto"/>
                <w:sz w:val="24"/>
                <w:lang w:val="en-US" w:eastAsia="zh-CN"/>
              </w:rPr>
              <w:t>实验废液</w:t>
            </w:r>
            <w:r>
              <w:rPr>
                <w:rFonts w:hint="eastAsia"/>
                <w:color w:val="auto"/>
                <w:sz w:val="24"/>
              </w:rPr>
              <w:t>属于危险废物“HW</w:t>
            </w:r>
            <w:r>
              <w:rPr>
                <w:rFonts w:hint="eastAsia"/>
                <w:color w:val="auto"/>
                <w:sz w:val="24"/>
                <w:lang w:val="en-US" w:eastAsia="zh-CN"/>
              </w:rPr>
              <w:t>49</w:t>
            </w:r>
            <w:r>
              <w:rPr>
                <w:rFonts w:hint="eastAsia"/>
                <w:color w:val="auto"/>
                <w:sz w:val="24"/>
              </w:rPr>
              <w:t xml:space="preserve"> </w:t>
            </w:r>
            <w:r>
              <w:rPr>
                <w:rFonts w:hint="eastAsia"/>
                <w:color w:val="auto"/>
                <w:sz w:val="24"/>
                <w:lang w:val="en-US" w:eastAsia="zh-CN"/>
              </w:rPr>
              <w:t>其他废物</w:t>
            </w:r>
            <w:r>
              <w:rPr>
                <w:rFonts w:hint="eastAsia"/>
                <w:color w:val="auto"/>
                <w:sz w:val="24"/>
              </w:rPr>
              <w:t>”，废物代码为</w:t>
            </w:r>
            <w:r>
              <w:rPr>
                <w:rFonts w:hint="eastAsia"/>
                <w:color w:val="auto"/>
                <w:sz w:val="24"/>
                <w:lang w:val="en-US" w:eastAsia="zh-CN"/>
              </w:rPr>
              <w:t>900-047-49</w:t>
            </w:r>
            <w:r>
              <w:rPr>
                <w:rFonts w:hint="eastAsia"/>
                <w:color w:val="auto"/>
                <w:sz w:val="24"/>
              </w:rPr>
              <w:t>。</w:t>
            </w:r>
            <w:r>
              <w:rPr>
                <w:rFonts w:hint="eastAsia"/>
                <w:color w:val="auto"/>
                <w:sz w:val="24"/>
                <w:lang w:val="en-US" w:eastAsia="zh-CN"/>
              </w:rPr>
              <w:t>实验废液分类暂存于收集容器中，标明属性，暂存于危废暂存间，交由有资质单位处理。</w:t>
            </w:r>
          </w:p>
          <w:p w14:paraId="0AF61B2B">
            <w:pPr>
              <w:adjustRightInd w:val="0"/>
              <w:snapToGrid w:val="0"/>
              <w:spacing w:line="360" w:lineRule="auto"/>
              <w:ind w:firstLine="480" w:firstLineChars="200"/>
              <w:rPr>
                <w:rFonts w:hint="default"/>
                <w:color w:val="auto"/>
                <w:lang w:val="en-US" w:eastAsia="zh-CN"/>
              </w:rPr>
            </w:pPr>
            <w:r>
              <w:rPr>
                <w:rFonts w:hint="eastAsia"/>
                <w:color w:val="auto"/>
                <w:sz w:val="24"/>
                <w:lang w:eastAsia="zh-CN"/>
              </w:rPr>
              <w:t>（</w:t>
            </w:r>
            <w:r>
              <w:rPr>
                <w:rFonts w:hint="eastAsia"/>
                <w:color w:val="auto"/>
                <w:sz w:val="24"/>
                <w:lang w:val="en-US" w:eastAsia="zh-CN"/>
              </w:rPr>
              <w:t>2</w:t>
            </w:r>
            <w:r>
              <w:rPr>
                <w:rFonts w:hint="eastAsia"/>
                <w:color w:val="auto"/>
                <w:sz w:val="24"/>
                <w:lang w:eastAsia="zh-CN"/>
              </w:rPr>
              <w:t>）</w:t>
            </w:r>
            <w:r>
              <w:rPr>
                <w:rFonts w:hint="eastAsia"/>
                <w:color w:val="auto"/>
                <w:sz w:val="24"/>
                <w:lang w:val="en-US" w:eastAsia="zh-CN"/>
              </w:rPr>
              <w:t>废实验用品</w:t>
            </w:r>
          </w:p>
          <w:p w14:paraId="7D146B34">
            <w:pPr>
              <w:adjustRightInd w:val="0"/>
              <w:snapToGrid w:val="0"/>
              <w:spacing w:line="360" w:lineRule="auto"/>
              <w:ind w:firstLine="480" w:firstLineChars="200"/>
              <w:rPr>
                <w:rFonts w:hint="default" w:eastAsia="宋体"/>
                <w:color w:val="auto"/>
                <w:sz w:val="24"/>
                <w:lang w:val="en-US" w:eastAsia="zh-CN"/>
              </w:rPr>
            </w:pPr>
            <w:r>
              <w:rPr>
                <w:rFonts w:hint="eastAsia"/>
                <w:color w:val="auto"/>
                <w:sz w:val="24"/>
                <w:lang w:val="en-US" w:eastAsia="zh-CN"/>
              </w:rPr>
              <w:t>实验过程中使用的沾染酸液、有机溶剂等一次性实验用品及玻璃器皿等实验用品，产生量为0.05t/a，危废代码HW49(900-047-49)，暂存于危废暂存间，交由有资质单位处理。</w:t>
            </w:r>
          </w:p>
          <w:p w14:paraId="2B75CF01">
            <w:pPr>
              <w:adjustRightInd w:val="0"/>
              <w:snapToGrid w:val="0"/>
              <w:spacing w:line="360" w:lineRule="auto"/>
              <w:ind w:firstLine="480" w:firstLineChars="200"/>
              <w:rPr>
                <w:rFonts w:hint="default" w:eastAsia="宋体"/>
                <w:color w:val="auto"/>
                <w:sz w:val="24"/>
                <w:lang w:val="en-US" w:eastAsia="zh-CN"/>
              </w:rPr>
            </w:pPr>
            <w:r>
              <w:rPr>
                <w:rFonts w:hint="eastAsia"/>
                <w:color w:val="auto"/>
                <w:sz w:val="24"/>
              </w:rPr>
              <w:t>（</w:t>
            </w:r>
            <w:r>
              <w:rPr>
                <w:rFonts w:hint="eastAsia"/>
                <w:color w:val="auto"/>
                <w:sz w:val="24"/>
                <w:lang w:val="en-US" w:eastAsia="zh-CN"/>
              </w:rPr>
              <w:t>3</w:t>
            </w:r>
            <w:r>
              <w:rPr>
                <w:rFonts w:hint="eastAsia"/>
                <w:color w:val="auto"/>
                <w:sz w:val="24"/>
              </w:rPr>
              <w:t>）</w:t>
            </w:r>
            <w:r>
              <w:rPr>
                <w:rFonts w:hint="eastAsia" w:ascii="宋体" w:hAnsi="宋体" w:cs="宋体"/>
                <w:color w:val="auto"/>
                <w:sz w:val="24"/>
                <w:lang w:val="en-US" w:eastAsia="zh-CN"/>
              </w:rPr>
              <w:t>废试剂瓶</w:t>
            </w:r>
          </w:p>
          <w:p w14:paraId="3368C0BD">
            <w:pPr>
              <w:adjustRightInd w:val="0"/>
              <w:snapToGrid w:val="0"/>
              <w:spacing w:line="360" w:lineRule="auto"/>
              <w:ind w:firstLine="480" w:firstLineChars="200"/>
              <w:rPr>
                <w:color w:val="auto"/>
                <w:sz w:val="24"/>
              </w:rPr>
            </w:pPr>
            <w:r>
              <w:rPr>
                <w:rFonts w:hint="eastAsia"/>
                <w:color w:val="auto"/>
                <w:sz w:val="24"/>
              </w:rPr>
              <w:t>酸液、有机溶剂等试剂使用后产生</w:t>
            </w:r>
            <w:r>
              <w:rPr>
                <w:rFonts w:hint="eastAsia"/>
                <w:color w:val="auto"/>
                <w:sz w:val="24"/>
                <w:lang w:val="en-US" w:eastAsia="zh-CN"/>
              </w:rPr>
              <w:t>的包装物</w:t>
            </w:r>
            <w:r>
              <w:rPr>
                <w:rFonts w:hint="eastAsia"/>
                <w:color w:val="auto"/>
                <w:sz w:val="24"/>
              </w:rPr>
              <w:t>废试剂瓶</w:t>
            </w:r>
            <w:r>
              <w:rPr>
                <w:rFonts w:hint="eastAsia"/>
                <w:color w:val="auto"/>
                <w:sz w:val="24"/>
                <w:lang w:val="en-US" w:eastAsia="zh-CN"/>
              </w:rPr>
              <w:t>等</w:t>
            </w:r>
            <w:r>
              <w:rPr>
                <w:rFonts w:hint="eastAsia"/>
                <w:color w:val="auto"/>
                <w:sz w:val="24"/>
              </w:rPr>
              <w:t>，</w:t>
            </w:r>
            <w:r>
              <w:rPr>
                <w:rFonts w:hint="eastAsia"/>
                <w:color w:val="auto"/>
                <w:sz w:val="24"/>
                <w:lang w:val="en-US" w:eastAsia="zh-CN"/>
              </w:rPr>
              <w:t>属于危险废物</w:t>
            </w:r>
            <w:r>
              <w:rPr>
                <w:rFonts w:hint="eastAsia"/>
                <w:color w:val="auto"/>
                <w:sz w:val="24"/>
                <w:lang w:eastAsia="zh-CN"/>
              </w:rPr>
              <w:t>，</w:t>
            </w:r>
            <w:r>
              <w:rPr>
                <w:rFonts w:hint="eastAsia"/>
                <w:color w:val="auto"/>
                <w:sz w:val="24"/>
              </w:rPr>
              <w:t>产生量约为0.1t/a</w:t>
            </w:r>
            <w:r>
              <w:rPr>
                <w:rFonts w:hint="eastAsia"/>
                <w:color w:val="auto"/>
                <w:sz w:val="24"/>
                <w:lang w:eastAsia="zh-CN"/>
              </w:rPr>
              <w:t>，</w:t>
            </w:r>
            <w:r>
              <w:rPr>
                <w:rFonts w:hint="eastAsia"/>
                <w:color w:val="auto"/>
                <w:sz w:val="24"/>
              </w:rPr>
              <w:t>危废代码：HW49(900-047-49)</w:t>
            </w:r>
            <w:r>
              <w:rPr>
                <w:rFonts w:hint="eastAsia"/>
                <w:color w:val="auto"/>
                <w:sz w:val="24"/>
                <w:lang w:eastAsia="zh-CN"/>
              </w:rPr>
              <w:t>，</w:t>
            </w:r>
            <w:r>
              <w:rPr>
                <w:rFonts w:hint="eastAsia"/>
                <w:color w:val="auto"/>
                <w:sz w:val="24"/>
              </w:rPr>
              <w:t>暂存于危废暂存间，交由有资质单位处理。</w:t>
            </w:r>
          </w:p>
          <w:p w14:paraId="3BB6365F">
            <w:pPr>
              <w:adjustRightInd w:val="0"/>
              <w:snapToGrid w:val="0"/>
              <w:spacing w:line="360" w:lineRule="auto"/>
              <w:ind w:firstLine="480" w:firstLineChars="200"/>
              <w:rPr>
                <w:color w:val="auto"/>
                <w:sz w:val="24"/>
              </w:rPr>
            </w:pPr>
            <w:r>
              <w:rPr>
                <w:rFonts w:hint="eastAsia"/>
                <w:color w:val="auto"/>
                <w:sz w:val="24"/>
              </w:rPr>
              <w:t>（</w:t>
            </w:r>
            <w:r>
              <w:rPr>
                <w:rFonts w:hint="eastAsia"/>
                <w:color w:val="auto"/>
                <w:sz w:val="24"/>
                <w:lang w:val="en-US" w:eastAsia="zh-CN"/>
              </w:rPr>
              <w:t>4</w:t>
            </w:r>
            <w:r>
              <w:rPr>
                <w:rFonts w:hint="eastAsia"/>
                <w:color w:val="auto"/>
                <w:sz w:val="24"/>
              </w:rPr>
              <w:t>）</w:t>
            </w:r>
            <w:r>
              <w:rPr>
                <w:rFonts w:hint="eastAsia"/>
                <w:color w:val="auto"/>
                <w:sz w:val="24"/>
                <w:lang w:val="en-US" w:eastAsia="zh-CN"/>
              </w:rPr>
              <w:t>一体化污水处理设备</w:t>
            </w:r>
            <w:r>
              <w:rPr>
                <w:rFonts w:hint="eastAsia"/>
                <w:color w:val="auto"/>
                <w:sz w:val="24"/>
              </w:rPr>
              <w:t>污泥</w:t>
            </w:r>
          </w:p>
          <w:p w14:paraId="4BB77083">
            <w:pPr>
              <w:adjustRightInd w:val="0"/>
              <w:snapToGrid w:val="0"/>
              <w:spacing w:line="360" w:lineRule="auto"/>
              <w:ind w:firstLine="480" w:firstLineChars="200"/>
              <w:rPr>
                <w:rFonts w:hint="eastAsia"/>
                <w:bCs/>
                <w:color w:val="auto"/>
                <w:sz w:val="24"/>
              </w:rPr>
            </w:pPr>
            <w:r>
              <w:rPr>
                <w:rFonts w:hint="eastAsia"/>
                <w:bCs/>
                <w:color w:val="auto"/>
                <w:sz w:val="24"/>
              </w:rPr>
              <w:t>本项目污水处理站处理能力为2m</w:t>
            </w:r>
            <w:r>
              <w:rPr>
                <w:bCs/>
                <w:color w:val="auto"/>
                <w:sz w:val="24"/>
                <w:vertAlign w:val="superscript"/>
              </w:rPr>
              <w:t>3</w:t>
            </w:r>
            <w:r>
              <w:rPr>
                <w:bCs/>
                <w:color w:val="auto"/>
                <w:sz w:val="24"/>
              </w:rPr>
              <w:t>/d</w:t>
            </w:r>
            <w:r>
              <w:rPr>
                <w:rFonts w:hint="eastAsia"/>
                <w:bCs/>
                <w:color w:val="auto"/>
                <w:sz w:val="24"/>
              </w:rPr>
              <w:t>，实际处理废水量为3</w:t>
            </w:r>
            <w:r>
              <w:rPr>
                <w:rFonts w:hint="eastAsia"/>
                <w:bCs/>
                <w:color w:val="auto"/>
                <w:sz w:val="24"/>
                <w:lang w:val="en-US" w:eastAsia="zh-CN"/>
              </w:rPr>
              <w:t>49.65</w:t>
            </w:r>
            <w:r>
              <w:rPr>
                <w:rFonts w:hint="eastAsia"/>
                <w:bCs/>
                <w:color w:val="auto"/>
                <w:sz w:val="24"/>
              </w:rPr>
              <w:t>m</w:t>
            </w:r>
            <w:r>
              <w:rPr>
                <w:bCs/>
                <w:color w:val="auto"/>
                <w:sz w:val="24"/>
                <w:vertAlign w:val="superscript"/>
              </w:rPr>
              <w:t>3</w:t>
            </w:r>
            <w:r>
              <w:rPr>
                <w:bCs/>
                <w:color w:val="auto"/>
                <w:sz w:val="24"/>
              </w:rPr>
              <w:t>/</w:t>
            </w:r>
            <w:r>
              <w:rPr>
                <w:rFonts w:hint="eastAsia"/>
                <w:bCs/>
                <w:color w:val="auto"/>
                <w:sz w:val="24"/>
              </w:rPr>
              <w:t>a，</w:t>
            </w:r>
            <w:r>
              <w:rPr>
                <w:rFonts w:hint="eastAsia"/>
                <w:bCs/>
                <w:color w:val="auto"/>
                <w:sz w:val="24"/>
                <w:lang w:val="en-US" w:eastAsia="zh-CN"/>
              </w:rPr>
              <w:t>1.17</w:t>
            </w:r>
            <w:r>
              <w:rPr>
                <w:rFonts w:hint="eastAsia"/>
                <w:bCs/>
                <w:color w:val="auto"/>
                <w:sz w:val="24"/>
              </w:rPr>
              <w:t>m</w:t>
            </w:r>
            <w:r>
              <w:rPr>
                <w:bCs/>
                <w:color w:val="auto"/>
                <w:sz w:val="24"/>
                <w:vertAlign w:val="superscript"/>
              </w:rPr>
              <w:t>3</w:t>
            </w:r>
            <w:r>
              <w:rPr>
                <w:bCs/>
                <w:color w:val="auto"/>
                <w:sz w:val="24"/>
              </w:rPr>
              <w:t>/d</w:t>
            </w:r>
            <w:r>
              <w:rPr>
                <w:rFonts w:hint="eastAsia"/>
                <w:bCs/>
                <w:color w:val="auto"/>
                <w:sz w:val="24"/>
              </w:rPr>
              <w:t>。类比同类项目（处理规模5t</w:t>
            </w:r>
            <w:r>
              <w:rPr>
                <w:bCs/>
                <w:color w:val="auto"/>
                <w:sz w:val="24"/>
              </w:rPr>
              <w:t>/d</w:t>
            </w:r>
            <w:r>
              <w:rPr>
                <w:rFonts w:hint="eastAsia"/>
                <w:bCs/>
                <w:color w:val="auto"/>
                <w:sz w:val="24"/>
              </w:rPr>
              <w:t>，污泥产生量为1t</w:t>
            </w:r>
            <w:r>
              <w:rPr>
                <w:bCs/>
                <w:color w:val="auto"/>
                <w:sz w:val="24"/>
              </w:rPr>
              <w:t>/a</w:t>
            </w:r>
            <w:r>
              <w:rPr>
                <w:rFonts w:hint="eastAsia"/>
                <w:bCs/>
                <w:color w:val="auto"/>
                <w:sz w:val="24"/>
              </w:rPr>
              <w:t>），本项目污泥产生量为</w:t>
            </w:r>
            <w:r>
              <w:rPr>
                <w:rFonts w:hint="eastAsia"/>
                <w:bCs/>
                <w:color w:val="auto"/>
                <w:sz w:val="24"/>
                <w:lang w:val="en-US" w:eastAsia="zh-CN"/>
              </w:rPr>
              <w:t>0.23</w:t>
            </w:r>
            <w:r>
              <w:rPr>
                <w:rFonts w:hint="eastAsia"/>
                <w:bCs/>
                <w:color w:val="auto"/>
                <w:sz w:val="24"/>
              </w:rPr>
              <w:t>t</w:t>
            </w:r>
            <w:r>
              <w:rPr>
                <w:bCs/>
                <w:color w:val="auto"/>
                <w:sz w:val="24"/>
              </w:rPr>
              <w:t>/a</w:t>
            </w:r>
            <w:r>
              <w:rPr>
                <w:rFonts w:hint="eastAsia"/>
                <w:bCs/>
                <w:color w:val="auto"/>
                <w:sz w:val="24"/>
              </w:rPr>
              <w:t>，含水率为6</w:t>
            </w:r>
            <w:r>
              <w:rPr>
                <w:bCs/>
                <w:color w:val="auto"/>
                <w:sz w:val="24"/>
              </w:rPr>
              <w:t>0</w:t>
            </w:r>
            <w:r>
              <w:rPr>
                <w:rFonts w:hint="eastAsia"/>
                <w:bCs/>
                <w:color w:val="auto"/>
                <w:sz w:val="24"/>
              </w:rPr>
              <w:t>%。对照《国家危险废物名录（2025年版）》，本项目污水处理站污泥属于危险废物“HW</w:t>
            </w:r>
            <w:r>
              <w:rPr>
                <w:rFonts w:hint="eastAsia"/>
                <w:bCs/>
                <w:color w:val="auto"/>
                <w:sz w:val="24"/>
                <w:lang w:val="en-US" w:eastAsia="zh-CN"/>
              </w:rPr>
              <w:t>49</w:t>
            </w:r>
            <w:r>
              <w:rPr>
                <w:rFonts w:hint="eastAsia"/>
                <w:bCs/>
                <w:color w:val="auto"/>
                <w:sz w:val="24"/>
              </w:rPr>
              <w:t xml:space="preserve"> </w:t>
            </w:r>
            <w:r>
              <w:rPr>
                <w:rFonts w:hint="eastAsia"/>
                <w:bCs/>
                <w:color w:val="auto"/>
                <w:sz w:val="24"/>
                <w:lang w:val="en-US" w:eastAsia="zh-CN"/>
              </w:rPr>
              <w:t>其他废物</w:t>
            </w:r>
            <w:r>
              <w:rPr>
                <w:rFonts w:hint="eastAsia"/>
                <w:bCs/>
                <w:color w:val="auto"/>
                <w:sz w:val="24"/>
              </w:rPr>
              <w:t>”，危废代码为</w:t>
            </w:r>
            <w:r>
              <w:rPr>
                <w:rFonts w:hint="eastAsia"/>
                <w:bCs/>
                <w:color w:val="auto"/>
                <w:sz w:val="24"/>
                <w:lang w:val="en-US" w:eastAsia="zh-CN"/>
              </w:rPr>
              <w:t>772-006-49</w:t>
            </w:r>
            <w:r>
              <w:rPr>
                <w:rFonts w:hint="eastAsia"/>
                <w:bCs/>
                <w:color w:val="auto"/>
                <w:sz w:val="24"/>
              </w:rPr>
              <w:t>，污泥定期</w:t>
            </w:r>
            <w:r>
              <w:rPr>
                <w:rFonts w:hint="eastAsia"/>
                <w:color w:val="auto"/>
                <w:sz w:val="24"/>
              </w:rPr>
              <w:t>委托有资质的单位进行拉运并处置。</w:t>
            </w:r>
          </w:p>
          <w:p w14:paraId="3B650945">
            <w:pPr>
              <w:adjustRightInd w:val="0"/>
              <w:snapToGrid w:val="0"/>
              <w:spacing w:line="360" w:lineRule="auto"/>
              <w:ind w:firstLine="480" w:firstLineChars="200"/>
              <w:rPr>
                <w:color w:val="auto"/>
                <w:sz w:val="24"/>
              </w:rPr>
            </w:pPr>
            <w:r>
              <w:rPr>
                <w:rFonts w:hint="eastAsia"/>
                <w:color w:val="auto"/>
                <w:sz w:val="24"/>
              </w:rPr>
              <w:t>本项目固体废物产生量及处置方式具体见表4</w:t>
            </w:r>
            <w:r>
              <w:rPr>
                <w:color w:val="auto"/>
                <w:sz w:val="24"/>
              </w:rPr>
              <w:t>-</w:t>
            </w:r>
            <w:r>
              <w:rPr>
                <w:rFonts w:hint="eastAsia"/>
                <w:color w:val="auto"/>
                <w:sz w:val="24"/>
                <w:lang w:val="en-US" w:eastAsia="zh-CN"/>
              </w:rPr>
              <w:t>12</w:t>
            </w:r>
            <w:r>
              <w:rPr>
                <w:rFonts w:hint="eastAsia"/>
                <w:color w:val="auto"/>
                <w:sz w:val="24"/>
              </w:rPr>
              <w:t>。</w:t>
            </w:r>
          </w:p>
          <w:p w14:paraId="2A69A45E">
            <w:pPr>
              <w:pStyle w:val="19"/>
              <w:adjustRightInd w:val="0"/>
              <w:jc w:val="center"/>
              <w:rPr>
                <w:b/>
                <w:color w:val="auto"/>
                <w:sz w:val="21"/>
                <w:szCs w:val="21"/>
              </w:rPr>
            </w:pPr>
            <w:r>
              <w:rPr>
                <w:rFonts w:hint="eastAsia"/>
                <w:b/>
                <w:color w:val="auto"/>
                <w:sz w:val="21"/>
                <w:szCs w:val="21"/>
              </w:rPr>
              <w:t>表</w:t>
            </w:r>
            <w:r>
              <w:rPr>
                <w:b/>
                <w:color w:val="auto"/>
                <w:sz w:val="21"/>
                <w:szCs w:val="21"/>
              </w:rPr>
              <w:t>4-</w:t>
            </w:r>
            <w:r>
              <w:rPr>
                <w:rFonts w:hint="eastAsia"/>
                <w:b/>
                <w:color w:val="auto"/>
                <w:sz w:val="21"/>
                <w:szCs w:val="21"/>
                <w:lang w:val="en-US" w:eastAsia="zh-CN"/>
              </w:rPr>
              <w:t>12</w:t>
            </w:r>
            <w:r>
              <w:rPr>
                <w:b/>
                <w:color w:val="auto"/>
                <w:sz w:val="21"/>
                <w:szCs w:val="21"/>
              </w:rPr>
              <w:t xml:space="preserve">   </w:t>
            </w:r>
            <w:r>
              <w:rPr>
                <w:rFonts w:hint="eastAsia"/>
                <w:b/>
                <w:color w:val="auto"/>
                <w:sz w:val="21"/>
                <w:szCs w:val="21"/>
              </w:rPr>
              <w:t>本项目固体废物一览表</w:t>
            </w:r>
          </w:p>
          <w:tbl>
            <w:tblPr>
              <w:tblStyle w:val="28"/>
              <w:tblW w:w="49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94"/>
              <w:gridCol w:w="1254"/>
              <w:gridCol w:w="732"/>
              <w:gridCol w:w="1534"/>
              <w:gridCol w:w="1008"/>
              <w:gridCol w:w="908"/>
              <w:gridCol w:w="1333"/>
              <w:gridCol w:w="1406"/>
            </w:tblGrid>
            <w:tr w14:paraId="649EBD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85" w:type="pct"/>
                  <w:noWrap w:val="0"/>
                  <w:vAlign w:val="center"/>
                </w:tcPr>
                <w:p w14:paraId="25F50A6B">
                  <w:pPr>
                    <w:pStyle w:val="85"/>
                    <w:adjustRightInd w:val="0"/>
                    <w:snapToGrid w:val="0"/>
                    <w:ind w:firstLine="0" w:firstLineChars="0"/>
                    <w:jc w:val="center"/>
                    <w:rPr>
                      <w:rFonts w:hint="eastAsia"/>
                      <w:color w:val="auto"/>
                      <w:szCs w:val="21"/>
                    </w:rPr>
                  </w:pPr>
                  <w:r>
                    <w:rPr>
                      <w:rFonts w:hint="eastAsia"/>
                      <w:color w:val="auto"/>
                      <w:szCs w:val="21"/>
                    </w:rPr>
                    <w:t>序号</w:t>
                  </w:r>
                </w:p>
              </w:tc>
              <w:tc>
                <w:tcPr>
                  <w:tcW w:w="723" w:type="pct"/>
                  <w:noWrap w:val="0"/>
                  <w:vAlign w:val="center"/>
                </w:tcPr>
                <w:p w14:paraId="6629C3F3">
                  <w:pPr>
                    <w:pStyle w:val="85"/>
                    <w:adjustRightInd w:val="0"/>
                    <w:snapToGrid w:val="0"/>
                    <w:ind w:firstLine="0" w:firstLineChars="0"/>
                    <w:jc w:val="center"/>
                    <w:rPr>
                      <w:rFonts w:hint="eastAsia"/>
                      <w:color w:val="auto"/>
                      <w:szCs w:val="21"/>
                    </w:rPr>
                  </w:pPr>
                  <w:r>
                    <w:rPr>
                      <w:rFonts w:hint="eastAsia"/>
                      <w:color w:val="auto"/>
                      <w:szCs w:val="21"/>
                    </w:rPr>
                    <w:t>固废名称</w:t>
                  </w:r>
                </w:p>
              </w:tc>
              <w:tc>
                <w:tcPr>
                  <w:tcW w:w="422" w:type="pct"/>
                  <w:noWrap w:val="0"/>
                  <w:vAlign w:val="center"/>
                </w:tcPr>
                <w:p w14:paraId="5FADB82C">
                  <w:pPr>
                    <w:pStyle w:val="85"/>
                    <w:adjustRightInd w:val="0"/>
                    <w:snapToGrid w:val="0"/>
                    <w:ind w:firstLine="0" w:firstLineChars="0"/>
                    <w:jc w:val="center"/>
                    <w:rPr>
                      <w:rFonts w:hint="eastAsia"/>
                      <w:color w:val="auto"/>
                      <w:szCs w:val="21"/>
                    </w:rPr>
                  </w:pPr>
                  <w:r>
                    <w:rPr>
                      <w:rFonts w:hint="eastAsia"/>
                      <w:color w:val="auto"/>
                      <w:szCs w:val="21"/>
                    </w:rPr>
                    <w:t>属性</w:t>
                  </w:r>
                </w:p>
              </w:tc>
              <w:tc>
                <w:tcPr>
                  <w:tcW w:w="884" w:type="pct"/>
                  <w:noWrap w:val="0"/>
                  <w:vAlign w:val="center"/>
                </w:tcPr>
                <w:p w14:paraId="5064D2D3">
                  <w:pPr>
                    <w:pStyle w:val="85"/>
                    <w:adjustRightInd w:val="0"/>
                    <w:snapToGrid w:val="0"/>
                    <w:ind w:firstLine="0" w:firstLineChars="0"/>
                    <w:jc w:val="center"/>
                    <w:rPr>
                      <w:rFonts w:hint="eastAsia"/>
                      <w:color w:val="auto"/>
                      <w:szCs w:val="21"/>
                    </w:rPr>
                  </w:pPr>
                  <w:r>
                    <w:rPr>
                      <w:rFonts w:hint="eastAsia"/>
                      <w:color w:val="auto"/>
                      <w:szCs w:val="21"/>
                    </w:rPr>
                    <w:t>固体废物代码</w:t>
                  </w:r>
                </w:p>
              </w:tc>
              <w:tc>
                <w:tcPr>
                  <w:tcW w:w="581" w:type="pct"/>
                  <w:noWrap w:val="0"/>
                  <w:vAlign w:val="center"/>
                </w:tcPr>
                <w:p w14:paraId="66DE3E8C">
                  <w:pPr>
                    <w:pStyle w:val="85"/>
                    <w:adjustRightInd w:val="0"/>
                    <w:snapToGrid w:val="0"/>
                    <w:ind w:firstLine="0" w:firstLineChars="0"/>
                    <w:jc w:val="center"/>
                    <w:rPr>
                      <w:rFonts w:hint="default" w:eastAsia="宋体"/>
                      <w:color w:val="auto"/>
                      <w:szCs w:val="21"/>
                      <w:lang w:val="en-US" w:eastAsia="zh-CN"/>
                    </w:rPr>
                  </w:pPr>
                  <w:r>
                    <w:rPr>
                      <w:rFonts w:hint="eastAsia"/>
                      <w:color w:val="auto"/>
                      <w:szCs w:val="21"/>
                      <w:lang w:val="en-US" w:eastAsia="zh-CN"/>
                    </w:rPr>
                    <w:t>危险特性</w:t>
                  </w:r>
                </w:p>
              </w:tc>
              <w:tc>
                <w:tcPr>
                  <w:tcW w:w="523" w:type="pct"/>
                  <w:noWrap w:val="0"/>
                  <w:vAlign w:val="center"/>
                </w:tcPr>
                <w:p w14:paraId="4165B661">
                  <w:pPr>
                    <w:pStyle w:val="85"/>
                    <w:adjustRightInd w:val="0"/>
                    <w:snapToGrid w:val="0"/>
                    <w:ind w:firstLine="0" w:firstLineChars="0"/>
                    <w:jc w:val="center"/>
                    <w:rPr>
                      <w:rFonts w:hint="eastAsia"/>
                      <w:color w:val="auto"/>
                      <w:szCs w:val="21"/>
                    </w:rPr>
                  </w:pPr>
                  <w:r>
                    <w:rPr>
                      <w:rFonts w:hint="eastAsia"/>
                      <w:color w:val="auto"/>
                      <w:szCs w:val="21"/>
                    </w:rPr>
                    <w:t>产生量（t</w:t>
                  </w:r>
                  <w:r>
                    <w:rPr>
                      <w:color w:val="auto"/>
                      <w:szCs w:val="21"/>
                    </w:rPr>
                    <w:t>/a</w:t>
                  </w:r>
                  <w:r>
                    <w:rPr>
                      <w:rFonts w:hint="eastAsia"/>
                      <w:color w:val="auto"/>
                      <w:szCs w:val="21"/>
                    </w:rPr>
                    <w:t>）</w:t>
                  </w:r>
                </w:p>
              </w:tc>
              <w:tc>
                <w:tcPr>
                  <w:tcW w:w="768" w:type="pct"/>
                  <w:noWrap w:val="0"/>
                  <w:vAlign w:val="center"/>
                </w:tcPr>
                <w:p w14:paraId="52233051">
                  <w:pPr>
                    <w:pStyle w:val="85"/>
                    <w:adjustRightInd w:val="0"/>
                    <w:snapToGrid w:val="0"/>
                    <w:ind w:firstLine="0" w:firstLineChars="0"/>
                    <w:jc w:val="center"/>
                    <w:rPr>
                      <w:rFonts w:hint="eastAsia"/>
                      <w:color w:val="auto"/>
                      <w:szCs w:val="21"/>
                    </w:rPr>
                  </w:pPr>
                  <w:r>
                    <w:rPr>
                      <w:rFonts w:hint="eastAsia"/>
                      <w:color w:val="auto"/>
                      <w:szCs w:val="21"/>
                    </w:rPr>
                    <w:t>产生工序及装置</w:t>
                  </w:r>
                </w:p>
              </w:tc>
              <w:tc>
                <w:tcPr>
                  <w:tcW w:w="810" w:type="pct"/>
                  <w:noWrap w:val="0"/>
                  <w:vAlign w:val="center"/>
                </w:tcPr>
                <w:p w14:paraId="0A6E27CC">
                  <w:pPr>
                    <w:pStyle w:val="85"/>
                    <w:adjustRightInd w:val="0"/>
                    <w:snapToGrid w:val="0"/>
                    <w:ind w:firstLine="0" w:firstLineChars="0"/>
                    <w:jc w:val="center"/>
                    <w:rPr>
                      <w:rFonts w:hint="eastAsia"/>
                      <w:color w:val="auto"/>
                      <w:szCs w:val="21"/>
                    </w:rPr>
                  </w:pPr>
                  <w:r>
                    <w:rPr>
                      <w:rFonts w:hint="eastAsia"/>
                      <w:color w:val="auto"/>
                      <w:szCs w:val="21"/>
                    </w:rPr>
                    <w:t>防治措施</w:t>
                  </w:r>
                </w:p>
              </w:tc>
            </w:tr>
            <w:tr w14:paraId="1570CE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85" w:type="pct"/>
                  <w:noWrap w:val="0"/>
                  <w:vAlign w:val="center"/>
                </w:tcPr>
                <w:p w14:paraId="6BFEE826">
                  <w:pPr>
                    <w:pStyle w:val="85"/>
                    <w:numPr>
                      <w:ilvl w:val="0"/>
                      <w:numId w:val="5"/>
                    </w:numPr>
                    <w:adjustRightInd w:val="0"/>
                    <w:snapToGrid w:val="0"/>
                    <w:ind w:firstLineChars="0"/>
                    <w:jc w:val="center"/>
                    <w:rPr>
                      <w:rFonts w:hint="eastAsia"/>
                      <w:color w:val="auto"/>
                      <w:szCs w:val="21"/>
                    </w:rPr>
                  </w:pPr>
                </w:p>
              </w:tc>
              <w:tc>
                <w:tcPr>
                  <w:tcW w:w="723" w:type="pct"/>
                  <w:noWrap w:val="0"/>
                  <w:vAlign w:val="center"/>
                </w:tcPr>
                <w:p w14:paraId="67A8567F">
                  <w:pPr>
                    <w:adjustRightInd w:val="0"/>
                    <w:snapToGrid w:val="0"/>
                    <w:jc w:val="center"/>
                    <w:rPr>
                      <w:rFonts w:hint="eastAsia"/>
                      <w:bCs/>
                      <w:color w:val="auto"/>
                      <w:szCs w:val="21"/>
                    </w:rPr>
                  </w:pPr>
                  <w:r>
                    <w:rPr>
                      <w:rFonts w:hint="eastAsia"/>
                      <w:color w:val="auto"/>
                      <w:szCs w:val="21"/>
                    </w:rPr>
                    <w:t>生活垃圾</w:t>
                  </w:r>
                </w:p>
              </w:tc>
              <w:tc>
                <w:tcPr>
                  <w:tcW w:w="422" w:type="pct"/>
                  <w:noWrap w:val="0"/>
                  <w:vAlign w:val="center"/>
                </w:tcPr>
                <w:p w14:paraId="3E9DD993">
                  <w:pPr>
                    <w:pStyle w:val="85"/>
                    <w:adjustRightInd w:val="0"/>
                    <w:snapToGrid w:val="0"/>
                    <w:ind w:firstLine="0" w:firstLineChars="0"/>
                    <w:jc w:val="center"/>
                    <w:rPr>
                      <w:rFonts w:hint="eastAsia" w:eastAsia="宋体"/>
                      <w:color w:val="auto"/>
                      <w:szCs w:val="21"/>
                      <w:lang w:val="en-US" w:eastAsia="zh-CN"/>
                    </w:rPr>
                  </w:pPr>
                  <w:r>
                    <w:rPr>
                      <w:rFonts w:hint="eastAsia"/>
                      <w:color w:val="auto"/>
                      <w:szCs w:val="21"/>
                      <w:lang w:val="en-US" w:eastAsia="zh-CN"/>
                    </w:rPr>
                    <w:t>/</w:t>
                  </w:r>
                </w:p>
              </w:tc>
              <w:tc>
                <w:tcPr>
                  <w:tcW w:w="884" w:type="pct"/>
                  <w:noWrap w:val="0"/>
                  <w:vAlign w:val="center"/>
                </w:tcPr>
                <w:p w14:paraId="6A63660D">
                  <w:pPr>
                    <w:pStyle w:val="85"/>
                    <w:adjustRightInd w:val="0"/>
                    <w:snapToGrid w:val="0"/>
                    <w:ind w:firstLine="0" w:firstLineChars="0"/>
                    <w:jc w:val="center"/>
                    <w:rPr>
                      <w:rFonts w:hint="eastAsia" w:eastAsia="宋体"/>
                      <w:color w:val="auto"/>
                      <w:szCs w:val="21"/>
                      <w:lang w:val="en-US" w:eastAsia="zh-CN"/>
                    </w:rPr>
                  </w:pPr>
                  <w:r>
                    <w:rPr>
                      <w:rFonts w:hint="eastAsia"/>
                      <w:color w:val="auto"/>
                      <w:szCs w:val="21"/>
                      <w:lang w:val="en-US" w:eastAsia="zh-CN"/>
                    </w:rPr>
                    <w:t>/</w:t>
                  </w:r>
                </w:p>
              </w:tc>
              <w:tc>
                <w:tcPr>
                  <w:tcW w:w="581" w:type="pct"/>
                  <w:noWrap w:val="0"/>
                  <w:vAlign w:val="center"/>
                </w:tcPr>
                <w:p w14:paraId="4A643708">
                  <w:pPr>
                    <w:pStyle w:val="85"/>
                    <w:adjustRightInd w:val="0"/>
                    <w:snapToGrid w:val="0"/>
                    <w:ind w:firstLine="0" w:firstLineChars="0"/>
                    <w:jc w:val="center"/>
                    <w:rPr>
                      <w:rFonts w:hint="default"/>
                      <w:color w:val="auto"/>
                      <w:szCs w:val="21"/>
                      <w:lang w:val="en-US" w:eastAsia="zh-CN"/>
                    </w:rPr>
                  </w:pPr>
                  <w:r>
                    <w:rPr>
                      <w:rFonts w:hint="eastAsia"/>
                      <w:color w:val="auto"/>
                      <w:szCs w:val="21"/>
                      <w:lang w:val="en-US" w:eastAsia="zh-CN"/>
                    </w:rPr>
                    <w:t>/</w:t>
                  </w:r>
                </w:p>
              </w:tc>
              <w:tc>
                <w:tcPr>
                  <w:tcW w:w="523" w:type="pct"/>
                  <w:noWrap w:val="0"/>
                  <w:vAlign w:val="center"/>
                </w:tcPr>
                <w:p w14:paraId="1400E5E0">
                  <w:pPr>
                    <w:pStyle w:val="85"/>
                    <w:adjustRightInd w:val="0"/>
                    <w:snapToGrid w:val="0"/>
                    <w:ind w:firstLine="0" w:firstLineChars="0"/>
                    <w:jc w:val="center"/>
                    <w:rPr>
                      <w:rFonts w:hint="default" w:eastAsia="宋体"/>
                      <w:color w:val="auto"/>
                      <w:szCs w:val="21"/>
                      <w:lang w:val="en-US" w:eastAsia="zh-CN"/>
                    </w:rPr>
                  </w:pPr>
                  <w:r>
                    <w:rPr>
                      <w:rFonts w:hint="eastAsia"/>
                      <w:color w:val="auto"/>
                      <w:szCs w:val="21"/>
                      <w:lang w:val="en-US" w:eastAsia="zh-CN"/>
                    </w:rPr>
                    <w:t>1.8</w:t>
                  </w:r>
                </w:p>
              </w:tc>
              <w:tc>
                <w:tcPr>
                  <w:tcW w:w="768" w:type="pct"/>
                  <w:noWrap w:val="0"/>
                  <w:vAlign w:val="center"/>
                </w:tcPr>
                <w:p w14:paraId="5610EE45">
                  <w:pPr>
                    <w:pStyle w:val="85"/>
                    <w:adjustRightInd w:val="0"/>
                    <w:snapToGrid w:val="0"/>
                    <w:ind w:firstLine="0" w:firstLineChars="0"/>
                    <w:jc w:val="center"/>
                    <w:rPr>
                      <w:rFonts w:hint="eastAsia"/>
                      <w:color w:val="auto"/>
                      <w:szCs w:val="21"/>
                    </w:rPr>
                  </w:pPr>
                  <w:r>
                    <w:rPr>
                      <w:rFonts w:hint="eastAsia"/>
                      <w:color w:val="auto"/>
                      <w:szCs w:val="21"/>
                    </w:rPr>
                    <w:t>日常生活</w:t>
                  </w:r>
                </w:p>
              </w:tc>
              <w:tc>
                <w:tcPr>
                  <w:tcW w:w="810" w:type="pct"/>
                  <w:noWrap w:val="0"/>
                  <w:vAlign w:val="center"/>
                </w:tcPr>
                <w:p w14:paraId="5EB86C70">
                  <w:pPr>
                    <w:pStyle w:val="85"/>
                    <w:adjustRightInd w:val="0"/>
                    <w:snapToGrid w:val="0"/>
                    <w:ind w:firstLine="0" w:firstLineChars="0"/>
                    <w:jc w:val="center"/>
                    <w:rPr>
                      <w:rFonts w:hint="eastAsia"/>
                      <w:color w:val="auto"/>
                      <w:szCs w:val="21"/>
                      <w:lang w:val="en-US" w:eastAsia="zh-CN"/>
                    </w:rPr>
                  </w:pPr>
                  <w:r>
                    <w:rPr>
                      <w:rFonts w:hint="eastAsia"/>
                      <w:color w:val="auto"/>
                      <w:szCs w:val="21"/>
                    </w:rPr>
                    <w:t>垃圾桶收集，依托当地环卫部门清运。</w:t>
                  </w:r>
                </w:p>
              </w:tc>
            </w:tr>
            <w:tr w14:paraId="3F46E2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85" w:type="pct"/>
                  <w:noWrap w:val="0"/>
                  <w:vAlign w:val="center"/>
                </w:tcPr>
                <w:p w14:paraId="06F88147">
                  <w:pPr>
                    <w:pStyle w:val="85"/>
                    <w:numPr>
                      <w:ilvl w:val="0"/>
                      <w:numId w:val="5"/>
                    </w:numPr>
                    <w:adjustRightInd w:val="0"/>
                    <w:snapToGrid w:val="0"/>
                    <w:ind w:firstLineChars="0"/>
                    <w:jc w:val="center"/>
                    <w:rPr>
                      <w:rFonts w:hint="eastAsia"/>
                      <w:color w:val="auto"/>
                      <w:szCs w:val="21"/>
                    </w:rPr>
                  </w:pPr>
                </w:p>
              </w:tc>
              <w:tc>
                <w:tcPr>
                  <w:tcW w:w="723" w:type="pct"/>
                  <w:noWrap w:val="0"/>
                  <w:vAlign w:val="center"/>
                </w:tcPr>
                <w:p w14:paraId="2AA7EDA6">
                  <w:pPr>
                    <w:adjustRightInd w:val="0"/>
                    <w:snapToGrid w:val="0"/>
                    <w:jc w:val="center"/>
                    <w:rPr>
                      <w:rFonts w:hint="eastAsia"/>
                      <w:color w:val="auto"/>
                      <w:szCs w:val="21"/>
                    </w:rPr>
                  </w:pPr>
                  <w:r>
                    <w:rPr>
                      <w:rFonts w:hint="eastAsia"/>
                      <w:color w:val="auto"/>
                      <w:szCs w:val="21"/>
                      <w:lang w:val="en-US" w:eastAsia="zh-CN"/>
                    </w:rPr>
                    <w:t>样品边角料</w:t>
                  </w:r>
                </w:p>
              </w:tc>
              <w:tc>
                <w:tcPr>
                  <w:tcW w:w="422" w:type="pct"/>
                  <w:vMerge w:val="restart"/>
                  <w:noWrap w:val="0"/>
                  <w:vAlign w:val="center"/>
                </w:tcPr>
                <w:p w14:paraId="567C774E">
                  <w:pPr>
                    <w:pStyle w:val="85"/>
                    <w:adjustRightInd w:val="0"/>
                    <w:snapToGrid w:val="0"/>
                    <w:ind w:firstLine="0" w:firstLineChars="0"/>
                    <w:jc w:val="center"/>
                    <w:rPr>
                      <w:rFonts w:hint="eastAsia"/>
                      <w:color w:val="auto"/>
                      <w:szCs w:val="21"/>
                    </w:rPr>
                  </w:pPr>
                  <w:r>
                    <w:rPr>
                      <w:rFonts w:hint="eastAsia"/>
                      <w:color w:val="auto"/>
                      <w:szCs w:val="21"/>
                    </w:rPr>
                    <w:t>一般固体废物</w:t>
                  </w:r>
                </w:p>
              </w:tc>
              <w:tc>
                <w:tcPr>
                  <w:tcW w:w="884" w:type="pct"/>
                  <w:noWrap w:val="0"/>
                  <w:vAlign w:val="center"/>
                </w:tcPr>
                <w:p w14:paraId="7B944DDD">
                  <w:pPr>
                    <w:pStyle w:val="85"/>
                    <w:adjustRightInd w:val="0"/>
                    <w:snapToGrid w:val="0"/>
                    <w:ind w:firstLine="0" w:firstLineChars="0"/>
                    <w:jc w:val="center"/>
                    <w:rPr>
                      <w:rFonts w:hint="eastAsia"/>
                      <w:color w:val="auto"/>
                      <w:szCs w:val="21"/>
                    </w:rPr>
                  </w:pPr>
                  <w:r>
                    <w:rPr>
                      <w:rFonts w:hint="eastAsia"/>
                      <w:color w:val="auto"/>
                      <w:szCs w:val="21"/>
                      <w:lang w:val="en-US" w:eastAsia="zh-CN"/>
                    </w:rPr>
                    <w:t>900-010-S17</w:t>
                  </w:r>
                </w:p>
              </w:tc>
              <w:tc>
                <w:tcPr>
                  <w:tcW w:w="581" w:type="pct"/>
                  <w:noWrap w:val="0"/>
                  <w:vAlign w:val="center"/>
                </w:tcPr>
                <w:p w14:paraId="3A3B69D2">
                  <w:pPr>
                    <w:adjustRightInd w:val="0"/>
                    <w:snapToGrid w:val="0"/>
                    <w:ind w:firstLine="0" w:firstLineChars="0"/>
                    <w:jc w:val="center"/>
                    <w:rPr>
                      <w:rFonts w:hint="eastAsia"/>
                      <w:color w:val="auto"/>
                      <w:szCs w:val="21"/>
                    </w:rPr>
                  </w:pPr>
                  <w:r>
                    <w:rPr>
                      <w:rFonts w:hint="eastAsia"/>
                      <w:color w:val="auto"/>
                      <w:szCs w:val="21"/>
                      <w:lang w:val="en-US" w:eastAsia="zh-CN"/>
                    </w:rPr>
                    <w:t>/</w:t>
                  </w:r>
                </w:p>
              </w:tc>
              <w:tc>
                <w:tcPr>
                  <w:tcW w:w="523" w:type="pct"/>
                  <w:noWrap w:val="0"/>
                  <w:vAlign w:val="center"/>
                </w:tcPr>
                <w:p w14:paraId="7B896A39">
                  <w:pPr>
                    <w:pStyle w:val="85"/>
                    <w:adjustRightInd w:val="0"/>
                    <w:snapToGrid w:val="0"/>
                    <w:ind w:firstLine="0" w:firstLineChars="0"/>
                    <w:jc w:val="center"/>
                    <w:rPr>
                      <w:rFonts w:hint="default" w:eastAsia="宋体"/>
                      <w:color w:val="auto"/>
                      <w:szCs w:val="21"/>
                      <w:lang w:val="en-US" w:eastAsia="zh-CN"/>
                    </w:rPr>
                  </w:pPr>
                  <w:r>
                    <w:rPr>
                      <w:rFonts w:hint="eastAsia"/>
                      <w:color w:val="auto"/>
                      <w:szCs w:val="21"/>
                      <w:lang w:val="en-US" w:eastAsia="zh-CN"/>
                    </w:rPr>
                    <w:t>0.3</w:t>
                  </w:r>
                </w:p>
              </w:tc>
              <w:tc>
                <w:tcPr>
                  <w:tcW w:w="768" w:type="pct"/>
                  <w:noWrap w:val="0"/>
                  <w:vAlign w:val="center"/>
                </w:tcPr>
                <w:p w14:paraId="4CC4A37C">
                  <w:pPr>
                    <w:pStyle w:val="85"/>
                    <w:adjustRightInd w:val="0"/>
                    <w:snapToGrid w:val="0"/>
                    <w:ind w:firstLine="0" w:firstLineChars="0"/>
                    <w:jc w:val="center"/>
                    <w:rPr>
                      <w:rFonts w:hint="default" w:eastAsia="宋体"/>
                      <w:color w:val="auto"/>
                      <w:szCs w:val="21"/>
                      <w:lang w:val="en-US" w:eastAsia="zh-CN"/>
                    </w:rPr>
                  </w:pPr>
                  <w:r>
                    <w:rPr>
                      <w:rFonts w:hint="eastAsia"/>
                      <w:color w:val="auto"/>
                      <w:szCs w:val="21"/>
                      <w:lang w:val="en-US" w:eastAsia="zh-CN"/>
                    </w:rPr>
                    <w:t>样品加工</w:t>
                  </w:r>
                </w:p>
              </w:tc>
              <w:tc>
                <w:tcPr>
                  <w:tcW w:w="810" w:type="pct"/>
                  <w:noWrap w:val="0"/>
                  <w:vAlign w:val="center"/>
                </w:tcPr>
                <w:p w14:paraId="40E7CC5E">
                  <w:pPr>
                    <w:pStyle w:val="85"/>
                    <w:adjustRightInd w:val="0"/>
                    <w:snapToGrid w:val="0"/>
                    <w:ind w:firstLine="0" w:firstLineChars="0"/>
                    <w:jc w:val="center"/>
                    <w:rPr>
                      <w:rFonts w:hint="default" w:eastAsia="宋体"/>
                      <w:color w:val="auto"/>
                      <w:szCs w:val="21"/>
                      <w:lang w:val="en-US" w:eastAsia="zh-CN"/>
                    </w:rPr>
                  </w:pPr>
                  <w:r>
                    <w:rPr>
                      <w:rFonts w:hint="eastAsia"/>
                      <w:color w:val="auto"/>
                      <w:szCs w:val="21"/>
                      <w:lang w:val="en-US" w:eastAsia="zh-CN"/>
                    </w:rPr>
                    <w:t>外售综合利用</w:t>
                  </w:r>
                </w:p>
              </w:tc>
            </w:tr>
            <w:tr w14:paraId="0165E7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85" w:type="pct"/>
                  <w:noWrap w:val="0"/>
                  <w:vAlign w:val="center"/>
                </w:tcPr>
                <w:p w14:paraId="002A6413">
                  <w:pPr>
                    <w:pStyle w:val="85"/>
                    <w:numPr>
                      <w:ilvl w:val="0"/>
                      <w:numId w:val="5"/>
                    </w:numPr>
                    <w:adjustRightInd w:val="0"/>
                    <w:snapToGrid w:val="0"/>
                    <w:ind w:firstLineChars="0"/>
                    <w:jc w:val="center"/>
                    <w:rPr>
                      <w:rFonts w:hint="eastAsia"/>
                      <w:color w:val="auto"/>
                      <w:szCs w:val="21"/>
                    </w:rPr>
                  </w:pPr>
                </w:p>
              </w:tc>
              <w:tc>
                <w:tcPr>
                  <w:tcW w:w="723" w:type="pct"/>
                  <w:noWrap w:val="0"/>
                  <w:vAlign w:val="center"/>
                </w:tcPr>
                <w:p w14:paraId="45908979">
                  <w:pPr>
                    <w:adjustRightInd w:val="0"/>
                    <w:snapToGrid w:val="0"/>
                    <w:jc w:val="center"/>
                    <w:rPr>
                      <w:rFonts w:hint="eastAsia"/>
                      <w:color w:val="auto"/>
                      <w:szCs w:val="21"/>
                    </w:rPr>
                  </w:pPr>
                  <w:r>
                    <w:rPr>
                      <w:rFonts w:hint="eastAsia"/>
                      <w:color w:val="auto"/>
                      <w:szCs w:val="21"/>
                      <w:lang w:val="en-US" w:eastAsia="zh-CN"/>
                    </w:rPr>
                    <w:t>除尘器收尘灰</w:t>
                  </w:r>
                </w:p>
              </w:tc>
              <w:tc>
                <w:tcPr>
                  <w:tcW w:w="422" w:type="pct"/>
                  <w:vMerge w:val="continue"/>
                  <w:noWrap w:val="0"/>
                  <w:vAlign w:val="center"/>
                </w:tcPr>
                <w:p w14:paraId="74043CE3">
                  <w:pPr>
                    <w:pStyle w:val="85"/>
                    <w:adjustRightInd w:val="0"/>
                    <w:snapToGrid w:val="0"/>
                    <w:ind w:firstLine="0" w:firstLineChars="0"/>
                    <w:jc w:val="center"/>
                    <w:rPr>
                      <w:rFonts w:hint="eastAsia"/>
                      <w:color w:val="auto"/>
                      <w:szCs w:val="21"/>
                    </w:rPr>
                  </w:pPr>
                </w:p>
              </w:tc>
              <w:tc>
                <w:tcPr>
                  <w:tcW w:w="884" w:type="pct"/>
                  <w:noWrap w:val="0"/>
                  <w:vAlign w:val="center"/>
                </w:tcPr>
                <w:p w14:paraId="6D1DFC81">
                  <w:pPr>
                    <w:pStyle w:val="85"/>
                    <w:adjustRightInd w:val="0"/>
                    <w:snapToGrid w:val="0"/>
                    <w:ind w:firstLine="0" w:firstLineChars="0"/>
                    <w:jc w:val="center"/>
                    <w:rPr>
                      <w:rFonts w:hint="eastAsia"/>
                      <w:color w:val="auto"/>
                      <w:szCs w:val="21"/>
                    </w:rPr>
                  </w:pPr>
                  <w:r>
                    <w:rPr>
                      <w:rFonts w:hint="eastAsia"/>
                      <w:color w:val="auto"/>
                      <w:szCs w:val="21"/>
                      <w:lang w:val="en-US" w:eastAsia="zh-CN"/>
                    </w:rPr>
                    <w:t>900-099-S59</w:t>
                  </w:r>
                </w:p>
              </w:tc>
              <w:tc>
                <w:tcPr>
                  <w:tcW w:w="581" w:type="pct"/>
                  <w:noWrap w:val="0"/>
                  <w:vAlign w:val="center"/>
                </w:tcPr>
                <w:p w14:paraId="76189588">
                  <w:pPr>
                    <w:adjustRightInd w:val="0"/>
                    <w:snapToGrid w:val="0"/>
                    <w:ind w:firstLine="0" w:firstLineChars="0"/>
                    <w:jc w:val="center"/>
                    <w:rPr>
                      <w:rFonts w:hint="eastAsia"/>
                      <w:color w:val="auto"/>
                      <w:szCs w:val="21"/>
                    </w:rPr>
                  </w:pPr>
                  <w:r>
                    <w:rPr>
                      <w:rFonts w:hint="eastAsia"/>
                      <w:color w:val="auto"/>
                      <w:szCs w:val="21"/>
                      <w:lang w:val="en-US" w:eastAsia="zh-CN"/>
                    </w:rPr>
                    <w:t>/</w:t>
                  </w:r>
                </w:p>
              </w:tc>
              <w:tc>
                <w:tcPr>
                  <w:tcW w:w="523" w:type="pct"/>
                  <w:noWrap w:val="0"/>
                  <w:vAlign w:val="center"/>
                </w:tcPr>
                <w:p w14:paraId="7112E8E4">
                  <w:pPr>
                    <w:pStyle w:val="85"/>
                    <w:adjustRightInd w:val="0"/>
                    <w:snapToGrid w:val="0"/>
                    <w:ind w:firstLine="0" w:firstLineChars="0"/>
                    <w:jc w:val="center"/>
                    <w:rPr>
                      <w:rFonts w:hint="default" w:eastAsia="宋体"/>
                      <w:color w:val="auto"/>
                      <w:szCs w:val="21"/>
                      <w:lang w:val="en-US" w:eastAsia="zh-CN"/>
                    </w:rPr>
                  </w:pPr>
                  <w:r>
                    <w:rPr>
                      <w:rFonts w:hint="eastAsia"/>
                      <w:color w:val="auto"/>
                      <w:szCs w:val="21"/>
                      <w:lang w:val="en-US" w:eastAsia="zh-CN"/>
                    </w:rPr>
                    <w:t>0.154</w:t>
                  </w:r>
                </w:p>
              </w:tc>
              <w:tc>
                <w:tcPr>
                  <w:tcW w:w="768" w:type="pct"/>
                  <w:noWrap w:val="0"/>
                  <w:vAlign w:val="center"/>
                </w:tcPr>
                <w:p w14:paraId="6414DBFE">
                  <w:pPr>
                    <w:pStyle w:val="85"/>
                    <w:adjustRightInd w:val="0"/>
                    <w:snapToGrid w:val="0"/>
                    <w:ind w:firstLine="0" w:firstLineChars="0"/>
                    <w:jc w:val="center"/>
                    <w:rPr>
                      <w:color w:val="auto"/>
                      <w:szCs w:val="21"/>
                    </w:rPr>
                  </w:pPr>
                  <w:r>
                    <w:rPr>
                      <w:rFonts w:hint="eastAsia"/>
                      <w:color w:val="auto"/>
                      <w:szCs w:val="21"/>
                    </w:rPr>
                    <w:t>布袋除尘器</w:t>
                  </w:r>
                </w:p>
              </w:tc>
              <w:tc>
                <w:tcPr>
                  <w:tcW w:w="810" w:type="pct"/>
                  <w:noWrap w:val="0"/>
                  <w:vAlign w:val="center"/>
                </w:tcPr>
                <w:p w14:paraId="79F8628B">
                  <w:pPr>
                    <w:pStyle w:val="85"/>
                    <w:adjustRightInd w:val="0"/>
                    <w:snapToGrid w:val="0"/>
                    <w:ind w:firstLine="0" w:firstLineChars="0"/>
                    <w:jc w:val="center"/>
                    <w:rPr>
                      <w:rFonts w:hint="eastAsia"/>
                      <w:color w:val="auto"/>
                      <w:szCs w:val="21"/>
                    </w:rPr>
                  </w:pPr>
                  <w:r>
                    <w:rPr>
                      <w:rFonts w:hint="eastAsia"/>
                      <w:color w:val="auto"/>
                      <w:szCs w:val="21"/>
                      <w:lang w:val="en-US" w:eastAsia="zh-CN"/>
                    </w:rPr>
                    <w:t>外售综合利用</w:t>
                  </w:r>
                </w:p>
              </w:tc>
            </w:tr>
            <w:tr w14:paraId="7186AC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85" w:type="pct"/>
                  <w:noWrap w:val="0"/>
                  <w:vAlign w:val="center"/>
                </w:tcPr>
                <w:p w14:paraId="268F227F">
                  <w:pPr>
                    <w:pStyle w:val="85"/>
                    <w:numPr>
                      <w:ilvl w:val="0"/>
                      <w:numId w:val="5"/>
                    </w:numPr>
                    <w:adjustRightInd w:val="0"/>
                    <w:snapToGrid w:val="0"/>
                    <w:ind w:firstLineChars="0"/>
                    <w:jc w:val="center"/>
                    <w:rPr>
                      <w:rFonts w:hint="eastAsia"/>
                      <w:color w:val="auto"/>
                      <w:szCs w:val="21"/>
                    </w:rPr>
                  </w:pPr>
                </w:p>
              </w:tc>
              <w:tc>
                <w:tcPr>
                  <w:tcW w:w="723" w:type="pct"/>
                  <w:noWrap w:val="0"/>
                  <w:vAlign w:val="center"/>
                </w:tcPr>
                <w:p w14:paraId="5E0F3E11">
                  <w:pPr>
                    <w:adjustRightInd w:val="0"/>
                    <w:snapToGrid w:val="0"/>
                    <w:jc w:val="center"/>
                    <w:rPr>
                      <w:rFonts w:hint="eastAsia"/>
                      <w:color w:val="auto"/>
                      <w:szCs w:val="21"/>
                    </w:rPr>
                  </w:pPr>
                  <w:r>
                    <w:rPr>
                      <w:rFonts w:hint="eastAsia"/>
                      <w:color w:val="auto"/>
                      <w:szCs w:val="21"/>
                      <w:lang w:val="en-US" w:eastAsia="zh-CN"/>
                    </w:rPr>
                    <w:t>废离子交换树脂</w:t>
                  </w:r>
                </w:p>
              </w:tc>
              <w:tc>
                <w:tcPr>
                  <w:tcW w:w="422" w:type="pct"/>
                  <w:vMerge w:val="continue"/>
                  <w:noWrap w:val="0"/>
                  <w:vAlign w:val="center"/>
                </w:tcPr>
                <w:p w14:paraId="4974494D">
                  <w:pPr>
                    <w:pStyle w:val="85"/>
                    <w:adjustRightInd w:val="0"/>
                    <w:snapToGrid w:val="0"/>
                    <w:ind w:firstLine="473"/>
                    <w:jc w:val="center"/>
                    <w:rPr>
                      <w:rFonts w:hint="eastAsia"/>
                      <w:color w:val="auto"/>
                      <w:szCs w:val="21"/>
                    </w:rPr>
                  </w:pPr>
                </w:p>
              </w:tc>
              <w:tc>
                <w:tcPr>
                  <w:tcW w:w="884" w:type="pct"/>
                  <w:noWrap w:val="0"/>
                  <w:vAlign w:val="center"/>
                </w:tcPr>
                <w:p w14:paraId="2B9D5B6A">
                  <w:pPr>
                    <w:pStyle w:val="85"/>
                    <w:adjustRightInd w:val="0"/>
                    <w:snapToGrid w:val="0"/>
                    <w:ind w:firstLine="0" w:firstLineChars="0"/>
                    <w:jc w:val="center"/>
                    <w:rPr>
                      <w:rFonts w:hint="eastAsia"/>
                      <w:color w:val="auto"/>
                      <w:szCs w:val="21"/>
                    </w:rPr>
                  </w:pPr>
                  <w:r>
                    <w:rPr>
                      <w:rFonts w:hint="eastAsia"/>
                      <w:color w:val="auto"/>
                      <w:szCs w:val="21"/>
                      <w:lang w:val="en-US" w:eastAsia="zh-CN"/>
                    </w:rPr>
                    <w:t>900-008-S59</w:t>
                  </w:r>
                </w:p>
              </w:tc>
              <w:tc>
                <w:tcPr>
                  <w:tcW w:w="581" w:type="pct"/>
                  <w:noWrap w:val="0"/>
                  <w:vAlign w:val="center"/>
                </w:tcPr>
                <w:p w14:paraId="282869A9">
                  <w:pPr>
                    <w:adjustRightInd w:val="0"/>
                    <w:snapToGrid w:val="0"/>
                    <w:ind w:firstLine="0" w:firstLineChars="0"/>
                    <w:jc w:val="center"/>
                    <w:rPr>
                      <w:rFonts w:hint="eastAsia"/>
                      <w:color w:val="auto"/>
                      <w:szCs w:val="21"/>
                    </w:rPr>
                  </w:pPr>
                  <w:r>
                    <w:rPr>
                      <w:rFonts w:hint="eastAsia"/>
                      <w:color w:val="auto"/>
                      <w:szCs w:val="21"/>
                      <w:lang w:val="en-US" w:eastAsia="zh-CN"/>
                    </w:rPr>
                    <w:t>/</w:t>
                  </w:r>
                </w:p>
              </w:tc>
              <w:tc>
                <w:tcPr>
                  <w:tcW w:w="523" w:type="pct"/>
                  <w:noWrap w:val="0"/>
                  <w:vAlign w:val="center"/>
                </w:tcPr>
                <w:p w14:paraId="22ABF1EE">
                  <w:pPr>
                    <w:pStyle w:val="85"/>
                    <w:adjustRightInd w:val="0"/>
                    <w:snapToGrid w:val="0"/>
                    <w:ind w:firstLine="0" w:firstLineChars="0"/>
                    <w:jc w:val="center"/>
                    <w:rPr>
                      <w:rFonts w:hint="default" w:eastAsia="宋体"/>
                      <w:color w:val="auto"/>
                      <w:szCs w:val="21"/>
                      <w:lang w:val="en-US" w:eastAsia="zh-CN"/>
                    </w:rPr>
                  </w:pPr>
                  <w:r>
                    <w:rPr>
                      <w:rFonts w:hint="eastAsia"/>
                      <w:color w:val="auto"/>
                      <w:szCs w:val="21"/>
                      <w:lang w:val="en-US" w:eastAsia="zh-CN"/>
                    </w:rPr>
                    <w:t>0.005</w:t>
                  </w:r>
                </w:p>
              </w:tc>
              <w:tc>
                <w:tcPr>
                  <w:tcW w:w="768" w:type="pct"/>
                  <w:noWrap w:val="0"/>
                  <w:vAlign w:val="center"/>
                </w:tcPr>
                <w:p w14:paraId="1FCCDDA5">
                  <w:pPr>
                    <w:pStyle w:val="85"/>
                    <w:adjustRightInd w:val="0"/>
                    <w:snapToGrid w:val="0"/>
                    <w:ind w:firstLine="0" w:firstLineChars="0"/>
                    <w:jc w:val="center"/>
                    <w:rPr>
                      <w:rFonts w:hint="default" w:eastAsia="宋体"/>
                      <w:color w:val="auto"/>
                      <w:szCs w:val="21"/>
                      <w:lang w:val="en-US" w:eastAsia="zh-CN"/>
                    </w:rPr>
                  </w:pPr>
                  <w:r>
                    <w:rPr>
                      <w:rFonts w:hint="eastAsia"/>
                      <w:color w:val="auto"/>
                      <w:szCs w:val="21"/>
                      <w:lang w:val="en-US" w:eastAsia="zh-CN"/>
                    </w:rPr>
                    <w:t>纯水制备</w:t>
                  </w:r>
                </w:p>
              </w:tc>
              <w:tc>
                <w:tcPr>
                  <w:tcW w:w="810" w:type="pct"/>
                  <w:noWrap w:val="0"/>
                  <w:vAlign w:val="center"/>
                </w:tcPr>
                <w:p w14:paraId="2B05E71F">
                  <w:pPr>
                    <w:pStyle w:val="85"/>
                    <w:adjustRightInd w:val="0"/>
                    <w:snapToGrid w:val="0"/>
                    <w:ind w:firstLine="0" w:firstLineChars="0"/>
                    <w:jc w:val="center"/>
                    <w:rPr>
                      <w:rFonts w:hint="default" w:eastAsia="宋体"/>
                      <w:color w:val="auto"/>
                      <w:szCs w:val="21"/>
                      <w:lang w:val="en-US" w:eastAsia="zh-CN"/>
                    </w:rPr>
                  </w:pPr>
                  <w:r>
                    <w:rPr>
                      <w:rFonts w:hint="eastAsia"/>
                      <w:color w:val="auto"/>
                      <w:szCs w:val="21"/>
                      <w:lang w:val="en-US" w:eastAsia="zh-CN"/>
                    </w:rPr>
                    <w:t>生活厂家回收</w:t>
                  </w:r>
                </w:p>
              </w:tc>
            </w:tr>
            <w:tr w14:paraId="2716BF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85" w:type="pct"/>
                  <w:noWrap w:val="0"/>
                  <w:vAlign w:val="center"/>
                </w:tcPr>
                <w:p w14:paraId="72176FB6">
                  <w:pPr>
                    <w:pStyle w:val="85"/>
                    <w:numPr>
                      <w:ilvl w:val="0"/>
                      <w:numId w:val="5"/>
                    </w:numPr>
                    <w:adjustRightInd w:val="0"/>
                    <w:snapToGrid w:val="0"/>
                    <w:ind w:firstLineChars="0"/>
                    <w:jc w:val="center"/>
                    <w:rPr>
                      <w:rFonts w:hint="eastAsia"/>
                      <w:color w:val="auto"/>
                      <w:szCs w:val="21"/>
                    </w:rPr>
                  </w:pPr>
                </w:p>
              </w:tc>
              <w:tc>
                <w:tcPr>
                  <w:tcW w:w="723" w:type="pct"/>
                  <w:noWrap w:val="0"/>
                  <w:vAlign w:val="center"/>
                </w:tcPr>
                <w:p w14:paraId="411F3446">
                  <w:pPr>
                    <w:adjustRightInd w:val="0"/>
                    <w:snapToGrid w:val="0"/>
                    <w:jc w:val="center"/>
                    <w:rPr>
                      <w:rFonts w:hint="eastAsia"/>
                      <w:color w:val="auto"/>
                      <w:szCs w:val="21"/>
                    </w:rPr>
                  </w:pPr>
                  <w:r>
                    <w:rPr>
                      <w:rFonts w:hint="eastAsia"/>
                      <w:color w:val="auto"/>
                      <w:szCs w:val="21"/>
                      <w:lang w:val="en-US" w:eastAsia="zh-CN"/>
                    </w:rPr>
                    <w:t>废实验室用品</w:t>
                  </w:r>
                </w:p>
              </w:tc>
              <w:tc>
                <w:tcPr>
                  <w:tcW w:w="422" w:type="pct"/>
                  <w:vMerge w:val="continue"/>
                  <w:noWrap w:val="0"/>
                  <w:vAlign w:val="center"/>
                </w:tcPr>
                <w:p w14:paraId="6EB80624">
                  <w:pPr>
                    <w:pStyle w:val="85"/>
                    <w:adjustRightInd w:val="0"/>
                    <w:snapToGrid w:val="0"/>
                    <w:ind w:firstLine="0" w:firstLineChars="0"/>
                    <w:jc w:val="center"/>
                    <w:rPr>
                      <w:rFonts w:hint="eastAsia"/>
                      <w:color w:val="auto"/>
                      <w:szCs w:val="21"/>
                    </w:rPr>
                  </w:pPr>
                </w:p>
              </w:tc>
              <w:tc>
                <w:tcPr>
                  <w:tcW w:w="884" w:type="pct"/>
                  <w:noWrap w:val="0"/>
                  <w:vAlign w:val="center"/>
                </w:tcPr>
                <w:p w14:paraId="0DD3C34E">
                  <w:pPr>
                    <w:pStyle w:val="85"/>
                    <w:adjustRightInd w:val="0"/>
                    <w:snapToGrid w:val="0"/>
                    <w:ind w:firstLine="0" w:firstLineChars="0"/>
                    <w:jc w:val="center"/>
                    <w:rPr>
                      <w:rFonts w:hint="eastAsia"/>
                      <w:snapToGrid w:val="0"/>
                      <w:color w:val="auto"/>
                      <w:kern w:val="0"/>
                      <w:sz w:val="21"/>
                      <w:szCs w:val="21"/>
                      <w:lang w:val="en-US" w:eastAsia="zh-CN" w:bidi="ar-SA"/>
                    </w:rPr>
                  </w:pPr>
                  <w:r>
                    <w:rPr>
                      <w:rFonts w:hint="eastAsia"/>
                      <w:snapToGrid w:val="0"/>
                      <w:color w:val="auto"/>
                      <w:kern w:val="0"/>
                      <w:sz w:val="21"/>
                      <w:szCs w:val="21"/>
                      <w:lang w:val="en-US" w:eastAsia="zh-CN" w:bidi="ar-SA"/>
                    </w:rPr>
                    <w:t>900-001-S92</w:t>
                  </w:r>
                </w:p>
              </w:tc>
              <w:tc>
                <w:tcPr>
                  <w:tcW w:w="581" w:type="pct"/>
                  <w:noWrap w:val="0"/>
                  <w:vAlign w:val="center"/>
                </w:tcPr>
                <w:p w14:paraId="0772F69C">
                  <w:pPr>
                    <w:adjustRightInd w:val="0"/>
                    <w:snapToGrid w:val="0"/>
                    <w:ind w:firstLine="0" w:firstLineChars="0"/>
                    <w:jc w:val="center"/>
                    <w:rPr>
                      <w:rFonts w:hint="eastAsia"/>
                      <w:snapToGrid w:val="0"/>
                      <w:color w:val="auto"/>
                      <w:kern w:val="0"/>
                      <w:sz w:val="21"/>
                      <w:szCs w:val="21"/>
                      <w:lang w:val="en-US" w:eastAsia="zh-CN" w:bidi="ar-SA"/>
                    </w:rPr>
                  </w:pPr>
                  <w:r>
                    <w:rPr>
                      <w:rFonts w:hint="eastAsia"/>
                      <w:color w:val="auto"/>
                      <w:szCs w:val="21"/>
                      <w:lang w:val="en-US" w:eastAsia="zh-CN"/>
                    </w:rPr>
                    <w:t>/</w:t>
                  </w:r>
                </w:p>
              </w:tc>
              <w:tc>
                <w:tcPr>
                  <w:tcW w:w="523" w:type="pct"/>
                  <w:noWrap w:val="0"/>
                  <w:vAlign w:val="center"/>
                </w:tcPr>
                <w:p w14:paraId="01FCF903">
                  <w:pPr>
                    <w:pStyle w:val="85"/>
                    <w:adjustRightInd w:val="0"/>
                    <w:snapToGrid w:val="0"/>
                    <w:ind w:firstLine="0" w:firstLineChars="0"/>
                    <w:jc w:val="center"/>
                    <w:rPr>
                      <w:rFonts w:hint="default"/>
                      <w:snapToGrid w:val="0"/>
                      <w:color w:val="auto"/>
                      <w:kern w:val="0"/>
                      <w:sz w:val="21"/>
                      <w:szCs w:val="21"/>
                      <w:lang w:val="en-US" w:eastAsia="zh-CN" w:bidi="ar-SA"/>
                    </w:rPr>
                  </w:pPr>
                  <w:r>
                    <w:rPr>
                      <w:rFonts w:hint="eastAsia"/>
                      <w:snapToGrid w:val="0"/>
                      <w:color w:val="auto"/>
                      <w:kern w:val="0"/>
                      <w:sz w:val="21"/>
                      <w:szCs w:val="21"/>
                      <w:lang w:val="en-US" w:eastAsia="zh-CN" w:bidi="ar-SA"/>
                    </w:rPr>
                    <w:t>0.01</w:t>
                  </w:r>
                </w:p>
              </w:tc>
              <w:tc>
                <w:tcPr>
                  <w:tcW w:w="768" w:type="pct"/>
                  <w:noWrap w:val="0"/>
                  <w:vAlign w:val="center"/>
                </w:tcPr>
                <w:p w14:paraId="3D3F1948">
                  <w:pPr>
                    <w:pStyle w:val="85"/>
                    <w:adjustRightInd w:val="0"/>
                    <w:snapToGrid w:val="0"/>
                    <w:ind w:firstLine="0" w:firstLineChars="0"/>
                    <w:jc w:val="center"/>
                    <w:rPr>
                      <w:rFonts w:hint="eastAsia"/>
                      <w:snapToGrid w:val="0"/>
                      <w:color w:val="auto"/>
                      <w:kern w:val="0"/>
                      <w:sz w:val="21"/>
                      <w:szCs w:val="21"/>
                      <w:lang w:val="en-US" w:eastAsia="zh-CN" w:bidi="ar-SA"/>
                    </w:rPr>
                  </w:pPr>
                  <w:r>
                    <w:rPr>
                      <w:rFonts w:hint="eastAsia"/>
                      <w:color w:val="auto"/>
                      <w:szCs w:val="21"/>
                      <w:lang w:val="en-US" w:eastAsia="zh-CN"/>
                    </w:rPr>
                    <w:t>实验检测</w:t>
                  </w:r>
                </w:p>
              </w:tc>
              <w:tc>
                <w:tcPr>
                  <w:tcW w:w="810" w:type="pct"/>
                  <w:noWrap w:val="0"/>
                  <w:vAlign w:val="center"/>
                </w:tcPr>
                <w:p w14:paraId="419EF6EF">
                  <w:pPr>
                    <w:pStyle w:val="85"/>
                    <w:adjustRightInd w:val="0"/>
                    <w:snapToGrid w:val="0"/>
                    <w:ind w:firstLine="0" w:firstLineChars="0"/>
                    <w:jc w:val="center"/>
                    <w:rPr>
                      <w:rFonts w:hint="eastAsia"/>
                      <w:color w:val="auto"/>
                      <w:szCs w:val="21"/>
                    </w:rPr>
                  </w:pPr>
                  <w:r>
                    <w:rPr>
                      <w:rFonts w:hint="eastAsia"/>
                      <w:color w:val="auto"/>
                      <w:szCs w:val="21"/>
                      <w:lang w:val="en-US" w:eastAsia="zh-CN"/>
                    </w:rPr>
                    <w:t>外售综合利用</w:t>
                  </w:r>
                </w:p>
              </w:tc>
            </w:tr>
            <w:tr w14:paraId="1C8A83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85" w:type="pct"/>
                  <w:noWrap w:val="0"/>
                  <w:vAlign w:val="center"/>
                </w:tcPr>
                <w:p w14:paraId="5CFF35F1">
                  <w:pPr>
                    <w:pStyle w:val="85"/>
                    <w:numPr>
                      <w:ilvl w:val="0"/>
                      <w:numId w:val="5"/>
                    </w:numPr>
                    <w:adjustRightInd w:val="0"/>
                    <w:snapToGrid w:val="0"/>
                    <w:ind w:firstLineChars="0"/>
                    <w:jc w:val="center"/>
                    <w:rPr>
                      <w:rFonts w:hint="eastAsia"/>
                      <w:color w:val="auto"/>
                      <w:szCs w:val="21"/>
                    </w:rPr>
                  </w:pPr>
                </w:p>
              </w:tc>
              <w:tc>
                <w:tcPr>
                  <w:tcW w:w="723" w:type="pct"/>
                  <w:noWrap w:val="0"/>
                  <w:vAlign w:val="center"/>
                </w:tcPr>
                <w:p w14:paraId="34439DC0">
                  <w:pPr>
                    <w:adjustRightInd w:val="0"/>
                    <w:snapToGrid w:val="0"/>
                    <w:jc w:val="center"/>
                    <w:rPr>
                      <w:rFonts w:hint="default"/>
                      <w:color w:val="auto"/>
                      <w:szCs w:val="21"/>
                      <w:lang w:val="en-US"/>
                    </w:rPr>
                  </w:pPr>
                  <w:r>
                    <w:rPr>
                      <w:rFonts w:hint="eastAsia"/>
                      <w:color w:val="FF0000"/>
                      <w:szCs w:val="21"/>
                      <w:lang w:val="en-US" w:eastAsia="zh-CN"/>
                    </w:rPr>
                    <w:t>实验废液、</w:t>
                  </w:r>
                  <w:r>
                    <w:rPr>
                      <w:rFonts w:hint="eastAsia"/>
                      <w:color w:val="FF0000"/>
                      <w:sz w:val="24"/>
                      <w:lang w:val="en-US" w:eastAsia="zh-CN"/>
                    </w:rPr>
                    <w:t>实验器具初次清洗废液</w:t>
                  </w:r>
                </w:p>
              </w:tc>
              <w:tc>
                <w:tcPr>
                  <w:tcW w:w="422" w:type="pct"/>
                  <w:vMerge w:val="restart"/>
                  <w:noWrap w:val="0"/>
                  <w:vAlign w:val="center"/>
                </w:tcPr>
                <w:p w14:paraId="030AB11F">
                  <w:pPr>
                    <w:pStyle w:val="85"/>
                    <w:adjustRightInd w:val="0"/>
                    <w:snapToGrid w:val="0"/>
                    <w:ind w:firstLine="0" w:firstLineChars="0"/>
                    <w:jc w:val="center"/>
                    <w:rPr>
                      <w:rFonts w:hint="eastAsia"/>
                      <w:snapToGrid w:val="0"/>
                      <w:color w:val="auto"/>
                      <w:kern w:val="0"/>
                      <w:sz w:val="21"/>
                      <w:szCs w:val="21"/>
                      <w:lang w:val="en-US" w:eastAsia="zh-CN" w:bidi="ar-SA"/>
                    </w:rPr>
                  </w:pPr>
                  <w:r>
                    <w:rPr>
                      <w:rFonts w:hint="eastAsia"/>
                      <w:color w:val="auto"/>
                      <w:szCs w:val="21"/>
                    </w:rPr>
                    <w:t>危险废物</w:t>
                  </w:r>
                </w:p>
              </w:tc>
              <w:tc>
                <w:tcPr>
                  <w:tcW w:w="884" w:type="pct"/>
                  <w:noWrap w:val="0"/>
                  <w:vAlign w:val="center"/>
                </w:tcPr>
                <w:p w14:paraId="286ECA32">
                  <w:pPr>
                    <w:pStyle w:val="85"/>
                    <w:adjustRightInd w:val="0"/>
                    <w:snapToGrid w:val="0"/>
                    <w:ind w:firstLine="0" w:firstLineChars="0"/>
                    <w:jc w:val="center"/>
                    <w:rPr>
                      <w:rFonts w:hint="eastAsia"/>
                      <w:color w:val="auto"/>
                      <w:szCs w:val="21"/>
                    </w:rPr>
                  </w:pPr>
                  <w:r>
                    <w:rPr>
                      <w:rFonts w:hint="eastAsia"/>
                      <w:color w:val="auto"/>
                      <w:szCs w:val="21"/>
                    </w:rPr>
                    <w:t>900-047-49</w:t>
                  </w:r>
                </w:p>
              </w:tc>
              <w:tc>
                <w:tcPr>
                  <w:tcW w:w="581" w:type="pct"/>
                  <w:noWrap w:val="0"/>
                  <w:vAlign w:val="center"/>
                </w:tcPr>
                <w:p w14:paraId="71F9893C">
                  <w:pPr>
                    <w:pStyle w:val="85"/>
                    <w:adjustRightInd w:val="0"/>
                    <w:snapToGrid w:val="0"/>
                    <w:ind w:firstLine="0" w:firstLineChars="0"/>
                    <w:jc w:val="center"/>
                    <w:rPr>
                      <w:rFonts w:hint="eastAsia"/>
                      <w:color w:val="auto"/>
                      <w:szCs w:val="21"/>
                    </w:rPr>
                  </w:pPr>
                  <w:r>
                    <w:rPr>
                      <w:rFonts w:hint="eastAsia"/>
                      <w:color w:val="auto"/>
                      <w:szCs w:val="21"/>
                      <w:lang w:val="en-US" w:eastAsia="zh-CN"/>
                    </w:rPr>
                    <w:t>T/C/I/R</w:t>
                  </w:r>
                </w:p>
              </w:tc>
              <w:tc>
                <w:tcPr>
                  <w:tcW w:w="523" w:type="pct"/>
                  <w:noWrap w:val="0"/>
                  <w:vAlign w:val="center"/>
                </w:tcPr>
                <w:p w14:paraId="6253A648">
                  <w:pPr>
                    <w:pStyle w:val="85"/>
                    <w:adjustRightInd w:val="0"/>
                    <w:snapToGrid w:val="0"/>
                    <w:ind w:firstLine="0" w:firstLineChars="0"/>
                    <w:jc w:val="center"/>
                    <w:rPr>
                      <w:rFonts w:hint="default" w:eastAsia="宋体"/>
                      <w:color w:val="auto"/>
                      <w:szCs w:val="21"/>
                      <w:lang w:val="en-US" w:eastAsia="zh-CN"/>
                    </w:rPr>
                  </w:pPr>
                  <w:r>
                    <w:rPr>
                      <w:rFonts w:hint="eastAsia"/>
                      <w:color w:val="auto"/>
                      <w:szCs w:val="21"/>
                      <w:lang w:val="en-US" w:eastAsia="zh-CN"/>
                    </w:rPr>
                    <w:t>7.95</w:t>
                  </w:r>
                </w:p>
              </w:tc>
              <w:tc>
                <w:tcPr>
                  <w:tcW w:w="768" w:type="pct"/>
                  <w:noWrap w:val="0"/>
                  <w:vAlign w:val="center"/>
                </w:tcPr>
                <w:p w14:paraId="6646F138">
                  <w:pPr>
                    <w:pStyle w:val="85"/>
                    <w:adjustRightInd w:val="0"/>
                    <w:snapToGrid w:val="0"/>
                    <w:ind w:firstLine="0" w:firstLineChars="0"/>
                    <w:jc w:val="center"/>
                    <w:rPr>
                      <w:rFonts w:hint="default" w:eastAsia="宋体"/>
                      <w:color w:val="auto"/>
                      <w:szCs w:val="21"/>
                      <w:lang w:val="en-US" w:eastAsia="zh-CN"/>
                    </w:rPr>
                  </w:pPr>
                  <w:r>
                    <w:rPr>
                      <w:rFonts w:hint="eastAsia"/>
                      <w:color w:val="auto"/>
                      <w:szCs w:val="21"/>
                      <w:lang w:val="en-US" w:eastAsia="zh-CN"/>
                    </w:rPr>
                    <w:t>实验检测</w:t>
                  </w:r>
                </w:p>
              </w:tc>
              <w:tc>
                <w:tcPr>
                  <w:tcW w:w="810" w:type="pct"/>
                  <w:vMerge w:val="restart"/>
                  <w:noWrap w:val="0"/>
                  <w:vAlign w:val="center"/>
                </w:tcPr>
                <w:p w14:paraId="6FEBE589">
                  <w:pPr>
                    <w:pStyle w:val="85"/>
                    <w:adjustRightInd w:val="0"/>
                    <w:snapToGrid w:val="0"/>
                    <w:ind w:firstLine="0" w:firstLineChars="0"/>
                    <w:jc w:val="center"/>
                    <w:rPr>
                      <w:rFonts w:hint="eastAsia"/>
                      <w:color w:val="auto"/>
                      <w:szCs w:val="21"/>
                    </w:rPr>
                  </w:pPr>
                  <w:r>
                    <w:rPr>
                      <w:rFonts w:hint="eastAsia"/>
                      <w:color w:val="auto"/>
                      <w:szCs w:val="21"/>
                    </w:rPr>
                    <w:t>危</w:t>
                  </w:r>
                  <w:r>
                    <w:rPr>
                      <w:rFonts w:hint="eastAsia"/>
                      <w:color w:val="auto"/>
                      <w:szCs w:val="21"/>
                      <w:lang w:val="en-US" w:eastAsia="zh-CN"/>
                    </w:rPr>
                    <w:t>废暂存间</w:t>
                  </w:r>
                  <w:r>
                    <w:rPr>
                      <w:rFonts w:hint="eastAsia"/>
                      <w:color w:val="auto"/>
                      <w:szCs w:val="21"/>
                    </w:rPr>
                    <w:t>暂存，委托有资质单位处置。</w:t>
                  </w:r>
                </w:p>
              </w:tc>
            </w:tr>
            <w:tr w14:paraId="21A29E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85" w:type="pct"/>
                  <w:noWrap w:val="0"/>
                  <w:vAlign w:val="center"/>
                </w:tcPr>
                <w:p w14:paraId="2CF43FFD">
                  <w:pPr>
                    <w:pStyle w:val="85"/>
                    <w:numPr>
                      <w:ilvl w:val="0"/>
                      <w:numId w:val="5"/>
                    </w:numPr>
                    <w:adjustRightInd w:val="0"/>
                    <w:snapToGrid w:val="0"/>
                    <w:ind w:firstLineChars="0"/>
                    <w:jc w:val="center"/>
                    <w:rPr>
                      <w:rFonts w:hint="eastAsia"/>
                      <w:color w:val="auto"/>
                      <w:szCs w:val="21"/>
                    </w:rPr>
                  </w:pPr>
                </w:p>
              </w:tc>
              <w:tc>
                <w:tcPr>
                  <w:tcW w:w="723" w:type="pct"/>
                  <w:noWrap w:val="0"/>
                  <w:vAlign w:val="center"/>
                </w:tcPr>
                <w:p w14:paraId="310CBAC4">
                  <w:pPr>
                    <w:adjustRightInd w:val="0"/>
                    <w:snapToGrid w:val="0"/>
                    <w:jc w:val="center"/>
                    <w:rPr>
                      <w:rFonts w:hint="default" w:eastAsia="宋体"/>
                      <w:bCs/>
                      <w:color w:val="auto"/>
                      <w:szCs w:val="21"/>
                      <w:lang w:val="en-US" w:eastAsia="zh-CN"/>
                    </w:rPr>
                  </w:pPr>
                  <w:r>
                    <w:rPr>
                      <w:rFonts w:hint="default" w:eastAsia="宋体"/>
                      <w:bCs/>
                      <w:color w:val="auto"/>
                      <w:szCs w:val="21"/>
                      <w:lang w:val="en-US" w:eastAsia="zh-CN"/>
                    </w:rPr>
                    <w:t>废实验用品</w:t>
                  </w:r>
                </w:p>
              </w:tc>
              <w:tc>
                <w:tcPr>
                  <w:tcW w:w="422" w:type="pct"/>
                  <w:vMerge w:val="continue"/>
                  <w:noWrap w:val="0"/>
                  <w:vAlign w:val="center"/>
                </w:tcPr>
                <w:p w14:paraId="17392F35">
                  <w:pPr>
                    <w:pStyle w:val="85"/>
                    <w:adjustRightInd w:val="0"/>
                    <w:snapToGrid w:val="0"/>
                    <w:ind w:firstLine="0" w:firstLineChars="0"/>
                    <w:jc w:val="center"/>
                    <w:rPr>
                      <w:rFonts w:hint="eastAsia"/>
                      <w:color w:val="auto"/>
                      <w:szCs w:val="21"/>
                    </w:rPr>
                  </w:pPr>
                </w:p>
              </w:tc>
              <w:tc>
                <w:tcPr>
                  <w:tcW w:w="884" w:type="pct"/>
                  <w:noWrap w:val="0"/>
                  <w:vAlign w:val="center"/>
                </w:tcPr>
                <w:p w14:paraId="0CCC1217">
                  <w:pPr>
                    <w:adjustRightInd w:val="0"/>
                    <w:snapToGrid w:val="0"/>
                    <w:ind w:firstLine="0" w:firstLineChars="0"/>
                    <w:jc w:val="center"/>
                    <w:rPr>
                      <w:rFonts w:hint="eastAsia"/>
                      <w:bCs/>
                      <w:color w:val="auto"/>
                      <w:szCs w:val="21"/>
                    </w:rPr>
                  </w:pPr>
                  <w:r>
                    <w:rPr>
                      <w:rFonts w:hint="eastAsia"/>
                      <w:color w:val="auto"/>
                      <w:szCs w:val="21"/>
                    </w:rPr>
                    <w:t>900-047-49</w:t>
                  </w:r>
                </w:p>
              </w:tc>
              <w:tc>
                <w:tcPr>
                  <w:tcW w:w="581" w:type="pct"/>
                  <w:noWrap w:val="0"/>
                  <w:vAlign w:val="center"/>
                </w:tcPr>
                <w:p w14:paraId="1BB4D0F9">
                  <w:pPr>
                    <w:keepNext w:val="0"/>
                    <w:keepLines w:val="0"/>
                    <w:widowControl/>
                    <w:suppressLineNumbers w:val="0"/>
                    <w:adjustRightInd w:val="0"/>
                    <w:snapToGrid w:val="0"/>
                    <w:ind w:firstLine="0" w:firstLineChars="0"/>
                    <w:jc w:val="left"/>
                    <w:rPr>
                      <w:rFonts w:hint="eastAsia"/>
                      <w:color w:val="auto"/>
                      <w:szCs w:val="21"/>
                      <w:lang w:val="en-US" w:eastAsia="zh-CN"/>
                    </w:rPr>
                  </w:pPr>
                  <w:r>
                    <w:rPr>
                      <w:rFonts w:hint="eastAsia"/>
                      <w:color w:val="auto"/>
                      <w:szCs w:val="21"/>
                      <w:lang w:val="en-US" w:eastAsia="zh-CN"/>
                    </w:rPr>
                    <w:t>T/C/I/R</w:t>
                  </w:r>
                </w:p>
              </w:tc>
              <w:tc>
                <w:tcPr>
                  <w:tcW w:w="523" w:type="pct"/>
                  <w:noWrap w:val="0"/>
                  <w:vAlign w:val="center"/>
                </w:tcPr>
                <w:p w14:paraId="4C353B9D">
                  <w:pPr>
                    <w:pStyle w:val="85"/>
                    <w:adjustRightInd w:val="0"/>
                    <w:snapToGrid w:val="0"/>
                    <w:ind w:firstLine="0" w:firstLineChars="0"/>
                    <w:jc w:val="center"/>
                    <w:rPr>
                      <w:rFonts w:hint="default" w:eastAsia="宋体"/>
                      <w:color w:val="auto"/>
                      <w:szCs w:val="21"/>
                      <w:lang w:val="en-US" w:eastAsia="zh-CN"/>
                    </w:rPr>
                  </w:pPr>
                  <w:r>
                    <w:rPr>
                      <w:rFonts w:hint="eastAsia"/>
                      <w:color w:val="auto"/>
                      <w:szCs w:val="21"/>
                      <w:lang w:val="en-US" w:eastAsia="zh-CN"/>
                    </w:rPr>
                    <w:t>0.05</w:t>
                  </w:r>
                </w:p>
              </w:tc>
              <w:tc>
                <w:tcPr>
                  <w:tcW w:w="768" w:type="pct"/>
                  <w:noWrap w:val="0"/>
                  <w:vAlign w:val="center"/>
                </w:tcPr>
                <w:p w14:paraId="095ED0AD">
                  <w:pPr>
                    <w:adjustRightInd w:val="0"/>
                    <w:snapToGrid w:val="0"/>
                    <w:ind w:firstLine="0" w:firstLineChars="0"/>
                    <w:jc w:val="center"/>
                    <w:rPr>
                      <w:rFonts w:hint="eastAsia" w:eastAsia="宋体"/>
                      <w:color w:val="auto"/>
                      <w:szCs w:val="21"/>
                      <w:lang w:val="en-US" w:eastAsia="zh-CN"/>
                    </w:rPr>
                  </w:pPr>
                  <w:r>
                    <w:rPr>
                      <w:rFonts w:hint="eastAsia"/>
                      <w:color w:val="auto"/>
                      <w:szCs w:val="21"/>
                      <w:lang w:val="en-US" w:eastAsia="zh-CN"/>
                    </w:rPr>
                    <w:t>实验检测</w:t>
                  </w:r>
                </w:p>
              </w:tc>
              <w:tc>
                <w:tcPr>
                  <w:tcW w:w="810" w:type="pct"/>
                  <w:vMerge w:val="continue"/>
                  <w:noWrap w:val="0"/>
                  <w:vAlign w:val="center"/>
                </w:tcPr>
                <w:p w14:paraId="187F0583">
                  <w:pPr>
                    <w:pStyle w:val="85"/>
                    <w:adjustRightInd w:val="0"/>
                    <w:snapToGrid w:val="0"/>
                    <w:ind w:firstLine="0" w:firstLineChars="0"/>
                    <w:jc w:val="center"/>
                    <w:rPr>
                      <w:rFonts w:hint="eastAsia"/>
                      <w:color w:val="auto"/>
                      <w:szCs w:val="21"/>
                    </w:rPr>
                  </w:pPr>
                </w:p>
              </w:tc>
            </w:tr>
            <w:tr w14:paraId="5AC833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85" w:type="pct"/>
                  <w:noWrap w:val="0"/>
                  <w:vAlign w:val="center"/>
                </w:tcPr>
                <w:p w14:paraId="09D78E4C">
                  <w:pPr>
                    <w:pStyle w:val="85"/>
                    <w:numPr>
                      <w:ilvl w:val="0"/>
                      <w:numId w:val="5"/>
                    </w:numPr>
                    <w:adjustRightInd w:val="0"/>
                    <w:snapToGrid w:val="0"/>
                    <w:ind w:firstLineChars="0"/>
                    <w:jc w:val="center"/>
                    <w:rPr>
                      <w:rFonts w:hint="eastAsia"/>
                      <w:color w:val="auto"/>
                      <w:szCs w:val="21"/>
                    </w:rPr>
                  </w:pPr>
                </w:p>
              </w:tc>
              <w:tc>
                <w:tcPr>
                  <w:tcW w:w="723" w:type="pct"/>
                  <w:noWrap w:val="0"/>
                  <w:vAlign w:val="center"/>
                </w:tcPr>
                <w:p w14:paraId="4A28B8B2">
                  <w:pPr>
                    <w:adjustRightInd w:val="0"/>
                    <w:snapToGrid w:val="0"/>
                    <w:jc w:val="center"/>
                    <w:rPr>
                      <w:rFonts w:hint="eastAsia"/>
                      <w:bCs/>
                      <w:color w:val="auto"/>
                      <w:szCs w:val="21"/>
                    </w:rPr>
                  </w:pPr>
                  <w:r>
                    <w:rPr>
                      <w:rFonts w:hint="eastAsia"/>
                      <w:bCs/>
                      <w:color w:val="auto"/>
                      <w:szCs w:val="21"/>
                      <w:lang w:val="en-US" w:eastAsia="zh-CN"/>
                    </w:rPr>
                    <w:t>废试剂瓶</w:t>
                  </w:r>
                </w:p>
              </w:tc>
              <w:tc>
                <w:tcPr>
                  <w:tcW w:w="422" w:type="pct"/>
                  <w:vMerge w:val="continue"/>
                  <w:noWrap w:val="0"/>
                  <w:vAlign w:val="center"/>
                </w:tcPr>
                <w:p w14:paraId="421AC6E2">
                  <w:pPr>
                    <w:pStyle w:val="85"/>
                    <w:adjustRightInd w:val="0"/>
                    <w:snapToGrid w:val="0"/>
                    <w:ind w:firstLine="0" w:firstLineChars="0"/>
                    <w:jc w:val="center"/>
                    <w:rPr>
                      <w:rFonts w:hint="eastAsia"/>
                      <w:color w:val="auto"/>
                      <w:szCs w:val="21"/>
                    </w:rPr>
                  </w:pPr>
                </w:p>
              </w:tc>
              <w:tc>
                <w:tcPr>
                  <w:tcW w:w="884" w:type="pct"/>
                  <w:noWrap w:val="0"/>
                  <w:vAlign w:val="center"/>
                </w:tcPr>
                <w:p w14:paraId="01217ED4">
                  <w:pPr>
                    <w:adjustRightInd w:val="0"/>
                    <w:snapToGrid w:val="0"/>
                    <w:ind w:firstLine="0" w:firstLineChars="0"/>
                    <w:jc w:val="center"/>
                    <w:rPr>
                      <w:rFonts w:hint="eastAsia"/>
                      <w:bCs/>
                      <w:color w:val="auto"/>
                      <w:szCs w:val="21"/>
                    </w:rPr>
                  </w:pPr>
                  <w:r>
                    <w:rPr>
                      <w:rFonts w:hint="eastAsia"/>
                      <w:color w:val="auto"/>
                      <w:szCs w:val="21"/>
                    </w:rPr>
                    <w:t>900-047-49</w:t>
                  </w:r>
                </w:p>
              </w:tc>
              <w:tc>
                <w:tcPr>
                  <w:tcW w:w="581" w:type="pct"/>
                  <w:noWrap w:val="0"/>
                  <w:vAlign w:val="center"/>
                </w:tcPr>
                <w:p w14:paraId="1993106F">
                  <w:pPr>
                    <w:keepNext w:val="0"/>
                    <w:keepLines w:val="0"/>
                    <w:widowControl/>
                    <w:suppressLineNumbers w:val="0"/>
                    <w:adjustRightInd w:val="0"/>
                    <w:snapToGrid w:val="0"/>
                    <w:ind w:firstLine="0" w:firstLineChars="0"/>
                    <w:jc w:val="left"/>
                    <w:rPr>
                      <w:rFonts w:hint="eastAsia"/>
                      <w:color w:val="auto"/>
                      <w:szCs w:val="21"/>
                    </w:rPr>
                  </w:pPr>
                  <w:r>
                    <w:rPr>
                      <w:rFonts w:hint="eastAsia"/>
                      <w:color w:val="auto"/>
                      <w:szCs w:val="21"/>
                      <w:lang w:val="en-US" w:eastAsia="zh-CN"/>
                    </w:rPr>
                    <w:t>T/C/I/R</w:t>
                  </w:r>
                </w:p>
              </w:tc>
              <w:tc>
                <w:tcPr>
                  <w:tcW w:w="523" w:type="pct"/>
                  <w:noWrap w:val="0"/>
                  <w:vAlign w:val="center"/>
                </w:tcPr>
                <w:p w14:paraId="3F9D6005">
                  <w:pPr>
                    <w:pStyle w:val="85"/>
                    <w:adjustRightInd w:val="0"/>
                    <w:snapToGrid w:val="0"/>
                    <w:ind w:firstLine="0" w:firstLineChars="0"/>
                    <w:jc w:val="center"/>
                    <w:rPr>
                      <w:rFonts w:hint="default" w:eastAsia="宋体"/>
                      <w:color w:val="auto"/>
                      <w:szCs w:val="21"/>
                      <w:lang w:val="en-US" w:eastAsia="zh-CN"/>
                    </w:rPr>
                  </w:pPr>
                  <w:r>
                    <w:rPr>
                      <w:rFonts w:hint="eastAsia"/>
                      <w:color w:val="auto"/>
                      <w:szCs w:val="21"/>
                      <w:lang w:val="en-US" w:eastAsia="zh-CN"/>
                    </w:rPr>
                    <w:t>0.1</w:t>
                  </w:r>
                </w:p>
              </w:tc>
              <w:tc>
                <w:tcPr>
                  <w:tcW w:w="768" w:type="pct"/>
                  <w:noWrap w:val="0"/>
                  <w:vAlign w:val="center"/>
                </w:tcPr>
                <w:p w14:paraId="44CCAB0B">
                  <w:pPr>
                    <w:adjustRightInd w:val="0"/>
                    <w:snapToGrid w:val="0"/>
                    <w:ind w:firstLine="0" w:firstLineChars="0"/>
                    <w:jc w:val="center"/>
                    <w:rPr>
                      <w:rFonts w:hint="eastAsia"/>
                      <w:color w:val="auto"/>
                      <w:szCs w:val="21"/>
                    </w:rPr>
                  </w:pPr>
                  <w:r>
                    <w:rPr>
                      <w:rFonts w:hint="eastAsia"/>
                      <w:color w:val="auto"/>
                      <w:szCs w:val="21"/>
                      <w:lang w:val="en-US" w:eastAsia="zh-CN"/>
                    </w:rPr>
                    <w:t>实验检测</w:t>
                  </w:r>
                </w:p>
              </w:tc>
              <w:tc>
                <w:tcPr>
                  <w:tcW w:w="810" w:type="pct"/>
                  <w:vMerge w:val="continue"/>
                  <w:noWrap w:val="0"/>
                  <w:vAlign w:val="center"/>
                </w:tcPr>
                <w:p w14:paraId="2B180BE8">
                  <w:pPr>
                    <w:pStyle w:val="85"/>
                    <w:adjustRightInd w:val="0"/>
                    <w:snapToGrid w:val="0"/>
                    <w:ind w:firstLine="0" w:firstLineChars="0"/>
                    <w:jc w:val="center"/>
                    <w:rPr>
                      <w:color w:val="auto"/>
                      <w:szCs w:val="21"/>
                    </w:rPr>
                  </w:pPr>
                </w:p>
              </w:tc>
            </w:tr>
            <w:tr w14:paraId="743BF4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0" w:hRule="atLeast"/>
                <w:jc w:val="center"/>
              </w:trPr>
              <w:tc>
                <w:tcPr>
                  <w:tcW w:w="285" w:type="pct"/>
                  <w:noWrap w:val="0"/>
                  <w:vAlign w:val="center"/>
                </w:tcPr>
                <w:p w14:paraId="338B2358">
                  <w:pPr>
                    <w:pStyle w:val="85"/>
                    <w:numPr>
                      <w:ilvl w:val="0"/>
                      <w:numId w:val="5"/>
                    </w:numPr>
                    <w:adjustRightInd w:val="0"/>
                    <w:snapToGrid w:val="0"/>
                    <w:ind w:firstLineChars="0"/>
                    <w:jc w:val="center"/>
                    <w:rPr>
                      <w:rFonts w:hint="eastAsia"/>
                      <w:color w:val="auto"/>
                      <w:szCs w:val="21"/>
                    </w:rPr>
                  </w:pPr>
                </w:p>
              </w:tc>
              <w:tc>
                <w:tcPr>
                  <w:tcW w:w="723" w:type="pct"/>
                  <w:noWrap w:val="0"/>
                  <w:vAlign w:val="center"/>
                </w:tcPr>
                <w:p w14:paraId="6BA0C151">
                  <w:pPr>
                    <w:adjustRightInd w:val="0"/>
                    <w:snapToGrid w:val="0"/>
                    <w:jc w:val="center"/>
                    <w:rPr>
                      <w:rFonts w:hint="eastAsia"/>
                      <w:bCs/>
                      <w:color w:val="auto"/>
                      <w:kern w:val="2"/>
                      <w:sz w:val="21"/>
                      <w:szCs w:val="21"/>
                      <w:lang w:val="en-US" w:eastAsia="zh-CN" w:bidi="ar-SA"/>
                    </w:rPr>
                  </w:pPr>
                  <w:r>
                    <w:rPr>
                      <w:rFonts w:hint="eastAsia"/>
                      <w:bCs/>
                      <w:color w:val="auto"/>
                      <w:kern w:val="2"/>
                      <w:sz w:val="21"/>
                      <w:szCs w:val="21"/>
                      <w:lang w:val="en-US" w:eastAsia="zh-CN" w:bidi="ar-SA"/>
                    </w:rPr>
                    <w:t>污水处理设备污泥</w:t>
                  </w:r>
                </w:p>
              </w:tc>
              <w:tc>
                <w:tcPr>
                  <w:tcW w:w="422" w:type="pct"/>
                  <w:vMerge w:val="continue"/>
                  <w:noWrap w:val="0"/>
                  <w:vAlign w:val="center"/>
                </w:tcPr>
                <w:p w14:paraId="34E33068">
                  <w:pPr>
                    <w:pStyle w:val="85"/>
                    <w:adjustRightInd w:val="0"/>
                    <w:snapToGrid w:val="0"/>
                    <w:ind w:firstLine="0" w:firstLineChars="0"/>
                    <w:jc w:val="center"/>
                    <w:rPr>
                      <w:rFonts w:hint="eastAsia"/>
                      <w:snapToGrid w:val="0"/>
                      <w:color w:val="auto"/>
                      <w:kern w:val="0"/>
                      <w:sz w:val="21"/>
                      <w:szCs w:val="21"/>
                      <w:lang w:val="en-US" w:eastAsia="zh-CN" w:bidi="ar-SA"/>
                    </w:rPr>
                  </w:pPr>
                </w:p>
              </w:tc>
              <w:tc>
                <w:tcPr>
                  <w:tcW w:w="884" w:type="pct"/>
                  <w:noWrap w:val="0"/>
                  <w:vAlign w:val="center"/>
                </w:tcPr>
                <w:p w14:paraId="22635350">
                  <w:pPr>
                    <w:pStyle w:val="85"/>
                    <w:adjustRightInd w:val="0"/>
                    <w:snapToGrid w:val="0"/>
                    <w:ind w:firstLine="0" w:firstLineChars="0"/>
                    <w:jc w:val="center"/>
                    <w:rPr>
                      <w:rFonts w:hint="eastAsia"/>
                      <w:bCs/>
                      <w:snapToGrid w:val="0"/>
                      <w:color w:val="auto"/>
                      <w:kern w:val="0"/>
                      <w:sz w:val="21"/>
                      <w:szCs w:val="21"/>
                      <w:lang w:val="en-US" w:eastAsia="zh-CN" w:bidi="ar-SA"/>
                    </w:rPr>
                  </w:pPr>
                  <w:r>
                    <w:rPr>
                      <w:rFonts w:hint="eastAsia"/>
                      <w:bCs/>
                      <w:snapToGrid w:val="0"/>
                      <w:color w:val="auto"/>
                      <w:kern w:val="0"/>
                      <w:sz w:val="21"/>
                      <w:szCs w:val="21"/>
                      <w:lang w:val="en-US" w:eastAsia="zh-CN" w:bidi="ar-SA"/>
                    </w:rPr>
                    <w:t>772-006-49</w:t>
                  </w:r>
                </w:p>
              </w:tc>
              <w:tc>
                <w:tcPr>
                  <w:tcW w:w="581" w:type="pct"/>
                  <w:noWrap w:val="0"/>
                  <w:vAlign w:val="center"/>
                </w:tcPr>
                <w:p w14:paraId="189B6C01">
                  <w:pPr>
                    <w:pStyle w:val="85"/>
                    <w:adjustRightInd w:val="0"/>
                    <w:snapToGrid w:val="0"/>
                    <w:ind w:firstLine="0" w:firstLineChars="0"/>
                    <w:jc w:val="center"/>
                    <w:rPr>
                      <w:rFonts w:hint="eastAsia"/>
                      <w:snapToGrid w:val="0"/>
                      <w:color w:val="auto"/>
                      <w:kern w:val="0"/>
                      <w:sz w:val="21"/>
                      <w:szCs w:val="21"/>
                      <w:lang w:val="en-US" w:eastAsia="zh-CN" w:bidi="ar-SA"/>
                    </w:rPr>
                  </w:pPr>
                  <w:r>
                    <w:rPr>
                      <w:rFonts w:hint="eastAsia"/>
                      <w:snapToGrid w:val="0"/>
                      <w:color w:val="auto"/>
                      <w:kern w:val="0"/>
                      <w:sz w:val="21"/>
                      <w:szCs w:val="21"/>
                      <w:lang w:val="en-US" w:eastAsia="zh-CN" w:bidi="ar-SA"/>
                    </w:rPr>
                    <w:t>T/In</w:t>
                  </w:r>
                </w:p>
              </w:tc>
              <w:tc>
                <w:tcPr>
                  <w:tcW w:w="523" w:type="pct"/>
                  <w:noWrap w:val="0"/>
                  <w:vAlign w:val="center"/>
                </w:tcPr>
                <w:p w14:paraId="2691F5F1">
                  <w:pPr>
                    <w:pStyle w:val="85"/>
                    <w:adjustRightInd w:val="0"/>
                    <w:snapToGrid w:val="0"/>
                    <w:ind w:firstLine="0" w:firstLineChars="0"/>
                    <w:jc w:val="center"/>
                    <w:rPr>
                      <w:rFonts w:hint="default"/>
                      <w:snapToGrid w:val="0"/>
                      <w:color w:val="auto"/>
                      <w:kern w:val="0"/>
                      <w:sz w:val="21"/>
                      <w:szCs w:val="21"/>
                      <w:lang w:val="en-US" w:eastAsia="zh-CN" w:bidi="ar-SA"/>
                    </w:rPr>
                  </w:pPr>
                  <w:r>
                    <w:rPr>
                      <w:rFonts w:hint="eastAsia"/>
                      <w:snapToGrid w:val="0"/>
                      <w:color w:val="auto"/>
                      <w:kern w:val="0"/>
                      <w:sz w:val="21"/>
                      <w:szCs w:val="21"/>
                      <w:lang w:val="en-US" w:eastAsia="zh-CN" w:bidi="ar-SA"/>
                    </w:rPr>
                    <w:t>0.23</w:t>
                  </w:r>
                </w:p>
              </w:tc>
              <w:tc>
                <w:tcPr>
                  <w:tcW w:w="768" w:type="pct"/>
                  <w:noWrap w:val="0"/>
                  <w:vAlign w:val="center"/>
                </w:tcPr>
                <w:p w14:paraId="4D3F8D16">
                  <w:pPr>
                    <w:pStyle w:val="85"/>
                    <w:adjustRightInd w:val="0"/>
                    <w:snapToGrid w:val="0"/>
                    <w:ind w:firstLine="0" w:firstLineChars="0"/>
                    <w:jc w:val="center"/>
                    <w:rPr>
                      <w:rFonts w:hint="eastAsia"/>
                      <w:snapToGrid w:val="0"/>
                      <w:color w:val="auto"/>
                      <w:kern w:val="0"/>
                      <w:sz w:val="21"/>
                      <w:szCs w:val="21"/>
                      <w:lang w:val="en-US" w:eastAsia="zh-CN" w:bidi="ar-SA"/>
                    </w:rPr>
                  </w:pPr>
                  <w:r>
                    <w:rPr>
                      <w:rFonts w:hint="eastAsia"/>
                      <w:color w:val="auto"/>
                      <w:szCs w:val="21"/>
                    </w:rPr>
                    <w:t>废水治理</w:t>
                  </w:r>
                </w:p>
              </w:tc>
              <w:tc>
                <w:tcPr>
                  <w:tcW w:w="810" w:type="pct"/>
                  <w:noWrap w:val="0"/>
                  <w:vAlign w:val="center"/>
                </w:tcPr>
                <w:p w14:paraId="209A969F">
                  <w:pPr>
                    <w:pStyle w:val="85"/>
                    <w:adjustRightInd w:val="0"/>
                    <w:snapToGrid w:val="0"/>
                    <w:ind w:firstLine="0" w:firstLineChars="0"/>
                    <w:jc w:val="center"/>
                    <w:rPr>
                      <w:rFonts w:hint="eastAsia" w:eastAsia="宋体"/>
                      <w:color w:val="auto"/>
                      <w:szCs w:val="21"/>
                      <w:lang w:val="en-US" w:eastAsia="zh-CN"/>
                    </w:rPr>
                  </w:pPr>
                  <w:r>
                    <w:rPr>
                      <w:rFonts w:hint="eastAsia"/>
                      <w:color w:val="auto"/>
                      <w:szCs w:val="21"/>
                      <w:lang w:val="en-US" w:eastAsia="zh-CN"/>
                    </w:rPr>
                    <w:t>委托有资质单位进行拉运并处置</w:t>
                  </w:r>
                </w:p>
              </w:tc>
            </w:tr>
          </w:tbl>
          <w:p w14:paraId="7A11748B">
            <w:pPr>
              <w:pStyle w:val="71"/>
              <w:snapToGrid w:val="0"/>
              <w:spacing w:before="120" w:beforeLines="50" w:line="360" w:lineRule="auto"/>
              <w:rPr>
                <w:b/>
                <w:bCs/>
                <w:color w:val="auto"/>
                <w:sz w:val="24"/>
                <w:szCs w:val="24"/>
              </w:rPr>
            </w:pPr>
            <w:r>
              <w:rPr>
                <w:rFonts w:hint="eastAsia"/>
                <w:b/>
                <w:bCs/>
                <w:color w:val="auto"/>
                <w:sz w:val="24"/>
                <w:szCs w:val="24"/>
              </w:rPr>
              <w:t>4</w:t>
            </w:r>
            <w:r>
              <w:rPr>
                <w:b/>
                <w:bCs/>
                <w:color w:val="auto"/>
                <w:sz w:val="24"/>
                <w:szCs w:val="24"/>
              </w:rPr>
              <w:t>.2</w:t>
            </w:r>
            <w:r>
              <w:rPr>
                <w:rFonts w:hint="eastAsia"/>
                <w:b/>
                <w:bCs/>
                <w:color w:val="auto"/>
                <w:sz w:val="24"/>
                <w:szCs w:val="24"/>
              </w:rPr>
              <w:t>治理措施及管理要求</w:t>
            </w:r>
          </w:p>
          <w:p w14:paraId="594FF629">
            <w:pPr>
              <w:pStyle w:val="71"/>
              <w:snapToGrid w:val="0"/>
              <w:spacing w:line="360" w:lineRule="auto"/>
              <w:rPr>
                <w:rFonts w:hint="eastAsia"/>
                <w:b/>
                <w:bCs/>
                <w:color w:val="auto"/>
                <w:sz w:val="24"/>
                <w:szCs w:val="24"/>
              </w:rPr>
            </w:pPr>
            <w:r>
              <w:rPr>
                <w:rFonts w:hint="eastAsia"/>
                <w:b/>
                <w:bCs/>
                <w:color w:val="auto"/>
                <w:sz w:val="24"/>
                <w:szCs w:val="24"/>
              </w:rPr>
              <w:t>4</w:t>
            </w:r>
            <w:r>
              <w:rPr>
                <w:b/>
                <w:bCs/>
                <w:color w:val="auto"/>
                <w:sz w:val="24"/>
                <w:szCs w:val="24"/>
              </w:rPr>
              <w:t>.2.1</w:t>
            </w:r>
            <w:r>
              <w:rPr>
                <w:rFonts w:hint="eastAsia"/>
                <w:b/>
                <w:bCs/>
                <w:color w:val="auto"/>
                <w:sz w:val="24"/>
                <w:szCs w:val="24"/>
              </w:rPr>
              <w:t>危险废物处理措施</w:t>
            </w:r>
          </w:p>
          <w:p w14:paraId="1C575FDF">
            <w:pPr>
              <w:adjustRightInd w:val="0"/>
              <w:snapToGrid w:val="0"/>
              <w:spacing w:line="360" w:lineRule="auto"/>
              <w:ind w:firstLine="480" w:firstLineChars="200"/>
              <w:rPr>
                <w:color w:val="auto"/>
                <w:sz w:val="24"/>
              </w:rPr>
            </w:pPr>
            <w:r>
              <w:rPr>
                <w:rFonts w:hint="eastAsia"/>
                <w:color w:val="auto"/>
                <w:sz w:val="24"/>
              </w:rPr>
              <w:t>本项目产生的</w:t>
            </w:r>
            <w:r>
              <w:rPr>
                <w:rFonts w:hint="eastAsia"/>
                <w:color w:val="auto"/>
                <w:sz w:val="24"/>
                <w:lang w:val="en-US" w:eastAsia="zh-CN"/>
              </w:rPr>
              <w:t>实验废液、废实验用品、废试剂瓶及</w:t>
            </w:r>
            <w:r>
              <w:rPr>
                <w:rFonts w:hint="eastAsia"/>
                <w:color w:val="auto"/>
                <w:sz w:val="24"/>
              </w:rPr>
              <w:t>污水处理</w:t>
            </w:r>
            <w:r>
              <w:rPr>
                <w:rFonts w:hint="eastAsia"/>
                <w:color w:val="auto"/>
                <w:sz w:val="24"/>
                <w:lang w:val="en-US" w:eastAsia="zh-CN"/>
              </w:rPr>
              <w:t>设备</w:t>
            </w:r>
            <w:r>
              <w:rPr>
                <w:rFonts w:hint="eastAsia"/>
                <w:color w:val="auto"/>
                <w:sz w:val="24"/>
              </w:rPr>
              <w:t>污泥属于危险废物</w:t>
            </w:r>
            <w:r>
              <w:rPr>
                <w:rFonts w:hint="eastAsia"/>
                <w:color w:val="auto"/>
                <w:sz w:val="24"/>
                <w:lang w:eastAsia="zh-CN"/>
              </w:rPr>
              <w:t>。</w:t>
            </w:r>
            <w:r>
              <w:rPr>
                <w:rFonts w:hint="eastAsia"/>
                <w:color w:val="auto"/>
                <w:sz w:val="24"/>
                <w:lang w:val="en-US" w:eastAsia="zh-CN"/>
              </w:rPr>
              <w:t>其中</w:t>
            </w:r>
            <w:r>
              <w:rPr>
                <w:rFonts w:hint="eastAsia"/>
                <w:color w:val="auto"/>
                <w:sz w:val="24"/>
                <w:lang w:val="zh-CN" w:eastAsia="zh-CN"/>
              </w:rPr>
              <w:t>污水处理</w:t>
            </w:r>
            <w:r>
              <w:rPr>
                <w:rFonts w:hint="eastAsia"/>
                <w:color w:val="auto"/>
                <w:sz w:val="24"/>
                <w:lang w:val="en-US" w:eastAsia="zh-CN"/>
              </w:rPr>
              <w:t>设备</w:t>
            </w:r>
            <w:r>
              <w:rPr>
                <w:rFonts w:hint="eastAsia"/>
                <w:color w:val="auto"/>
                <w:sz w:val="24"/>
                <w:lang w:val="zh-CN" w:eastAsia="zh-CN"/>
              </w:rPr>
              <w:t>污泥</w:t>
            </w:r>
            <w:r>
              <w:rPr>
                <w:rFonts w:hint="eastAsia"/>
                <w:color w:val="auto"/>
                <w:sz w:val="24"/>
                <w:lang w:val="en-US" w:eastAsia="zh-CN"/>
              </w:rPr>
              <w:t>委托有危险废物处理资质的单位拉运并处置；实验废液、废实验用品、废试剂瓶在危废暂存间暂存（20m</w:t>
            </w:r>
            <w:r>
              <w:rPr>
                <w:rFonts w:hint="eastAsia"/>
                <w:color w:val="auto"/>
                <w:sz w:val="24"/>
                <w:vertAlign w:val="superscript"/>
                <w:lang w:val="en-US" w:eastAsia="zh-CN"/>
              </w:rPr>
              <w:t>2</w:t>
            </w:r>
            <w:r>
              <w:rPr>
                <w:rFonts w:hint="eastAsia"/>
                <w:color w:val="auto"/>
                <w:sz w:val="24"/>
                <w:lang w:val="en-US" w:eastAsia="zh-CN"/>
              </w:rPr>
              <w:t>），定期交由有危险废物处理资质的单位处置。</w:t>
            </w:r>
            <w:r>
              <w:rPr>
                <w:rFonts w:hint="eastAsia"/>
                <w:color w:val="auto"/>
                <w:sz w:val="24"/>
              </w:rPr>
              <w:t>在</w:t>
            </w:r>
            <w:r>
              <w:rPr>
                <w:rFonts w:hint="eastAsia"/>
                <w:color w:val="auto"/>
                <w:sz w:val="24"/>
                <w:lang w:val="en-US" w:eastAsia="zh-CN"/>
              </w:rPr>
              <w:t>实验室</w:t>
            </w:r>
            <w:r>
              <w:rPr>
                <w:rFonts w:hint="eastAsia"/>
                <w:color w:val="auto"/>
                <w:sz w:val="24"/>
              </w:rPr>
              <w:t>设置</w:t>
            </w:r>
            <w:r>
              <w:rPr>
                <w:rFonts w:hint="eastAsia"/>
                <w:color w:val="auto"/>
                <w:sz w:val="24"/>
                <w:lang w:val="en-US" w:eastAsia="zh-CN"/>
              </w:rPr>
              <w:t>20</w:t>
            </w:r>
            <w:r>
              <w:rPr>
                <w:rFonts w:hint="eastAsia"/>
                <w:color w:val="auto"/>
                <w:sz w:val="24"/>
              </w:rPr>
              <w:t>m</w:t>
            </w:r>
            <w:r>
              <w:rPr>
                <w:color w:val="auto"/>
                <w:sz w:val="24"/>
                <w:vertAlign w:val="superscript"/>
              </w:rPr>
              <w:t>2</w:t>
            </w:r>
            <w:r>
              <w:rPr>
                <w:rFonts w:hint="eastAsia"/>
                <w:color w:val="auto"/>
                <w:sz w:val="24"/>
                <w:lang w:eastAsia="zh-CN"/>
              </w:rPr>
              <w:t>危废</w:t>
            </w:r>
            <w:r>
              <w:rPr>
                <w:rFonts w:hint="eastAsia"/>
                <w:color w:val="auto"/>
                <w:sz w:val="24"/>
                <w:lang w:val="en-US" w:eastAsia="zh-CN"/>
              </w:rPr>
              <w:t>暂存间</w:t>
            </w:r>
            <w:r>
              <w:rPr>
                <w:rFonts w:hint="eastAsia"/>
                <w:color w:val="auto"/>
                <w:sz w:val="24"/>
              </w:rPr>
              <w:t>1座，对本项目产生的各类危险废物分类暂存，委托有资质单位定期清运处理。</w:t>
            </w:r>
          </w:p>
          <w:p w14:paraId="6D925BB7">
            <w:pPr>
              <w:pStyle w:val="71"/>
              <w:snapToGrid w:val="0"/>
              <w:spacing w:line="360" w:lineRule="auto"/>
              <w:rPr>
                <w:rFonts w:hint="eastAsia"/>
                <w:b/>
                <w:bCs/>
                <w:color w:val="auto"/>
                <w:sz w:val="24"/>
                <w:szCs w:val="24"/>
              </w:rPr>
            </w:pPr>
            <w:r>
              <w:rPr>
                <w:rFonts w:hint="eastAsia"/>
                <w:b/>
                <w:bCs/>
                <w:color w:val="auto"/>
                <w:sz w:val="24"/>
                <w:szCs w:val="24"/>
              </w:rPr>
              <w:t>4</w:t>
            </w:r>
            <w:r>
              <w:rPr>
                <w:b/>
                <w:bCs/>
                <w:color w:val="auto"/>
                <w:sz w:val="24"/>
                <w:szCs w:val="24"/>
              </w:rPr>
              <w:t>.2.2</w:t>
            </w:r>
            <w:r>
              <w:rPr>
                <w:rFonts w:hint="eastAsia"/>
                <w:b/>
                <w:bCs/>
                <w:color w:val="auto"/>
                <w:sz w:val="24"/>
                <w:szCs w:val="24"/>
              </w:rPr>
              <w:t>危险废物转移</w:t>
            </w:r>
          </w:p>
          <w:p w14:paraId="25AFDF5F">
            <w:pPr>
              <w:adjustRightInd w:val="0"/>
              <w:snapToGrid w:val="0"/>
              <w:spacing w:line="360" w:lineRule="auto"/>
              <w:ind w:firstLine="480" w:firstLineChars="200"/>
              <w:rPr>
                <w:rFonts w:hint="eastAsia"/>
                <w:color w:val="auto"/>
                <w:sz w:val="24"/>
              </w:rPr>
            </w:pPr>
            <w:r>
              <w:rPr>
                <w:rFonts w:hint="eastAsia"/>
                <w:color w:val="auto"/>
                <w:sz w:val="24"/>
              </w:rPr>
              <w:t>根据</w:t>
            </w:r>
            <w:r>
              <w:rPr>
                <w:rFonts w:hint="eastAsia"/>
                <w:color w:val="auto"/>
                <w:spacing w:val="10"/>
                <w:sz w:val="24"/>
              </w:rPr>
              <w:t>《危险废物转移管理办法》（国家环境保护总局令第</w:t>
            </w:r>
            <w:r>
              <w:rPr>
                <w:rFonts w:hint="eastAsia"/>
                <w:color w:val="auto"/>
                <w:spacing w:val="10"/>
                <w:sz w:val="24"/>
                <w:lang w:val="en-US" w:eastAsia="zh-CN"/>
              </w:rPr>
              <w:t>23</w:t>
            </w:r>
            <w:r>
              <w:rPr>
                <w:rFonts w:hint="eastAsia"/>
                <w:color w:val="auto"/>
                <w:spacing w:val="10"/>
                <w:sz w:val="24"/>
              </w:rPr>
              <w:t>号）</w:t>
            </w:r>
            <w:r>
              <w:rPr>
                <w:rFonts w:hint="eastAsia"/>
                <w:color w:val="auto"/>
                <w:sz w:val="24"/>
              </w:rPr>
              <w:t xml:space="preserve">，企业对其产生的危险废物进行贮存，并按照国家有关规定办理危险废物申报转移的“五联单”手续，并在贮运过程中严格执行危险化学品贮存、运输和监管的有关规定。 </w:t>
            </w:r>
          </w:p>
          <w:p w14:paraId="542F1EDD">
            <w:pPr>
              <w:adjustRightInd w:val="0"/>
              <w:snapToGrid w:val="0"/>
              <w:spacing w:line="360" w:lineRule="auto"/>
              <w:ind w:firstLine="480" w:firstLineChars="200"/>
              <w:rPr>
                <w:color w:val="auto"/>
                <w:sz w:val="24"/>
              </w:rPr>
            </w:pPr>
            <w:r>
              <w:rPr>
                <w:rFonts w:hint="eastAsia"/>
                <w:color w:val="auto"/>
                <w:sz w:val="24"/>
              </w:rPr>
              <w:t>《固体废物污染环境防治法》第五十三条规定：产生危险废物的单位，必须按照国家有关规定制定危险废物管理计划，并向所在地县级以上地方人民政府环境保护行政主管部门申报危险废物的种类、产生量、流向、贮存、处置等有关资料。前款所称危险废物管理计划应当包括减少危险废物产生量和控制危害性的措施以及危险废物贮存、利用、处置措施。危险废物管理计划应当报产生危险废物的单位所在地县级以上地方人民政府环境保护行政主管部门备案。本条规定的申报事项或者危险废物管理计划内容有重大改变的，应当及时申报。</w:t>
            </w:r>
          </w:p>
          <w:p w14:paraId="53D4FB99">
            <w:pPr>
              <w:pStyle w:val="71"/>
              <w:snapToGrid w:val="0"/>
              <w:spacing w:line="360" w:lineRule="auto"/>
              <w:rPr>
                <w:rFonts w:hint="eastAsia"/>
                <w:b/>
                <w:bCs/>
                <w:color w:val="auto"/>
                <w:sz w:val="24"/>
                <w:szCs w:val="24"/>
              </w:rPr>
            </w:pPr>
            <w:r>
              <w:rPr>
                <w:rFonts w:hint="eastAsia"/>
                <w:b/>
                <w:bCs/>
                <w:color w:val="auto"/>
                <w:sz w:val="24"/>
                <w:szCs w:val="24"/>
              </w:rPr>
              <w:t>4</w:t>
            </w:r>
            <w:r>
              <w:rPr>
                <w:b/>
                <w:bCs/>
                <w:color w:val="auto"/>
                <w:sz w:val="24"/>
                <w:szCs w:val="24"/>
              </w:rPr>
              <w:t>.2.3</w:t>
            </w:r>
            <w:r>
              <w:rPr>
                <w:rFonts w:hint="eastAsia"/>
                <w:b/>
                <w:bCs/>
                <w:color w:val="auto"/>
                <w:sz w:val="24"/>
                <w:szCs w:val="24"/>
              </w:rPr>
              <w:t>危险管理要求</w:t>
            </w:r>
          </w:p>
          <w:p w14:paraId="22E6A65E">
            <w:pPr>
              <w:spacing w:line="360" w:lineRule="auto"/>
              <w:ind w:firstLine="480" w:firstLineChars="200"/>
              <w:rPr>
                <w:rFonts w:hint="default"/>
                <w:color w:val="auto"/>
                <w:sz w:val="24"/>
                <w:lang w:val="en-US" w:eastAsia="zh-CN"/>
              </w:rPr>
            </w:pPr>
            <w:r>
              <w:rPr>
                <w:rFonts w:hint="eastAsia"/>
                <w:color w:val="auto"/>
                <w:sz w:val="24"/>
              </w:rPr>
              <w:t>项目危险废物</w:t>
            </w:r>
            <w:r>
              <w:rPr>
                <w:rFonts w:hint="eastAsia"/>
                <w:color w:val="auto"/>
                <w:sz w:val="24"/>
                <w:lang w:val="zh-CN"/>
              </w:rPr>
              <w:t>按照</w:t>
            </w:r>
            <w:r>
              <w:rPr>
                <w:rFonts w:hint="eastAsia"/>
                <w:bCs/>
                <w:color w:val="auto"/>
                <w:sz w:val="24"/>
              </w:rPr>
              <w:t>《危险废物贮存污染控制标准》（GB18597-2023）</w:t>
            </w:r>
            <w:r>
              <w:rPr>
                <w:rFonts w:hint="eastAsia"/>
                <w:color w:val="auto"/>
                <w:sz w:val="24"/>
                <w:lang w:val="zh-CN"/>
              </w:rPr>
              <w:t>的要求，由建设单位收集分类暂存于</w:t>
            </w:r>
            <w:r>
              <w:rPr>
                <w:rFonts w:hint="eastAsia"/>
                <w:color w:val="auto"/>
                <w:sz w:val="24"/>
                <w:lang w:val="en-US" w:eastAsia="zh-CN"/>
              </w:rPr>
              <w:t>危险废物暂存间</w:t>
            </w:r>
            <w:r>
              <w:rPr>
                <w:rFonts w:hint="eastAsia"/>
                <w:color w:val="auto"/>
                <w:sz w:val="24"/>
                <w:lang w:val="zh-CN"/>
              </w:rPr>
              <w:t>内，定期交由具有处理资质的单位清运处置。</w:t>
            </w:r>
            <w:r>
              <w:rPr>
                <w:rFonts w:hint="eastAsia"/>
                <w:color w:val="auto"/>
                <w:sz w:val="24"/>
              </w:rPr>
              <w:t>项目于</w:t>
            </w:r>
            <w:r>
              <w:rPr>
                <w:rFonts w:hint="eastAsia"/>
                <w:color w:val="auto"/>
                <w:sz w:val="24"/>
                <w:lang w:val="en-US" w:eastAsia="zh-CN"/>
              </w:rPr>
              <w:t>实验室</w:t>
            </w:r>
            <w:r>
              <w:rPr>
                <w:rFonts w:hint="eastAsia"/>
                <w:color w:val="auto"/>
                <w:sz w:val="24"/>
              </w:rPr>
              <w:t>建设一座</w:t>
            </w:r>
            <w:r>
              <w:rPr>
                <w:rFonts w:hint="eastAsia"/>
                <w:color w:val="auto"/>
                <w:sz w:val="24"/>
                <w:lang w:val="en-US" w:eastAsia="zh-CN"/>
              </w:rPr>
              <w:t>20</w:t>
            </w:r>
            <w:r>
              <w:rPr>
                <w:rFonts w:hint="eastAsia"/>
                <w:color w:val="auto"/>
                <w:sz w:val="24"/>
              </w:rPr>
              <w:t>m</w:t>
            </w:r>
            <w:r>
              <w:rPr>
                <w:rFonts w:hint="eastAsia"/>
                <w:color w:val="auto"/>
                <w:sz w:val="24"/>
                <w:vertAlign w:val="superscript"/>
              </w:rPr>
              <w:t>2</w:t>
            </w:r>
            <w:r>
              <w:rPr>
                <w:rFonts w:hint="eastAsia"/>
                <w:color w:val="auto"/>
                <w:sz w:val="24"/>
                <w:lang w:eastAsia="zh-CN"/>
              </w:rPr>
              <w:t>危废</w:t>
            </w:r>
            <w:r>
              <w:rPr>
                <w:rFonts w:hint="eastAsia"/>
                <w:color w:val="auto"/>
                <w:sz w:val="24"/>
                <w:lang w:val="en-US" w:eastAsia="zh-CN"/>
              </w:rPr>
              <w:t>暂存间</w:t>
            </w:r>
            <w:r>
              <w:rPr>
                <w:rFonts w:hint="eastAsia"/>
                <w:color w:val="auto"/>
                <w:sz w:val="24"/>
                <w:lang w:val="zh-CN"/>
              </w:rPr>
              <w:t>，</w:t>
            </w:r>
            <w:r>
              <w:rPr>
                <w:rFonts w:hint="eastAsia"/>
                <w:color w:val="auto"/>
                <w:sz w:val="24"/>
              </w:rPr>
              <w:t>分类暂存</w:t>
            </w:r>
            <w:r>
              <w:rPr>
                <w:rFonts w:hint="eastAsia"/>
                <w:color w:val="auto"/>
                <w:sz w:val="24"/>
                <w:lang w:eastAsia="zh-CN"/>
              </w:rPr>
              <w:t>，</w:t>
            </w:r>
            <w:r>
              <w:rPr>
                <w:rFonts w:hint="eastAsia"/>
                <w:color w:val="auto"/>
                <w:sz w:val="24"/>
                <w:lang w:val="en-US" w:eastAsia="zh-CN"/>
              </w:rPr>
              <w:t>根据项目危险废物危险特性，危废库共分为腐蚀性危险废物区、毒性危险废物区</w:t>
            </w:r>
            <w:r>
              <w:rPr>
                <w:rFonts w:hint="eastAsia"/>
                <w:color w:val="auto"/>
                <w:sz w:val="24"/>
                <w:lang w:eastAsia="zh-CN"/>
              </w:rPr>
              <w:t>。</w:t>
            </w:r>
            <w:r>
              <w:rPr>
                <w:rFonts w:hint="eastAsia"/>
                <w:color w:val="auto"/>
                <w:sz w:val="24"/>
                <w:lang w:val="en-US" w:eastAsia="zh-CN"/>
              </w:rPr>
              <w:t>其中腐蚀性危险废物区存放实验废液，毒性危险废物区存放废试剂瓶、废实验用品。</w:t>
            </w:r>
          </w:p>
          <w:p w14:paraId="3F0C7AA1">
            <w:pPr>
              <w:spacing w:line="360" w:lineRule="auto"/>
              <w:ind w:firstLine="480" w:firstLineChars="200"/>
              <w:rPr>
                <w:rFonts w:hint="eastAsia"/>
                <w:color w:val="auto"/>
                <w:sz w:val="24"/>
                <w:lang w:val="zh-CN"/>
              </w:rPr>
            </w:pPr>
            <w:r>
              <w:rPr>
                <w:rFonts w:hint="eastAsia"/>
                <w:color w:val="auto"/>
                <w:sz w:val="24"/>
                <w:lang w:eastAsia="zh-CN"/>
              </w:rPr>
              <w:t>危废</w:t>
            </w:r>
            <w:r>
              <w:rPr>
                <w:rFonts w:hint="eastAsia"/>
                <w:color w:val="auto"/>
                <w:sz w:val="24"/>
                <w:lang w:val="en-US" w:eastAsia="zh-CN"/>
              </w:rPr>
              <w:t>暂存间</w:t>
            </w:r>
            <w:r>
              <w:rPr>
                <w:rFonts w:hint="eastAsia"/>
                <w:color w:val="auto"/>
                <w:sz w:val="24"/>
                <w:lang w:eastAsia="zh-CN"/>
              </w:rPr>
              <w:t>地势应高于周围地面，避免积水，以防止雨水倒灌进入暂存间，增加渗滤液产生量及危险废物泄漏风险。</w:t>
            </w:r>
            <w:r>
              <w:rPr>
                <w:rFonts w:hint="eastAsia"/>
                <w:color w:val="auto"/>
                <w:sz w:val="24"/>
                <w:lang w:val="en-US" w:eastAsia="zh-CN"/>
              </w:rPr>
              <w:t>同时</w:t>
            </w:r>
            <w:r>
              <w:rPr>
                <w:rFonts w:hint="eastAsia"/>
                <w:color w:val="auto"/>
                <w:sz w:val="24"/>
                <w:lang w:val="zh-CN"/>
              </w:rPr>
              <w:t>本项目危险废物存储过程中应采取以下防护措施：</w:t>
            </w:r>
          </w:p>
          <w:p w14:paraId="1AF69DC2">
            <w:pPr>
              <w:spacing w:line="360" w:lineRule="auto"/>
              <w:ind w:firstLine="480" w:firstLineChars="200"/>
              <w:rPr>
                <w:rFonts w:hint="eastAsia"/>
                <w:color w:val="auto"/>
                <w:sz w:val="24"/>
              </w:rPr>
            </w:pPr>
            <w:r>
              <w:rPr>
                <w:rFonts w:hint="eastAsia"/>
                <w:color w:val="auto"/>
                <w:sz w:val="24"/>
              </w:rPr>
              <w:t>①贮存设施应根据危险废物的形态、物理化学性质、包装形式和污染物迁移途径，采取必要的防风、防晒、防雨、防漏、防渗、防腐以及其他环境污染防治措施，不应露天堆放危险废物；</w:t>
            </w:r>
          </w:p>
          <w:p w14:paraId="39DD8C96">
            <w:pPr>
              <w:spacing w:line="360" w:lineRule="auto"/>
              <w:ind w:firstLine="480" w:firstLineChars="200"/>
              <w:rPr>
                <w:rFonts w:hint="eastAsia"/>
                <w:color w:val="auto"/>
                <w:sz w:val="24"/>
              </w:rPr>
            </w:pPr>
            <w:r>
              <w:rPr>
                <w:rFonts w:hint="eastAsia"/>
                <w:color w:val="auto"/>
                <w:sz w:val="24"/>
              </w:rPr>
              <w:t>②贮存设施应根据危险废物的类别、数量、形态、物理化学性质和污染防治等要求设置必要的贮存分区，避免不相容的危险废物接触、混合；</w:t>
            </w:r>
          </w:p>
          <w:p w14:paraId="48DB4912">
            <w:pPr>
              <w:spacing w:line="360" w:lineRule="auto"/>
              <w:ind w:firstLine="480" w:firstLineChars="200"/>
              <w:rPr>
                <w:rFonts w:hint="eastAsia"/>
                <w:color w:val="auto"/>
                <w:sz w:val="24"/>
              </w:rPr>
            </w:pPr>
            <w:r>
              <w:rPr>
                <w:rFonts w:hint="eastAsia"/>
                <w:color w:val="auto"/>
                <w:sz w:val="24"/>
              </w:rPr>
              <w:t>③贮存设施或贮存分区内地面、墙面裙脚、堵截泄漏的围堰、接触危险废物的隔板和墙体等应采用坚固的材料建造，表面无裂缝；</w:t>
            </w:r>
          </w:p>
          <w:p w14:paraId="6BA67532">
            <w:pPr>
              <w:spacing w:line="360" w:lineRule="auto"/>
              <w:ind w:firstLine="480" w:firstLineChars="200"/>
              <w:rPr>
                <w:rFonts w:hint="eastAsia"/>
                <w:color w:val="auto"/>
                <w:sz w:val="24"/>
              </w:rPr>
            </w:pPr>
            <w:r>
              <w:rPr>
                <w:rFonts w:hint="eastAsia"/>
                <w:color w:val="auto"/>
                <w:sz w:val="24"/>
              </w:rPr>
              <w:t>④贮存设施地面与裙脚应采取表面防渗措施；表面防渗材料应与所接触的物料或污染物相容，可采用抗渗混凝土、高密度聚乙烯膜、钠基膨润土防水毯或其他防渗性能等效的材料。贮存的危险废物直接接触地面的，还应进行基础防渗，防渗层为至少1m厚黏土层（渗透系数不大于10</w:t>
            </w:r>
            <w:r>
              <w:rPr>
                <w:rFonts w:hint="eastAsia"/>
                <w:color w:val="auto"/>
                <w:sz w:val="24"/>
                <w:vertAlign w:val="superscript"/>
              </w:rPr>
              <w:t>-7</w:t>
            </w:r>
            <w:r>
              <w:rPr>
                <w:rFonts w:hint="eastAsia"/>
                <w:color w:val="auto"/>
                <w:sz w:val="24"/>
              </w:rPr>
              <w:t>cm/s），或至少2mm厚高密度聚乙烯膜等人工防渗材料（渗透系数不大于10</w:t>
            </w:r>
            <w:r>
              <w:rPr>
                <w:rFonts w:hint="eastAsia"/>
                <w:color w:val="auto"/>
                <w:sz w:val="24"/>
                <w:vertAlign w:val="superscript"/>
              </w:rPr>
              <w:t>-10</w:t>
            </w:r>
            <w:r>
              <w:rPr>
                <w:rFonts w:hint="eastAsia"/>
                <w:color w:val="auto"/>
                <w:sz w:val="24"/>
              </w:rPr>
              <w:t>cm/s），或其他防渗性能等效的材料；</w:t>
            </w:r>
          </w:p>
          <w:p w14:paraId="4C875133">
            <w:pPr>
              <w:spacing w:line="360" w:lineRule="auto"/>
              <w:ind w:firstLine="480" w:firstLineChars="200"/>
              <w:rPr>
                <w:rFonts w:hint="eastAsia"/>
                <w:color w:val="auto"/>
                <w:sz w:val="24"/>
              </w:rPr>
            </w:pPr>
            <w:r>
              <w:rPr>
                <w:rFonts w:hint="eastAsia"/>
                <w:color w:val="auto"/>
                <w:sz w:val="24"/>
              </w:rPr>
              <w:t>⑤同一贮存设施宜采用相同的防渗、防腐工艺（包括防渗、防腐结构或材料），防渗、防腐材料应覆盖所有可能与废物及其渗滤液、渗漏液等接触的构筑物表面；采用不同防渗、防腐工艺应分别建设贮存分区；</w:t>
            </w:r>
          </w:p>
          <w:p w14:paraId="37F6B5AA">
            <w:pPr>
              <w:spacing w:line="360" w:lineRule="auto"/>
              <w:ind w:firstLine="480" w:firstLineChars="200"/>
              <w:rPr>
                <w:rFonts w:hint="eastAsia"/>
                <w:color w:val="auto"/>
                <w:sz w:val="24"/>
              </w:rPr>
            </w:pPr>
            <w:r>
              <w:rPr>
                <w:rFonts w:hint="eastAsia"/>
                <w:color w:val="auto"/>
                <w:sz w:val="24"/>
              </w:rPr>
              <w:t>⑥贮存设施应采取技术和管理措施防止无关人员进入。</w:t>
            </w:r>
          </w:p>
          <w:p w14:paraId="6DC6999C">
            <w:pPr>
              <w:spacing w:line="360" w:lineRule="auto"/>
              <w:ind w:firstLine="480" w:firstLineChars="200"/>
              <w:rPr>
                <w:rFonts w:hint="eastAsia"/>
                <w:color w:val="auto"/>
                <w:sz w:val="24"/>
              </w:rPr>
            </w:pPr>
            <w:r>
              <w:rPr>
                <w:rFonts w:hint="eastAsia"/>
                <w:color w:val="auto"/>
                <w:sz w:val="24"/>
                <w:lang w:eastAsia="zh-CN"/>
              </w:rPr>
              <w:t>危废库</w:t>
            </w:r>
            <w:r>
              <w:rPr>
                <w:rFonts w:hint="eastAsia"/>
                <w:color w:val="auto"/>
                <w:sz w:val="24"/>
              </w:rPr>
              <w:t>管理要求：</w:t>
            </w:r>
          </w:p>
          <w:p w14:paraId="49BAD8DD">
            <w:pPr>
              <w:spacing w:line="360" w:lineRule="auto"/>
              <w:ind w:firstLine="480" w:firstLineChars="200"/>
              <w:rPr>
                <w:rFonts w:hint="eastAsia"/>
                <w:color w:val="auto"/>
                <w:sz w:val="24"/>
              </w:rPr>
            </w:pPr>
            <w:r>
              <w:rPr>
                <w:rFonts w:hint="eastAsia"/>
                <w:color w:val="auto"/>
                <w:sz w:val="24"/>
              </w:rPr>
              <w:t>(一)危险废物存入贮存设施前应对危险废物类别和特性与危险废物标签等危险废物识别标志的一致性进行核验，不一致的或类别、特性不明的不应存入。</w:t>
            </w:r>
          </w:p>
          <w:p w14:paraId="303F0543">
            <w:pPr>
              <w:spacing w:line="360" w:lineRule="auto"/>
              <w:ind w:firstLine="480" w:firstLineChars="200"/>
              <w:rPr>
                <w:rFonts w:hint="eastAsia"/>
                <w:color w:val="auto"/>
                <w:sz w:val="24"/>
              </w:rPr>
            </w:pPr>
            <w:r>
              <w:rPr>
                <w:rFonts w:hint="eastAsia"/>
                <w:color w:val="auto"/>
                <w:sz w:val="24"/>
              </w:rPr>
              <w:t>(二)应定期检查危险废物的贮存状况，及时清理贮存设施地面，更换破损泄漏的危险废物贮存容器和包装物，保证堆存危险废物的防雨、防风、防扬尘等设施功能完好。</w:t>
            </w:r>
          </w:p>
          <w:p w14:paraId="606AC04F">
            <w:pPr>
              <w:spacing w:line="360" w:lineRule="auto"/>
              <w:ind w:firstLine="480" w:firstLineChars="200"/>
              <w:rPr>
                <w:rFonts w:hint="eastAsia"/>
                <w:color w:val="auto"/>
                <w:sz w:val="24"/>
              </w:rPr>
            </w:pPr>
            <w:r>
              <w:rPr>
                <w:rFonts w:hint="eastAsia"/>
                <w:color w:val="auto"/>
                <w:sz w:val="24"/>
              </w:rPr>
              <w:t>(三)作业设备及车辆等结束作业离开贮存设施时，应对其残留的危险废物进行清理，清理的废物或清洗废水应收集处理。</w:t>
            </w:r>
          </w:p>
          <w:p w14:paraId="7967E6FF">
            <w:pPr>
              <w:spacing w:line="360" w:lineRule="auto"/>
              <w:ind w:firstLine="480" w:firstLineChars="200"/>
              <w:rPr>
                <w:rFonts w:hint="eastAsia"/>
                <w:color w:val="auto"/>
                <w:sz w:val="24"/>
              </w:rPr>
            </w:pPr>
            <w:r>
              <w:rPr>
                <w:rFonts w:hint="eastAsia"/>
                <w:color w:val="auto"/>
                <w:sz w:val="24"/>
              </w:rPr>
              <w:t>(四)贮存设施运行期间，应按国家有关标准和规定建立危险废物管理台账并保存。</w:t>
            </w:r>
          </w:p>
          <w:p w14:paraId="45A485F5">
            <w:pPr>
              <w:spacing w:line="360" w:lineRule="auto"/>
              <w:ind w:firstLine="480" w:firstLineChars="200"/>
              <w:rPr>
                <w:rFonts w:hint="eastAsia"/>
                <w:color w:val="auto"/>
                <w:sz w:val="24"/>
              </w:rPr>
            </w:pPr>
            <w:r>
              <w:rPr>
                <w:rFonts w:hint="eastAsia"/>
                <w:color w:val="auto"/>
                <w:sz w:val="24"/>
              </w:rPr>
              <w:t>(五)贮存设施所有者或运营者应建立贮存设施环境管理制度、管理人员岗位职责制度、设施运行操作制度、人员岗位培训制度等。</w:t>
            </w:r>
          </w:p>
          <w:p w14:paraId="6BAC30DE">
            <w:pPr>
              <w:spacing w:line="360" w:lineRule="auto"/>
              <w:ind w:firstLine="480" w:firstLineChars="200"/>
              <w:rPr>
                <w:rFonts w:hint="eastAsia"/>
                <w:color w:val="auto"/>
                <w:sz w:val="24"/>
              </w:rPr>
            </w:pPr>
            <w:r>
              <w:rPr>
                <w:rFonts w:hint="eastAsia"/>
                <w:color w:val="auto"/>
                <w:sz w:val="24"/>
              </w:rPr>
              <w:t>(六)贮存设施所有者或运营者应依据国家土壤和地下水污染防治的有关规定，结合贮存设施特点建立土壤和地下水污染隐患排查制度，并定期开展隐患排查；发现隐患应及时采取措施消除隐患，并建立档案。</w:t>
            </w:r>
          </w:p>
          <w:p w14:paraId="61818303">
            <w:pPr>
              <w:spacing w:line="360" w:lineRule="auto"/>
              <w:ind w:firstLine="480" w:firstLineChars="200"/>
              <w:rPr>
                <w:rFonts w:ascii="宋体" w:hAnsi="宋体" w:cs="宋体"/>
                <w:color w:val="auto"/>
                <w:sz w:val="24"/>
              </w:rPr>
            </w:pPr>
            <w:r>
              <w:rPr>
                <w:rFonts w:hint="eastAsia"/>
                <w:color w:val="auto"/>
                <w:sz w:val="24"/>
              </w:rPr>
              <w:t>(七)贮存设施所有者或运营者应建立贮存设施全部档案，包括设计、施工、验收、运行、监测和环境应急等，应按国家有关档案管理的法律法规进行整理和归档。</w:t>
            </w:r>
          </w:p>
          <w:p w14:paraId="107EE942">
            <w:pPr>
              <w:pStyle w:val="71"/>
              <w:snapToGrid w:val="0"/>
              <w:spacing w:line="360" w:lineRule="auto"/>
              <w:rPr>
                <w:rFonts w:hint="eastAsia"/>
                <w:b/>
                <w:bCs/>
                <w:color w:val="auto"/>
                <w:sz w:val="24"/>
                <w:szCs w:val="24"/>
              </w:rPr>
            </w:pPr>
            <w:r>
              <w:rPr>
                <w:rFonts w:hint="eastAsia"/>
                <w:b/>
                <w:bCs/>
                <w:color w:val="auto"/>
                <w:sz w:val="24"/>
                <w:szCs w:val="24"/>
              </w:rPr>
              <w:t>4</w:t>
            </w:r>
            <w:r>
              <w:rPr>
                <w:b/>
                <w:bCs/>
                <w:color w:val="auto"/>
                <w:sz w:val="24"/>
                <w:szCs w:val="24"/>
              </w:rPr>
              <w:t>.2.4</w:t>
            </w:r>
            <w:r>
              <w:rPr>
                <w:rFonts w:hint="eastAsia"/>
                <w:b/>
                <w:bCs/>
                <w:color w:val="auto"/>
                <w:sz w:val="24"/>
                <w:szCs w:val="24"/>
              </w:rPr>
              <w:t>一般固体废物管理要求</w:t>
            </w:r>
          </w:p>
          <w:p w14:paraId="6C89BA0A">
            <w:pPr>
              <w:adjustRightInd w:val="0"/>
              <w:snapToGrid w:val="0"/>
              <w:spacing w:line="360" w:lineRule="auto"/>
              <w:ind w:firstLine="480" w:firstLineChars="200"/>
              <w:rPr>
                <w:color w:val="auto"/>
                <w:sz w:val="24"/>
              </w:rPr>
            </w:pPr>
            <w:r>
              <w:rPr>
                <w:rFonts w:hint="eastAsia"/>
                <w:color w:val="auto"/>
                <w:sz w:val="24"/>
              </w:rPr>
              <w:t>根据《一般工业固体废物管理台账制定指南（试行）》中的内容，对本项目固体废物提出如下环境管理要求：</w:t>
            </w:r>
          </w:p>
          <w:p w14:paraId="3DF297DE">
            <w:pPr>
              <w:adjustRightInd w:val="0"/>
              <w:snapToGrid w:val="0"/>
              <w:spacing w:line="360" w:lineRule="auto"/>
              <w:ind w:firstLine="480" w:firstLineChars="200"/>
              <w:rPr>
                <w:color w:val="auto"/>
                <w:sz w:val="24"/>
              </w:rPr>
            </w:pPr>
            <w:r>
              <w:rPr>
                <w:rFonts w:hint="eastAsia" w:ascii="宋体" w:hAnsi="宋体" w:cs="宋体"/>
                <w:color w:val="auto"/>
                <w:sz w:val="24"/>
              </w:rPr>
              <w:t>①</w:t>
            </w:r>
            <w:r>
              <w:rPr>
                <w:rFonts w:hint="eastAsia"/>
                <w:color w:val="auto"/>
                <w:sz w:val="24"/>
              </w:rPr>
              <w:t>明确本项目的固体废物种类及产生情况，熟悉所产生固体废物的基本特性；</w:t>
            </w:r>
          </w:p>
          <w:p w14:paraId="6AEC2407">
            <w:pPr>
              <w:adjustRightInd w:val="0"/>
              <w:snapToGrid w:val="0"/>
              <w:spacing w:line="360" w:lineRule="auto"/>
              <w:ind w:firstLine="480" w:firstLineChars="200"/>
              <w:rPr>
                <w:color w:val="auto"/>
                <w:sz w:val="24"/>
              </w:rPr>
            </w:pPr>
            <w:r>
              <w:rPr>
                <w:rFonts w:hint="eastAsia" w:ascii="宋体" w:hAnsi="宋体" w:cs="宋体"/>
                <w:color w:val="auto"/>
                <w:sz w:val="24"/>
              </w:rPr>
              <w:t>②</w:t>
            </w:r>
            <w:r>
              <w:rPr>
                <w:rFonts w:hint="eastAsia"/>
                <w:color w:val="auto"/>
                <w:sz w:val="24"/>
              </w:rPr>
              <w:t>本项目</w:t>
            </w:r>
            <w:r>
              <w:rPr>
                <w:rFonts w:hint="eastAsia"/>
                <w:color w:val="auto"/>
                <w:sz w:val="24"/>
                <w:lang w:val="en-US" w:eastAsia="zh-CN"/>
              </w:rPr>
              <w:t>样品边角料、</w:t>
            </w:r>
            <w:r>
              <w:rPr>
                <w:rFonts w:hint="eastAsia"/>
                <w:color w:val="auto"/>
                <w:sz w:val="24"/>
              </w:rPr>
              <w:t>除尘器收集的粉尘在</w:t>
            </w:r>
            <w:r>
              <w:rPr>
                <w:rFonts w:hint="eastAsia"/>
                <w:color w:val="auto"/>
                <w:sz w:val="24"/>
                <w:lang w:val="en-US" w:eastAsia="zh-CN"/>
              </w:rPr>
              <w:t>实验室</w:t>
            </w:r>
            <w:r>
              <w:rPr>
                <w:rFonts w:hint="eastAsia"/>
                <w:color w:val="auto"/>
                <w:sz w:val="24"/>
              </w:rPr>
              <w:t>收集，</w:t>
            </w:r>
            <w:r>
              <w:rPr>
                <w:rFonts w:hint="eastAsia"/>
                <w:color w:val="auto"/>
                <w:sz w:val="24"/>
                <w:lang w:val="en-US" w:eastAsia="zh-CN"/>
              </w:rPr>
              <w:t>外售建材公司利用</w:t>
            </w:r>
            <w:r>
              <w:rPr>
                <w:rFonts w:hint="eastAsia"/>
                <w:color w:val="auto"/>
                <w:sz w:val="24"/>
              </w:rPr>
              <w:t>；</w:t>
            </w:r>
          </w:p>
          <w:p w14:paraId="2869F913">
            <w:pPr>
              <w:adjustRightInd w:val="0"/>
              <w:snapToGrid w:val="0"/>
              <w:spacing w:line="360" w:lineRule="auto"/>
              <w:ind w:firstLine="480" w:firstLineChars="200"/>
              <w:rPr>
                <w:rFonts w:hint="eastAsia"/>
                <w:color w:val="auto"/>
                <w:sz w:val="24"/>
              </w:rPr>
            </w:pPr>
            <w:r>
              <w:rPr>
                <w:rFonts w:hint="eastAsia"/>
                <w:color w:val="auto"/>
                <w:sz w:val="24"/>
              </w:rPr>
              <w:t>本项目一般固体废物包括</w:t>
            </w:r>
            <w:r>
              <w:rPr>
                <w:rFonts w:hint="eastAsia"/>
                <w:color w:val="auto"/>
                <w:sz w:val="24"/>
                <w:lang w:val="en-US" w:eastAsia="zh-CN"/>
              </w:rPr>
              <w:t>样品边角料</w:t>
            </w:r>
            <w:r>
              <w:rPr>
                <w:rFonts w:hint="eastAsia"/>
                <w:color w:val="auto"/>
                <w:sz w:val="24"/>
              </w:rPr>
              <w:t>、</w:t>
            </w:r>
            <w:r>
              <w:rPr>
                <w:rFonts w:hint="eastAsia"/>
                <w:color w:val="auto"/>
                <w:sz w:val="24"/>
                <w:lang w:val="en-US" w:eastAsia="zh-CN"/>
              </w:rPr>
              <w:t>除尘器收尘灰</w:t>
            </w:r>
            <w:r>
              <w:rPr>
                <w:rFonts w:hint="eastAsia"/>
                <w:color w:val="auto"/>
                <w:sz w:val="24"/>
              </w:rPr>
              <w:t>、</w:t>
            </w:r>
            <w:r>
              <w:rPr>
                <w:rFonts w:hint="eastAsia"/>
                <w:color w:val="auto"/>
                <w:sz w:val="24"/>
                <w:lang w:val="en-US" w:eastAsia="zh-CN"/>
              </w:rPr>
              <w:t>废离子交换树脂</w:t>
            </w:r>
            <w:r>
              <w:rPr>
                <w:rFonts w:hint="eastAsia"/>
                <w:color w:val="auto"/>
                <w:sz w:val="24"/>
              </w:rPr>
              <w:t>和</w:t>
            </w:r>
            <w:r>
              <w:rPr>
                <w:rFonts w:hint="eastAsia"/>
                <w:color w:val="auto"/>
                <w:sz w:val="24"/>
                <w:lang w:val="en-US" w:eastAsia="zh-CN"/>
              </w:rPr>
              <w:t>废实验室用品</w:t>
            </w:r>
            <w:r>
              <w:rPr>
                <w:rFonts w:hint="eastAsia"/>
                <w:color w:val="auto"/>
                <w:sz w:val="24"/>
              </w:rPr>
              <w:t>，其中</w:t>
            </w:r>
            <w:r>
              <w:rPr>
                <w:rFonts w:hint="eastAsia"/>
                <w:color w:val="auto"/>
                <w:sz w:val="24"/>
                <w:lang w:val="en-US" w:eastAsia="zh-CN"/>
              </w:rPr>
              <w:t>样品边角料</w:t>
            </w:r>
            <w:r>
              <w:rPr>
                <w:rFonts w:hint="eastAsia"/>
                <w:color w:val="auto"/>
                <w:sz w:val="24"/>
              </w:rPr>
              <w:t>、</w:t>
            </w:r>
            <w:r>
              <w:rPr>
                <w:rFonts w:hint="eastAsia"/>
                <w:color w:val="auto"/>
                <w:sz w:val="24"/>
                <w:lang w:val="en-US" w:eastAsia="zh-CN"/>
              </w:rPr>
              <w:t>除尘器收尘灰</w:t>
            </w:r>
            <w:r>
              <w:rPr>
                <w:rFonts w:hint="eastAsia"/>
                <w:color w:val="auto"/>
                <w:sz w:val="24"/>
              </w:rPr>
              <w:t>、</w:t>
            </w:r>
            <w:r>
              <w:rPr>
                <w:rFonts w:hint="eastAsia"/>
                <w:color w:val="auto"/>
                <w:sz w:val="24"/>
                <w:lang w:val="en-US" w:eastAsia="zh-CN"/>
              </w:rPr>
              <w:t>废实验室用品</w:t>
            </w:r>
            <w:r>
              <w:rPr>
                <w:rFonts w:hint="eastAsia"/>
                <w:color w:val="auto"/>
                <w:sz w:val="24"/>
              </w:rPr>
              <w:t>，在</w:t>
            </w:r>
            <w:r>
              <w:rPr>
                <w:rFonts w:hint="eastAsia"/>
                <w:color w:val="auto"/>
                <w:sz w:val="24"/>
                <w:lang w:val="en-US" w:eastAsia="zh-CN"/>
              </w:rPr>
              <w:t>实验室</w:t>
            </w:r>
            <w:r>
              <w:rPr>
                <w:rFonts w:hint="eastAsia"/>
                <w:color w:val="auto"/>
                <w:sz w:val="24"/>
              </w:rPr>
              <w:t>暂存，定期</w:t>
            </w:r>
            <w:r>
              <w:rPr>
                <w:rFonts w:hint="eastAsia"/>
                <w:color w:val="auto"/>
                <w:sz w:val="24"/>
                <w:lang w:val="en-US" w:eastAsia="zh-CN"/>
              </w:rPr>
              <w:t>外售综合利用</w:t>
            </w:r>
            <w:r>
              <w:rPr>
                <w:rFonts w:hint="eastAsia"/>
                <w:color w:val="auto"/>
                <w:sz w:val="24"/>
              </w:rPr>
              <w:t>；生活垃圾在厂区设置垃圾桶，委托当地环卫部门定期清运。</w:t>
            </w:r>
          </w:p>
          <w:p w14:paraId="59C2CFBD">
            <w:pPr>
              <w:pStyle w:val="71"/>
              <w:snapToGrid w:val="0"/>
              <w:spacing w:line="360" w:lineRule="auto"/>
              <w:rPr>
                <w:rFonts w:hint="eastAsia"/>
                <w:b/>
                <w:bCs/>
                <w:color w:val="auto"/>
                <w:sz w:val="24"/>
                <w:szCs w:val="24"/>
              </w:rPr>
            </w:pPr>
            <w:r>
              <w:rPr>
                <w:rFonts w:hint="eastAsia"/>
                <w:b/>
                <w:bCs/>
                <w:color w:val="auto"/>
                <w:sz w:val="24"/>
                <w:szCs w:val="24"/>
              </w:rPr>
              <w:t>4</w:t>
            </w:r>
            <w:r>
              <w:rPr>
                <w:b/>
                <w:bCs/>
                <w:color w:val="auto"/>
                <w:sz w:val="24"/>
                <w:szCs w:val="24"/>
              </w:rPr>
              <w:t>.3</w:t>
            </w:r>
            <w:r>
              <w:rPr>
                <w:rFonts w:hint="eastAsia"/>
                <w:b/>
                <w:bCs/>
                <w:color w:val="auto"/>
                <w:sz w:val="24"/>
                <w:szCs w:val="24"/>
              </w:rPr>
              <w:t>固体废物环境影响分析结论</w:t>
            </w:r>
          </w:p>
          <w:p w14:paraId="66461A96">
            <w:pPr>
              <w:adjustRightInd w:val="0"/>
              <w:snapToGrid w:val="0"/>
              <w:spacing w:line="360" w:lineRule="auto"/>
              <w:ind w:firstLine="480" w:firstLineChars="200"/>
              <w:rPr>
                <w:color w:val="auto"/>
                <w:sz w:val="24"/>
              </w:rPr>
            </w:pPr>
            <w:r>
              <w:rPr>
                <w:rFonts w:hint="eastAsia"/>
                <w:color w:val="auto"/>
                <w:sz w:val="24"/>
              </w:rPr>
              <w:t>综上所述，本项目运营期产生的固体废物均得到妥善处理处置，对周围环境影响较小。</w:t>
            </w:r>
          </w:p>
          <w:p w14:paraId="2B2B42DE">
            <w:pPr>
              <w:pStyle w:val="71"/>
              <w:snapToGrid w:val="0"/>
              <w:spacing w:line="360" w:lineRule="auto"/>
              <w:rPr>
                <w:b/>
                <w:bCs/>
                <w:color w:val="auto"/>
                <w:sz w:val="24"/>
                <w:szCs w:val="24"/>
              </w:rPr>
            </w:pPr>
            <w:r>
              <w:rPr>
                <w:rFonts w:hint="eastAsia"/>
                <w:b/>
                <w:bCs/>
                <w:color w:val="auto"/>
                <w:sz w:val="24"/>
                <w:szCs w:val="24"/>
              </w:rPr>
              <w:t>5地下水、土壤环境影响分析</w:t>
            </w:r>
          </w:p>
          <w:p w14:paraId="725D6DB6">
            <w:pPr>
              <w:adjustRightInd w:val="0"/>
              <w:snapToGrid w:val="0"/>
              <w:spacing w:line="360" w:lineRule="auto"/>
              <w:ind w:firstLine="480" w:firstLineChars="200"/>
              <w:rPr>
                <w:rFonts w:hint="eastAsia"/>
                <w:color w:val="auto"/>
                <w:sz w:val="24"/>
                <w:lang w:val="en-US" w:eastAsia="zh-CN"/>
              </w:rPr>
            </w:pPr>
            <w:r>
              <w:rPr>
                <w:rFonts w:hint="eastAsia"/>
                <w:color w:val="auto"/>
                <w:sz w:val="24"/>
                <w:lang w:val="en-US" w:eastAsia="zh-CN"/>
              </w:rPr>
              <w:t>（1）地下水、土壤环境影响分析</w:t>
            </w:r>
          </w:p>
          <w:p w14:paraId="72CADCDE">
            <w:pPr>
              <w:adjustRightInd w:val="0"/>
              <w:snapToGrid w:val="0"/>
              <w:spacing w:line="360" w:lineRule="auto"/>
              <w:ind w:firstLine="480" w:firstLineChars="200"/>
              <w:rPr>
                <w:rFonts w:hint="eastAsia"/>
                <w:color w:val="auto"/>
                <w:sz w:val="24"/>
                <w:lang w:val="en-US" w:eastAsia="zh-CN"/>
              </w:rPr>
            </w:pPr>
            <w:r>
              <w:rPr>
                <w:rFonts w:hint="eastAsia"/>
                <w:color w:val="auto"/>
                <w:sz w:val="24"/>
                <w:lang w:val="en-US" w:eastAsia="zh-CN"/>
              </w:rPr>
              <w:t>项目大气污染物主要为逸散的酸性气体及样品加工废气颗粒物，项目实验室采取分区防渗措施，操作室地面均进行水泥硬化并涂刷防腐防渗涂层，废水收集箱采取双层防渗措施，收集箱放置于废水贮存池内，废水贮存池采取重点防渗，实验室外部为园区混凝土道路及绿化带，废气不具有大气沉降影响土壤环境途径；项目实验过程均设置在操作室内，危险废物放置在危废暂存间，化学试剂放置在试剂库中，分类存放，无露天堆放物料，不会因为大气降水而间歇渗入土壤及地下水；项目不存在储罐，实验过程仅使用少量化学试剂，且均有人员操作，一旦发生泄漏可快速被工作人员收集泄漏液体，不会对防渗层造成破坏从而污染土壤及地下水环境。项目所在地不属于生活供水水源地准保护区，不属于国家或地方设立的热水、矿泉水、温泉等特殊地下水资源保护区，因此项目污水不会对地下水、土壤产生明显影响。</w:t>
            </w:r>
          </w:p>
          <w:p w14:paraId="41DA3870">
            <w:pPr>
              <w:adjustRightInd w:val="0"/>
              <w:snapToGrid w:val="0"/>
              <w:spacing w:line="360" w:lineRule="auto"/>
              <w:ind w:firstLine="480" w:firstLineChars="200"/>
              <w:rPr>
                <w:rFonts w:hint="default"/>
                <w:color w:val="auto"/>
                <w:sz w:val="24"/>
                <w:lang w:val="en-US" w:eastAsia="zh-CN"/>
              </w:rPr>
            </w:pPr>
            <w:r>
              <w:rPr>
                <w:rFonts w:hint="eastAsia"/>
                <w:color w:val="auto"/>
                <w:sz w:val="24"/>
                <w:lang w:val="en-US" w:eastAsia="zh-CN"/>
              </w:rPr>
              <w:t>（2）防治措施</w:t>
            </w:r>
          </w:p>
          <w:p w14:paraId="51AD7222">
            <w:pPr>
              <w:adjustRightInd w:val="0"/>
              <w:snapToGrid w:val="0"/>
              <w:spacing w:line="360" w:lineRule="auto"/>
              <w:ind w:firstLine="480" w:firstLineChars="200"/>
              <w:rPr>
                <w:rFonts w:hint="eastAsia" w:eastAsia="宋体"/>
                <w:color w:val="auto"/>
                <w:sz w:val="24"/>
                <w:lang w:val="en-US" w:eastAsia="zh-CN"/>
              </w:rPr>
            </w:pPr>
            <w:r>
              <w:rPr>
                <w:rFonts w:hint="eastAsia"/>
                <w:color w:val="auto"/>
                <w:sz w:val="24"/>
                <w:lang w:val="en-US" w:eastAsia="zh-CN"/>
              </w:rPr>
              <w:t>操作室、试剂库</w:t>
            </w:r>
            <w:r>
              <w:rPr>
                <w:rFonts w:hint="eastAsia"/>
                <w:color w:val="auto"/>
                <w:sz w:val="24"/>
              </w:rPr>
              <w:t>、</w:t>
            </w:r>
            <w:r>
              <w:rPr>
                <w:rFonts w:hint="eastAsia"/>
                <w:color w:val="auto"/>
                <w:sz w:val="24"/>
                <w:lang w:eastAsia="zh-CN"/>
              </w:rPr>
              <w:t>危废</w:t>
            </w:r>
            <w:r>
              <w:rPr>
                <w:rFonts w:hint="eastAsia"/>
                <w:color w:val="auto"/>
                <w:sz w:val="24"/>
                <w:lang w:val="en-US" w:eastAsia="zh-CN"/>
              </w:rPr>
              <w:t>暂存间</w:t>
            </w:r>
            <w:r>
              <w:rPr>
                <w:rFonts w:hint="eastAsia"/>
                <w:color w:val="auto"/>
                <w:sz w:val="24"/>
              </w:rPr>
              <w:t>、污水处理</w:t>
            </w:r>
            <w:r>
              <w:rPr>
                <w:rFonts w:hint="eastAsia"/>
                <w:color w:val="auto"/>
                <w:sz w:val="24"/>
                <w:lang w:val="en-US" w:eastAsia="zh-CN"/>
              </w:rPr>
              <w:t>设备均为重点防渗区域，</w:t>
            </w:r>
            <w:r>
              <w:rPr>
                <w:rFonts w:hint="eastAsia"/>
                <w:color w:val="auto"/>
                <w:sz w:val="24"/>
              </w:rPr>
              <w:t>该区域防渗要求为：单位面积渗透量不大于厚度为6m，渗透系数≤10</w:t>
            </w:r>
            <w:r>
              <w:rPr>
                <w:rFonts w:hint="eastAsia"/>
                <w:color w:val="auto"/>
                <w:sz w:val="24"/>
                <w:vertAlign w:val="superscript"/>
              </w:rPr>
              <w:t>-7</w:t>
            </w:r>
            <w:r>
              <w:rPr>
                <w:rFonts w:hint="eastAsia"/>
                <w:color w:val="auto"/>
                <w:sz w:val="24"/>
              </w:rPr>
              <w:t>cm/s，或3mm厚HDPE膜渗透系数K=1.0×10</w:t>
            </w:r>
            <w:r>
              <w:rPr>
                <w:rFonts w:hint="eastAsia"/>
                <w:color w:val="auto"/>
                <w:sz w:val="24"/>
                <w:vertAlign w:val="superscript"/>
              </w:rPr>
              <w:t>-12</w:t>
            </w:r>
            <w:r>
              <w:rPr>
                <w:rFonts w:hint="eastAsia"/>
                <w:color w:val="auto"/>
                <w:sz w:val="24"/>
              </w:rPr>
              <w:t>cm/s防渗层的渗透量</w:t>
            </w:r>
            <w:r>
              <w:rPr>
                <w:rFonts w:hint="eastAsia"/>
                <w:color w:val="auto"/>
                <w:sz w:val="24"/>
                <w:lang w:eastAsia="zh-CN"/>
              </w:rPr>
              <w:t>。</w:t>
            </w:r>
          </w:p>
          <w:p w14:paraId="08B01B61">
            <w:pPr>
              <w:adjustRightInd w:val="0"/>
              <w:snapToGrid w:val="0"/>
              <w:spacing w:line="360" w:lineRule="auto"/>
              <w:ind w:firstLine="480" w:firstLineChars="200"/>
              <w:rPr>
                <w:rFonts w:hint="eastAsia"/>
                <w:color w:val="auto"/>
                <w:sz w:val="24"/>
              </w:rPr>
            </w:pPr>
            <w:r>
              <w:rPr>
                <w:rFonts w:hint="eastAsia"/>
                <w:color w:val="auto"/>
                <w:sz w:val="24"/>
              </w:rPr>
              <w:t>根据可能进入土壤和地下水环境的各种有毒有害物质的性质，划分污染防治区，提出不同区域的地面防渗方案，给出具体的防渗材料及防渗标准要求，实行分区防渗。因此</w:t>
            </w:r>
            <w:r>
              <w:rPr>
                <w:color w:val="auto"/>
                <w:sz w:val="24"/>
              </w:rPr>
              <w:t>，</w:t>
            </w:r>
            <w:r>
              <w:rPr>
                <w:rFonts w:hint="eastAsia"/>
                <w:color w:val="auto"/>
                <w:sz w:val="24"/>
              </w:rPr>
              <w:t>将本项目厂区分为重点防渗区、一般防渗区和简单防渗区，具体内容如下：</w:t>
            </w:r>
          </w:p>
          <w:p w14:paraId="1DD5C5DE">
            <w:pPr>
              <w:adjustRightInd w:val="0"/>
              <w:snapToGrid w:val="0"/>
              <w:spacing w:line="360" w:lineRule="auto"/>
              <w:ind w:firstLine="480" w:firstLineChars="200"/>
              <w:rPr>
                <w:rFonts w:hint="eastAsia"/>
                <w:color w:val="auto"/>
                <w:sz w:val="24"/>
              </w:rPr>
            </w:pPr>
            <w:r>
              <w:rPr>
                <w:rFonts w:hint="eastAsia"/>
                <w:color w:val="auto"/>
                <w:sz w:val="24"/>
              </w:rPr>
              <w:t>①简单防渗区</w:t>
            </w:r>
          </w:p>
          <w:p w14:paraId="61BDC569">
            <w:pPr>
              <w:adjustRightInd w:val="0"/>
              <w:snapToGrid w:val="0"/>
              <w:spacing w:line="360" w:lineRule="auto"/>
              <w:ind w:firstLine="480" w:firstLineChars="200"/>
              <w:rPr>
                <w:rFonts w:hint="eastAsia"/>
                <w:color w:val="auto"/>
                <w:sz w:val="24"/>
              </w:rPr>
            </w:pPr>
            <w:r>
              <w:rPr>
                <w:rFonts w:hint="eastAsia"/>
                <w:color w:val="auto"/>
                <w:sz w:val="24"/>
              </w:rPr>
              <w:t>简单防渗区包括办公区域，主要采取地面硬化措施。</w:t>
            </w:r>
          </w:p>
          <w:p w14:paraId="6034D485">
            <w:pPr>
              <w:adjustRightInd w:val="0"/>
              <w:snapToGrid w:val="0"/>
              <w:spacing w:line="360" w:lineRule="auto"/>
              <w:ind w:firstLine="480" w:firstLineChars="200"/>
              <w:rPr>
                <w:rFonts w:hint="eastAsia"/>
                <w:color w:val="auto"/>
                <w:sz w:val="24"/>
              </w:rPr>
            </w:pPr>
            <w:r>
              <w:rPr>
                <w:rFonts w:hint="eastAsia"/>
                <w:color w:val="auto"/>
                <w:sz w:val="24"/>
              </w:rPr>
              <w:t>②一般防渗区域</w:t>
            </w:r>
          </w:p>
          <w:p w14:paraId="6A47C376">
            <w:pPr>
              <w:adjustRightInd w:val="0"/>
              <w:snapToGrid w:val="0"/>
              <w:spacing w:line="360" w:lineRule="auto"/>
              <w:ind w:firstLine="480" w:firstLineChars="200"/>
              <w:rPr>
                <w:rFonts w:hint="eastAsia"/>
                <w:color w:val="auto"/>
                <w:sz w:val="24"/>
              </w:rPr>
            </w:pPr>
            <w:r>
              <w:rPr>
                <w:rFonts w:hint="eastAsia"/>
                <w:color w:val="auto"/>
                <w:sz w:val="24"/>
              </w:rPr>
              <w:t>一般防渗区包括</w:t>
            </w:r>
            <w:r>
              <w:rPr>
                <w:rFonts w:hint="eastAsia"/>
                <w:color w:val="auto"/>
                <w:sz w:val="24"/>
                <w:lang w:val="en-US" w:eastAsia="zh-CN"/>
              </w:rPr>
              <w:t>样品加工室、</w:t>
            </w:r>
            <w:r>
              <w:rPr>
                <w:rFonts w:hint="eastAsia"/>
                <w:color w:val="auto"/>
                <w:sz w:val="24"/>
              </w:rPr>
              <w:t>除尘设备、</w:t>
            </w:r>
            <w:r>
              <w:rPr>
                <w:rFonts w:hint="eastAsia"/>
                <w:color w:val="auto"/>
                <w:sz w:val="24"/>
                <w:lang w:val="en-US" w:eastAsia="zh-CN"/>
              </w:rPr>
              <w:t>样品</w:t>
            </w:r>
            <w:r>
              <w:rPr>
                <w:rFonts w:hint="eastAsia"/>
                <w:color w:val="auto"/>
                <w:sz w:val="24"/>
              </w:rPr>
              <w:t>库房等，该区域防渗要求为：单位面积渗透量不大于厚度为1m粘土层（渗透系数≤10</w:t>
            </w:r>
            <w:r>
              <w:rPr>
                <w:rFonts w:hint="eastAsia"/>
                <w:color w:val="auto"/>
                <w:sz w:val="24"/>
                <w:vertAlign w:val="superscript"/>
              </w:rPr>
              <w:t>-7</w:t>
            </w:r>
            <w:r>
              <w:rPr>
                <w:rFonts w:hint="eastAsia"/>
                <w:color w:val="auto"/>
                <w:sz w:val="24"/>
              </w:rPr>
              <w:t>cm/s），或2mm</w:t>
            </w:r>
            <w:r>
              <w:rPr>
                <w:rFonts w:hint="eastAsia"/>
                <w:color w:val="auto"/>
                <w:sz w:val="24"/>
                <w:lang w:val="en-US" w:eastAsia="zh-CN"/>
              </w:rPr>
              <w:t>厚</w:t>
            </w:r>
            <w:r>
              <w:rPr>
                <w:rFonts w:hint="eastAsia"/>
                <w:color w:val="auto"/>
                <w:sz w:val="24"/>
              </w:rPr>
              <w:t>HDPE膜渗透系数K=1.0×10</w:t>
            </w:r>
            <w:r>
              <w:rPr>
                <w:rFonts w:hint="eastAsia"/>
                <w:color w:val="auto"/>
                <w:sz w:val="24"/>
                <w:vertAlign w:val="superscript"/>
              </w:rPr>
              <w:t>-10</w:t>
            </w:r>
            <w:r>
              <w:rPr>
                <w:rFonts w:hint="eastAsia"/>
                <w:color w:val="auto"/>
                <w:sz w:val="24"/>
              </w:rPr>
              <w:t>cm/s防渗层的渗透量，防渗能力与</w:t>
            </w:r>
            <w:r>
              <w:rPr>
                <w:rFonts w:hint="eastAsia"/>
                <w:color w:val="auto"/>
                <w:spacing w:val="10"/>
                <w:sz w:val="24"/>
              </w:rPr>
              <w:t>《危险废物贮存污染控制标准》</w:t>
            </w:r>
            <w:r>
              <w:rPr>
                <w:rFonts w:hint="eastAsia"/>
                <w:color w:val="auto"/>
                <w:spacing w:val="10"/>
                <w:sz w:val="24"/>
                <w:lang w:val="en-US" w:eastAsia="zh-CN"/>
              </w:rPr>
              <w:t>（GB18597-2023）</w:t>
            </w:r>
            <w:r>
              <w:rPr>
                <w:rFonts w:hint="eastAsia"/>
                <w:color w:val="auto"/>
                <w:sz w:val="24"/>
              </w:rPr>
              <w:t>第6.3.1条等效。</w:t>
            </w:r>
          </w:p>
          <w:p w14:paraId="591B86E3">
            <w:pPr>
              <w:adjustRightInd w:val="0"/>
              <w:snapToGrid w:val="0"/>
              <w:spacing w:line="360" w:lineRule="auto"/>
              <w:ind w:firstLine="480" w:firstLineChars="200"/>
              <w:rPr>
                <w:rFonts w:hint="eastAsia"/>
                <w:color w:val="auto"/>
                <w:sz w:val="24"/>
              </w:rPr>
            </w:pPr>
            <w:r>
              <w:rPr>
                <w:rFonts w:hint="eastAsia"/>
                <w:color w:val="auto"/>
                <w:sz w:val="24"/>
              </w:rPr>
              <w:t>③重点防渗区域</w:t>
            </w:r>
          </w:p>
          <w:p w14:paraId="240C7A73">
            <w:pPr>
              <w:adjustRightInd w:val="0"/>
              <w:snapToGrid w:val="0"/>
              <w:spacing w:line="360" w:lineRule="auto"/>
              <w:ind w:firstLine="480" w:firstLineChars="200"/>
              <w:rPr>
                <w:color w:val="auto"/>
                <w:sz w:val="24"/>
              </w:rPr>
            </w:pPr>
            <w:r>
              <w:rPr>
                <w:rFonts w:hint="eastAsia"/>
                <w:color w:val="auto"/>
                <w:sz w:val="24"/>
              </w:rPr>
              <w:t>重点防渗区包括</w:t>
            </w:r>
            <w:r>
              <w:rPr>
                <w:rFonts w:hint="eastAsia"/>
                <w:color w:val="auto"/>
                <w:sz w:val="24"/>
                <w:lang w:val="en-US" w:eastAsia="zh-CN"/>
              </w:rPr>
              <w:t>测试室</w:t>
            </w:r>
            <w:r>
              <w:rPr>
                <w:rFonts w:hint="eastAsia"/>
                <w:color w:val="auto"/>
                <w:sz w:val="24"/>
              </w:rPr>
              <w:t>、</w:t>
            </w:r>
            <w:r>
              <w:rPr>
                <w:rFonts w:hint="eastAsia"/>
                <w:color w:val="auto"/>
                <w:sz w:val="24"/>
                <w:lang w:val="en-US" w:eastAsia="zh-CN"/>
              </w:rPr>
              <w:t>操作室</w:t>
            </w:r>
            <w:r>
              <w:rPr>
                <w:rFonts w:hint="eastAsia"/>
                <w:color w:val="auto"/>
                <w:sz w:val="24"/>
              </w:rPr>
              <w:t>、</w:t>
            </w:r>
            <w:r>
              <w:rPr>
                <w:rFonts w:hint="eastAsia"/>
                <w:color w:val="auto"/>
                <w:sz w:val="24"/>
                <w:lang w:val="en-US" w:eastAsia="zh-CN"/>
              </w:rPr>
              <w:t>高温炉室、试剂库、危险品仓库、</w:t>
            </w:r>
            <w:r>
              <w:rPr>
                <w:rFonts w:hint="eastAsia"/>
                <w:color w:val="auto"/>
                <w:sz w:val="24"/>
                <w:lang w:eastAsia="zh-CN"/>
              </w:rPr>
              <w:t>危废</w:t>
            </w:r>
            <w:r>
              <w:rPr>
                <w:rFonts w:hint="eastAsia"/>
                <w:color w:val="auto"/>
                <w:sz w:val="24"/>
                <w:lang w:val="en-US" w:eastAsia="zh-CN"/>
              </w:rPr>
              <w:t>暂存间</w:t>
            </w:r>
            <w:r>
              <w:rPr>
                <w:rFonts w:hint="eastAsia"/>
                <w:color w:val="auto"/>
                <w:sz w:val="24"/>
              </w:rPr>
              <w:t>、</w:t>
            </w:r>
            <w:r>
              <w:rPr>
                <w:rFonts w:hint="eastAsia"/>
                <w:color w:val="auto"/>
                <w:szCs w:val="21"/>
                <w:lang w:val="en-US" w:eastAsia="zh-CN"/>
              </w:rPr>
              <w:t>废水贮存池、</w:t>
            </w:r>
            <w:r>
              <w:rPr>
                <w:rFonts w:hint="eastAsia"/>
                <w:color w:val="auto"/>
                <w:sz w:val="24"/>
              </w:rPr>
              <w:t>污水处理</w:t>
            </w:r>
            <w:r>
              <w:rPr>
                <w:rFonts w:hint="eastAsia"/>
                <w:color w:val="auto"/>
                <w:sz w:val="24"/>
                <w:lang w:val="en-US" w:eastAsia="zh-CN"/>
              </w:rPr>
              <w:t>设备</w:t>
            </w:r>
            <w:r>
              <w:rPr>
                <w:rFonts w:hint="eastAsia"/>
                <w:color w:val="auto"/>
                <w:sz w:val="24"/>
              </w:rPr>
              <w:t>等，该区域防渗要求为：单位面积渗透量不大于厚度为6m，渗透系数≤10</w:t>
            </w:r>
            <w:r>
              <w:rPr>
                <w:rFonts w:hint="eastAsia"/>
                <w:color w:val="auto"/>
                <w:sz w:val="24"/>
                <w:vertAlign w:val="superscript"/>
              </w:rPr>
              <w:t>-7</w:t>
            </w:r>
            <w:r>
              <w:rPr>
                <w:rFonts w:hint="eastAsia"/>
                <w:color w:val="auto"/>
                <w:sz w:val="24"/>
              </w:rPr>
              <w:t>cm/s，或3mm厚HDPE膜渗透系数K=1.0×10</w:t>
            </w:r>
            <w:r>
              <w:rPr>
                <w:rFonts w:hint="eastAsia"/>
                <w:color w:val="auto"/>
                <w:sz w:val="24"/>
                <w:vertAlign w:val="superscript"/>
              </w:rPr>
              <w:t>-12</w:t>
            </w:r>
            <w:r>
              <w:rPr>
                <w:rFonts w:hint="eastAsia"/>
                <w:color w:val="auto"/>
                <w:sz w:val="24"/>
              </w:rPr>
              <w:t>cm/s防渗层的渗透量，防渗能力与</w:t>
            </w:r>
            <w:r>
              <w:rPr>
                <w:rFonts w:hint="eastAsia"/>
                <w:color w:val="auto"/>
                <w:spacing w:val="10"/>
                <w:sz w:val="24"/>
              </w:rPr>
              <w:t>《危险废物贮存污染控制标准》</w:t>
            </w:r>
            <w:r>
              <w:rPr>
                <w:rFonts w:hint="eastAsia"/>
                <w:color w:val="auto"/>
                <w:spacing w:val="10"/>
                <w:sz w:val="24"/>
                <w:lang w:val="en-US" w:eastAsia="zh-CN"/>
              </w:rPr>
              <w:t>（GB18597-2023）</w:t>
            </w:r>
            <w:r>
              <w:rPr>
                <w:rFonts w:hint="eastAsia"/>
                <w:color w:val="auto"/>
                <w:sz w:val="24"/>
              </w:rPr>
              <w:t>第6</w:t>
            </w:r>
            <w:r>
              <w:rPr>
                <w:rFonts w:hint="eastAsia"/>
                <w:color w:val="auto"/>
                <w:sz w:val="24"/>
                <w:lang w:val="en-US" w:eastAsia="zh-CN"/>
              </w:rPr>
              <w:t>.1.4</w:t>
            </w:r>
            <w:r>
              <w:rPr>
                <w:rFonts w:hint="eastAsia"/>
                <w:color w:val="auto"/>
                <w:sz w:val="24"/>
              </w:rPr>
              <w:t>条等效。防渗区域划分及防渗要求见表4-</w:t>
            </w:r>
            <w:r>
              <w:rPr>
                <w:rFonts w:hint="eastAsia"/>
                <w:color w:val="auto"/>
                <w:sz w:val="24"/>
                <w:lang w:val="en-US" w:eastAsia="zh-CN"/>
              </w:rPr>
              <w:t>13</w:t>
            </w:r>
            <w:r>
              <w:rPr>
                <w:rFonts w:hint="eastAsia"/>
                <w:color w:val="auto"/>
                <w:sz w:val="24"/>
              </w:rPr>
              <w:t>及附图</w:t>
            </w:r>
            <w:r>
              <w:rPr>
                <w:rFonts w:hint="eastAsia"/>
                <w:color w:val="auto"/>
                <w:sz w:val="24"/>
                <w:lang w:val="en-US" w:eastAsia="zh-CN"/>
              </w:rPr>
              <w:t>8</w:t>
            </w:r>
            <w:r>
              <w:rPr>
                <w:rFonts w:hint="eastAsia"/>
                <w:color w:val="auto"/>
                <w:sz w:val="24"/>
              </w:rPr>
              <w:t>。</w:t>
            </w:r>
          </w:p>
          <w:p w14:paraId="1AC0FD00">
            <w:pPr>
              <w:pStyle w:val="19"/>
              <w:adjustRightInd w:val="0"/>
              <w:jc w:val="center"/>
              <w:rPr>
                <w:rFonts w:hint="eastAsia"/>
                <w:b/>
                <w:color w:val="auto"/>
                <w:sz w:val="21"/>
                <w:szCs w:val="21"/>
              </w:rPr>
            </w:pPr>
            <w:r>
              <w:rPr>
                <w:rFonts w:hint="eastAsia"/>
                <w:b/>
                <w:color w:val="auto"/>
                <w:sz w:val="21"/>
                <w:szCs w:val="21"/>
              </w:rPr>
              <w:t>表4</w:t>
            </w:r>
            <w:r>
              <w:rPr>
                <w:b/>
                <w:color w:val="auto"/>
                <w:sz w:val="21"/>
                <w:szCs w:val="21"/>
              </w:rPr>
              <w:t>-</w:t>
            </w:r>
            <w:r>
              <w:rPr>
                <w:rFonts w:hint="eastAsia"/>
                <w:b/>
                <w:color w:val="auto"/>
                <w:sz w:val="21"/>
                <w:szCs w:val="21"/>
                <w:lang w:val="en-US" w:eastAsia="zh-CN"/>
              </w:rPr>
              <w:t>13</w:t>
            </w:r>
            <w:r>
              <w:rPr>
                <w:b/>
                <w:color w:val="auto"/>
                <w:sz w:val="21"/>
                <w:szCs w:val="21"/>
              </w:rPr>
              <w:t xml:space="preserve">  </w:t>
            </w:r>
            <w:r>
              <w:rPr>
                <w:rFonts w:hint="eastAsia"/>
                <w:b/>
                <w:color w:val="auto"/>
                <w:sz w:val="21"/>
                <w:szCs w:val="21"/>
              </w:rPr>
              <w:t>污染区划分及防渗要求</w:t>
            </w:r>
          </w:p>
          <w:tbl>
            <w:tblPr>
              <w:tblStyle w:val="2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75"/>
              <w:gridCol w:w="1999"/>
              <w:gridCol w:w="5704"/>
            </w:tblGrid>
            <w:tr w14:paraId="0B16E6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62" w:type="pct"/>
                  <w:noWrap w:val="0"/>
                  <w:vAlign w:val="center"/>
                </w:tcPr>
                <w:p w14:paraId="13C5B87A">
                  <w:pPr>
                    <w:pStyle w:val="85"/>
                    <w:adjustRightInd w:val="0"/>
                    <w:snapToGrid w:val="0"/>
                    <w:ind w:firstLine="0" w:firstLineChars="0"/>
                    <w:jc w:val="center"/>
                    <w:rPr>
                      <w:rFonts w:hint="eastAsia"/>
                      <w:color w:val="auto"/>
                      <w:szCs w:val="21"/>
                    </w:rPr>
                  </w:pPr>
                  <w:r>
                    <w:rPr>
                      <w:rFonts w:hint="eastAsia"/>
                      <w:color w:val="auto"/>
                      <w:szCs w:val="21"/>
                    </w:rPr>
                    <w:t>分区类别</w:t>
                  </w:r>
                </w:p>
              </w:tc>
              <w:tc>
                <w:tcPr>
                  <w:tcW w:w="1152" w:type="pct"/>
                  <w:noWrap w:val="0"/>
                  <w:vAlign w:val="center"/>
                </w:tcPr>
                <w:p w14:paraId="39AA7266">
                  <w:pPr>
                    <w:pStyle w:val="85"/>
                    <w:adjustRightInd w:val="0"/>
                    <w:snapToGrid w:val="0"/>
                    <w:ind w:firstLine="0" w:firstLineChars="0"/>
                    <w:jc w:val="center"/>
                    <w:rPr>
                      <w:color w:val="auto"/>
                      <w:szCs w:val="21"/>
                    </w:rPr>
                  </w:pPr>
                  <w:r>
                    <w:rPr>
                      <w:rFonts w:hint="eastAsia"/>
                      <w:color w:val="auto"/>
                      <w:szCs w:val="21"/>
                    </w:rPr>
                    <w:t>分区位置</w:t>
                  </w:r>
                </w:p>
              </w:tc>
              <w:tc>
                <w:tcPr>
                  <w:tcW w:w="3287" w:type="pct"/>
                  <w:noWrap w:val="0"/>
                  <w:vAlign w:val="center"/>
                </w:tcPr>
                <w:p w14:paraId="4BC3A23F">
                  <w:pPr>
                    <w:pStyle w:val="85"/>
                    <w:adjustRightInd w:val="0"/>
                    <w:snapToGrid w:val="0"/>
                    <w:ind w:firstLine="0" w:firstLineChars="0"/>
                    <w:jc w:val="center"/>
                    <w:rPr>
                      <w:color w:val="auto"/>
                      <w:szCs w:val="21"/>
                    </w:rPr>
                  </w:pPr>
                  <w:r>
                    <w:rPr>
                      <w:rFonts w:hint="eastAsia"/>
                      <w:color w:val="auto"/>
                      <w:szCs w:val="21"/>
                    </w:rPr>
                    <w:t>防渗要求</w:t>
                  </w:r>
                </w:p>
              </w:tc>
            </w:tr>
            <w:tr w14:paraId="08BD2F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62" w:type="pct"/>
                  <w:noWrap w:val="0"/>
                  <w:vAlign w:val="center"/>
                </w:tcPr>
                <w:p w14:paraId="57FF74EC">
                  <w:pPr>
                    <w:pStyle w:val="85"/>
                    <w:adjustRightInd w:val="0"/>
                    <w:snapToGrid w:val="0"/>
                    <w:ind w:firstLine="0" w:firstLineChars="0"/>
                    <w:jc w:val="center"/>
                    <w:rPr>
                      <w:color w:val="auto"/>
                      <w:szCs w:val="21"/>
                    </w:rPr>
                  </w:pPr>
                  <w:r>
                    <w:rPr>
                      <w:rFonts w:hint="eastAsia"/>
                      <w:color w:val="auto"/>
                      <w:szCs w:val="21"/>
                    </w:rPr>
                    <w:t>简单防渗区</w:t>
                  </w:r>
                </w:p>
              </w:tc>
              <w:tc>
                <w:tcPr>
                  <w:tcW w:w="1152" w:type="pct"/>
                  <w:noWrap w:val="0"/>
                  <w:vAlign w:val="center"/>
                </w:tcPr>
                <w:p w14:paraId="49260BC3">
                  <w:pPr>
                    <w:pStyle w:val="85"/>
                    <w:adjustRightInd w:val="0"/>
                    <w:snapToGrid w:val="0"/>
                    <w:ind w:firstLine="0" w:firstLineChars="0"/>
                    <w:jc w:val="center"/>
                    <w:rPr>
                      <w:color w:val="auto"/>
                      <w:szCs w:val="21"/>
                    </w:rPr>
                  </w:pPr>
                  <w:r>
                    <w:rPr>
                      <w:rFonts w:hint="eastAsia"/>
                      <w:color w:val="auto"/>
                      <w:szCs w:val="21"/>
                    </w:rPr>
                    <w:t>办公生活区、重点防渗区域以外的其他区域</w:t>
                  </w:r>
                </w:p>
              </w:tc>
              <w:tc>
                <w:tcPr>
                  <w:tcW w:w="3287" w:type="pct"/>
                  <w:noWrap w:val="0"/>
                  <w:vAlign w:val="center"/>
                </w:tcPr>
                <w:p w14:paraId="4F9EC539">
                  <w:pPr>
                    <w:pStyle w:val="85"/>
                    <w:adjustRightInd w:val="0"/>
                    <w:snapToGrid w:val="0"/>
                    <w:ind w:firstLine="0" w:firstLineChars="0"/>
                    <w:jc w:val="both"/>
                    <w:rPr>
                      <w:color w:val="auto"/>
                      <w:szCs w:val="21"/>
                    </w:rPr>
                  </w:pPr>
                  <w:r>
                    <w:rPr>
                      <w:rFonts w:hint="eastAsia"/>
                      <w:color w:val="auto"/>
                      <w:szCs w:val="21"/>
                    </w:rPr>
                    <w:t>不需要设置专门的防渗层、一般地面硬化。</w:t>
                  </w:r>
                </w:p>
              </w:tc>
            </w:tr>
            <w:tr w14:paraId="5653BA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62" w:type="pct"/>
                  <w:noWrap w:val="0"/>
                  <w:vAlign w:val="center"/>
                </w:tcPr>
                <w:p w14:paraId="4C4AF440">
                  <w:pPr>
                    <w:pStyle w:val="85"/>
                    <w:adjustRightInd w:val="0"/>
                    <w:snapToGrid w:val="0"/>
                    <w:ind w:firstLine="0" w:firstLineChars="0"/>
                    <w:jc w:val="center"/>
                    <w:rPr>
                      <w:rFonts w:hint="eastAsia"/>
                      <w:color w:val="auto"/>
                      <w:szCs w:val="21"/>
                    </w:rPr>
                  </w:pPr>
                  <w:r>
                    <w:rPr>
                      <w:rFonts w:hint="eastAsia"/>
                      <w:color w:val="auto"/>
                      <w:szCs w:val="21"/>
                    </w:rPr>
                    <w:t>一般防渗区</w:t>
                  </w:r>
                </w:p>
              </w:tc>
              <w:tc>
                <w:tcPr>
                  <w:tcW w:w="1152" w:type="pct"/>
                  <w:noWrap w:val="0"/>
                  <w:vAlign w:val="center"/>
                </w:tcPr>
                <w:p w14:paraId="44DA251D">
                  <w:pPr>
                    <w:pStyle w:val="85"/>
                    <w:adjustRightInd w:val="0"/>
                    <w:snapToGrid w:val="0"/>
                    <w:ind w:firstLine="0" w:firstLineChars="0"/>
                    <w:jc w:val="center"/>
                    <w:rPr>
                      <w:rFonts w:hint="eastAsia" w:eastAsia="宋体"/>
                      <w:color w:val="auto"/>
                      <w:szCs w:val="21"/>
                      <w:lang w:eastAsia="zh-CN"/>
                    </w:rPr>
                  </w:pPr>
                  <w:r>
                    <w:rPr>
                      <w:rFonts w:hint="eastAsia"/>
                      <w:color w:val="auto"/>
                      <w:szCs w:val="21"/>
                      <w:lang w:val="en-US" w:eastAsia="zh-CN"/>
                    </w:rPr>
                    <w:t>样品加工室、</w:t>
                  </w:r>
                  <w:r>
                    <w:rPr>
                      <w:rFonts w:hint="eastAsia"/>
                      <w:color w:val="auto"/>
                      <w:szCs w:val="21"/>
                    </w:rPr>
                    <w:t>除尘设备、</w:t>
                  </w:r>
                  <w:r>
                    <w:rPr>
                      <w:rFonts w:hint="eastAsia"/>
                      <w:color w:val="auto"/>
                      <w:szCs w:val="21"/>
                      <w:lang w:val="en-US" w:eastAsia="zh-CN"/>
                    </w:rPr>
                    <w:t>样品</w:t>
                  </w:r>
                  <w:r>
                    <w:rPr>
                      <w:rFonts w:hint="eastAsia"/>
                      <w:color w:val="auto"/>
                      <w:szCs w:val="21"/>
                    </w:rPr>
                    <w:t>库房</w:t>
                  </w:r>
                </w:p>
              </w:tc>
              <w:tc>
                <w:tcPr>
                  <w:tcW w:w="3287" w:type="pct"/>
                  <w:noWrap w:val="0"/>
                  <w:vAlign w:val="center"/>
                </w:tcPr>
                <w:p w14:paraId="0B7CCE1D">
                  <w:pPr>
                    <w:pStyle w:val="85"/>
                    <w:adjustRightInd w:val="0"/>
                    <w:snapToGrid w:val="0"/>
                    <w:ind w:firstLine="0" w:firstLineChars="0"/>
                    <w:jc w:val="both"/>
                    <w:rPr>
                      <w:rFonts w:hint="eastAsia"/>
                      <w:color w:val="auto"/>
                      <w:szCs w:val="21"/>
                    </w:rPr>
                  </w:pPr>
                  <w:r>
                    <w:rPr>
                      <w:rFonts w:hint="eastAsia"/>
                      <w:color w:val="auto"/>
                      <w:szCs w:val="21"/>
                    </w:rPr>
                    <w:t>单位面积渗透量不大于厚度为1m粘土层（渗透系数≤10</w:t>
                  </w:r>
                  <w:r>
                    <w:rPr>
                      <w:rFonts w:hint="eastAsia"/>
                      <w:color w:val="auto"/>
                      <w:szCs w:val="21"/>
                      <w:vertAlign w:val="superscript"/>
                    </w:rPr>
                    <w:t>-7</w:t>
                  </w:r>
                  <w:r>
                    <w:rPr>
                      <w:rFonts w:hint="eastAsia"/>
                      <w:color w:val="auto"/>
                      <w:szCs w:val="21"/>
                    </w:rPr>
                    <w:t>cm/s），或2mm</w:t>
                  </w:r>
                  <w:r>
                    <w:rPr>
                      <w:rFonts w:hint="eastAsia"/>
                      <w:color w:val="auto"/>
                      <w:szCs w:val="21"/>
                      <w:lang w:val="en-US" w:eastAsia="zh-CN"/>
                    </w:rPr>
                    <w:t>厚</w:t>
                  </w:r>
                  <w:r>
                    <w:rPr>
                      <w:rFonts w:hint="eastAsia"/>
                      <w:color w:val="auto"/>
                      <w:szCs w:val="21"/>
                    </w:rPr>
                    <w:t>HDPE膜渗透系数K=1.0×10</w:t>
                  </w:r>
                  <w:r>
                    <w:rPr>
                      <w:rFonts w:hint="eastAsia"/>
                      <w:color w:val="auto"/>
                      <w:szCs w:val="21"/>
                      <w:vertAlign w:val="superscript"/>
                    </w:rPr>
                    <w:t>-10</w:t>
                  </w:r>
                  <w:r>
                    <w:rPr>
                      <w:rFonts w:hint="eastAsia"/>
                      <w:color w:val="auto"/>
                      <w:szCs w:val="21"/>
                    </w:rPr>
                    <w:t>cm/s防渗层的渗透量，防渗能力与《危险废物贮存污染控制标准》</w:t>
                  </w:r>
                  <w:r>
                    <w:rPr>
                      <w:rFonts w:hint="eastAsia"/>
                      <w:color w:val="auto"/>
                      <w:szCs w:val="21"/>
                      <w:lang w:val="en-US" w:eastAsia="zh-CN"/>
                    </w:rPr>
                    <w:t>（GB18597-2023）</w:t>
                  </w:r>
                  <w:r>
                    <w:rPr>
                      <w:rFonts w:hint="eastAsia"/>
                      <w:color w:val="auto"/>
                      <w:szCs w:val="21"/>
                    </w:rPr>
                    <w:t>第6.</w:t>
                  </w:r>
                  <w:r>
                    <w:rPr>
                      <w:rFonts w:hint="eastAsia"/>
                      <w:color w:val="auto"/>
                      <w:szCs w:val="21"/>
                      <w:lang w:val="en-US" w:eastAsia="zh-CN"/>
                    </w:rPr>
                    <w:t>1.4</w:t>
                  </w:r>
                  <w:r>
                    <w:rPr>
                      <w:rFonts w:hint="eastAsia"/>
                      <w:color w:val="auto"/>
                      <w:szCs w:val="21"/>
                    </w:rPr>
                    <w:t>条等效。</w:t>
                  </w:r>
                </w:p>
              </w:tc>
            </w:tr>
            <w:tr w14:paraId="26AA13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62" w:type="pct"/>
                  <w:noWrap w:val="0"/>
                  <w:vAlign w:val="center"/>
                </w:tcPr>
                <w:p w14:paraId="6404903E">
                  <w:pPr>
                    <w:pStyle w:val="85"/>
                    <w:adjustRightInd w:val="0"/>
                    <w:snapToGrid w:val="0"/>
                    <w:ind w:firstLine="0" w:firstLineChars="0"/>
                    <w:jc w:val="center"/>
                    <w:rPr>
                      <w:color w:val="auto"/>
                      <w:szCs w:val="21"/>
                    </w:rPr>
                  </w:pPr>
                  <w:r>
                    <w:rPr>
                      <w:rFonts w:hint="eastAsia"/>
                      <w:color w:val="auto"/>
                      <w:szCs w:val="21"/>
                    </w:rPr>
                    <w:t>重点防渗区</w:t>
                  </w:r>
                </w:p>
              </w:tc>
              <w:tc>
                <w:tcPr>
                  <w:tcW w:w="1152" w:type="pct"/>
                  <w:noWrap w:val="0"/>
                  <w:vAlign w:val="center"/>
                </w:tcPr>
                <w:p w14:paraId="0E9231C6">
                  <w:pPr>
                    <w:pStyle w:val="85"/>
                    <w:adjustRightInd w:val="0"/>
                    <w:snapToGrid w:val="0"/>
                    <w:ind w:firstLine="0" w:firstLineChars="0"/>
                    <w:jc w:val="center"/>
                    <w:rPr>
                      <w:color w:val="auto"/>
                      <w:szCs w:val="21"/>
                    </w:rPr>
                  </w:pPr>
                  <w:r>
                    <w:rPr>
                      <w:rFonts w:hint="eastAsia"/>
                      <w:color w:val="auto"/>
                      <w:szCs w:val="21"/>
                      <w:lang w:val="en-US" w:eastAsia="zh-CN"/>
                    </w:rPr>
                    <w:t>测试室</w:t>
                  </w:r>
                  <w:r>
                    <w:rPr>
                      <w:rFonts w:hint="eastAsia"/>
                      <w:color w:val="auto"/>
                      <w:szCs w:val="21"/>
                    </w:rPr>
                    <w:t>、</w:t>
                  </w:r>
                  <w:r>
                    <w:rPr>
                      <w:rFonts w:hint="eastAsia"/>
                      <w:color w:val="auto"/>
                      <w:szCs w:val="21"/>
                      <w:lang w:val="en-US" w:eastAsia="zh-CN"/>
                    </w:rPr>
                    <w:t>操作室</w:t>
                  </w:r>
                  <w:r>
                    <w:rPr>
                      <w:rFonts w:hint="eastAsia"/>
                      <w:color w:val="auto"/>
                      <w:szCs w:val="21"/>
                    </w:rPr>
                    <w:t>、</w:t>
                  </w:r>
                  <w:r>
                    <w:rPr>
                      <w:rFonts w:hint="eastAsia"/>
                      <w:color w:val="auto"/>
                      <w:szCs w:val="21"/>
                      <w:lang w:val="en-US" w:eastAsia="zh-CN"/>
                    </w:rPr>
                    <w:t>高温炉室、试剂库、危险品仓库、</w:t>
                  </w:r>
                  <w:r>
                    <w:rPr>
                      <w:rFonts w:hint="eastAsia"/>
                      <w:color w:val="auto"/>
                      <w:szCs w:val="21"/>
                      <w:lang w:eastAsia="zh-CN"/>
                    </w:rPr>
                    <w:t>危废</w:t>
                  </w:r>
                  <w:r>
                    <w:rPr>
                      <w:rFonts w:hint="eastAsia"/>
                      <w:color w:val="auto"/>
                      <w:szCs w:val="21"/>
                      <w:lang w:val="en-US" w:eastAsia="zh-CN"/>
                    </w:rPr>
                    <w:t>暂存间</w:t>
                  </w:r>
                  <w:r>
                    <w:rPr>
                      <w:rFonts w:hint="eastAsia"/>
                      <w:color w:val="auto"/>
                      <w:szCs w:val="21"/>
                    </w:rPr>
                    <w:t>、</w:t>
                  </w:r>
                  <w:r>
                    <w:rPr>
                      <w:rFonts w:hint="eastAsia"/>
                      <w:color w:val="auto"/>
                      <w:szCs w:val="21"/>
                      <w:lang w:val="en-US" w:eastAsia="zh-CN"/>
                    </w:rPr>
                    <w:t>废水贮存池、</w:t>
                  </w:r>
                  <w:r>
                    <w:rPr>
                      <w:rFonts w:hint="eastAsia"/>
                      <w:color w:val="auto"/>
                      <w:szCs w:val="21"/>
                    </w:rPr>
                    <w:t>污水处理</w:t>
                  </w:r>
                  <w:r>
                    <w:rPr>
                      <w:rFonts w:hint="eastAsia"/>
                      <w:color w:val="auto"/>
                      <w:szCs w:val="21"/>
                      <w:lang w:val="en-US" w:eastAsia="zh-CN"/>
                    </w:rPr>
                    <w:t>设备</w:t>
                  </w:r>
                </w:p>
              </w:tc>
              <w:tc>
                <w:tcPr>
                  <w:tcW w:w="3287" w:type="pct"/>
                  <w:noWrap w:val="0"/>
                  <w:vAlign w:val="center"/>
                </w:tcPr>
                <w:p w14:paraId="5630A87B">
                  <w:pPr>
                    <w:pStyle w:val="85"/>
                    <w:adjustRightInd w:val="0"/>
                    <w:snapToGrid w:val="0"/>
                    <w:ind w:firstLine="0" w:firstLineChars="0"/>
                    <w:jc w:val="both"/>
                    <w:rPr>
                      <w:color w:val="auto"/>
                      <w:szCs w:val="21"/>
                    </w:rPr>
                  </w:pPr>
                  <w:r>
                    <w:rPr>
                      <w:rFonts w:hint="eastAsia"/>
                      <w:color w:val="auto"/>
                      <w:szCs w:val="21"/>
                    </w:rPr>
                    <w:t>单位面积渗透量不大于厚度为6m，渗透系数≤10</w:t>
                  </w:r>
                  <w:r>
                    <w:rPr>
                      <w:rFonts w:hint="eastAsia"/>
                      <w:color w:val="auto"/>
                      <w:szCs w:val="21"/>
                      <w:vertAlign w:val="superscript"/>
                    </w:rPr>
                    <w:t>-7</w:t>
                  </w:r>
                  <w:r>
                    <w:rPr>
                      <w:rFonts w:hint="eastAsia"/>
                      <w:color w:val="auto"/>
                      <w:szCs w:val="21"/>
                    </w:rPr>
                    <w:t>cm/s，或3mm厚HDPE膜渗透系数K=1.0×10</w:t>
                  </w:r>
                  <w:r>
                    <w:rPr>
                      <w:rFonts w:hint="eastAsia"/>
                      <w:color w:val="auto"/>
                      <w:szCs w:val="21"/>
                      <w:vertAlign w:val="superscript"/>
                    </w:rPr>
                    <w:t>-12</w:t>
                  </w:r>
                  <w:r>
                    <w:rPr>
                      <w:rFonts w:hint="eastAsia"/>
                      <w:color w:val="auto"/>
                      <w:szCs w:val="21"/>
                    </w:rPr>
                    <w:t>cm/s防渗层的渗透量</w:t>
                  </w:r>
                  <w:r>
                    <w:rPr>
                      <w:rFonts w:hint="eastAsia"/>
                      <w:color w:val="auto"/>
                      <w:szCs w:val="21"/>
                      <w:lang w:eastAsia="zh-CN"/>
                    </w:rPr>
                    <w:t>；</w:t>
                  </w:r>
                  <w:r>
                    <w:rPr>
                      <w:rFonts w:hint="eastAsia"/>
                      <w:color w:val="auto"/>
                      <w:szCs w:val="21"/>
                      <w:lang w:val="en-US" w:eastAsia="zh-CN"/>
                    </w:rPr>
                    <w:t>其中危废库</w:t>
                  </w:r>
                  <w:r>
                    <w:rPr>
                      <w:rFonts w:hint="eastAsia"/>
                      <w:color w:val="auto"/>
                      <w:szCs w:val="21"/>
                    </w:rPr>
                    <w:t>防渗层为至少1m厚黏土层（渗透系数不大于10</w:t>
                  </w:r>
                  <w:r>
                    <w:rPr>
                      <w:rFonts w:hint="eastAsia"/>
                      <w:color w:val="auto"/>
                      <w:szCs w:val="21"/>
                      <w:vertAlign w:val="superscript"/>
                    </w:rPr>
                    <w:t>-7</w:t>
                  </w:r>
                  <w:r>
                    <w:rPr>
                      <w:rFonts w:hint="eastAsia"/>
                      <w:color w:val="auto"/>
                      <w:szCs w:val="21"/>
                    </w:rPr>
                    <w:t>cm/s），或至少2mm厚高密度聚乙烯膜等人工防渗材料（渗透系数不大于10</w:t>
                  </w:r>
                  <w:r>
                    <w:rPr>
                      <w:rFonts w:hint="eastAsia"/>
                      <w:color w:val="auto"/>
                      <w:szCs w:val="21"/>
                      <w:vertAlign w:val="superscript"/>
                    </w:rPr>
                    <w:t>-10</w:t>
                  </w:r>
                  <w:r>
                    <w:rPr>
                      <w:rFonts w:hint="eastAsia"/>
                      <w:color w:val="auto"/>
                      <w:szCs w:val="21"/>
                    </w:rPr>
                    <w:t>cm/s），或其他防渗性能等效的材料。</w:t>
                  </w:r>
                </w:p>
              </w:tc>
            </w:tr>
          </w:tbl>
          <w:p w14:paraId="52C56B93">
            <w:pPr>
              <w:pStyle w:val="71"/>
              <w:snapToGrid w:val="0"/>
              <w:spacing w:line="360" w:lineRule="auto"/>
              <w:rPr>
                <w:b/>
                <w:bCs/>
                <w:color w:val="auto"/>
                <w:sz w:val="24"/>
                <w:szCs w:val="24"/>
              </w:rPr>
            </w:pPr>
            <w:r>
              <w:rPr>
                <w:rFonts w:hint="eastAsia"/>
                <w:b/>
                <w:bCs/>
                <w:color w:val="auto"/>
                <w:sz w:val="24"/>
                <w:szCs w:val="24"/>
              </w:rPr>
              <w:t>6</w:t>
            </w:r>
            <w:r>
              <w:rPr>
                <w:b/>
                <w:bCs/>
                <w:color w:val="auto"/>
                <w:sz w:val="24"/>
                <w:szCs w:val="24"/>
              </w:rPr>
              <w:t xml:space="preserve"> </w:t>
            </w:r>
            <w:r>
              <w:rPr>
                <w:rFonts w:hint="eastAsia"/>
                <w:b/>
                <w:bCs/>
                <w:color w:val="auto"/>
                <w:sz w:val="24"/>
                <w:szCs w:val="24"/>
              </w:rPr>
              <w:t>环境风险</w:t>
            </w:r>
          </w:p>
          <w:p w14:paraId="45A0D4FE">
            <w:pPr>
              <w:pStyle w:val="75"/>
              <w:spacing w:line="360" w:lineRule="auto"/>
              <w:ind w:firstLine="480" w:firstLineChars="200"/>
              <w:jc w:val="both"/>
              <w:rPr>
                <w:rFonts w:hint="default" w:ascii="Times New Roman" w:hAnsi="Times New Roman" w:eastAsia="宋体" w:cs="Times New Roman"/>
                <w:b w:val="0"/>
                <w:bCs w:val="0"/>
                <w:color w:val="auto"/>
                <w:sz w:val="24"/>
                <w:szCs w:val="24"/>
                <w:lang w:val="en-US" w:eastAsia="zh-CN"/>
              </w:rPr>
            </w:pPr>
            <w:r>
              <w:rPr>
                <w:rFonts w:hint="eastAsia" w:ascii="Times New Roman" w:hAnsi="Times New Roman" w:eastAsia="宋体" w:cs="Times New Roman"/>
                <w:b w:val="0"/>
                <w:bCs w:val="0"/>
                <w:color w:val="auto"/>
                <w:sz w:val="24"/>
                <w:szCs w:val="24"/>
                <w:lang w:val="en-US" w:eastAsia="zh-CN"/>
              </w:rPr>
              <w:t>（1）物质</w:t>
            </w:r>
            <w:r>
              <w:rPr>
                <w:rFonts w:hint="default" w:ascii="Times New Roman" w:hAnsi="Times New Roman" w:eastAsia="宋体" w:cs="Times New Roman"/>
                <w:b w:val="0"/>
                <w:bCs w:val="0"/>
                <w:color w:val="auto"/>
                <w:sz w:val="24"/>
                <w:szCs w:val="24"/>
                <w:lang w:val="en-US" w:eastAsia="zh-CN"/>
              </w:rPr>
              <w:t>风险</w:t>
            </w:r>
            <w:r>
              <w:rPr>
                <w:rFonts w:hint="eastAsia" w:ascii="Times New Roman" w:hAnsi="Times New Roman" w:eastAsia="宋体" w:cs="Times New Roman"/>
                <w:b w:val="0"/>
                <w:bCs w:val="0"/>
                <w:color w:val="auto"/>
                <w:sz w:val="24"/>
                <w:szCs w:val="24"/>
                <w:lang w:val="en-US" w:eastAsia="zh-CN"/>
              </w:rPr>
              <w:t>识别</w:t>
            </w:r>
          </w:p>
          <w:p w14:paraId="6B01B28B">
            <w:pPr>
              <w:pStyle w:val="75"/>
              <w:keepNext w:val="0"/>
              <w:keepLines w:val="0"/>
              <w:pageBreakBefore w:val="0"/>
              <w:widowControl w:val="0"/>
              <w:kinsoku/>
              <w:wordWrap/>
              <w:overflowPunct/>
              <w:topLinePunct w:val="0"/>
              <w:bidi w:val="0"/>
              <w:snapToGrid/>
              <w:spacing w:line="360" w:lineRule="auto"/>
              <w:ind w:firstLine="480" w:firstLineChars="200"/>
              <w:jc w:val="both"/>
              <w:textAlignment w:val="auto"/>
              <w:rPr>
                <w:rFonts w:hint="eastAsia"/>
                <w:b w:val="0"/>
                <w:bCs w:val="0"/>
                <w:color w:val="auto"/>
                <w:sz w:val="24"/>
                <w:szCs w:val="24"/>
                <w:lang w:eastAsia="zh-CN"/>
              </w:rPr>
            </w:pPr>
            <w:r>
              <w:rPr>
                <w:rFonts w:hint="eastAsia"/>
                <w:b w:val="0"/>
                <w:bCs w:val="0"/>
                <w:color w:val="auto"/>
                <w:sz w:val="24"/>
                <w:szCs w:val="24"/>
                <w:lang w:eastAsia="zh-CN"/>
              </w:rPr>
              <w:t>根据《建设项目环境风险评价技术导则》(HJ169-2018)附录B及《危险化学品重大危险源辨识》(GB18218-2018),项目涉及环境风险物质主要为</w:t>
            </w:r>
            <w:r>
              <w:rPr>
                <w:rFonts w:hint="eastAsia"/>
                <w:b w:val="0"/>
                <w:bCs w:val="0"/>
                <w:color w:val="auto"/>
                <w:sz w:val="24"/>
                <w:szCs w:val="24"/>
                <w:lang w:val="en-US" w:eastAsia="zh-CN"/>
              </w:rPr>
              <w:t>盐酸</w:t>
            </w:r>
            <w:r>
              <w:rPr>
                <w:rFonts w:hint="eastAsia"/>
                <w:b w:val="0"/>
                <w:bCs w:val="0"/>
                <w:color w:val="auto"/>
                <w:sz w:val="24"/>
                <w:szCs w:val="24"/>
                <w:lang w:eastAsia="zh-CN"/>
              </w:rPr>
              <w:t>、硝酸、</w:t>
            </w:r>
            <w:r>
              <w:rPr>
                <w:rFonts w:hint="eastAsia"/>
                <w:b w:val="0"/>
                <w:bCs w:val="0"/>
                <w:color w:val="auto"/>
                <w:sz w:val="24"/>
                <w:szCs w:val="24"/>
                <w:lang w:val="en-US" w:eastAsia="zh-CN"/>
              </w:rPr>
              <w:t>硫酸</w:t>
            </w:r>
            <w:r>
              <w:rPr>
                <w:rFonts w:hint="eastAsia"/>
                <w:b w:val="0"/>
                <w:bCs w:val="0"/>
                <w:color w:val="auto"/>
                <w:sz w:val="24"/>
                <w:szCs w:val="24"/>
                <w:lang w:eastAsia="zh-CN"/>
              </w:rPr>
              <w:t>等，具体见下表。</w:t>
            </w:r>
          </w:p>
          <w:p w14:paraId="0BF3DD35">
            <w:pPr>
              <w:pStyle w:val="19"/>
              <w:adjustRightInd w:val="0"/>
              <w:jc w:val="center"/>
              <w:rPr>
                <w:rFonts w:hint="eastAsia" w:ascii="Times New Roman" w:hAnsi="Times New Roman" w:eastAsia="宋体" w:cs="Times New Roman"/>
                <w:b/>
                <w:color w:val="auto"/>
                <w:sz w:val="21"/>
                <w:szCs w:val="21"/>
                <w:lang w:val="en-US" w:eastAsia="zh-CN"/>
              </w:rPr>
            </w:pPr>
            <w:r>
              <w:rPr>
                <w:rFonts w:hint="eastAsia" w:ascii="Times New Roman" w:hAnsi="Times New Roman" w:eastAsia="宋体" w:cs="Times New Roman"/>
                <w:b/>
                <w:color w:val="auto"/>
                <w:sz w:val="21"/>
                <w:szCs w:val="21"/>
                <w:lang w:val="en-US" w:eastAsia="zh-CN"/>
              </w:rPr>
              <w:t>表4-14  危险物质临界量、最大存储量一览表</w:t>
            </w:r>
          </w:p>
          <w:tbl>
            <w:tblPr>
              <w:tblStyle w:val="28"/>
              <w:tblW w:w="4998"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84"/>
              <w:gridCol w:w="1870"/>
              <w:gridCol w:w="1551"/>
              <w:gridCol w:w="1657"/>
              <w:gridCol w:w="2623"/>
            </w:tblGrid>
            <w:tr w14:paraId="70236AA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567" w:type="pct"/>
                  <w:tcBorders>
                    <w:top w:val="single" w:color="000000" w:sz="8" w:space="0"/>
                    <w:left w:val="single" w:color="000000" w:sz="8" w:space="0"/>
                    <w:bottom w:val="single" w:color="000000" w:sz="8" w:space="0"/>
                    <w:right w:val="single" w:color="000000" w:sz="8" w:space="0"/>
                  </w:tcBorders>
                  <w:noWrap/>
                  <w:vAlign w:val="center"/>
                </w:tcPr>
                <w:p w14:paraId="6EE9E32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序号</w:t>
                  </w:r>
                </w:p>
              </w:tc>
              <w:tc>
                <w:tcPr>
                  <w:tcW w:w="1077" w:type="pct"/>
                  <w:tcBorders>
                    <w:top w:val="single" w:color="000000" w:sz="8" w:space="0"/>
                    <w:left w:val="nil"/>
                    <w:bottom w:val="single" w:color="000000" w:sz="8" w:space="0"/>
                    <w:right w:val="single" w:color="000000" w:sz="8" w:space="0"/>
                  </w:tcBorders>
                  <w:noWrap/>
                  <w:vAlign w:val="center"/>
                </w:tcPr>
                <w:p w14:paraId="45AB420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lang w:val="en-US"/>
                    </w:rPr>
                  </w:pPr>
                  <w:r>
                    <w:rPr>
                      <w:rFonts w:hint="eastAsia" w:cs="Times New Roman"/>
                      <w:i w:val="0"/>
                      <w:iCs w:val="0"/>
                      <w:color w:val="auto"/>
                      <w:kern w:val="0"/>
                      <w:sz w:val="21"/>
                      <w:szCs w:val="21"/>
                      <w:u w:val="none"/>
                      <w:lang w:val="en-US" w:eastAsia="zh-CN" w:bidi="ar"/>
                    </w:rPr>
                    <w:t>风险物质名称</w:t>
                  </w:r>
                </w:p>
              </w:tc>
              <w:tc>
                <w:tcPr>
                  <w:tcW w:w="892" w:type="pct"/>
                  <w:tcBorders>
                    <w:top w:val="single" w:color="000000" w:sz="8" w:space="0"/>
                    <w:left w:val="nil"/>
                    <w:bottom w:val="single" w:color="000000" w:sz="8" w:space="0"/>
                    <w:right w:val="single" w:color="000000" w:sz="8" w:space="0"/>
                  </w:tcBorders>
                  <w:noWrap/>
                  <w:vAlign w:val="center"/>
                </w:tcPr>
                <w:p w14:paraId="670FFAAB">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lang w:val="en-US"/>
                    </w:rPr>
                  </w:pPr>
                  <w:r>
                    <w:rPr>
                      <w:rFonts w:hint="eastAsia" w:cs="Times New Roman"/>
                      <w:i w:val="0"/>
                      <w:iCs w:val="0"/>
                      <w:color w:val="auto"/>
                      <w:kern w:val="0"/>
                      <w:sz w:val="21"/>
                      <w:szCs w:val="21"/>
                      <w:u w:val="none"/>
                      <w:lang w:val="en-US" w:eastAsia="zh-CN" w:bidi="ar"/>
                    </w:rPr>
                    <w:t>CAS号</w:t>
                  </w:r>
                </w:p>
              </w:tc>
              <w:tc>
                <w:tcPr>
                  <w:tcW w:w="954" w:type="pct"/>
                  <w:tcBorders>
                    <w:top w:val="single" w:color="000000" w:sz="8" w:space="0"/>
                    <w:left w:val="nil"/>
                    <w:bottom w:val="single" w:color="000000" w:sz="8" w:space="0"/>
                    <w:right w:val="single" w:color="000000" w:sz="8" w:space="0"/>
                  </w:tcBorders>
                  <w:noWrap w:val="0"/>
                  <w:vAlign w:val="center"/>
                </w:tcPr>
                <w:p w14:paraId="401588C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lang w:val="en-US" w:eastAsia="zh-CN"/>
                    </w:rPr>
                  </w:pPr>
                  <w:r>
                    <w:rPr>
                      <w:rFonts w:hint="eastAsia" w:cs="Times New Roman"/>
                      <w:i w:val="0"/>
                      <w:iCs w:val="0"/>
                      <w:color w:val="auto"/>
                      <w:sz w:val="21"/>
                      <w:szCs w:val="21"/>
                      <w:u w:val="none"/>
                      <w:lang w:val="en-US" w:eastAsia="zh-CN"/>
                    </w:rPr>
                    <w:t>临界量/t</w:t>
                  </w:r>
                </w:p>
              </w:tc>
              <w:tc>
                <w:tcPr>
                  <w:tcW w:w="1508" w:type="pct"/>
                  <w:tcBorders>
                    <w:top w:val="single" w:color="000000" w:sz="8" w:space="0"/>
                    <w:left w:val="nil"/>
                    <w:bottom w:val="single" w:color="000000" w:sz="8" w:space="0"/>
                    <w:right w:val="single" w:color="000000" w:sz="8" w:space="0"/>
                  </w:tcBorders>
                  <w:noWrap/>
                  <w:vAlign w:val="center"/>
                </w:tcPr>
                <w:p w14:paraId="0AC2516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lang w:val="en-US" w:eastAsia="zh-CN"/>
                    </w:rPr>
                  </w:pPr>
                  <w:r>
                    <w:rPr>
                      <w:rFonts w:hint="eastAsia" w:cs="Times New Roman"/>
                      <w:i w:val="0"/>
                      <w:iCs w:val="0"/>
                      <w:color w:val="auto"/>
                      <w:sz w:val="21"/>
                      <w:szCs w:val="21"/>
                      <w:u w:val="none"/>
                      <w:lang w:val="en-US" w:eastAsia="zh-CN"/>
                    </w:rPr>
                    <w:t>最大存储量/t（换算后）</w:t>
                  </w:r>
                </w:p>
              </w:tc>
            </w:tr>
            <w:tr w14:paraId="0BBF0DD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567" w:type="pct"/>
                  <w:tcBorders>
                    <w:top w:val="nil"/>
                    <w:left w:val="single" w:color="000000" w:sz="8" w:space="0"/>
                    <w:bottom w:val="single" w:color="000000" w:sz="8" w:space="0"/>
                    <w:right w:val="single" w:color="000000" w:sz="8" w:space="0"/>
                  </w:tcBorders>
                  <w:noWrap/>
                  <w:vAlign w:val="center"/>
                </w:tcPr>
                <w:p w14:paraId="71379D7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w:t>
                  </w:r>
                </w:p>
              </w:tc>
              <w:tc>
                <w:tcPr>
                  <w:tcW w:w="1873" w:type="dxa"/>
                  <w:tcBorders>
                    <w:top w:val="single" w:color="000000" w:sz="4" w:space="0"/>
                    <w:left w:val="single" w:color="000000" w:sz="4" w:space="0"/>
                    <w:bottom w:val="single" w:color="000000" w:sz="4" w:space="0"/>
                    <w:right w:val="single" w:color="000000" w:sz="4" w:space="0"/>
                  </w:tcBorders>
                  <w:noWrap w:val="0"/>
                  <w:vAlign w:val="center"/>
                </w:tcPr>
                <w:p w14:paraId="06EBFFD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盐酸</w:t>
                  </w:r>
                </w:p>
              </w:tc>
              <w:tc>
                <w:tcPr>
                  <w:tcW w:w="1551" w:type="dxa"/>
                  <w:tcBorders>
                    <w:top w:val="nil"/>
                    <w:left w:val="nil"/>
                    <w:bottom w:val="single" w:color="000000" w:sz="8" w:space="0"/>
                    <w:right w:val="single" w:color="000000" w:sz="8" w:space="0"/>
                  </w:tcBorders>
                  <w:noWrap/>
                  <w:vAlign w:val="center"/>
                </w:tcPr>
                <w:p w14:paraId="371BD3F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7647-01-0</w:t>
                  </w:r>
                </w:p>
              </w:tc>
              <w:tc>
                <w:tcPr>
                  <w:tcW w:w="1659" w:type="dxa"/>
                  <w:tcBorders>
                    <w:top w:val="nil"/>
                    <w:left w:val="nil"/>
                    <w:bottom w:val="single" w:color="000000" w:sz="8" w:space="0"/>
                    <w:right w:val="single" w:color="000000" w:sz="8" w:space="0"/>
                  </w:tcBorders>
                  <w:noWrap w:val="0"/>
                  <w:vAlign w:val="center"/>
                </w:tcPr>
                <w:p w14:paraId="1EDA498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7.5</w:t>
                  </w:r>
                </w:p>
              </w:tc>
              <w:tc>
                <w:tcPr>
                  <w:tcW w:w="2622" w:type="dxa"/>
                  <w:tcBorders>
                    <w:top w:val="nil"/>
                    <w:left w:val="nil"/>
                    <w:bottom w:val="single" w:color="000000" w:sz="8" w:space="0"/>
                    <w:right w:val="single" w:color="000000" w:sz="8" w:space="0"/>
                  </w:tcBorders>
                  <w:noWrap/>
                  <w:vAlign w:val="center"/>
                </w:tcPr>
                <w:p w14:paraId="3CB1126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0.059</w:t>
                  </w:r>
                </w:p>
              </w:tc>
            </w:tr>
            <w:tr w14:paraId="20B4F09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567" w:type="pct"/>
                  <w:tcBorders>
                    <w:top w:val="nil"/>
                    <w:left w:val="single" w:color="000000" w:sz="8" w:space="0"/>
                    <w:bottom w:val="single" w:color="000000" w:sz="8" w:space="0"/>
                    <w:right w:val="single" w:color="000000" w:sz="8" w:space="0"/>
                  </w:tcBorders>
                  <w:noWrap/>
                  <w:vAlign w:val="center"/>
                </w:tcPr>
                <w:p w14:paraId="68EC0CB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2</w:t>
                  </w:r>
                </w:p>
              </w:tc>
              <w:tc>
                <w:tcPr>
                  <w:tcW w:w="1873" w:type="dxa"/>
                  <w:tcBorders>
                    <w:top w:val="single" w:color="000000" w:sz="4" w:space="0"/>
                    <w:left w:val="single" w:color="000000" w:sz="4" w:space="0"/>
                    <w:bottom w:val="single" w:color="000000" w:sz="4" w:space="0"/>
                    <w:right w:val="single" w:color="000000" w:sz="4" w:space="0"/>
                  </w:tcBorders>
                  <w:noWrap w:val="0"/>
                  <w:vAlign w:val="center"/>
                </w:tcPr>
                <w:p w14:paraId="2F0CA88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硝酸</w:t>
                  </w:r>
                </w:p>
              </w:tc>
              <w:tc>
                <w:tcPr>
                  <w:tcW w:w="1551" w:type="dxa"/>
                  <w:tcBorders>
                    <w:top w:val="nil"/>
                    <w:left w:val="nil"/>
                    <w:bottom w:val="single" w:color="000000" w:sz="8" w:space="0"/>
                    <w:right w:val="single" w:color="000000" w:sz="8" w:space="0"/>
                  </w:tcBorders>
                  <w:noWrap/>
                  <w:vAlign w:val="center"/>
                </w:tcPr>
                <w:p w14:paraId="7E30491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7697-37-2</w:t>
                  </w:r>
                </w:p>
              </w:tc>
              <w:tc>
                <w:tcPr>
                  <w:tcW w:w="1659" w:type="dxa"/>
                  <w:tcBorders>
                    <w:top w:val="nil"/>
                    <w:left w:val="nil"/>
                    <w:bottom w:val="single" w:color="000000" w:sz="8" w:space="0"/>
                    <w:right w:val="single" w:color="000000" w:sz="8" w:space="0"/>
                  </w:tcBorders>
                  <w:noWrap w:val="0"/>
                  <w:vAlign w:val="center"/>
                </w:tcPr>
                <w:p w14:paraId="10194F7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7.5</w:t>
                  </w:r>
                </w:p>
              </w:tc>
              <w:tc>
                <w:tcPr>
                  <w:tcW w:w="2622" w:type="dxa"/>
                  <w:tcBorders>
                    <w:top w:val="nil"/>
                    <w:left w:val="nil"/>
                    <w:bottom w:val="single" w:color="000000" w:sz="8" w:space="0"/>
                    <w:right w:val="single" w:color="000000" w:sz="8" w:space="0"/>
                  </w:tcBorders>
                  <w:noWrap/>
                  <w:vAlign w:val="center"/>
                </w:tcPr>
                <w:p w14:paraId="1BE4406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0.0284</w:t>
                  </w:r>
                </w:p>
              </w:tc>
            </w:tr>
            <w:tr w14:paraId="1C57B6E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567" w:type="pct"/>
                  <w:tcBorders>
                    <w:top w:val="nil"/>
                    <w:left w:val="single" w:color="000000" w:sz="8" w:space="0"/>
                    <w:bottom w:val="single" w:color="000000" w:sz="8" w:space="0"/>
                    <w:right w:val="single" w:color="000000" w:sz="8" w:space="0"/>
                  </w:tcBorders>
                  <w:noWrap/>
                  <w:vAlign w:val="center"/>
                </w:tcPr>
                <w:p w14:paraId="02EAB2F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3</w:t>
                  </w:r>
                </w:p>
              </w:tc>
              <w:tc>
                <w:tcPr>
                  <w:tcW w:w="1873" w:type="dxa"/>
                  <w:tcBorders>
                    <w:top w:val="single" w:color="000000" w:sz="4" w:space="0"/>
                    <w:left w:val="single" w:color="000000" w:sz="4" w:space="0"/>
                    <w:bottom w:val="single" w:color="000000" w:sz="4" w:space="0"/>
                    <w:right w:val="single" w:color="000000" w:sz="4" w:space="0"/>
                  </w:tcBorders>
                  <w:noWrap w:val="0"/>
                  <w:vAlign w:val="center"/>
                </w:tcPr>
                <w:p w14:paraId="6E4F0E3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硫酸</w:t>
                  </w:r>
                </w:p>
              </w:tc>
              <w:tc>
                <w:tcPr>
                  <w:tcW w:w="1551" w:type="dxa"/>
                  <w:tcBorders>
                    <w:top w:val="nil"/>
                    <w:left w:val="nil"/>
                    <w:bottom w:val="single" w:color="000000" w:sz="8" w:space="0"/>
                    <w:right w:val="single" w:color="000000" w:sz="8" w:space="0"/>
                  </w:tcBorders>
                  <w:noWrap w:val="0"/>
                  <w:vAlign w:val="center"/>
                </w:tcPr>
                <w:p w14:paraId="0A0B793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7664-93-9</w:t>
                  </w:r>
                </w:p>
              </w:tc>
              <w:tc>
                <w:tcPr>
                  <w:tcW w:w="1659" w:type="dxa"/>
                  <w:tcBorders>
                    <w:top w:val="nil"/>
                    <w:left w:val="nil"/>
                    <w:bottom w:val="single" w:color="000000" w:sz="8" w:space="0"/>
                    <w:right w:val="single" w:color="000000" w:sz="8" w:space="0"/>
                  </w:tcBorders>
                  <w:noWrap w:val="0"/>
                  <w:vAlign w:val="center"/>
                </w:tcPr>
                <w:p w14:paraId="3FE53B4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10</w:t>
                  </w:r>
                </w:p>
              </w:tc>
              <w:tc>
                <w:tcPr>
                  <w:tcW w:w="2622" w:type="dxa"/>
                  <w:tcBorders>
                    <w:top w:val="nil"/>
                    <w:left w:val="nil"/>
                    <w:bottom w:val="single" w:color="000000" w:sz="8" w:space="0"/>
                    <w:right w:val="single" w:color="000000" w:sz="8" w:space="0"/>
                  </w:tcBorders>
                  <w:noWrap/>
                  <w:vAlign w:val="center"/>
                </w:tcPr>
                <w:p w14:paraId="4D47940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0.0046</w:t>
                  </w:r>
                </w:p>
              </w:tc>
            </w:tr>
            <w:tr w14:paraId="2A86AEA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567" w:type="pct"/>
                  <w:tcBorders>
                    <w:top w:val="nil"/>
                    <w:left w:val="single" w:color="000000" w:sz="8" w:space="0"/>
                    <w:bottom w:val="single" w:color="000000" w:sz="8" w:space="0"/>
                    <w:right w:val="single" w:color="000000" w:sz="8" w:space="0"/>
                  </w:tcBorders>
                  <w:noWrap/>
                  <w:vAlign w:val="center"/>
                </w:tcPr>
                <w:p w14:paraId="2A91876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4</w:t>
                  </w:r>
                </w:p>
              </w:tc>
              <w:tc>
                <w:tcPr>
                  <w:tcW w:w="1873" w:type="dxa"/>
                  <w:tcBorders>
                    <w:top w:val="single" w:color="000000" w:sz="4" w:space="0"/>
                    <w:left w:val="single" w:color="000000" w:sz="4" w:space="0"/>
                    <w:bottom w:val="single" w:color="000000" w:sz="4" w:space="0"/>
                    <w:right w:val="single" w:color="000000" w:sz="4" w:space="0"/>
                  </w:tcBorders>
                  <w:noWrap w:val="0"/>
                  <w:vAlign w:val="center"/>
                </w:tcPr>
                <w:p w14:paraId="560ECE2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高氯酸</w:t>
                  </w:r>
                </w:p>
              </w:tc>
              <w:tc>
                <w:tcPr>
                  <w:tcW w:w="1551" w:type="dxa"/>
                  <w:tcBorders>
                    <w:top w:val="nil"/>
                    <w:left w:val="nil"/>
                    <w:bottom w:val="single" w:color="000000" w:sz="8" w:space="0"/>
                    <w:right w:val="single" w:color="000000" w:sz="8" w:space="0"/>
                  </w:tcBorders>
                  <w:noWrap w:val="0"/>
                  <w:vAlign w:val="center"/>
                </w:tcPr>
                <w:p w14:paraId="52F6C50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w:t>
                  </w:r>
                </w:p>
              </w:tc>
              <w:tc>
                <w:tcPr>
                  <w:tcW w:w="1659" w:type="dxa"/>
                  <w:tcBorders>
                    <w:top w:val="nil"/>
                    <w:left w:val="nil"/>
                    <w:bottom w:val="single" w:color="000000" w:sz="8" w:space="0"/>
                    <w:right w:val="single" w:color="000000" w:sz="8" w:space="0"/>
                  </w:tcBorders>
                  <w:noWrap w:val="0"/>
                  <w:vAlign w:val="center"/>
                </w:tcPr>
                <w:p w14:paraId="4B18DE8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50</w:t>
                  </w:r>
                </w:p>
              </w:tc>
              <w:tc>
                <w:tcPr>
                  <w:tcW w:w="2622" w:type="dxa"/>
                  <w:tcBorders>
                    <w:top w:val="nil"/>
                    <w:left w:val="nil"/>
                    <w:bottom w:val="single" w:color="000000" w:sz="8" w:space="0"/>
                    <w:right w:val="single" w:color="000000" w:sz="8" w:space="0"/>
                  </w:tcBorders>
                  <w:noWrap/>
                  <w:vAlign w:val="center"/>
                </w:tcPr>
                <w:p w14:paraId="0A9433A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0.00176</w:t>
                  </w:r>
                </w:p>
              </w:tc>
            </w:tr>
            <w:tr w14:paraId="0D75E9C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567" w:type="pct"/>
                  <w:tcBorders>
                    <w:top w:val="nil"/>
                    <w:left w:val="single" w:color="000000" w:sz="8" w:space="0"/>
                    <w:bottom w:val="single" w:color="000000" w:sz="8" w:space="0"/>
                    <w:right w:val="single" w:color="000000" w:sz="8" w:space="0"/>
                  </w:tcBorders>
                  <w:noWrap/>
                  <w:vAlign w:val="center"/>
                </w:tcPr>
                <w:p w14:paraId="0064CC3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5</w:t>
                  </w:r>
                </w:p>
              </w:tc>
              <w:tc>
                <w:tcPr>
                  <w:tcW w:w="1873" w:type="dxa"/>
                  <w:tcBorders>
                    <w:top w:val="single" w:color="000000" w:sz="4" w:space="0"/>
                    <w:left w:val="single" w:color="000000" w:sz="4" w:space="0"/>
                    <w:bottom w:val="single" w:color="000000" w:sz="4" w:space="0"/>
                    <w:right w:val="single" w:color="000000" w:sz="4" w:space="0"/>
                  </w:tcBorders>
                  <w:noWrap w:val="0"/>
                  <w:vAlign w:val="center"/>
                </w:tcPr>
                <w:p w14:paraId="21B3FBA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氢氟酸</w:t>
                  </w:r>
                </w:p>
              </w:tc>
              <w:tc>
                <w:tcPr>
                  <w:tcW w:w="1551" w:type="dxa"/>
                  <w:tcBorders>
                    <w:top w:val="nil"/>
                    <w:left w:val="nil"/>
                    <w:bottom w:val="single" w:color="000000" w:sz="8" w:space="0"/>
                    <w:right w:val="single" w:color="000000" w:sz="8" w:space="0"/>
                  </w:tcBorders>
                  <w:noWrap w:val="0"/>
                  <w:vAlign w:val="center"/>
                </w:tcPr>
                <w:p w14:paraId="2728F74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7664-39-3</w:t>
                  </w:r>
                </w:p>
              </w:tc>
              <w:tc>
                <w:tcPr>
                  <w:tcW w:w="1659" w:type="dxa"/>
                  <w:tcBorders>
                    <w:top w:val="nil"/>
                    <w:left w:val="nil"/>
                    <w:bottom w:val="single" w:color="000000" w:sz="8" w:space="0"/>
                    <w:right w:val="single" w:color="000000" w:sz="8" w:space="0"/>
                  </w:tcBorders>
                  <w:noWrap w:val="0"/>
                  <w:vAlign w:val="center"/>
                </w:tcPr>
                <w:p w14:paraId="3E30130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1</w:t>
                  </w:r>
                </w:p>
              </w:tc>
              <w:tc>
                <w:tcPr>
                  <w:tcW w:w="2622" w:type="dxa"/>
                  <w:tcBorders>
                    <w:top w:val="nil"/>
                    <w:left w:val="nil"/>
                    <w:bottom w:val="single" w:color="000000" w:sz="8" w:space="0"/>
                    <w:right w:val="single" w:color="000000" w:sz="8" w:space="0"/>
                  </w:tcBorders>
                  <w:noWrap/>
                  <w:vAlign w:val="center"/>
                </w:tcPr>
                <w:p w14:paraId="20B5605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0.00115</w:t>
                  </w:r>
                </w:p>
              </w:tc>
            </w:tr>
            <w:tr w14:paraId="37B0153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567" w:type="pct"/>
                  <w:tcBorders>
                    <w:top w:val="nil"/>
                    <w:left w:val="single" w:color="000000" w:sz="8" w:space="0"/>
                    <w:bottom w:val="single" w:color="000000" w:sz="8" w:space="0"/>
                    <w:right w:val="single" w:color="000000" w:sz="8" w:space="0"/>
                  </w:tcBorders>
                  <w:noWrap/>
                  <w:vAlign w:val="center"/>
                </w:tcPr>
                <w:p w14:paraId="1CA84B4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6</w:t>
                  </w:r>
                </w:p>
              </w:tc>
              <w:tc>
                <w:tcPr>
                  <w:tcW w:w="1873" w:type="dxa"/>
                  <w:tcBorders>
                    <w:top w:val="single" w:color="000000" w:sz="4" w:space="0"/>
                    <w:left w:val="single" w:color="000000" w:sz="4" w:space="0"/>
                    <w:bottom w:val="single" w:color="000000" w:sz="4" w:space="0"/>
                    <w:right w:val="single" w:color="000000" w:sz="4" w:space="0"/>
                  </w:tcBorders>
                  <w:noWrap w:val="0"/>
                  <w:vAlign w:val="center"/>
                </w:tcPr>
                <w:p w14:paraId="4A72F2B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过氧化钠</w:t>
                  </w:r>
                </w:p>
              </w:tc>
              <w:tc>
                <w:tcPr>
                  <w:tcW w:w="1551" w:type="dxa"/>
                  <w:tcBorders>
                    <w:top w:val="nil"/>
                    <w:left w:val="nil"/>
                    <w:bottom w:val="single" w:color="000000" w:sz="8" w:space="0"/>
                    <w:right w:val="single" w:color="000000" w:sz="8" w:space="0"/>
                  </w:tcBorders>
                  <w:noWrap/>
                  <w:vAlign w:val="center"/>
                </w:tcPr>
                <w:p w14:paraId="472ECDE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1313-60-6</w:t>
                  </w:r>
                </w:p>
              </w:tc>
              <w:tc>
                <w:tcPr>
                  <w:tcW w:w="1659" w:type="dxa"/>
                  <w:tcBorders>
                    <w:top w:val="nil"/>
                    <w:left w:val="nil"/>
                    <w:bottom w:val="single" w:color="000000" w:sz="8" w:space="0"/>
                    <w:right w:val="single" w:color="000000" w:sz="8" w:space="0"/>
                  </w:tcBorders>
                  <w:noWrap w:val="0"/>
                  <w:vAlign w:val="center"/>
                </w:tcPr>
                <w:p w14:paraId="3AA21FD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10</w:t>
                  </w:r>
                </w:p>
              </w:tc>
              <w:tc>
                <w:tcPr>
                  <w:tcW w:w="2622" w:type="dxa"/>
                  <w:tcBorders>
                    <w:top w:val="nil"/>
                    <w:left w:val="nil"/>
                    <w:bottom w:val="single" w:color="000000" w:sz="8" w:space="0"/>
                    <w:right w:val="single" w:color="000000" w:sz="8" w:space="0"/>
                  </w:tcBorders>
                  <w:noWrap/>
                  <w:vAlign w:val="center"/>
                </w:tcPr>
                <w:p w14:paraId="33A680D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0.0005</w:t>
                  </w:r>
                </w:p>
              </w:tc>
            </w:tr>
            <w:tr w14:paraId="110C09D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567" w:type="pct"/>
                  <w:tcBorders>
                    <w:top w:val="nil"/>
                    <w:left w:val="single" w:color="000000" w:sz="8" w:space="0"/>
                    <w:bottom w:val="single" w:color="000000" w:sz="8" w:space="0"/>
                    <w:right w:val="single" w:color="000000" w:sz="8" w:space="0"/>
                  </w:tcBorders>
                  <w:noWrap/>
                  <w:vAlign w:val="center"/>
                </w:tcPr>
                <w:p w14:paraId="64362976">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7</w:t>
                  </w:r>
                </w:p>
              </w:tc>
              <w:tc>
                <w:tcPr>
                  <w:tcW w:w="1873" w:type="dxa"/>
                  <w:tcBorders>
                    <w:top w:val="single" w:color="000000" w:sz="4" w:space="0"/>
                    <w:left w:val="single" w:color="000000" w:sz="4" w:space="0"/>
                    <w:bottom w:val="single" w:color="000000" w:sz="4" w:space="0"/>
                    <w:right w:val="single" w:color="000000" w:sz="4" w:space="0"/>
                  </w:tcBorders>
                  <w:noWrap w:val="0"/>
                  <w:vAlign w:val="center"/>
                </w:tcPr>
                <w:p w14:paraId="3A79A4A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冰乙酸</w:t>
                  </w:r>
                </w:p>
              </w:tc>
              <w:tc>
                <w:tcPr>
                  <w:tcW w:w="1551" w:type="dxa"/>
                  <w:tcBorders>
                    <w:top w:val="nil"/>
                    <w:left w:val="nil"/>
                    <w:bottom w:val="single" w:color="000000" w:sz="8" w:space="0"/>
                    <w:right w:val="single" w:color="000000" w:sz="8" w:space="0"/>
                  </w:tcBorders>
                  <w:noWrap w:val="0"/>
                  <w:vAlign w:val="center"/>
                </w:tcPr>
                <w:p w14:paraId="6EF5370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64-19-7</w:t>
                  </w:r>
                </w:p>
              </w:tc>
              <w:tc>
                <w:tcPr>
                  <w:tcW w:w="1659" w:type="dxa"/>
                  <w:tcBorders>
                    <w:top w:val="nil"/>
                    <w:left w:val="nil"/>
                    <w:bottom w:val="single" w:color="000000" w:sz="8" w:space="0"/>
                    <w:right w:val="single" w:color="000000" w:sz="8" w:space="0"/>
                  </w:tcBorders>
                  <w:noWrap w:val="0"/>
                  <w:vAlign w:val="center"/>
                </w:tcPr>
                <w:p w14:paraId="498A9DC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500</w:t>
                  </w:r>
                </w:p>
              </w:tc>
              <w:tc>
                <w:tcPr>
                  <w:tcW w:w="2622" w:type="dxa"/>
                  <w:tcBorders>
                    <w:top w:val="nil"/>
                    <w:left w:val="nil"/>
                    <w:bottom w:val="single" w:color="000000" w:sz="8" w:space="0"/>
                    <w:right w:val="single" w:color="000000" w:sz="8" w:space="0"/>
                  </w:tcBorders>
                  <w:noWrap/>
                  <w:vAlign w:val="center"/>
                </w:tcPr>
                <w:p w14:paraId="2632D2D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0.000525</w:t>
                  </w:r>
                </w:p>
              </w:tc>
            </w:tr>
            <w:tr w14:paraId="336694C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567" w:type="pct"/>
                  <w:tcBorders>
                    <w:top w:val="nil"/>
                    <w:left w:val="single" w:color="000000" w:sz="8" w:space="0"/>
                    <w:bottom w:val="single" w:color="000000" w:sz="8" w:space="0"/>
                    <w:right w:val="single" w:color="000000" w:sz="8" w:space="0"/>
                  </w:tcBorders>
                  <w:noWrap/>
                  <w:vAlign w:val="center"/>
                </w:tcPr>
                <w:p w14:paraId="4D62991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8</w:t>
                  </w:r>
                </w:p>
              </w:tc>
              <w:tc>
                <w:tcPr>
                  <w:tcW w:w="1873" w:type="dxa"/>
                  <w:tcBorders>
                    <w:top w:val="single" w:color="000000" w:sz="4" w:space="0"/>
                    <w:left w:val="single" w:color="000000" w:sz="4" w:space="0"/>
                    <w:bottom w:val="single" w:color="000000" w:sz="4" w:space="0"/>
                    <w:right w:val="single" w:color="000000" w:sz="4" w:space="0"/>
                  </w:tcBorders>
                  <w:noWrap w:val="0"/>
                  <w:vAlign w:val="center"/>
                </w:tcPr>
                <w:p w14:paraId="66EE46C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氨水</w:t>
                  </w:r>
                </w:p>
              </w:tc>
              <w:tc>
                <w:tcPr>
                  <w:tcW w:w="1551" w:type="dxa"/>
                  <w:tcBorders>
                    <w:top w:val="nil"/>
                    <w:left w:val="nil"/>
                    <w:bottom w:val="single" w:color="000000" w:sz="8" w:space="0"/>
                    <w:right w:val="single" w:color="000000" w:sz="8" w:space="0"/>
                  </w:tcBorders>
                  <w:noWrap w:val="0"/>
                  <w:vAlign w:val="center"/>
                </w:tcPr>
                <w:p w14:paraId="7FE9FA1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1336-21-6</w:t>
                  </w:r>
                </w:p>
              </w:tc>
              <w:tc>
                <w:tcPr>
                  <w:tcW w:w="1659" w:type="dxa"/>
                  <w:tcBorders>
                    <w:top w:val="nil"/>
                    <w:left w:val="nil"/>
                    <w:bottom w:val="single" w:color="000000" w:sz="8" w:space="0"/>
                    <w:right w:val="single" w:color="000000" w:sz="8" w:space="0"/>
                  </w:tcBorders>
                  <w:noWrap w:val="0"/>
                  <w:vAlign w:val="center"/>
                </w:tcPr>
                <w:p w14:paraId="377BF87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10</w:t>
                  </w:r>
                </w:p>
              </w:tc>
              <w:tc>
                <w:tcPr>
                  <w:tcW w:w="2622" w:type="dxa"/>
                  <w:tcBorders>
                    <w:top w:val="nil"/>
                    <w:left w:val="nil"/>
                    <w:bottom w:val="single" w:color="000000" w:sz="8" w:space="0"/>
                    <w:right w:val="single" w:color="000000" w:sz="8" w:space="0"/>
                  </w:tcBorders>
                  <w:noWrap/>
                  <w:vAlign w:val="center"/>
                </w:tcPr>
                <w:p w14:paraId="2B3DC1B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0.00455</w:t>
                  </w:r>
                </w:p>
              </w:tc>
            </w:tr>
            <w:tr w14:paraId="7E95917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567" w:type="pct"/>
                  <w:tcBorders>
                    <w:top w:val="nil"/>
                    <w:left w:val="single" w:color="000000" w:sz="8" w:space="0"/>
                    <w:bottom w:val="single" w:color="000000" w:sz="8" w:space="0"/>
                    <w:right w:val="single" w:color="000000" w:sz="8" w:space="0"/>
                  </w:tcBorders>
                  <w:noWrap/>
                  <w:vAlign w:val="center"/>
                </w:tcPr>
                <w:p w14:paraId="47A68B5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9</w:t>
                  </w:r>
                </w:p>
              </w:tc>
              <w:tc>
                <w:tcPr>
                  <w:tcW w:w="1873" w:type="dxa"/>
                  <w:tcBorders>
                    <w:top w:val="single" w:color="000000" w:sz="4" w:space="0"/>
                    <w:left w:val="single" w:color="000000" w:sz="4" w:space="0"/>
                    <w:bottom w:val="single" w:color="000000" w:sz="4" w:space="0"/>
                    <w:right w:val="single" w:color="000000" w:sz="4" w:space="0"/>
                  </w:tcBorders>
                  <w:noWrap w:val="0"/>
                  <w:vAlign w:val="center"/>
                </w:tcPr>
                <w:p w14:paraId="538FAD5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溴水</w:t>
                  </w:r>
                </w:p>
              </w:tc>
              <w:tc>
                <w:tcPr>
                  <w:tcW w:w="1551" w:type="dxa"/>
                  <w:tcBorders>
                    <w:top w:val="nil"/>
                    <w:left w:val="nil"/>
                    <w:bottom w:val="single" w:color="000000" w:sz="8" w:space="0"/>
                    <w:right w:val="single" w:color="000000" w:sz="8" w:space="0"/>
                  </w:tcBorders>
                  <w:noWrap w:val="0"/>
                  <w:vAlign w:val="center"/>
                </w:tcPr>
                <w:p w14:paraId="42794A1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7726-95-6</w:t>
                  </w:r>
                </w:p>
              </w:tc>
              <w:tc>
                <w:tcPr>
                  <w:tcW w:w="1659" w:type="dxa"/>
                  <w:tcBorders>
                    <w:top w:val="nil"/>
                    <w:left w:val="nil"/>
                    <w:bottom w:val="single" w:color="000000" w:sz="8" w:space="0"/>
                    <w:right w:val="single" w:color="000000" w:sz="8" w:space="0"/>
                  </w:tcBorders>
                  <w:noWrap w:val="0"/>
                  <w:vAlign w:val="center"/>
                </w:tcPr>
                <w:p w14:paraId="6602971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5</w:t>
                  </w:r>
                </w:p>
              </w:tc>
              <w:tc>
                <w:tcPr>
                  <w:tcW w:w="2622" w:type="dxa"/>
                  <w:tcBorders>
                    <w:top w:val="nil"/>
                    <w:left w:val="nil"/>
                    <w:bottom w:val="single" w:color="000000" w:sz="8" w:space="0"/>
                    <w:right w:val="single" w:color="000000" w:sz="8" w:space="0"/>
                  </w:tcBorders>
                  <w:noWrap/>
                  <w:vAlign w:val="center"/>
                </w:tcPr>
                <w:p w14:paraId="628C30D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0.00156</w:t>
                  </w:r>
                </w:p>
              </w:tc>
            </w:tr>
            <w:tr w14:paraId="76158E8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567" w:type="pct"/>
                  <w:tcBorders>
                    <w:top w:val="nil"/>
                    <w:left w:val="single" w:color="000000" w:sz="8" w:space="0"/>
                    <w:bottom w:val="single" w:color="000000" w:sz="8" w:space="0"/>
                    <w:right w:val="single" w:color="000000" w:sz="8" w:space="0"/>
                  </w:tcBorders>
                  <w:noWrap/>
                  <w:vAlign w:val="center"/>
                </w:tcPr>
                <w:p w14:paraId="26EC6CC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10</w:t>
                  </w:r>
                </w:p>
              </w:tc>
              <w:tc>
                <w:tcPr>
                  <w:tcW w:w="1873" w:type="dxa"/>
                  <w:tcBorders>
                    <w:top w:val="single" w:color="000000" w:sz="4" w:space="0"/>
                    <w:left w:val="single" w:color="000000" w:sz="4" w:space="0"/>
                    <w:bottom w:val="single" w:color="000000" w:sz="4" w:space="0"/>
                    <w:right w:val="single" w:color="000000" w:sz="4" w:space="0"/>
                  </w:tcBorders>
                  <w:noWrap w:val="0"/>
                  <w:vAlign w:val="center"/>
                </w:tcPr>
                <w:p w14:paraId="37398C8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无水乙醇</w:t>
                  </w:r>
                </w:p>
              </w:tc>
              <w:tc>
                <w:tcPr>
                  <w:tcW w:w="1551" w:type="dxa"/>
                  <w:tcBorders>
                    <w:top w:val="nil"/>
                    <w:left w:val="nil"/>
                    <w:bottom w:val="single" w:color="000000" w:sz="8" w:space="0"/>
                    <w:right w:val="single" w:color="000000" w:sz="8" w:space="0"/>
                  </w:tcBorders>
                  <w:noWrap w:val="0"/>
                  <w:vAlign w:val="center"/>
                </w:tcPr>
                <w:p w14:paraId="64FCB04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64-17-5</w:t>
                  </w:r>
                </w:p>
              </w:tc>
              <w:tc>
                <w:tcPr>
                  <w:tcW w:w="1659" w:type="dxa"/>
                  <w:tcBorders>
                    <w:top w:val="nil"/>
                    <w:left w:val="nil"/>
                    <w:bottom w:val="single" w:color="000000" w:sz="8" w:space="0"/>
                    <w:right w:val="single" w:color="000000" w:sz="8" w:space="0"/>
                  </w:tcBorders>
                  <w:noWrap w:val="0"/>
                  <w:vAlign w:val="center"/>
                </w:tcPr>
                <w:p w14:paraId="568E5BD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500</w:t>
                  </w:r>
                </w:p>
              </w:tc>
              <w:tc>
                <w:tcPr>
                  <w:tcW w:w="2622" w:type="dxa"/>
                  <w:tcBorders>
                    <w:top w:val="nil"/>
                    <w:left w:val="nil"/>
                    <w:bottom w:val="single" w:color="000000" w:sz="8" w:space="0"/>
                    <w:right w:val="single" w:color="000000" w:sz="8" w:space="0"/>
                  </w:tcBorders>
                  <w:noWrap/>
                  <w:vAlign w:val="center"/>
                </w:tcPr>
                <w:p w14:paraId="77591E5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0.00079</w:t>
                  </w:r>
                </w:p>
              </w:tc>
            </w:tr>
            <w:tr w14:paraId="6786FA3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567" w:type="pct"/>
                  <w:tcBorders>
                    <w:top w:val="nil"/>
                    <w:left w:val="single" w:color="000000" w:sz="8" w:space="0"/>
                    <w:bottom w:val="single" w:color="000000" w:sz="8" w:space="0"/>
                    <w:right w:val="single" w:color="000000" w:sz="8" w:space="0"/>
                  </w:tcBorders>
                  <w:noWrap/>
                  <w:vAlign w:val="center"/>
                </w:tcPr>
                <w:p w14:paraId="752357C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11</w:t>
                  </w:r>
                </w:p>
              </w:tc>
              <w:tc>
                <w:tcPr>
                  <w:tcW w:w="1873" w:type="dxa"/>
                  <w:tcBorders>
                    <w:top w:val="single" w:color="000000" w:sz="4" w:space="0"/>
                    <w:left w:val="single" w:color="000000" w:sz="4" w:space="0"/>
                    <w:bottom w:val="single" w:color="000000" w:sz="4" w:space="0"/>
                    <w:right w:val="single" w:color="000000" w:sz="4" w:space="0"/>
                  </w:tcBorders>
                  <w:noWrap w:val="0"/>
                  <w:vAlign w:val="center"/>
                </w:tcPr>
                <w:p w14:paraId="14A6D23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三氯化钛</w:t>
                  </w:r>
                </w:p>
              </w:tc>
              <w:tc>
                <w:tcPr>
                  <w:tcW w:w="1551" w:type="dxa"/>
                  <w:tcBorders>
                    <w:top w:val="nil"/>
                    <w:left w:val="nil"/>
                    <w:bottom w:val="single" w:color="000000" w:sz="8" w:space="0"/>
                    <w:right w:val="single" w:color="000000" w:sz="8" w:space="0"/>
                  </w:tcBorders>
                  <w:noWrap w:val="0"/>
                  <w:vAlign w:val="center"/>
                </w:tcPr>
                <w:p w14:paraId="638254D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7705-07-9</w:t>
                  </w:r>
                </w:p>
              </w:tc>
              <w:tc>
                <w:tcPr>
                  <w:tcW w:w="1659" w:type="dxa"/>
                  <w:tcBorders>
                    <w:top w:val="nil"/>
                    <w:left w:val="nil"/>
                    <w:bottom w:val="single" w:color="000000" w:sz="8" w:space="0"/>
                    <w:right w:val="single" w:color="000000" w:sz="8" w:space="0"/>
                  </w:tcBorders>
                  <w:noWrap w:val="0"/>
                  <w:vAlign w:val="center"/>
                </w:tcPr>
                <w:p w14:paraId="38C667A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5</w:t>
                  </w:r>
                </w:p>
              </w:tc>
              <w:tc>
                <w:tcPr>
                  <w:tcW w:w="2622" w:type="dxa"/>
                  <w:tcBorders>
                    <w:top w:val="nil"/>
                    <w:left w:val="nil"/>
                    <w:bottom w:val="single" w:color="000000" w:sz="8" w:space="0"/>
                    <w:right w:val="single" w:color="000000" w:sz="8" w:space="0"/>
                  </w:tcBorders>
                  <w:noWrap/>
                  <w:vAlign w:val="center"/>
                </w:tcPr>
                <w:p w14:paraId="6E64180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0.00132</w:t>
                  </w:r>
                </w:p>
              </w:tc>
            </w:tr>
            <w:tr w14:paraId="6F448A8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567" w:type="pct"/>
                  <w:tcBorders>
                    <w:top w:val="nil"/>
                    <w:left w:val="single" w:color="000000" w:sz="8" w:space="0"/>
                    <w:bottom w:val="single" w:color="000000" w:sz="8" w:space="0"/>
                    <w:right w:val="single" w:color="000000" w:sz="8" w:space="0"/>
                  </w:tcBorders>
                  <w:noWrap/>
                  <w:vAlign w:val="center"/>
                </w:tcPr>
                <w:p w14:paraId="13376E7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12</w:t>
                  </w:r>
                </w:p>
              </w:tc>
              <w:tc>
                <w:tcPr>
                  <w:tcW w:w="1873" w:type="dxa"/>
                  <w:tcBorders>
                    <w:top w:val="single" w:color="000000" w:sz="4" w:space="0"/>
                    <w:left w:val="single" w:color="000000" w:sz="4" w:space="0"/>
                    <w:bottom w:val="single" w:color="000000" w:sz="4" w:space="0"/>
                    <w:right w:val="single" w:color="000000" w:sz="4" w:space="0"/>
                  </w:tcBorders>
                  <w:noWrap w:val="0"/>
                  <w:vAlign w:val="center"/>
                </w:tcPr>
                <w:p w14:paraId="0F8BB3C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氟化氢铵</w:t>
                  </w:r>
                </w:p>
              </w:tc>
              <w:tc>
                <w:tcPr>
                  <w:tcW w:w="1551" w:type="dxa"/>
                  <w:tcBorders>
                    <w:top w:val="nil"/>
                    <w:left w:val="nil"/>
                    <w:bottom w:val="single" w:color="000000" w:sz="8" w:space="0"/>
                    <w:right w:val="single" w:color="000000" w:sz="8" w:space="0"/>
                  </w:tcBorders>
                  <w:noWrap w:val="0"/>
                  <w:vAlign w:val="center"/>
                </w:tcPr>
                <w:p w14:paraId="58A77F5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1341-49-7</w:t>
                  </w:r>
                </w:p>
              </w:tc>
              <w:tc>
                <w:tcPr>
                  <w:tcW w:w="1659" w:type="dxa"/>
                  <w:tcBorders>
                    <w:top w:val="nil"/>
                    <w:left w:val="nil"/>
                    <w:bottom w:val="single" w:color="000000" w:sz="8" w:space="0"/>
                    <w:right w:val="single" w:color="000000" w:sz="8" w:space="0"/>
                  </w:tcBorders>
                  <w:noWrap w:val="0"/>
                  <w:vAlign w:val="center"/>
                </w:tcPr>
                <w:p w14:paraId="3B51AD0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5</w:t>
                  </w:r>
                </w:p>
              </w:tc>
              <w:tc>
                <w:tcPr>
                  <w:tcW w:w="2622" w:type="dxa"/>
                  <w:tcBorders>
                    <w:top w:val="nil"/>
                    <w:left w:val="nil"/>
                    <w:bottom w:val="single" w:color="000000" w:sz="8" w:space="0"/>
                    <w:right w:val="single" w:color="000000" w:sz="8" w:space="0"/>
                  </w:tcBorders>
                  <w:noWrap/>
                  <w:vAlign w:val="center"/>
                </w:tcPr>
                <w:p w14:paraId="09C4C82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0.0005</w:t>
                  </w:r>
                </w:p>
              </w:tc>
            </w:tr>
            <w:tr w14:paraId="2C4E01A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567" w:type="pct"/>
                  <w:tcBorders>
                    <w:top w:val="nil"/>
                    <w:left w:val="single" w:color="000000" w:sz="8" w:space="0"/>
                    <w:bottom w:val="single" w:color="000000" w:sz="8" w:space="0"/>
                    <w:right w:val="single" w:color="000000" w:sz="8" w:space="0"/>
                  </w:tcBorders>
                  <w:noWrap/>
                  <w:vAlign w:val="center"/>
                </w:tcPr>
                <w:p w14:paraId="7ED2157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13</w:t>
                  </w:r>
                </w:p>
              </w:tc>
              <w:tc>
                <w:tcPr>
                  <w:tcW w:w="1873" w:type="dxa"/>
                  <w:tcBorders>
                    <w:top w:val="single" w:color="000000" w:sz="4" w:space="0"/>
                    <w:left w:val="single" w:color="000000" w:sz="4" w:space="0"/>
                    <w:bottom w:val="single" w:color="000000" w:sz="4" w:space="0"/>
                    <w:right w:val="single" w:color="000000" w:sz="4" w:space="0"/>
                  </w:tcBorders>
                  <w:noWrap w:val="0"/>
                  <w:vAlign w:val="center"/>
                </w:tcPr>
                <w:p w14:paraId="3E5B033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氟化铵</w:t>
                  </w:r>
                </w:p>
              </w:tc>
              <w:tc>
                <w:tcPr>
                  <w:tcW w:w="1551" w:type="dxa"/>
                  <w:tcBorders>
                    <w:top w:val="nil"/>
                    <w:left w:val="nil"/>
                    <w:bottom w:val="single" w:color="000000" w:sz="8" w:space="0"/>
                    <w:right w:val="single" w:color="000000" w:sz="8" w:space="0"/>
                  </w:tcBorders>
                  <w:noWrap/>
                  <w:vAlign w:val="center"/>
                </w:tcPr>
                <w:p w14:paraId="374C112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12125-01-8</w:t>
                  </w:r>
                </w:p>
              </w:tc>
              <w:tc>
                <w:tcPr>
                  <w:tcW w:w="1659" w:type="dxa"/>
                  <w:tcBorders>
                    <w:top w:val="nil"/>
                    <w:left w:val="nil"/>
                    <w:bottom w:val="single" w:color="000000" w:sz="8" w:space="0"/>
                    <w:right w:val="single" w:color="000000" w:sz="8" w:space="0"/>
                  </w:tcBorders>
                  <w:noWrap w:val="0"/>
                  <w:vAlign w:val="center"/>
                </w:tcPr>
                <w:p w14:paraId="00024ED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5</w:t>
                  </w:r>
                </w:p>
              </w:tc>
              <w:tc>
                <w:tcPr>
                  <w:tcW w:w="2622" w:type="dxa"/>
                  <w:tcBorders>
                    <w:top w:val="nil"/>
                    <w:left w:val="nil"/>
                    <w:bottom w:val="single" w:color="000000" w:sz="8" w:space="0"/>
                    <w:right w:val="single" w:color="000000" w:sz="8" w:space="0"/>
                  </w:tcBorders>
                  <w:noWrap/>
                  <w:vAlign w:val="center"/>
                </w:tcPr>
                <w:p w14:paraId="038D85F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0.0005</w:t>
                  </w:r>
                </w:p>
              </w:tc>
            </w:tr>
            <w:tr w14:paraId="1831BD3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567" w:type="pct"/>
                  <w:tcBorders>
                    <w:top w:val="nil"/>
                    <w:left w:val="single" w:color="000000" w:sz="8" w:space="0"/>
                    <w:bottom w:val="single" w:color="000000" w:sz="8" w:space="0"/>
                    <w:right w:val="single" w:color="000000" w:sz="8" w:space="0"/>
                  </w:tcBorders>
                  <w:noWrap/>
                  <w:vAlign w:val="center"/>
                </w:tcPr>
                <w:p w14:paraId="2D97DF39">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14</w:t>
                  </w:r>
                </w:p>
              </w:tc>
              <w:tc>
                <w:tcPr>
                  <w:tcW w:w="1873" w:type="dxa"/>
                  <w:tcBorders>
                    <w:top w:val="single" w:color="000000" w:sz="4" w:space="0"/>
                    <w:left w:val="single" w:color="000000" w:sz="4" w:space="0"/>
                    <w:bottom w:val="single" w:color="000000" w:sz="4" w:space="0"/>
                    <w:right w:val="single" w:color="000000" w:sz="4" w:space="0"/>
                  </w:tcBorders>
                  <w:noWrap w:val="0"/>
                  <w:vAlign w:val="center"/>
                </w:tcPr>
                <w:p w14:paraId="13E08B9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氟化钾</w:t>
                  </w:r>
                </w:p>
              </w:tc>
              <w:tc>
                <w:tcPr>
                  <w:tcW w:w="1551" w:type="dxa"/>
                  <w:tcBorders>
                    <w:top w:val="nil"/>
                    <w:left w:val="nil"/>
                    <w:bottom w:val="single" w:color="000000" w:sz="8" w:space="0"/>
                    <w:right w:val="single" w:color="000000" w:sz="8" w:space="0"/>
                  </w:tcBorders>
                  <w:noWrap/>
                  <w:vAlign w:val="center"/>
                </w:tcPr>
                <w:p w14:paraId="26F9FC1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7789-23-3</w:t>
                  </w:r>
                </w:p>
              </w:tc>
              <w:tc>
                <w:tcPr>
                  <w:tcW w:w="1659" w:type="dxa"/>
                  <w:tcBorders>
                    <w:top w:val="nil"/>
                    <w:left w:val="nil"/>
                    <w:bottom w:val="single" w:color="000000" w:sz="8" w:space="0"/>
                    <w:right w:val="single" w:color="000000" w:sz="8" w:space="0"/>
                  </w:tcBorders>
                  <w:noWrap w:val="0"/>
                  <w:vAlign w:val="center"/>
                </w:tcPr>
                <w:p w14:paraId="7509239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5</w:t>
                  </w:r>
                </w:p>
              </w:tc>
              <w:tc>
                <w:tcPr>
                  <w:tcW w:w="2622" w:type="dxa"/>
                  <w:tcBorders>
                    <w:top w:val="nil"/>
                    <w:left w:val="nil"/>
                    <w:bottom w:val="single" w:color="000000" w:sz="8" w:space="0"/>
                    <w:right w:val="single" w:color="000000" w:sz="8" w:space="0"/>
                  </w:tcBorders>
                  <w:noWrap/>
                  <w:vAlign w:val="center"/>
                </w:tcPr>
                <w:p w14:paraId="642B247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0.0005</w:t>
                  </w:r>
                </w:p>
              </w:tc>
            </w:tr>
            <w:tr w14:paraId="0C36839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567" w:type="pct"/>
                  <w:tcBorders>
                    <w:top w:val="nil"/>
                    <w:left w:val="single" w:color="000000" w:sz="8" w:space="0"/>
                    <w:bottom w:val="single" w:color="000000" w:sz="8" w:space="0"/>
                    <w:right w:val="single" w:color="000000" w:sz="8" w:space="0"/>
                  </w:tcBorders>
                  <w:noWrap/>
                  <w:vAlign w:val="center"/>
                </w:tcPr>
                <w:p w14:paraId="377216B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15</w:t>
                  </w:r>
                </w:p>
              </w:tc>
              <w:tc>
                <w:tcPr>
                  <w:tcW w:w="1873" w:type="dxa"/>
                  <w:tcBorders>
                    <w:top w:val="single" w:color="000000" w:sz="4" w:space="0"/>
                    <w:left w:val="single" w:color="000000" w:sz="4" w:space="0"/>
                    <w:bottom w:val="single" w:color="000000" w:sz="4" w:space="0"/>
                    <w:right w:val="single" w:color="000000" w:sz="4" w:space="0"/>
                  </w:tcBorders>
                  <w:noWrap w:val="0"/>
                  <w:vAlign w:val="center"/>
                </w:tcPr>
                <w:p w14:paraId="6492DBF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对硝基酚</w:t>
                  </w:r>
                </w:p>
              </w:tc>
              <w:tc>
                <w:tcPr>
                  <w:tcW w:w="1551" w:type="dxa"/>
                  <w:tcBorders>
                    <w:top w:val="nil"/>
                    <w:left w:val="nil"/>
                    <w:bottom w:val="single" w:color="000000" w:sz="8" w:space="0"/>
                    <w:right w:val="single" w:color="000000" w:sz="8" w:space="0"/>
                  </w:tcBorders>
                  <w:noWrap/>
                  <w:vAlign w:val="center"/>
                </w:tcPr>
                <w:p w14:paraId="766D629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100-02-7</w:t>
                  </w:r>
                </w:p>
              </w:tc>
              <w:tc>
                <w:tcPr>
                  <w:tcW w:w="1659" w:type="dxa"/>
                  <w:tcBorders>
                    <w:top w:val="nil"/>
                    <w:left w:val="nil"/>
                    <w:bottom w:val="single" w:color="000000" w:sz="8" w:space="0"/>
                    <w:right w:val="single" w:color="000000" w:sz="8" w:space="0"/>
                  </w:tcBorders>
                  <w:noWrap w:val="0"/>
                  <w:vAlign w:val="center"/>
                </w:tcPr>
                <w:p w14:paraId="230BD93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5</w:t>
                  </w:r>
                </w:p>
              </w:tc>
              <w:tc>
                <w:tcPr>
                  <w:tcW w:w="2622" w:type="dxa"/>
                  <w:tcBorders>
                    <w:top w:val="nil"/>
                    <w:left w:val="nil"/>
                    <w:bottom w:val="single" w:color="000000" w:sz="8" w:space="0"/>
                    <w:right w:val="single" w:color="000000" w:sz="8" w:space="0"/>
                  </w:tcBorders>
                  <w:noWrap/>
                  <w:vAlign w:val="center"/>
                </w:tcPr>
                <w:p w14:paraId="780EBED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0.000025</w:t>
                  </w:r>
                </w:p>
              </w:tc>
            </w:tr>
            <w:tr w14:paraId="6D2D41D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567" w:type="pct"/>
                  <w:tcBorders>
                    <w:top w:val="nil"/>
                    <w:left w:val="single" w:color="000000" w:sz="8" w:space="0"/>
                    <w:bottom w:val="single" w:color="000000" w:sz="8" w:space="0"/>
                    <w:right w:val="single" w:color="000000" w:sz="8" w:space="0"/>
                  </w:tcBorders>
                  <w:noWrap/>
                  <w:vAlign w:val="center"/>
                </w:tcPr>
                <w:p w14:paraId="7D4B63B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16</w:t>
                  </w:r>
                </w:p>
              </w:tc>
              <w:tc>
                <w:tcPr>
                  <w:tcW w:w="1873" w:type="dxa"/>
                  <w:tcBorders>
                    <w:top w:val="single" w:color="000000" w:sz="4" w:space="0"/>
                    <w:left w:val="single" w:color="000000" w:sz="4" w:space="0"/>
                    <w:bottom w:val="single" w:color="000000" w:sz="4" w:space="0"/>
                    <w:right w:val="single" w:color="000000" w:sz="4" w:space="0"/>
                  </w:tcBorders>
                  <w:noWrap w:val="0"/>
                  <w:vAlign w:val="center"/>
                </w:tcPr>
                <w:p w14:paraId="1FCDC74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高锰酸钾</w:t>
                  </w:r>
                </w:p>
              </w:tc>
              <w:tc>
                <w:tcPr>
                  <w:tcW w:w="1551" w:type="dxa"/>
                  <w:tcBorders>
                    <w:top w:val="nil"/>
                    <w:left w:val="nil"/>
                    <w:bottom w:val="single" w:color="000000" w:sz="8" w:space="0"/>
                    <w:right w:val="single" w:color="000000" w:sz="8" w:space="0"/>
                  </w:tcBorders>
                  <w:noWrap/>
                  <w:vAlign w:val="center"/>
                </w:tcPr>
                <w:p w14:paraId="73E001B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7722-64-7</w:t>
                  </w:r>
                </w:p>
              </w:tc>
              <w:tc>
                <w:tcPr>
                  <w:tcW w:w="1659" w:type="dxa"/>
                  <w:tcBorders>
                    <w:top w:val="nil"/>
                    <w:left w:val="nil"/>
                    <w:bottom w:val="single" w:color="000000" w:sz="8" w:space="0"/>
                    <w:right w:val="single" w:color="000000" w:sz="8" w:space="0"/>
                  </w:tcBorders>
                  <w:noWrap w:val="0"/>
                  <w:vAlign w:val="center"/>
                </w:tcPr>
                <w:p w14:paraId="5484D5C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50</w:t>
                  </w:r>
                </w:p>
              </w:tc>
              <w:tc>
                <w:tcPr>
                  <w:tcW w:w="2622" w:type="dxa"/>
                  <w:tcBorders>
                    <w:top w:val="nil"/>
                    <w:left w:val="nil"/>
                    <w:bottom w:val="single" w:color="000000" w:sz="8" w:space="0"/>
                    <w:right w:val="single" w:color="000000" w:sz="8" w:space="0"/>
                  </w:tcBorders>
                  <w:noWrap/>
                  <w:vAlign w:val="center"/>
                </w:tcPr>
                <w:p w14:paraId="2D2A8FD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0.0001</w:t>
                  </w:r>
                </w:p>
              </w:tc>
            </w:tr>
          </w:tbl>
          <w:p w14:paraId="44AD6E69">
            <w:pPr>
              <w:pStyle w:val="75"/>
              <w:keepNext w:val="0"/>
              <w:keepLines w:val="0"/>
              <w:pageBreakBefore w:val="0"/>
              <w:widowControl w:val="0"/>
              <w:kinsoku/>
              <w:wordWrap/>
              <w:overflowPunct/>
              <w:topLinePunct w:val="0"/>
              <w:bidi w:val="0"/>
              <w:snapToGrid/>
              <w:spacing w:line="360" w:lineRule="auto"/>
              <w:ind w:firstLine="480" w:firstLineChars="200"/>
              <w:jc w:val="both"/>
              <w:textAlignment w:val="auto"/>
              <w:rPr>
                <w:rFonts w:hint="eastAsia" w:ascii="Times New Roman" w:hAnsi="Times New Roman" w:eastAsia="宋体" w:cs="Times New Roman"/>
                <w:b w:val="0"/>
                <w:bCs w:val="0"/>
                <w:color w:val="auto"/>
                <w:sz w:val="24"/>
                <w:szCs w:val="24"/>
                <w:lang w:val="en-US" w:eastAsia="zh-CN"/>
              </w:rPr>
            </w:pPr>
            <w:r>
              <w:rPr>
                <w:rFonts w:hint="eastAsia" w:ascii="Times New Roman" w:hAnsi="Times New Roman" w:cs="Times New Roman"/>
                <w:b w:val="0"/>
                <w:bCs w:val="0"/>
                <w:color w:val="auto"/>
                <w:sz w:val="24"/>
                <w:szCs w:val="24"/>
                <w:lang w:val="en-US" w:eastAsia="zh-CN"/>
              </w:rPr>
              <w:t>（2）</w:t>
            </w:r>
            <w:r>
              <w:rPr>
                <w:rFonts w:hint="eastAsia" w:ascii="Times New Roman" w:hAnsi="Times New Roman" w:eastAsia="宋体" w:cs="Times New Roman"/>
                <w:b w:val="0"/>
                <w:bCs w:val="0"/>
                <w:color w:val="auto"/>
                <w:sz w:val="24"/>
                <w:szCs w:val="24"/>
                <w:lang w:val="en-US" w:eastAsia="zh-CN"/>
              </w:rPr>
              <w:t>环境风险</w:t>
            </w:r>
            <w:r>
              <w:rPr>
                <w:rFonts w:hint="eastAsia" w:ascii="Times New Roman" w:hAnsi="Times New Roman" w:cs="Times New Roman"/>
                <w:b w:val="0"/>
                <w:bCs w:val="0"/>
                <w:color w:val="auto"/>
                <w:sz w:val="24"/>
                <w:szCs w:val="24"/>
                <w:lang w:val="en-US" w:eastAsia="zh-CN"/>
              </w:rPr>
              <w:t>等级划分</w:t>
            </w:r>
          </w:p>
          <w:p w14:paraId="7CD4291C">
            <w:pPr>
              <w:keepNext w:val="0"/>
              <w:keepLines w:val="0"/>
              <w:pageBreakBefore w:val="0"/>
              <w:widowControl w:val="0"/>
              <w:kinsoku/>
              <w:wordWrap/>
              <w:overflowPunct/>
              <w:topLinePunct w:val="0"/>
              <w:autoSpaceDE/>
              <w:autoSpaceDN/>
              <w:bidi w:val="0"/>
              <w:adjustRightInd/>
              <w:snapToGrid/>
              <w:spacing w:line="360" w:lineRule="auto"/>
              <w:ind w:right="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据《建设项目环境风险评价技术导则》（HJ169-2018），根据建设项目涉及的物质和工艺系统危险性和所在地的环境敏感性确定环境风险潜势，并以此确定评价工作等级。</w:t>
            </w:r>
          </w:p>
          <w:p w14:paraId="1CEC741F">
            <w:pPr>
              <w:keepNext w:val="0"/>
              <w:keepLines w:val="0"/>
              <w:pageBreakBefore w:val="0"/>
              <w:widowControl w:val="0"/>
              <w:kinsoku/>
              <w:wordWrap/>
              <w:overflowPunct/>
              <w:topLinePunct w:val="0"/>
              <w:autoSpaceDE/>
              <w:autoSpaceDN/>
              <w:bidi w:val="0"/>
              <w:adjustRightInd/>
              <w:snapToGrid/>
              <w:spacing w:line="360" w:lineRule="auto"/>
              <w:ind w:right="0" w:firstLine="480" w:firstLineChars="200"/>
              <w:textAlignment w:val="auto"/>
              <w:rPr>
                <w:rFonts w:hint="default" w:ascii="Times New Roman" w:hAnsi="Times New Roman" w:eastAsia="宋体" w:cs="Times New Roman"/>
                <w:bCs/>
                <w:color w:val="auto"/>
                <w:sz w:val="24"/>
                <w:szCs w:val="24"/>
                <w:highlight w:val="none"/>
              </w:rPr>
            </w:pPr>
            <w:r>
              <w:rPr>
                <w:rFonts w:hint="default" w:ascii="Times New Roman" w:hAnsi="Times New Roman" w:eastAsia="宋体" w:cs="Times New Roman"/>
                <w:bCs/>
                <w:color w:val="auto"/>
                <w:sz w:val="24"/>
                <w:szCs w:val="24"/>
                <w:highlight w:val="none"/>
              </w:rPr>
              <w:t>环境风险评价工作等级划分为一级、二级、三级。根据建设项目设计的物质及工艺系统危险性和所在地的环境敏感性确定环境风险潜势，按照表1确定评价工作等级。风险潜势为及</w:t>
            </w:r>
            <w:r>
              <w:rPr>
                <w:rFonts w:hint="default" w:ascii="Times New Roman" w:hAnsi="Times New Roman" w:eastAsia="宋体" w:cs="Times New Roman"/>
                <w:bCs/>
                <w:color w:val="auto"/>
                <w:sz w:val="24"/>
                <w:szCs w:val="24"/>
                <w:highlight w:val="none"/>
              </w:rPr>
              <w:fldChar w:fldCharType="begin"/>
            </w:r>
            <w:r>
              <w:rPr>
                <w:rFonts w:hint="default" w:ascii="Times New Roman" w:hAnsi="Times New Roman" w:eastAsia="宋体" w:cs="Times New Roman"/>
                <w:bCs/>
                <w:color w:val="auto"/>
                <w:sz w:val="24"/>
                <w:szCs w:val="24"/>
                <w:highlight w:val="none"/>
              </w:rPr>
              <w:instrText xml:space="preserve"> = 4 \* ROMAN \* MERGEFORMAT </w:instrText>
            </w:r>
            <w:r>
              <w:rPr>
                <w:rFonts w:hint="default" w:ascii="Times New Roman" w:hAnsi="Times New Roman" w:eastAsia="宋体" w:cs="Times New Roman"/>
                <w:bCs/>
                <w:color w:val="auto"/>
                <w:sz w:val="24"/>
                <w:szCs w:val="24"/>
                <w:highlight w:val="none"/>
              </w:rPr>
              <w:fldChar w:fldCharType="separate"/>
            </w:r>
            <w:r>
              <w:rPr>
                <w:rFonts w:hint="default" w:ascii="Times New Roman" w:hAnsi="Times New Roman" w:eastAsia="宋体" w:cs="Times New Roman"/>
                <w:color w:val="auto"/>
                <w:sz w:val="24"/>
                <w:szCs w:val="24"/>
                <w:highlight w:val="none"/>
              </w:rPr>
              <w:t>IV</w:t>
            </w:r>
            <w:r>
              <w:rPr>
                <w:rFonts w:hint="default" w:ascii="Times New Roman" w:hAnsi="Times New Roman" w:eastAsia="宋体" w:cs="Times New Roman"/>
                <w:bCs/>
                <w:color w:val="auto"/>
                <w:sz w:val="24"/>
                <w:szCs w:val="24"/>
                <w:highlight w:val="none"/>
              </w:rPr>
              <w:fldChar w:fldCharType="end"/>
            </w:r>
            <w:r>
              <w:rPr>
                <w:rFonts w:hint="default" w:ascii="Times New Roman" w:hAnsi="Times New Roman" w:eastAsia="宋体" w:cs="Times New Roman"/>
                <w:bCs/>
                <w:color w:val="auto"/>
                <w:sz w:val="24"/>
                <w:szCs w:val="24"/>
                <w:highlight w:val="none"/>
              </w:rPr>
              <w:t>及以上，进行一级评价；风险潜势为</w:t>
            </w:r>
            <w:r>
              <w:rPr>
                <w:rFonts w:hint="default" w:ascii="Times New Roman" w:hAnsi="Times New Roman" w:eastAsia="宋体" w:cs="Times New Roman"/>
                <w:bCs/>
                <w:color w:val="auto"/>
                <w:sz w:val="24"/>
                <w:szCs w:val="24"/>
                <w:highlight w:val="none"/>
              </w:rPr>
              <w:fldChar w:fldCharType="begin"/>
            </w:r>
            <w:r>
              <w:rPr>
                <w:rFonts w:hint="default" w:ascii="Times New Roman" w:hAnsi="Times New Roman" w:eastAsia="宋体" w:cs="Times New Roman"/>
                <w:bCs/>
                <w:color w:val="auto"/>
                <w:sz w:val="24"/>
                <w:szCs w:val="24"/>
                <w:highlight w:val="none"/>
              </w:rPr>
              <w:instrText xml:space="preserve"> = 3 \* ROMAN \* MERGEFORMAT </w:instrText>
            </w:r>
            <w:r>
              <w:rPr>
                <w:rFonts w:hint="default" w:ascii="Times New Roman" w:hAnsi="Times New Roman" w:eastAsia="宋体" w:cs="Times New Roman"/>
                <w:bCs/>
                <w:color w:val="auto"/>
                <w:sz w:val="24"/>
                <w:szCs w:val="24"/>
                <w:highlight w:val="none"/>
              </w:rPr>
              <w:fldChar w:fldCharType="separate"/>
            </w:r>
            <w:r>
              <w:rPr>
                <w:rFonts w:hint="default" w:ascii="Times New Roman" w:hAnsi="Times New Roman" w:eastAsia="宋体" w:cs="Times New Roman"/>
                <w:color w:val="auto"/>
                <w:sz w:val="24"/>
                <w:szCs w:val="24"/>
                <w:highlight w:val="none"/>
              </w:rPr>
              <w:t>III</w:t>
            </w:r>
            <w:r>
              <w:rPr>
                <w:rFonts w:hint="default" w:ascii="Times New Roman" w:hAnsi="Times New Roman" w:eastAsia="宋体" w:cs="Times New Roman"/>
                <w:bCs/>
                <w:color w:val="auto"/>
                <w:sz w:val="24"/>
                <w:szCs w:val="24"/>
                <w:highlight w:val="none"/>
              </w:rPr>
              <w:fldChar w:fldCharType="end"/>
            </w:r>
            <w:r>
              <w:rPr>
                <w:rFonts w:hint="default" w:ascii="Times New Roman" w:hAnsi="Times New Roman" w:eastAsia="宋体" w:cs="Times New Roman"/>
                <w:bCs/>
                <w:color w:val="auto"/>
                <w:sz w:val="24"/>
                <w:szCs w:val="24"/>
                <w:highlight w:val="none"/>
              </w:rPr>
              <w:t>，进行二级评价；风险潜势为</w:t>
            </w:r>
            <w:r>
              <w:rPr>
                <w:rFonts w:hint="default" w:ascii="Times New Roman" w:hAnsi="Times New Roman" w:eastAsia="宋体" w:cs="Times New Roman"/>
                <w:bCs/>
                <w:color w:val="auto"/>
                <w:sz w:val="24"/>
                <w:szCs w:val="24"/>
                <w:highlight w:val="none"/>
              </w:rPr>
              <w:fldChar w:fldCharType="begin"/>
            </w:r>
            <w:r>
              <w:rPr>
                <w:rFonts w:hint="default" w:ascii="Times New Roman" w:hAnsi="Times New Roman" w:eastAsia="宋体" w:cs="Times New Roman"/>
                <w:bCs/>
                <w:color w:val="auto"/>
                <w:sz w:val="24"/>
                <w:szCs w:val="24"/>
                <w:highlight w:val="none"/>
              </w:rPr>
              <w:instrText xml:space="preserve"> = 2 \* ROMAN \* MERGEFORMAT </w:instrText>
            </w:r>
            <w:r>
              <w:rPr>
                <w:rFonts w:hint="default" w:ascii="Times New Roman" w:hAnsi="Times New Roman" w:eastAsia="宋体" w:cs="Times New Roman"/>
                <w:bCs/>
                <w:color w:val="auto"/>
                <w:sz w:val="24"/>
                <w:szCs w:val="24"/>
                <w:highlight w:val="none"/>
              </w:rPr>
              <w:fldChar w:fldCharType="separate"/>
            </w:r>
            <w:r>
              <w:rPr>
                <w:rFonts w:hint="default" w:ascii="Times New Roman" w:hAnsi="Times New Roman" w:eastAsia="宋体" w:cs="Times New Roman"/>
                <w:color w:val="auto"/>
                <w:sz w:val="24"/>
                <w:szCs w:val="24"/>
                <w:highlight w:val="none"/>
              </w:rPr>
              <w:t>II</w:t>
            </w:r>
            <w:r>
              <w:rPr>
                <w:rFonts w:hint="default" w:ascii="Times New Roman" w:hAnsi="Times New Roman" w:eastAsia="宋体" w:cs="Times New Roman"/>
                <w:bCs/>
                <w:color w:val="auto"/>
                <w:sz w:val="24"/>
                <w:szCs w:val="24"/>
                <w:highlight w:val="none"/>
              </w:rPr>
              <w:fldChar w:fldCharType="end"/>
            </w:r>
            <w:r>
              <w:rPr>
                <w:rFonts w:hint="default" w:ascii="Times New Roman" w:hAnsi="Times New Roman" w:eastAsia="宋体" w:cs="Times New Roman"/>
                <w:bCs/>
                <w:color w:val="auto"/>
                <w:sz w:val="24"/>
                <w:szCs w:val="24"/>
                <w:highlight w:val="none"/>
              </w:rPr>
              <w:t>，进行三级评价；风险潜势为</w:t>
            </w:r>
            <w:r>
              <w:rPr>
                <w:rFonts w:hint="default" w:ascii="Times New Roman" w:hAnsi="Times New Roman" w:eastAsia="宋体" w:cs="Times New Roman"/>
                <w:bCs/>
                <w:color w:val="auto"/>
                <w:sz w:val="24"/>
                <w:szCs w:val="24"/>
                <w:highlight w:val="none"/>
              </w:rPr>
              <w:fldChar w:fldCharType="begin"/>
            </w:r>
            <w:r>
              <w:rPr>
                <w:rFonts w:hint="default" w:ascii="Times New Roman" w:hAnsi="Times New Roman" w:eastAsia="宋体" w:cs="Times New Roman"/>
                <w:bCs/>
                <w:color w:val="auto"/>
                <w:sz w:val="24"/>
                <w:szCs w:val="24"/>
                <w:highlight w:val="none"/>
              </w:rPr>
              <w:instrText xml:space="preserve"> = 1 \* ROMAN \* MERGEFORMAT </w:instrText>
            </w:r>
            <w:r>
              <w:rPr>
                <w:rFonts w:hint="default" w:ascii="Times New Roman" w:hAnsi="Times New Roman" w:eastAsia="宋体" w:cs="Times New Roman"/>
                <w:bCs/>
                <w:color w:val="auto"/>
                <w:sz w:val="24"/>
                <w:szCs w:val="24"/>
                <w:highlight w:val="none"/>
              </w:rPr>
              <w:fldChar w:fldCharType="separate"/>
            </w:r>
            <w:r>
              <w:rPr>
                <w:rFonts w:hint="default" w:ascii="Times New Roman" w:hAnsi="Times New Roman" w:eastAsia="宋体" w:cs="Times New Roman"/>
                <w:color w:val="auto"/>
                <w:sz w:val="24"/>
                <w:szCs w:val="24"/>
                <w:highlight w:val="none"/>
              </w:rPr>
              <w:t>I</w:t>
            </w:r>
            <w:r>
              <w:rPr>
                <w:rFonts w:hint="default" w:ascii="Times New Roman" w:hAnsi="Times New Roman" w:eastAsia="宋体" w:cs="Times New Roman"/>
                <w:bCs/>
                <w:color w:val="auto"/>
                <w:sz w:val="24"/>
                <w:szCs w:val="24"/>
                <w:highlight w:val="none"/>
              </w:rPr>
              <w:fldChar w:fldCharType="end"/>
            </w:r>
            <w:r>
              <w:rPr>
                <w:rFonts w:hint="default" w:ascii="Times New Roman" w:hAnsi="Times New Roman" w:eastAsia="宋体" w:cs="Times New Roman"/>
                <w:bCs/>
                <w:color w:val="auto"/>
                <w:sz w:val="24"/>
                <w:szCs w:val="24"/>
                <w:highlight w:val="none"/>
              </w:rPr>
              <w:t>，可开展简单分析。</w:t>
            </w:r>
          </w:p>
          <w:p w14:paraId="25C377A5">
            <w:pPr>
              <w:keepNext w:val="0"/>
              <w:keepLines w:val="0"/>
              <w:pageBreakBefore w:val="0"/>
              <w:widowControl w:val="0"/>
              <w:kinsoku/>
              <w:wordWrap/>
              <w:overflowPunct/>
              <w:topLinePunct w:val="0"/>
              <w:autoSpaceDE/>
              <w:autoSpaceDN/>
              <w:bidi w:val="0"/>
              <w:adjustRightInd/>
              <w:snapToGrid/>
              <w:spacing w:line="360" w:lineRule="auto"/>
              <w:ind w:right="0" w:firstLine="480" w:firstLineChars="200"/>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Cs/>
                <w:color w:val="auto"/>
                <w:sz w:val="24"/>
                <w:szCs w:val="24"/>
                <w:highlight w:val="none"/>
              </w:rPr>
              <w:t>本项目评价工作级别划分依据见</w:t>
            </w:r>
            <w:r>
              <w:rPr>
                <w:rFonts w:hint="eastAsia" w:ascii="Times New Roman" w:hAnsi="Times New Roman" w:eastAsia="宋体" w:cs="Times New Roman"/>
                <w:bCs/>
                <w:color w:val="auto"/>
                <w:sz w:val="24"/>
                <w:szCs w:val="24"/>
                <w:highlight w:val="none"/>
                <w:lang w:val="en-US" w:eastAsia="zh-CN"/>
              </w:rPr>
              <w:t>下</w:t>
            </w:r>
            <w:r>
              <w:rPr>
                <w:rFonts w:hint="default" w:ascii="Times New Roman" w:hAnsi="Times New Roman" w:eastAsia="宋体" w:cs="Times New Roman"/>
                <w:bCs/>
                <w:color w:val="auto"/>
                <w:sz w:val="24"/>
                <w:szCs w:val="24"/>
                <w:highlight w:val="none"/>
              </w:rPr>
              <w:t>表。</w:t>
            </w:r>
          </w:p>
          <w:p w14:paraId="3525AFC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表4-</w:t>
            </w:r>
            <w:r>
              <w:rPr>
                <w:rFonts w:hint="eastAsia" w:ascii="Times New Roman" w:hAnsi="Times New Roman" w:eastAsia="宋体" w:cs="Times New Roman"/>
                <w:b/>
                <w:bCs/>
                <w:color w:val="auto"/>
                <w:sz w:val="21"/>
                <w:szCs w:val="21"/>
                <w:highlight w:val="none"/>
                <w:lang w:val="en-US" w:eastAsia="zh-CN"/>
              </w:rPr>
              <w:t>15</w:t>
            </w:r>
            <w:r>
              <w:rPr>
                <w:rFonts w:hint="default" w:ascii="Times New Roman" w:hAnsi="Times New Roman" w:eastAsia="宋体" w:cs="Times New Roman"/>
                <w:b/>
                <w:bCs/>
                <w:color w:val="auto"/>
                <w:sz w:val="21"/>
                <w:szCs w:val="21"/>
                <w:highlight w:val="none"/>
              </w:rPr>
              <w:t xml:space="preserve"> </w:t>
            </w:r>
            <w:r>
              <w:rPr>
                <w:rFonts w:hint="eastAsia" w:ascii="Times New Roman" w:hAnsi="Times New Roman" w:eastAsia="宋体" w:cs="Times New Roman"/>
                <w:b/>
                <w:bCs/>
                <w:color w:val="auto"/>
                <w:sz w:val="21"/>
                <w:szCs w:val="21"/>
                <w:highlight w:val="none"/>
                <w:lang w:val="en-US" w:eastAsia="zh-CN"/>
              </w:rPr>
              <w:t xml:space="preserve"> </w:t>
            </w:r>
            <w:r>
              <w:rPr>
                <w:rFonts w:hint="default" w:ascii="Times New Roman" w:hAnsi="Times New Roman" w:eastAsia="宋体" w:cs="Times New Roman"/>
                <w:b/>
                <w:bCs/>
                <w:color w:val="auto"/>
                <w:sz w:val="21"/>
                <w:szCs w:val="21"/>
                <w:highlight w:val="none"/>
              </w:rPr>
              <w:t>评价工作等级划分</w:t>
            </w:r>
          </w:p>
          <w:tbl>
            <w:tblPr>
              <w:tblStyle w:val="28"/>
              <w:tblW w:w="86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20"/>
              <w:gridCol w:w="1335"/>
              <w:gridCol w:w="1275"/>
              <w:gridCol w:w="1740"/>
              <w:gridCol w:w="1708"/>
            </w:tblGrid>
            <w:tr w14:paraId="75D97B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2620" w:type="dxa"/>
                  <w:tcBorders>
                    <w:tl2br w:val="nil"/>
                    <w:tr2bl w:val="nil"/>
                  </w:tcBorders>
                  <w:noWrap w:val="0"/>
                  <w:vAlign w:val="center"/>
                </w:tcPr>
                <w:p w14:paraId="482A9AFF">
                  <w:pPr>
                    <w:pStyle w:val="103"/>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环境风险潜势</w:t>
                  </w:r>
                </w:p>
              </w:tc>
              <w:tc>
                <w:tcPr>
                  <w:tcW w:w="1335" w:type="dxa"/>
                  <w:tcBorders>
                    <w:tl2br w:val="nil"/>
                    <w:tr2bl w:val="nil"/>
                  </w:tcBorders>
                  <w:noWrap w:val="0"/>
                  <w:vAlign w:val="center"/>
                </w:tcPr>
                <w:p w14:paraId="776ACA4E">
                  <w:pPr>
                    <w:pStyle w:val="103"/>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VI、VI</w:t>
                  </w:r>
                  <w:r>
                    <w:rPr>
                      <w:rFonts w:hint="default" w:ascii="Times New Roman" w:hAnsi="Times New Roman" w:eastAsia="宋体" w:cs="Times New Roman"/>
                      <w:color w:val="auto"/>
                      <w:sz w:val="21"/>
                      <w:szCs w:val="21"/>
                      <w:highlight w:val="none"/>
                      <w:vertAlign w:val="superscript"/>
                    </w:rPr>
                    <w:t>+</w:t>
                  </w:r>
                </w:p>
              </w:tc>
              <w:tc>
                <w:tcPr>
                  <w:tcW w:w="1275" w:type="dxa"/>
                  <w:tcBorders>
                    <w:tl2br w:val="nil"/>
                    <w:tr2bl w:val="nil"/>
                  </w:tcBorders>
                  <w:noWrap w:val="0"/>
                  <w:vAlign w:val="center"/>
                </w:tcPr>
                <w:p w14:paraId="300D99E5">
                  <w:pPr>
                    <w:pStyle w:val="103"/>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III</w:t>
                  </w:r>
                </w:p>
              </w:tc>
              <w:tc>
                <w:tcPr>
                  <w:tcW w:w="1740" w:type="dxa"/>
                  <w:tcBorders>
                    <w:tl2br w:val="nil"/>
                    <w:tr2bl w:val="nil"/>
                  </w:tcBorders>
                  <w:noWrap w:val="0"/>
                  <w:vAlign w:val="center"/>
                </w:tcPr>
                <w:p w14:paraId="517E24E0">
                  <w:pPr>
                    <w:pStyle w:val="103"/>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II</w:t>
                  </w:r>
                </w:p>
              </w:tc>
              <w:tc>
                <w:tcPr>
                  <w:tcW w:w="1708" w:type="dxa"/>
                  <w:tcBorders>
                    <w:tl2br w:val="nil"/>
                    <w:tr2bl w:val="nil"/>
                  </w:tcBorders>
                  <w:noWrap w:val="0"/>
                  <w:vAlign w:val="center"/>
                </w:tcPr>
                <w:p w14:paraId="483F8DCD">
                  <w:pPr>
                    <w:pStyle w:val="103"/>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I</w:t>
                  </w:r>
                </w:p>
              </w:tc>
            </w:tr>
            <w:tr w14:paraId="232550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2620" w:type="dxa"/>
                  <w:tcBorders>
                    <w:tl2br w:val="nil"/>
                    <w:tr2bl w:val="nil"/>
                  </w:tcBorders>
                  <w:noWrap w:val="0"/>
                  <w:vAlign w:val="center"/>
                </w:tcPr>
                <w:p w14:paraId="3714BCF6">
                  <w:pPr>
                    <w:pStyle w:val="103"/>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环境风险评价等级</w:t>
                  </w:r>
                </w:p>
              </w:tc>
              <w:tc>
                <w:tcPr>
                  <w:tcW w:w="1335" w:type="dxa"/>
                  <w:tcBorders>
                    <w:tl2br w:val="nil"/>
                    <w:tr2bl w:val="nil"/>
                  </w:tcBorders>
                  <w:noWrap w:val="0"/>
                  <w:vAlign w:val="center"/>
                </w:tcPr>
                <w:p w14:paraId="1CDE87CF">
                  <w:pPr>
                    <w:pStyle w:val="103"/>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一</w:t>
                  </w:r>
                </w:p>
              </w:tc>
              <w:tc>
                <w:tcPr>
                  <w:tcW w:w="1275" w:type="dxa"/>
                  <w:tcBorders>
                    <w:tl2br w:val="nil"/>
                    <w:tr2bl w:val="nil"/>
                  </w:tcBorders>
                  <w:noWrap w:val="0"/>
                  <w:vAlign w:val="center"/>
                </w:tcPr>
                <w:p w14:paraId="6CDD0944">
                  <w:pPr>
                    <w:pStyle w:val="103"/>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二</w:t>
                  </w:r>
                </w:p>
              </w:tc>
              <w:tc>
                <w:tcPr>
                  <w:tcW w:w="1740" w:type="dxa"/>
                  <w:tcBorders>
                    <w:tl2br w:val="nil"/>
                    <w:tr2bl w:val="nil"/>
                  </w:tcBorders>
                  <w:noWrap w:val="0"/>
                  <w:vAlign w:val="center"/>
                </w:tcPr>
                <w:p w14:paraId="284B5F32">
                  <w:pPr>
                    <w:pStyle w:val="103"/>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三</w:t>
                  </w:r>
                </w:p>
              </w:tc>
              <w:tc>
                <w:tcPr>
                  <w:tcW w:w="1708" w:type="dxa"/>
                  <w:tcBorders>
                    <w:tl2br w:val="nil"/>
                    <w:tr2bl w:val="nil"/>
                  </w:tcBorders>
                  <w:noWrap w:val="0"/>
                  <w:vAlign w:val="center"/>
                </w:tcPr>
                <w:p w14:paraId="76B2CCA7">
                  <w:pPr>
                    <w:pStyle w:val="103"/>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简单分析</w:t>
                  </w:r>
                  <w:r>
                    <w:rPr>
                      <w:rFonts w:hint="default" w:ascii="Times New Roman" w:hAnsi="Times New Roman" w:eastAsia="宋体" w:cs="Times New Roman"/>
                      <w:color w:val="auto"/>
                      <w:sz w:val="21"/>
                      <w:szCs w:val="21"/>
                      <w:highlight w:val="none"/>
                      <w:vertAlign w:val="superscript"/>
                    </w:rPr>
                    <w:t>a</w:t>
                  </w:r>
                </w:p>
              </w:tc>
            </w:tr>
            <w:tr w14:paraId="04F0F6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8678" w:type="dxa"/>
                  <w:gridSpan w:val="5"/>
                  <w:tcBorders>
                    <w:tl2br w:val="nil"/>
                    <w:tr2bl w:val="nil"/>
                  </w:tcBorders>
                  <w:noWrap w:val="0"/>
                  <w:vAlign w:val="center"/>
                </w:tcPr>
                <w:p w14:paraId="2A7E8B5C">
                  <w:pPr>
                    <w:pStyle w:val="103"/>
                    <w:spacing w:line="240" w:lineRule="auto"/>
                    <w:jc w:val="center"/>
                    <w:rPr>
                      <w:rFonts w:hint="default" w:ascii="Times New Roman" w:hAnsi="Times New Roman" w:eastAsia="宋体" w:cs="Times New Roman"/>
                      <w:color w:val="auto"/>
                      <w:sz w:val="21"/>
                      <w:szCs w:val="21"/>
                      <w:highlight w:val="none"/>
                      <w:vertAlign w:val="superscript"/>
                    </w:rPr>
                  </w:pPr>
                  <w:r>
                    <w:rPr>
                      <w:rFonts w:hint="default" w:ascii="Times New Roman" w:hAnsi="Times New Roman" w:eastAsia="宋体" w:cs="Times New Roman"/>
                      <w:color w:val="auto"/>
                      <w:sz w:val="21"/>
                      <w:szCs w:val="21"/>
                      <w:highlight w:val="none"/>
                      <w:vertAlign w:val="superscript"/>
                    </w:rPr>
                    <w:t>a</w:t>
                  </w:r>
                  <w:r>
                    <w:rPr>
                      <w:rFonts w:hint="default" w:ascii="Times New Roman" w:hAnsi="Times New Roman" w:eastAsia="宋体" w:cs="Times New Roman"/>
                      <w:color w:val="auto"/>
                      <w:sz w:val="21"/>
                      <w:szCs w:val="21"/>
                      <w:highlight w:val="none"/>
                    </w:rPr>
                    <w:t>是相对于详细评级工作内容而言，在描述危险物质、环境影响途径、环境危害后果、风险防范措施等方面给出定性的说明。见附录A。</w:t>
                  </w:r>
                </w:p>
              </w:tc>
            </w:tr>
          </w:tbl>
          <w:p w14:paraId="536DDFD3">
            <w:pPr>
              <w:pStyle w:val="75"/>
              <w:keepNext w:val="0"/>
              <w:keepLines w:val="0"/>
              <w:pageBreakBefore w:val="0"/>
              <w:widowControl w:val="0"/>
              <w:kinsoku/>
              <w:wordWrap/>
              <w:overflowPunct/>
              <w:topLinePunct w:val="0"/>
              <w:bidi w:val="0"/>
              <w:snapToGrid/>
              <w:spacing w:line="360" w:lineRule="auto"/>
              <w:ind w:firstLine="480" w:firstLineChars="200"/>
              <w:jc w:val="both"/>
              <w:textAlignment w:val="auto"/>
              <w:rPr>
                <w:rFonts w:hint="eastAsia" w:ascii="Times New Roman" w:hAnsi="Times New Roman" w:eastAsia="宋体" w:cs="Times New Roman"/>
                <w:b w:val="0"/>
                <w:bCs w:val="0"/>
                <w:color w:val="auto"/>
                <w:sz w:val="24"/>
                <w:szCs w:val="24"/>
                <w:lang w:val="en-US" w:eastAsia="zh-CN"/>
              </w:rPr>
            </w:pPr>
            <w:r>
              <w:rPr>
                <w:rFonts w:hint="eastAsia" w:ascii="Times New Roman" w:hAnsi="Times New Roman" w:eastAsia="宋体" w:cs="Times New Roman"/>
                <w:b w:val="0"/>
                <w:bCs w:val="0"/>
                <w:color w:val="auto"/>
                <w:sz w:val="24"/>
                <w:szCs w:val="24"/>
                <w:lang w:val="en-US" w:eastAsia="zh-CN"/>
              </w:rPr>
              <w:t>（3）风险因素的识别</w:t>
            </w:r>
          </w:p>
          <w:p w14:paraId="18CF767E">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b/>
                <w:bCs/>
                <w:color w:val="auto"/>
                <w:kern w:val="0"/>
                <w:sz w:val="24"/>
                <w:highlight w:val="none"/>
                <w:lang w:val="zh-CN" w:bidi="ar"/>
              </w:rPr>
            </w:pPr>
            <w:r>
              <w:rPr>
                <w:rFonts w:hint="default" w:ascii="Times New Roman" w:hAnsi="Times New Roman" w:eastAsia="宋体" w:cs="Times New Roman"/>
                <w:color w:val="auto"/>
                <w:sz w:val="24"/>
                <w:highlight w:val="none"/>
              </w:rPr>
              <w:t>本项目生产过程涉及的</w:t>
            </w:r>
            <w:r>
              <w:rPr>
                <w:rFonts w:hint="default" w:ascii="Times New Roman" w:hAnsi="Times New Roman" w:eastAsia="宋体" w:cs="Times New Roman"/>
                <w:color w:val="auto"/>
                <w:kern w:val="0"/>
                <w:sz w:val="24"/>
                <w:highlight w:val="none"/>
                <w:lang w:bidi="ar"/>
              </w:rPr>
              <w:t>风险</w:t>
            </w:r>
            <w:r>
              <w:rPr>
                <w:rFonts w:hint="default" w:ascii="Times New Roman" w:hAnsi="Times New Roman" w:eastAsia="宋体" w:cs="Times New Roman"/>
                <w:color w:val="auto"/>
                <w:sz w:val="24"/>
                <w:highlight w:val="none"/>
              </w:rPr>
              <w:t>物质危险特性见下表。</w:t>
            </w:r>
          </w:p>
          <w:p w14:paraId="126CEE4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lang w:val="zh-CN"/>
              </w:rPr>
              <w:t>表</w:t>
            </w:r>
            <w:r>
              <w:rPr>
                <w:rFonts w:hint="default" w:ascii="Times New Roman" w:hAnsi="Times New Roman" w:eastAsia="宋体" w:cs="Times New Roman"/>
                <w:b/>
                <w:bCs/>
                <w:color w:val="auto"/>
                <w:sz w:val="21"/>
                <w:szCs w:val="21"/>
                <w:highlight w:val="none"/>
                <w:lang w:val="en-US" w:eastAsia="zh-CN"/>
              </w:rPr>
              <w:t>4-1</w:t>
            </w:r>
            <w:r>
              <w:rPr>
                <w:rFonts w:hint="eastAsia" w:ascii="Times New Roman" w:hAnsi="Times New Roman" w:eastAsia="宋体" w:cs="Times New Roman"/>
                <w:b/>
                <w:bCs/>
                <w:color w:val="auto"/>
                <w:sz w:val="21"/>
                <w:szCs w:val="21"/>
                <w:highlight w:val="none"/>
                <w:lang w:val="en-US" w:eastAsia="zh-CN"/>
              </w:rPr>
              <w:t xml:space="preserve">6  </w:t>
            </w:r>
            <w:r>
              <w:rPr>
                <w:rFonts w:hint="default" w:ascii="Times New Roman" w:hAnsi="Times New Roman" w:eastAsia="宋体" w:cs="Times New Roman"/>
                <w:b/>
                <w:bCs/>
                <w:color w:val="auto"/>
                <w:sz w:val="21"/>
                <w:szCs w:val="21"/>
                <w:highlight w:val="none"/>
                <w:lang w:val="zh-CN"/>
              </w:rPr>
              <w:t>危险</w:t>
            </w:r>
            <w:r>
              <w:rPr>
                <w:rFonts w:hint="default" w:ascii="Times New Roman" w:hAnsi="Times New Roman" w:eastAsia="宋体" w:cs="Times New Roman"/>
                <w:b/>
                <w:bCs/>
                <w:color w:val="auto"/>
                <w:sz w:val="21"/>
                <w:szCs w:val="21"/>
                <w:highlight w:val="none"/>
              </w:rPr>
              <w:t>特性表</w:t>
            </w:r>
          </w:p>
          <w:tbl>
            <w:tblPr>
              <w:tblStyle w:val="28"/>
              <w:tblW w:w="86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15" w:type="dxa"/>
                <w:left w:w="15" w:type="dxa"/>
                <w:bottom w:w="15" w:type="dxa"/>
                <w:right w:w="15" w:type="dxa"/>
              </w:tblCellMar>
            </w:tblPr>
            <w:tblGrid>
              <w:gridCol w:w="624"/>
              <w:gridCol w:w="835"/>
              <w:gridCol w:w="1145"/>
              <w:gridCol w:w="3851"/>
              <w:gridCol w:w="2169"/>
            </w:tblGrid>
            <w:tr w14:paraId="26771C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0" w:hRule="atLeast"/>
              </w:trPr>
              <w:tc>
                <w:tcPr>
                  <w:tcW w:w="624" w:type="dxa"/>
                  <w:noWrap w:val="0"/>
                  <w:tcMar>
                    <w:top w:w="135" w:type="dxa"/>
                    <w:left w:w="120" w:type="dxa"/>
                    <w:bottom w:w="135" w:type="dxa"/>
                    <w:right w:w="120" w:type="dxa"/>
                  </w:tcMar>
                  <w:vAlign w:val="center"/>
                </w:tcPr>
                <w:p w14:paraId="66B52788">
                  <w:pPr>
                    <w:keepNext w:val="0"/>
                    <w:keepLines w:val="0"/>
                    <w:widowControl/>
                    <w:suppressLineNumbers w:val="0"/>
                    <w:pBdr>
                      <w:top w:val="none" w:color="auto" w:sz="0" w:space="0"/>
                      <w:left w:val="none" w:color="auto" w:sz="0" w:space="0"/>
                      <w:bottom w:val="none" w:color="auto" w:sz="0" w:space="0"/>
                      <w:right w:val="none" w:color="auto" w:sz="0" w:space="0"/>
                    </w:pBdr>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序号</w:t>
                  </w:r>
                </w:p>
              </w:tc>
              <w:tc>
                <w:tcPr>
                  <w:tcW w:w="835" w:type="dxa"/>
                  <w:noWrap w:val="0"/>
                  <w:tcMar>
                    <w:top w:w="135" w:type="dxa"/>
                    <w:left w:w="120" w:type="dxa"/>
                    <w:bottom w:w="135" w:type="dxa"/>
                    <w:right w:w="120" w:type="dxa"/>
                  </w:tcMar>
                  <w:vAlign w:val="center"/>
                </w:tcPr>
                <w:p w14:paraId="1BA199E5">
                  <w:pPr>
                    <w:keepNext w:val="0"/>
                    <w:keepLines w:val="0"/>
                    <w:widowControl/>
                    <w:suppressLineNumbers w:val="0"/>
                    <w:pBdr>
                      <w:top w:val="none" w:color="auto" w:sz="0" w:space="0"/>
                      <w:left w:val="none" w:color="auto" w:sz="0" w:space="0"/>
                      <w:bottom w:val="none" w:color="auto" w:sz="0" w:space="0"/>
                      <w:right w:val="none" w:color="auto" w:sz="0" w:space="0"/>
                    </w:pBdr>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药品名称</w:t>
                  </w:r>
                </w:p>
              </w:tc>
              <w:tc>
                <w:tcPr>
                  <w:tcW w:w="1145" w:type="dxa"/>
                  <w:noWrap w:val="0"/>
                  <w:tcMar>
                    <w:top w:w="135" w:type="dxa"/>
                    <w:left w:w="120" w:type="dxa"/>
                    <w:bottom w:w="135" w:type="dxa"/>
                    <w:right w:w="120" w:type="dxa"/>
                  </w:tcMar>
                  <w:vAlign w:val="center"/>
                </w:tcPr>
                <w:p w14:paraId="207A2B7D">
                  <w:pPr>
                    <w:keepNext w:val="0"/>
                    <w:keepLines w:val="0"/>
                    <w:widowControl/>
                    <w:suppressLineNumbers w:val="0"/>
                    <w:pBdr>
                      <w:top w:val="none" w:color="auto" w:sz="0" w:space="0"/>
                      <w:left w:val="none" w:color="auto" w:sz="0" w:space="0"/>
                      <w:bottom w:val="none" w:color="auto" w:sz="0" w:space="0"/>
                      <w:right w:val="none" w:color="auto" w:sz="0" w:space="0"/>
                    </w:pBdr>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分子式</w:t>
                  </w:r>
                </w:p>
              </w:tc>
              <w:tc>
                <w:tcPr>
                  <w:tcW w:w="3851" w:type="dxa"/>
                  <w:noWrap w:val="0"/>
                  <w:tcMar>
                    <w:top w:w="135" w:type="dxa"/>
                    <w:left w:w="120" w:type="dxa"/>
                    <w:bottom w:w="135" w:type="dxa"/>
                    <w:right w:w="120" w:type="dxa"/>
                  </w:tcMar>
                  <w:vAlign w:val="center"/>
                </w:tcPr>
                <w:p w14:paraId="07E67A1A">
                  <w:pPr>
                    <w:keepNext w:val="0"/>
                    <w:keepLines w:val="0"/>
                    <w:widowControl/>
                    <w:suppressLineNumbers w:val="0"/>
                    <w:pBdr>
                      <w:top w:val="none" w:color="auto" w:sz="0" w:space="0"/>
                      <w:left w:val="none" w:color="auto" w:sz="0" w:space="0"/>
                      <w:bottom w:val="none" w:color="auto" w:sz="0" w:space="0"/>
                      <w:right w:val="none" w:color="auto" w:sz="0" w:space="0"/>
                    </w:pBdr>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理化性质及燃烧、爆炸性</w:t>
                  </w:r>
                </w:p>
              </w:tc>
              <w:tc>
                <w:tcPr>
                  <w:tcW w:w="2169" w:type="dxa"/>
                  <w:noWrap w:val="0"/>
                  <w:tcMar>
                    <w:top w:w="135" w:type="dxa"/>
                    <w:left w:w="120" w:type="dxa"/>
                    <w:bottom w:w="135" w:type="dxa"/>
                    <w:right w:w="120" w:type="dxa"/>
                  </w:tcMar>
                  <w:vAlign w:val="center"/>
                </w:tcPr>
                <w:p w14:paraId="1C969ADA">
                  <w:pPr>
                    <w:keepNext w:val="0"/>
                    <w:keepLines w:val="0"/>
                    <w:widowControl/>
                    <w:suppressLineNumbers w:val="0"/>
                    <w:pBdr>
                      <w:top w:val="none" w:color="auto" w:sz="0" w:space="0"/>
                      <w:left w:val="none" w:color="auto" w:sz="0" w:space="0"/>
                      <w:bottom w:val="none" w:color="auto" w:sz="0" w:space="0"/>
                      <w:right w:val="none" w:color="auto" w:sz="0" w:space="0"/>
                    </w:pBdr>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毒理毒性</w:t>
                  </w:r>
                </w:p>
              </w:tc>
            </w:tr>
            <w:tr w14:paraId="041C26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0" w:hRule="atLeast"/>
              </w:trPr>
              <w:tc>
                <w:tcPr>
                  <w:tcW w:w="624" w:type="dxa"/>
                  <w:noWrap w:val="0"/>
                  <w:tcMar>
                    <w:top w:w="135" w:type="dxa"/>
                    <w:left w:w="120" w:type="dxa"/>
                    <w:bottom w:w="135" w:type="dxa"/>
                    <w:right w:w="120" w:type="dxa"/>
                  </w:tcMar>
                  <w:vAlign w:val="center"/>
                </w:tcPr>
                <w:p w14:paraId="6E790D12">
                  <w:pPr>
                    <w:keepNext w:val="0"/>
                    <w:keepLines w:val="0"/>
                    <w:widowControl/>
                    <w:suppressLineNumbers w:val="0"/>
                    <w:pBdr>
                      <w:top w:val="none" w:color="auto" w:sz="0" w:space="0"/>
                      <w:left w:val="none" w:color="auto" w:sz="0" w:space="0"/>
                      <w:bottom w:val="none" w:color="auto" w:sz="0" w:space="0"/>
                      <w:right w:val="none" w:color="auto" w:sz="0" w:space="0"/>
                    </w:pBdr>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1</w:t>
                  </w:r>
                </w:p>
              </w:tc>
              <w:tc>
                <w:tcPr>
                  <w:tcW w:w="835" w:type="dxa"/>
                  <w:noWrap w:val="0"/>
                  <w:tcMar>
                    <w:top w:w="135" w:type="dxa"/>
                    <w:left w:w="120" w:type="dxa"/>
                    <w:bottom w:w="135" w:type="dxa"/>
                    <w:right w:w="120" w:type="dxa"/>
                  </w:tcMar>
                  <w:vAlign w:val="center"/>
                </w:tcPr>
                <w:p w14:paraId="08B48F75">
                  <w:pPr>
                    <w:keepNext w:val="0"/>
                    <w:keepLines w:val="0"/>
                    <w:widowControl/>
                    <w:suppressLineNumbers w:val="0"/>
                    <w:pBdr>
                      <w:top w:val="none" w:color="auto" w:sz="0" w:space="0"/>
                      <w:left w:val="none" w:color="auto" w:sz="0" w:space="0"/>
                      <w:bottom w:val="none" w:color="auto" w:sz="0" w:space="0"/>
                      <w:right w:val="none" w:color="auto" w:sz="0" w:space="0"/>
                    </w:pBdr>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盐酸</w:t>
                  </w:r>
                </w:p>
              </w:tc>
              <w:tc>
                <w:tcPr>
                  <w:tcW w:w="1145" w:type="dxa"/>
                  <w:noWrap w:val="0"/>
                  <w:tcMar>
                    <w:top w:w="135" w:type="dxa"/>
                    <w:left w:w="120" w:type="dxa"/>
                    <w:bottom w:w="135" w:type="dxa"/>
                    <w:right w:w="120" w:type="dxa"/>
                  </w:tcMar>
                  <w:vAlign w:val="center"/>
                </w:tcPr>
                <w:p w14:paraId="300A8AF7">
                  <w:pPr>
                    <w:keepNext w:val="0"/>
                    <w:keepLines w:val="0"/>
                    <w:widowControl/>
                    <w:suppressLineNumbers w:val="0"/>
                    <w:pBdr>
                      <w:top w:val="none" w:color="auto" w:sz="0" w:space="0"/>
                      <w:left w:val="none" w:color="auto" w:sz="0" w:space="0"/>
                      <w:bottom w:val="none" w:color="auto" w:sz="0" w:space="0"/>
                      <w:right w:val="none" w:color="auto" w:sz="0" w:space="0"/>
                    </w:pBdr>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HCl</w:t>
                  </w:r>
                </w:p>
              </w:tc>
              <w:tc>
                <w:tcPr>
                  <w:tcW w:w="3851" w:type="dxa"/>
                  <w:noWrap w:val="0"/>
                  <w:tcMar>
                    <w:top w:w="135" w:type="dxa"/>
                    <w:left w:w="120" w:type="dxa"/>
                    <w:bottom w:w="135" w:type="dxa"/>
                    <w:right w:w="120" w:type="dxa"/>
                  </w:tcMar>
                  <w:vAlign w:val="center"/>
                </w:tcPr>
                <w:p w14:paraId="37DF8C06">
                  <w:pPr>
                    <w:keepNext w:val="0"/>
                    <w:keepLines w:val="0"/>
                    <w:widowControl/>
                    <w:suppressLineNumbers w:val="0"/>
                    <w:pBdr>
                      <w:top w:val="none" w:color="auto" w:sz="0" w:space="0"/>
                      <w:left w:val="none" w:color="auto" w:sz="0" w:space="0"/>
                      <w:bottom w:val="none" w:color="auto" w:sz="0" w:space="0"/>
                      <w:right w:val="none" w:color="auto" w:sz="0" w:space="0"/>
                    </w:pBdr>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无色液体，有腐蚀性，具刺激性气味。熔点 - 35℃，沸点 57℃，相对密度 (水 = 1) 1.20。强腐蚀性、强刺激性，可致人体灼伤；与活性金属粉末反应放出氢气，不燃。</w:t>
                  </w:r>
                </w:p>
              </w:tc>
              <w:tc>
                <w:tcPr>
                  <w:tcW w:w="2169" w:type="dxa"/>
                  <w:noWrap w:val="0"/>
                  <w:tcMar>
                    <w:top w:w="135" w:type="dxa"/>
                    <w:left w:w="120" w:type="dxa"/>
                    <w:bottom w:w="135" w:type="dxa"/>
                    <w:right w:w="120" w:type="dxa"/>
                  </w:tcMar>
                  <w:vAlign w:val="center"/>
                </w:tcPr>
                <w:p w14:paraId="678B5E06">
                  <w:pPr>
                    <w:keepNext w:val="0"/>
                    <w:keepLines w:val="0"/>
                    <w:widowControl/>
                    <w:suppressLineNumbers w:val="0"/>
                    <w:pBdr>
                      <w:top w:val="none" w:color="auto" w:sz="0" w:space="0"/>
                      <w:left w:val="none" w:color="auto" w:sz="0" w:space="0"/>
                      <w:bottom w:val="none" w:color="auto" w:sz="0" w:space="0"/>
                      <w:right w:val="none" w:color="auto" w:sz="0" w:space="0"/>
                    </w:pBdr>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LD50 900mg/kg（兔经口）；LC50 3124ppm，1 小时（大鼠吸入）</w:t>
                  </w:r>
                </w:p>
              </w:tc>
            </w:tr>
            <w:tr w14:paraId="3FF847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0" w:hRule="atLeast"/>
              </w:trPr>
              <w:tc>
                <w:tcPr>
                  <w:tcW w:w="624" w:type="dxa"/>
                  <w:noWrap w:val="0"/>
                  <w:tcMar>
                    <w:top w:w="135" w:type="dxa"/>
                    <w:left w:w="120" w:type="dxa"/>
                    <w:bottom w:w="135" w:type="dxa"/>
                    <w:right w:w="120" w:type="dxa"/>
                  </w:tcMar>
                  <w:vAlign w:val="center"/>
                </w:tcPr>
                <w:p w14:paraId="66FC7F79">
                  <w:pPr>
                    <w:keepNext w:val="0"/>
                    <w:keepLines w:val="0"/>
                    <w:widowControl/>
                    <w:suppressLineNumbers w:val="0"/>
                    <w:pBdr>
                      <w:top w:val="none" w:color="auto" w:sz="0" w:space="0"/>
                      <w:left w:val="none" w:color="auto" w:sz="0" w:space="0"/>
                      <w:bottom w:val="none" w:color="auto" w:sz="0" w:space="0"/>
                      <w:right w:val="none" w:color="auto" w:sz="0" w:space="0"/>
                    </w:pBdr>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2</w:t>
                  </w:r>
                </w:p>
              </w:tc>
              <w:tc>
                <w:tcPr>
                  <w:tcW w:w="835" w:type="dxa"/>
                  <w:noWrap w:val="0"/>
                  <w:tcMar>
                    <w:top w:w="135" w:type="dxa"/>
                    <w:left w:w="120" w:type="dxa"/>
                    <w:bottom w:w="135" w:type="dxa"/>
                    <w:right w:w="120" w:type="dxa"/>
                  </w:tcMar>
                  <w:vAlign w:val="center"/>
                </w:tcPr>
                <w:p w14:paraId="6344EE04">
                  <w:pPr>
                    <w:keepNext w:val="0"/>
                    <w:keepLines w:val="0"/>
                    <w:widowControl/>
                    <w:suppressLineNumbers w:val="0"/>
                    <w:pBdr>
                      <w:top w:val="none" w:color="auto" w:sz="0" w:space="0"/>
                      <w:left w:val="none" w:color="auto" w:sz="0" w:space="0"/>
                      <w:bottom w:val="none" w:color="auto" w:sz="0" w:space="0"/>
                      <w:right w:val="none" w:color="auto" w:sz="0" w:space="0"/>
                    </w:pBdr>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硝酸</w:t>
                  </w:r>
                </w:p>
              </w:tc>
              <w:tc>
                <w:tcPr>
                  <w:tcW w:w="1145" w:type="dxa"/>
                  <w:noWrap w:val="0"/>
                  <w:tcMar>
                    <w:top w:w="135" w:type="dxa"/>
                    <w:left w:w="120" w:type="dxa"/>
                    <w:bottom w:w="135" w:type="dxa"/>
                    <w:right w:w="120" w:type="dxa"/>
                  </w:tcMar>
                  <w:vAlign w:val="center"/>
                </w:tcPr>
                <w:p w14:paraId="33AA40A1">
                  <w:pPr>
                    <w:keepNext w:val="0"/>
                    <w:keepLines w:val="0"/>
                    <w:widowControl/>
                    <w:suppressLineNumbers w:val="0"/>
                    <w:pBdr>
                      <w:top w:val="none" w:color="auto" w:sz="0" w:space="0"/>
                      <w:left w:val="none" w:color="auto" w:sz="0" w:space="0"/>
                      <w:bottom w:val="none" w:color="auto" w:sz="0" w:space="0"/>
                      <w:right w:val="none" w:color="auto" w:sz="0" w:space="0"/>
                    </w:pBdr>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HNO₃</w:t>
                  </w:r>
                </w:p>
              </w:tc>
              <w:tc>
                <w:tcPr>
                  <w:tcW w:w="3851" w:type="dxa"/>
                  <w:noWrap w:val="0"/>
                  <w:tcMar>
                    <w:top w:w="135" w:type="dxa"/>
                    <w:left w:w="120" w:type="dxa"/>
                    <w:bottom w:w="135" w:type="dxa"/>
                    <w:right w:w="120" w:type="dxa"/>
                  </w:tcMar>
                  <w:vAlign w:val="center"/>
                </w:tcPr>
                <w:p w14:paraId="5AA4DB24">
                  <w:pPr>
                    <w:keepNext w:val="0"/>
                    <w:keepLines w:val="0"/>
                    <w:widowControl/>
                    <w:suppressLineNumbers w:val="0"/>
                    <w:pBdr>
                      <w:top w:val="none" w:color="auto" w:sz="0" w:space="0"/>
                      <w:left w:val="none" w:color="auto" w:sz="0" w:space="0"/>
                      <w:bottom w:val="none" w:color="auto" w:sz="0" w:space="0"/>
                      <w:right w:val="none" w:color="auto" w:sz="0" w:space="0"/>
                    </w:pBdr>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无色至淡黄色液体，有强刺激性气味。熔点 - 42℃，沸点 83℃，相对密度 (水 = 1) 1.42。强氧化性、腐蚀性，遇有机物易燃烧爆炸；与还原剂反应剧烈，不燃但助燃。</w:t>
                  </w:r>
                </w:p>
              </w:tc>
              <w:tc>
                <w:tcPr>
                  <w:tcW w:w="2169" w:type="dxa"/>
                  <w:noWrap w:val="0"/>
                  <w:tcMar>
                    <w:top w:w="135" w:type="dxa"/>
                    <w:left w:w="120" w:type="dxa"/>
                    <w:bottom w:w="135" w:type="dxa"/>
                    <w:right w:w="120" w:type="dxa"/>
                  </w:tcMar>
                  <w:vAlign w:val="center"/>
                </w:tcPr>
                <w:p w14:paraId="3A957D49">
                  <w:pPr>
                    <w:keepNext w:val="0"/>
                    <w:keepLines w:val="0"/>
                    <w:widowControl/>
                    <w:suppressLineNumbers w:val="0"/>
                    <w:pBdr>
                      <w:top w:val="none" w:color="auto" w:sz="0" w:space="0"/>
                      <w:left w:val="none" w:color="auto" w:sz="0" w:space="0"/>
                      <w:bottom w:val="none" w:color="auto" w:sz="0" w:space="0"/>
                      <w:right w:val="none" w:color="auto" w:sz="0" w:space="0"/>
                    </w:pBdr>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LD50 49mg/kg（兔经口）；LC50 130ppm，4 小时（大鼠吸入）</w:t>
                  </w:r>
                </w:p>
              </w:tc>
            </w:tr>
            <w:tr w14:paraId="1DCB7E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0" w:hRule="atLeast"/>
              </w:trPr>
              <w:tc>
                <w:tcPr>
                  <w:tcW w:w="624" w:type="dxa"/>
                  <w:noWrap w:val="0"/>
                  <w:tcMar>
                    <w:top w:w="135" w:type="dxa"/>
                    <w:left w:w="120" w:type="dxa"/>
                    <w:bottom w:w="135" w:type="dxa"/>
                    <w:right w:w="120" w:type="dxa"/>
                  </w:tcMar>
                  <w:vAlign w:val="center"/>
                </w:tcPr>
                <w:p w14:paraId="5B852E6F">
                  <w:pPr>
                    <w:keepNext w:val="0"/>
                    <w:keepLines w:val="0"/>
                    <w:widowControl/>
                    <w:suppressLineNumbers w:val="0"/>
                    <w:pBdr>
                      <w:top w:val="none" w:color="auto" w:sz="0" w:space="0"/>
                      <w:left w:val="none" w:color="auto" w:sz="0" w:space="0"/>
                      <w:bottom w:val="none" w:color="auto" w:sz="0" w:space="0"/>
                      <w:right w:val="none" w:color="auto" w:sz="0" w:space="0"/>
                    </w:pBdr>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3</w:t>
                  </w:r>
                </w:p>
              </w:tc>
              <w:tc>
                <w:tcPr>
                  <w:tcW w:w="835" w:type="dxa"/>
                  <w:noWrap w:val="0"/>
                  <w:tcMar>
                    <w:top w:w="135" w:type="dxa"/>
                    <w:left w:w="120" w:type="dxa"/>
                    <w:bottom w:w="135" w:type="dxa"/>
                    <w:right w:w="120" w:type="dxa"/>
                  </w:tcMar>
                  <w:vAlign w:val="center"/>
                </w:tcPr>
                <w:p w14:paraId="2782703C">
                  <w:pPr>
                    <w:keepNext w:val="0"/>
                    <w:keepLines w:val="0"/>
                    <w:widowControl/>
                    <w:suppressLineNumbers w:val="0"/>
                    <w:pBdr>
                      <w:top w:val="none" w:color="auto" w:sz="0" w:space="0"/>
                      <w:left w:val="none" w:color="auto" w:sz="0" w:space="0"/>
                      <w:bottom w:val="none" w:color="auto" w:sz="0" w:space="0"/>
                      <w:right w:val="none" w:color="auto" w:sz="0" w:space="0"/>
                    </w:pBdr>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硫酸</w:t>
                  </w:r>
                </w:p>
              </w:tc>
              <w:tc>
                <w:tcPr>
                  <w:tcW w:w="1145" w:type="dxa"/>
                  <w:noWrap w:val="0"/>
                  <w:tcMar>
                    <w:top w:w="135" w:type="dxa"/>
                    <w:left w:w="120" w:type="dxa"/>
                    <w:bottom w:w="135" w:type="dxa"/>
                    <w:right w:w="120" w:type="dxa"/>
                  </w:tcMar>
                  <w:vAlign w:val="center"/>
                </w:tcPr>
                <w:p w14:paraId="00CD9D87">
                  <w:pPr>
                    <w:keepNext w:val="0"/>
                    <w:keepLines w:val="0"/>
                    <w:widowControl/>
                    <w:suppressLineNumbers w:val="0"/>
                    <w:pBdr>
                      <w:top w:val="none" w:color="auto" w:sz="0" w:space="0"/>
                      <w:left w:val="none" w:color="auto" w:sz="0" w:space="0"/>
                      <w:bottom w:val="none" w:color="auto" w:sz="0" w:space="0"/>
                      <w:right w:val="none" w:color="auto" w:sz="0" w:space="0"/>
                    </w:pBdr>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H₂SO₄</w:t>
                  </w:r>
                </w:p>
              </w:tc>
              <w:tc>
                <w:tcPr>
                  <w:tcW w:w="3851" w:type="dxa"/>
                  <w:noWrap w:val="0"/>
                  <w:tcMar>
                    <w:top w:w="135" w:type="dxa"/>
                    <w:left w:w="120" w:type="dxa"/>
                    <w:bottom w:w="135" w:type="dxa"/>
                    <w:right w:w="120" w:type="dxa"/>
                  </w:tcMar>
                  <w:vAlign w:val="center"/>
                </w:tcPr>
                <w:p w14:paraId="75932A1C">
                  <w:pPr>
                    <w:keepNext w:val="0"/>
                    <w:keepLines w:val="0"/>
                    <w:widowControl/>
                    <w:suppressLineNumbers w:val="0"/>
                    <w:pBdr>
                      <w:top w:val="none" w:color="auto" w:sz="0" w:space="0"/>
                      <w:left w:val="none" w:color="auto" w:sz="0" w:space="0"/>
                      <w:bottom w:val="none" w:color="auto" w:sz="0" w:space="0"/>
                      <w:right w:val="none" w:color="auto" w:sz="0" w:space="0"/>
                    </w:pBdr>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无色油状液体，无臭，具强吸水性。熔点 10.5℃，沸点 330℃，相对密度 (水 = 1) 1.84。强腐蚀性、脱水性，遇水剧烈放热；与金属反应生成氢气，不燃。</w:t>
                  </w:r>
                </w:p>
              </w:tc>
              <w:tc>
                <w:tcPr>
                  <w:tcW w:w="2169" w:type="dxa"/>
                  <w:noWrap w:val="0"/>
                  <w:tcMar>
                    <w:top w:w="135" w:type="dxa"/>
                    <w:left w:w="120" w:type="dxa"/>
                    <w:bottom w:w="135" w:type="dxa"/>
                    <w:right w:w="120" w:type="dxa"/>
                  </w:tcMar>
                  <w:vAlign w:val="center"/>
                </w:tcPr>
                <w:p w14:paraId="5880ECA2">
                  <w:pPr>
                    <w:keepNext w:val="0"/>
                    <w:keepLines w:val="0"/>
                    <w:widowControl/>
                    <w:suppressLineNumbers w:val="0"/>
                    <w:pBdr>
                      <w:top w:val="none" w:color="auto" w:sz="0" w:space="0"/>
                      <w:left w:val="none" w:color="auto" w:sz="0" w:space="0"/>
                      <w:bottom w:val="none" w:color="auto" w:sz="0" w:space="0"/>
                      <w:right w:val="none" w:color="auto" w:sz="0" w:space="0"/>
                    </w:pBdr>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LD50 2140mg/kg（大鼠经口）；LC50 510mg/m³，2 小时（大鼠吸入）</w:t>
                  </w:r>
                </w:p>
              </w:tc>
            </w:tr>
            <w:tr w14:paraId="61E124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0" w:hRule="atLeast"/>
              </w:trPr>
              <w:tc>
                <w:tcPr>
                  <w:tcW w:w="624" w:type="dxa"/>
                  <w:noWrap w:val="0"/>
                  <w:tcMar>
                    <w:top w:w="135" w:type="dxa"/>
                    <w:left w:w="120" w:type="dxa"/>
                    <w:bottom w:w="135" w:type="dxa"/>
                    <w:right w:w="120" w:type="dxa"/>
                  </w:tcMar>
                  <w:vAlign w:val="center"/>
                </w:tcPr>
                <w:p w14:paraId="25804077">
                  <w:pPr>
                    <w:keepNext w:val="0"/>
                    <w:keepLines w:val="0"/>
                    <w:widowControl/>
                    <w:suppressLineNumbers w:val="0"/>
                    <w:pBdr>
                      <w:top w:val="none" w:color="auto" w:sz="0" w:space="0"/>
                      <w:left w:val="none" w:color="auto" w:sz="0" w:space="0"/>
                      <w:bottom w:val="none" w:color="auto" w:sz="0" w:space="0"/>
                      <w:right w:val="none" w:color="auto" w:sz="0" w:space="0"/>
                    </w:pBdr>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4</w:t>
                  </w:r>
                </w:p>
              </w:tc>
              <w:tc>
                <w:tcPr>
                  <w:tcW w:w="835" w:type="dxa"/>
                  <w:noWrap w:val="0"/>
                  <w:tcMar>
                    <w:top w:w="135" w:type="dxa"/>
                    <w:left w:w="120" w:type="dxa"/>
                    <w:bottom w:w="135" w:type="dxa"/>
                    <w:right w:w="120" w:type="dxa"/>
                  </w:tcMar>
                  <w:vAlign w:val="center"/>
                </w:tcPr>
                <w:p w14:paraId="787D5767">
                  <w:pPr>
                    <w:keepNext w:val="0"/>
                    <w:keepLines w:val="0"/>
                    <w:widowControl/>
                    <w:suppressLineNumbers w:val="0"/>
                    <w:pBdr>
                      <w:top w:val="none" w:color="auto" w:sz="0" w:space="0"/>
                      <w:left w:val="none" w:color="auto" w:sz="0" w:space="0"/>
                      <w:bottom w:val="none" w:color="auto" w:sz="0" w:space="0"/>
                      <w:right w:val="none" w:color="auto" w:sz="0" w:space="0"/>
                    </w:pBdr>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高氯酸</w:t>
                  </w:r>
                </w:p>
              </w:tc>
              <w:tc>
                <w:tcPr>
                  <w:tcW w:w="1145" w:type="dxa"/>
                  <w:noWrap w:val="0"/>
                  <w:tcMar>
                    <w:top w:w="135" w:type="dxa"/>
                    <w:left w:w="120" w:type="dxa"/>
                    <w:bottom w:w="135" w:type="dxa"/>
                    <w:right w:w="120" w:type="dxa"/>
                  </w:tcMar>
                  <w:vAlign w:val="center"/>
                </w:tcPr>
                <w:p w14:paraId="203480F7">
                  <w:pPr>
                    <w:keepNext w:val="0"/>
                    <w:keepLines w:val="0"/>
                    <w:widowControl/>
                    <w:suppressLineNumbers w:val="0"/>
                    <w:pBdr>
                      <w:top w:val="none" w:color="auto" w:sz="0" w:space="0"/>
                      <w:left w:val="none" w:color="auto" w:sz="0" w:space="0"/>
                      <w:bottom w:val="none" w:color="auto" w:sz="0" w:space="0"/>
                      <w:right w:val="none" w:color="auto" w:sz="0" w:space="0"/>
                    </w:pBdr>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HClO₄</w:t>
                  </w:r>
                </w:p>
              </w:tc>
              <w:tc>
                <w:tcPr>
                  <w:tcW w:w="3851" w:type="dxa"/>
                  <w:noWrap w:val="0"/>
                  <w:tcMar>
                    <w:top w:w="135" w:type="dxa"/>
                    <w:left w:w="120" w:type="dxa"/>
                    <w:bottom w:w="135" w:type="dxa"/>
                    <w:right w:w="120" w:type="dxa"/>
                  </w:tcMar>
                  <w:vAlign w:val="center"/>
                </w:tcPr>
                <w:p w14:paraId="4196071E">
                  <w:pPr>
                    <w:keepNext w:val="0"/>
                    <w:keepLines w:val="0"/>
                    <w:widowControl/>
                    <w:suppressLineNumbers w:val="0"/>
                    <w:pBdr>
                      <w:top w:val="none" w:color="auto" w:sz="0" w:space="0"/>
                      <w:left w:val="none" w:color="auto" w:sz="0" w:space="0"/>
                      <w:bottom w:val="none" w:color="auto" w:sz="0" w:space="0"/>
                      <w:right w:val="none" w:color="auto" w:sz="0" w:space="0"/>
                    </w:pBdr>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无色透明液体，有刺激性气味。熔点 - 112℃，沸点 130℃（分解），相对密度 (水 = 1) 1.76。强氧化性、腐蚀性，浓溶液遇有机物易爆炸；受热分解产生有毒气体，不燃。</w:t>
                  </w:r>
                </w:p>
              </w:tc>
              <w:tc>
                <w:tcPr>
                  <w:tcW w:w="2169" w:type="dxa"/>
                  <w:noWrap w:val="0"/>
                  <w:tcMar>
                    <w:top w:w="135" w:type="dxa"/>
                    <w:left w:w="120" w:type="dxa"/>
                    <w:bottom w:w="135" w:type="dxa"/>
                    <w:right w:w="120" w:type="dxa"/>
                  </w:tcMar>
                  <w:vAlign w:val="center"/>
                </w:tcPr>
                <w:p w14:paraId="5E80C794">
                  <w:pPr>
                    <w:keepNext w:val="0"/>
                    <w:keepLines w:val="0"/>
                    <w:widowControl/>
                    <w:suppressLineNumbers w:val="0"/>
                    <w:pBdr>
                      <w:top w:val="none" w:color="auto" w:sz="0" w:space="0"/>
                      <w:left w:val="none" w:color="auto" w:sz="0" w:space="0"/>
                      <w:bottom w:val="none" w:color="auto" w:sz="0" w:space="0"/>
                      <w:right w:val="none" w:color="auto" w:sz="0" w:space="0"/>
                    </w:pBdr>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LD50 1100mg/kg（大鼠经口）；LC50 400ppm，2 小时（小鼠吸入）</w:t>
                  </w:r>
                </w:p>
              </w:tc>
            </w:tr>
            <w:tr w14:paraId="1F3BB4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0" w:hRule="atLeast"/>
              </w:trPr>
              <w:tc>
                <w:tcPr>
                  <w:tcW w:w="624" w:type="dxa"/>
                  <w:noWrap w:val="0"/>
                  <w:tcMar>
                    <w:top w:w="135" w:type="dxa"/>
                    <w:left w:w="120" w:type="dxa"/>
                    <w:bottom w:w="135" w:type="dxa"/>
                    <w:right w:w="120" w:type="dxa"/>
                  </w:tcMar>
                  <w:vAlign w:val="center"/>
                </w:tcPr>
                <w:p w14:paraId="3D97D6E3">
                  <w:pPr>
                    <w:keepNext w:val="0"/>
                    <w:keepLines w:val="0"/>
                    <w:widowControl/>
                    <w:suppressLineNumbers w:val="0"/>
                    <w:pBdr>
                      <w:top w:val="none" w:color="auto" w:sz="0" w:space="0"/>
                      <w:left w:val="none" w:color="auto" w:sz="0" w:space="0"/>
                      <w:bottom w:val="none" w:color="auto" w:sz="0" w:space="0"/>
                      <w:right w:val="none" w:color="auto" w:sz="0" w:space="0"/>
                    </w:pBdr>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5</w:t>
                  </w:r>
                </w:p>
              </w:tc>
              <w:tc>
                <w:tcPr>
                  <w:tcW w:w="835" w:type="dxa"/>
                  <w:noWrap w:val="0"/>
                  <w:tcMar>
                    <w:top w:w="135" w:type="dxa"/>
                    <w:left w:w="120" w:type="dxa"/>
                    <w:bottom w:w="135" w:type="dxa"/>
                    <w:right w:w="120" w:type="dxa"/>
                  </w:tcMar>
                  <w:vAlign w:val="center"/>
                </w:tcPr>
                <w:p w14:paraId="1DE4CCB1">
                  <w:pPr>
                    <w:keepNext w:val="0"/>
                    <w:keepLines w:val="0"/>
                    <w:widowControl/>
                    <w:suppressLineNumbers w:val="0"/>
                    <w:pBdr>
                      <w:top w:val="none" w:color="auto" w:sz="0" w:space="0"/>
                      <w:left w:val="none" w:color="auto" w:sz="0" w:space="0"/>
                      <w:bottom w:val="none" w:color="auto" w:sz="0" w:space="0"/>
                      <w:right w:val="none" w:color="auto" w:sz="0" w:space="0"/>
                    </w:pBdr>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氢氟酸</w:t>
                  </w:r>
                </w:p>
              </w:tc>
              <w:tc>
                <w:tcPr>
                  <w:tcW w:w="1145" w:type="dxa"/>
                  <w:noWrap w:val="0"/>
                  <w:tcMar>
                    <w:top w:w="135" w:type="dxa"/>
                    <w:left w:w="120" w:type="dxa"/>
                    <w:bottom w:w="135" w:type="dxa"/>
                    <w:right w:w="120" w:type="dxa"/>
                  </w:tcMar>
                  <w:vAlign w:val="center"/>
                </w:tcPr>
                <w:p w14:paraId="3B773FDD">
                  <w:pPr>
                    <w:keepNext w:val="0"/>
                    <w:keepLines w:val="0"/>
                    <w:widowControl/>
                    <w:suppressLineNumbers w:val="0"/>
                    <w:pBdr>
                      <w:top w:val="none" w:color="auto" w:sz="0" w:space="0"/>
                      <w:left w:val="none" w:color="auto" w:sz="0" w:space="0"/>
                      <w:bottom w:val="none" w:color="auto" w:sz="0" w:space="0"/>
                      <w:right w:val="none" w:color="auto" w:sz="0" w:space="0"/>
                    </w:pBdr>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HF</w:t>
                  </w:r>
                </w:p>
              </w:tc>
              <w:tc>
                <w:tcPr>
                  <w:tcW w:w="3851" w:type="dxa"/>
                  <w:noWrap w:val="0"/>
                  <w:tcMar>
                    <w:top w:w="135" w:type="dxa"/>
                    <w:left w:w="120" w:type="dxa"/>
                    <w:bottom w:w="135" w:type="dxa"/>
                    <w:right w:w="120" w:type="dxa"/>
                  </w:tcMar>
                  <w:vAlign w:val="center"/>
                </w:tcPr>
                <w:p w14:paraId="510EC3DC">
                  <w:pPr>
                    <w:keepNext w:val="0"/>
                    <w:keepLines w:val="0"/>
                    <w:widowControl/>
                    <w:suppressLineNumbers w:val="0"/>
                    <w:pBdr>
                      <w:top w:val="none" w:color="auto" w:sz="0" w:space="0"/>
                      <w:left w:val="none" w:color="auto" w:sz="0" w:space="0"/>
                      <w:bottom w:val="none" w:color="auto" w:sz="0" w:space="0"/>
                      <w:right w:val="none" w:color="auto" w:sz="0" w:space="0"/>
                    </w:pBdr>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无色透明液体，有刺激性气味。熔点 - 83.1℃，沸点 19.5℃，相对密度 (水 = 1) 1.15。强腐蚀性（可腐蚀玻璃），遇金属反应生成氢气；不燃，受热释放氟化氢气体。</w:t>
                  </w:r>
                </w:p>
              </w:tc>
              <w:tc>
                <w:tcPr>
                  <w:tcW w:w="2169" w:type="dxa"/>
                  <w:noWrap w:val="0"/>
                  <w:tcMar>
                    <w:top w:w="135" w:type="dxa"/>
                    <w:left w:w="120" w:type="dxa"/>
                    <w:bottom w:w="135" w:type="dxa"/>
                    <w:right w:w="120" w:type="dxa"/>
                  </w:tcMar>
                  <w:vAlign w:val="center"/>
                </w:tcPr>
                <w:p w14:paraId="02060A11">
                  <w:pPr>
                    <w:keepNext w:val="0"/>
                    <w:keepLines w:val="0"/>
                    <w:widowControl/>
                    <w:suppressLineNumbers w:val="0"/>
                    <w:pBdr>
                      <w:top w:val="none" w:color="auto" w:sz="0" w:space="0"/>
                      <w:left w:val="none" w:color="auto" w:sz="0" w:space="0"/>
                      <w:bottom w:val="none" w:color="auto" w:sz="0" w:space="0"/>
                      <w:right w:val="none" w:color="auto" w:sz="0" w:space="0"/>
                    </w:pBdr>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LD50 25mg/kg（大鼠经口）；LC50 1000ppm，30 分钟（大鼠吸入）</w:t>
                  </w:r>
                </w:p>
              </w:tc>
            </w:tr>
            <w:tr w14:paraId="455312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0" w:hRule="atLeast"/>
              </w:trPr>
              <w:tc>
                <w:tcPr>
                  <w:tcW w:w="624" w:type="dxa"/>
                  <w:noWrap w:val="0"/>
                  <w:tcMar>
                    <w:top w:w="135" w:type="dxa"/>
                    <w:left w:w="120" w:type="dxa"/>
                    <w:bottom w:w="135" w:type="dxa"/>
                    <w:right w:w="120" w:type="dxa"/>
                  </w:tcMar>
                  <w:vAlign w:val="center"/>
                </w:tcPr>
                <w:p w14:paraId="235AC91F">
                  <w:pPr>
                    <w:keepNext w:val="0"/>
                    <w:keepLines w:val="0"/>
                    <w:widowControl/>
                    <w:suppressLineNumbers w:val="0"/>
                    <w:pBdr>
                      <w:top w:val="none" w:color="auto" w:sz="0" w:space="0"/>
                      <w:left w:val="none" w:color="auto" w:sz="0" w:space="0"/>
                      <w:bottom w:val="none" w:color="auto" w:sz="0" w:space="0"/>
                      <w:right w:val="none" w:color="auto" w:sz="0" w:space="0"/>
                    </w:pBdr>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6</w:t>
                  </w:r>
                </w:p>
              </w:tc>
              <w:tc>
                <w:tcPr>
                  <w:tcW w:w="835" w:type="dxa"/>
                  <w:noWrap w:val="0"/>
                  <w:tcMar>
                    <w:top w:w="135" w:type="dxa"/>
                    <w:left w:w="120" w:type="dxa"/>
                    <w:bottom w:w="135" w:type="dxa"/>
                    <w:right w:w="120" w:type="dxa"/>
                  </w:tcMar>
                  <w:vAlign w:val="center"/>
                </w:tcPr>
                <w:p w14:paraId="2F5B27AF">
                  <w:pPr>
                    <w:keepNext w:val="0"/>
                    <w:keepLines w:val="0"/>
                    <w:widowControl/>
                    <w:suppressLineNumbers w:val="0"/>
                    <w:pBdr>
                      <w:top w:val="none" w:color="auto" w:sz="0" w:space="0"/>
                      <w:left w:val="none" w:color="auto" w:sz="0" w:space="0"/>
                      <w:bottom w:val="none" w:color="auto" w:sz="0" w:space="0"/>
                      <w:right w:val="none" w:color="auto" w:sz="0" w:space="0"/>
                    </w:pBdr>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过氧化钠</w:t>
                  </w:r>
                </w:p>
              </w:tc>
              <w:tc>
                <w:tcPr>
                  <w:tcW w:w="1145" w:type="dxa"/>
                  <w:noWrap w:val="0"/>
                  <w:tcMar>
                    <w:top w:w="135" w:type="dxa"/>
                    <w:left w:w="120" w:type="dxa"/>
                    <w:bottom w:w="135" w:type="dxa"/>
                    <w:right w:w="120" w:type="dxa"/>
                  </w:tcMar>
                  <w:vAlign w:val="center"/>
                </w:tcPr>
                <w:p w14:paraId="266C554F">
                  <w:pPr>
                    <w:keepNext w:val="0"/>
                    <w:keepLines w:val="0"/>
                    <w:widowControl/>
                    <w:suppressLineNumbers w:val="0"/>
                    <w:pBdr>
                      <w:top w:val="none" w:color="auto" w:sz="0" w:space="0"/>
                      <w:left w:val="none" w:color="auto" w:sz="0" w:space="0"/>
                      <w:bottom w:val="none" w:color="auto" w:sz="0" w:space="0"/>
                      <w:right w:val="none" w:color="auto" w:sz="0" w:space="0"/>
                    </w:pBdr>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Na₂O₂</w:t>
                  </w:r>
                </w:p>
              </w:tc>
              <w:tc>
                <w:tcPr>
                  <w:tcW w:w="3851" w:type="dxa"/>
                  <w:noWrap w:val="0"/>
                  <w:tcMar>
                    <w:top w:w="135" w:type="dxa"/>
                    <w:left w:w="120" w:type="dxa"/>
                    <w:bottom w:w="135" w:type="dxa"/>
                    <w:right w:w="120" w:type="dxa"/>
                  </w:tcMar>
                  <w:vAlign w:val="center"/>
                </w:tcPr>
                <w:p w14:paraId="25A39111">
                  <w:pPr>
                    <w:keepNext w:val="0"/>
                    <w:keepLines w:val="0"/>
                    <w:widowControl/>
                    <w:suppressLineNumbers w:val="0"/>
                    <w:pBdr>
                      <w:top w:val="none" w:color="auto" w:sz="0" w:space="0"/>
                      <w:left w:val="none" w:color="auto" w:sz="0" w:space="0"/>
                      <w:bottom w:val="none" w:color="auto" w:sz="0" w:space="0"/>
                      <w:right w:val="none" w:color="auto" w:sz="0" w:space="0"/>
                    </w:pBdr>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淡黄色粉末或颗粒，无臭。熔点 460℃（分解），相对密度 (水 = 1) 2.80。强氧化性，遇水生成氢氧化钠和氧气，与有机物、可燃物接触易燃烧爆炸。</w:t>
                  </w:r>
                </w:p>
              </w:tc>
              <w:tc>
                <w:tcPr>
                  <w:tcW w:w="2169" w:type="dxa"/>
                  <w:noWrap w:val="0"/>
                  <w:tcMar>
                    <w:top w:w="135" w:type="dxa"/>
                    <w:left w:w="120" w:type="dxa"/>
                    <w:bottom w:w="135" w:type="dxa"/>
                    <w:right w:w="120" w:type="dxa"/>
                  </w:tcMar>
                  <w:vAlign w:val="center"/>
                </w:tcPr>
                <w:p w14:paraId="4405D619">
                  <w:pPr>
                    <w:keepNext w:val="0"/>
                    <w:keepLines w:val="0"/>
                    <w:widowControl/>
                    <w:suppressLineNumbers w:val="0"/>
                    <w:pBdr>
                      <w:top w:val="none" w:color="auto" w:sz="0" w:space="0"/>
                      <w:left w:val="none" w:color="auto" w:sz="0" w:space="0"/>
                      <w:bottom w:val="none" w:color="auto" w:sz="0" w:space="0"/>
                      <w:right w:val="none" w:color="auto" w:sz="0" w:space="0"/>
                    </w:pBdr>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LD50 158mg/kg（大鼠经口）；对皮肤、黏膜有强刺激性，可致灼伤</w:t>
                  </w:r>
                </w:p>
              </w:tc>
            </w:tr>
            <w:tr w14:paraId="6F81C8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0" w:hRule="atLeast"/>
              </w:trPr>
              <w:tc>
                <w:tcPr>
                  <w:tcW w:w="624" w:type="dxa"/>
                  <w:noWrap w:val="0"/>
                  <w:tcMar>
                    <w:top w:w="135" w:type="dxa"/>
                    <w:left w:w="120" w:type="dxa"/>
                    <w:bottom w:w="135" w:type="dxa"/>
                    <w:right w:w="120" w:type="dxa"/>
                  </w:tcMar>
                  <w:vAlign w:val="center"/>
                </w:tcPr>
                <w:p w14:paraId="6CE777DF">
                  <w:pPr>
                    <w:keepNext w:val="0"/>
                    <w:keepLines w:val="0"/>
                    <w:widowControl/>
                    <w:suppressLineNumbers w:val="0"/>
                    <w:pBdr>
                      <w:top w:val="none" w:color="auto" w:sz="0" w:space="0"/>
                      <w:left w:val="none" w:color="auto" w:sz="0" w:space="0"/>
                      <w:bottom w:val="none" w:color="auto" w:sz="0" w:space="0"/>
                      <w:right w:val="none" w:color="auto" w:sz="0" w:space="0"/>
                    </w:pBdr>
                    <w:jc w:val="center"/>
                    <w:textAlignment w:val="top"/>
                    <w:rPr>
                      <w:rFonts w:hint="default" w:ascii="Times New Roman" w:hAnsi="Times New Roman" w:eastAsia="宋体" w:cs="Times New Roman"/>
                      <w:color w:val="auto"/>
                      <w:sz w:val="20"/>
                      <w:szCs w:val="20"/>
                    </w:rPr>
                  </w:pPr>
                  <w:r>
                    <w:rPr>
                      <w:rFonts w:hint="eastAsia" w:cs="Times New Roman"/>
                      <w:snapToGrid w:val="0"/>
                      <w:color w:val="auto"/>
                      <w:kern w:val="0"/>
                      <w:sz w:val="20"/>
                      <w:szCs w:val="20"/>
                      <w:lang w:val="en-US" w:eastAsia="zh-CN" w:bidi="ar"/>
                    </w:rPr>
                    <w:t>7</w:t>
                  </w:r>
                </w:p>
              </w:tc>
              <w:tc>
                <w:tcPr>
                  <w:tcW w:w="835" w:type="dxa"/>
                  <w:noWrap w:val="0"/>
                  <w:tcMar>
                    <w:top w:w="135" w:type="dxa"/>
                    <w:left w:w="120" w:type="dxa"/>
                    <w:bottom w:w="135" w:type="dxa"/>
                    <w:right w:w="120" w:type="dxa"/>
                  </w:tcMar>
                  <w:vAlign w:val="center"/>
                </w:tcPr>
                <w:p w14:paraId="69BC429D">
                  <w:pPr>
                    <w:keepNext w:val="0"/>
                    <w:keepLines w:val="0"/>
                    <w:widowControl/>
                    <w:suppressLineNumbers w:val="0"/>
                    <w:pBdr>
                      <w:top w:val="none" w:color="auto" w:sz="0" w:space="0"/>
                      <w:left w:val="none" w:color="auto" w:sz="0" w:space="0"/>
                      <w:bottom w:val="none" w:color="auto" w:sz="0" w:space="0"/>
                      <w:right w:val="none" w:color="auto" w:sz="0" w:space="0"/>
                    </w:pBdr>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冰乙酸</w:t>
                  </w:r>
                </w:p>
              </w:tc>
              <w:tc>
                <w:tcPr>
                  <w:tcW w:w="1145" w:type="dxa"/>
                  <w:noWrap w:val="0"/>
                  <w:tcMar>
                    <w:top w:w="135" w:type="dxa"/>
                    <w:left w:w="120" w:type="dxa"/>
                    <w:bottom w:w="135" w:type="dxa"/>
                    <w:right w:w="120" w:type="dxa"/>
                  </w:tcMar>
                  <w:vAlign w:val="center"/>
                </w:tcPr>
                <w:p w14:paraId="3C1A53FA">
                  <w:pPr>
                    <w:keepNext w:val="0"/>
                    <w:keepLines w:val="0"/>
                    <w:widowControl/>
                    <w:suppressLineNumbers w:val="0"/>
                    <w:pBdr>
                      <w:top w:val="none" w:color="auto" w:sz="0" w:space="0"/>
                      <w:left w:val="none" w:color="auto" w:sz="0" w:space="0"/>
                      <w:bottom w:val="none" w:color="auto" w:sz="0" w:space="0"/>
                      <w:right w:val="none" w:color="auto" w:sz="0" w:space="0"/>
                    </w:pBdr>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CH₃COOH</w:t>
                  </w:r>
                </w:p>
              </w:tc>
              <w:tc>
                <w:tcPr>
                  <w:tcW w:w="3851" w:type="dxa"/>
                  <w:noWrap w:val="0"/>
                  <w:tcMar>
                    <w:top w:w="135" w:type="dxa"/>
                    <w:left w:w="120" w:type="dxa"/>
                    <w:bottom w:w="135" w:type="dxa"/>
                    <w:right w:w="120" w:type="dxa"/>
                  </w:tcMar>
                  <w:vAlign w:val="center"/>
                </w:tcPr>
                <w:p w14:paraId="3E5DD514">
                  <w:pPr>
                    <w:keepNext w:val="0"/>
                    <w:keepLines w:val="0"/>
                    <w:widowControl/>
                    <w:suppressLineNumbers w:val="0"/>
                    <w:pBdr>
                      <w:top w:val="none" w:color="auto" w:sz="0" w:space="0"/>
                      <w:left w:val="none" w:color="auto" w:sz="0" w:space="0"/>
                      <w:bottom w:val="none" w:color="auto" w:sz="0" w:space="0"/>
                      <w:right w:val="none" w:color="auto" w:sz="0" w:space="0"/>
                    </w:pBdr>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无色透明液体，有强烈刺激性酸味。熔点 16.6℃，沸点 117.9℃，相对密度 (水 = 1) 1.05。易燃，闪点 39℃，爆炸极限 4.0%-17.0%；与氧化剂反应剧烈。</w:t>
                  </w:r>
                </w:p>
              </w:tc>
              <w:tc>
                <w:tcPr>
                  <w:tcW w:w="2169" w:type="dxa"/>
                  <w:noWrap w:val="0"/>
                  <w:tcMar>
                    <w:top w:w="135" w:type="dxa"/>
                    <w:left w:w="120" w:type="dxa"/>
                    <w:bottom w:w="135" w:type="dxa"/>
                    <w:right w:w="120" w:type="dxa"/>
                  </w:tcMar>
                  <w:vAlign w:val="center"/>
                </w:tcPr>
                <w:p w14:paraId="10032FC1">
                  <w:pPr>
                    <w:keepNext w:val="0"/>
                    <w:keepLines w:val="0"/>
                    <w:widowControl/>
                    <w:suppressLineNumbers w:val="0"/>
                    <w:pBdr>
                      <w:top w:val="none" w:color="auto" w:sz="0" w:space="0"/>
                      <w:left w:val="none" w:color="auto" w:sz="0" w:space="0"/>
                      <w:bottom w:val="none" w:color="auto" w:sz="0" w:space="0"/>
                      <w:right w:val="none" w:color="auto" w:sz="0" w:space="0"/>
                    </w:pBdr>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LD50 3530mg/kg（大鼠经口）；LC50 13791mg/m³，1 小时（小鼠吸入）</w:t>
                  </w:r>
                </w:p>
              </w:tc>
            </w:tr>
            <w:tr w14:paraId="7D81CD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0" w:hRule="atLeast"/>
              </w:trPr>
              <w:tc>
                <w:tcPr>
                  <w:tcW w:w="624" w:type="dxa"/>
                  <w:noWrap w:val="0"/>
                  <w:tcMar>
                    <w:top w:w="135" w:type="dxa"/>
                    <w:left w:w="120" w:type="dxa"/>
                    <w:bottom w:w="135" w:type="dxa"/>
                    <w:right w:w="120" w:type="dxa"/>
                  </w:tcMar>
                  <w:vAlign w:val="center"/>
                </w:tcPr>
                <w:p w14:paraId="5481FC16">
                  <w:pPr>
                    <w:keepNext w:val="0"/>
                    <w:keepLines w:val="0"/>
                    <w:widowControl/>
                    <w:suppressLineNumbers w:val="0"/>
                    <w:pBdr>
                      <w:top w:val="none" w:color="auto" w:sz="0" w:space="0"/>
                      <w:left w:val="none" w:color="auto" w:sz="0" w:space="0"/>
                      <w:bottom w:val="none" w:color="auto" w:sz="0" w:space="0"/>
                      <w:right w:val="none" w:color="auto" w:sz="0" w:space="0"/>
                    </w:pBdr>
                    <w:jc w:val="center"/>
                    <w:textAlignment w:val="top"/>
                    <w:rPr>
                      <w:rFonts w:hint="eastAsia" w:ascii="Times New Roman" w:hAnsi="Times New Roman" w:eastAsia="宋体" w:cs="Times New Roman"/>
                      <w:color w:val="auto"/>
                      <w:sz w:val="20"/>
                      <w:szCs w:val="20"/>
                      <w:lang w:val="en-US" w:eastAsia="zh-CN"/>
                    </w:rPr>
                  </w:pPr>
                  <w:r>
                    <w:rPr>
                      <w:rFonts w:hint="eastAsia" w:cs="Times New Roman"/>
                      <w:color w:val="auto"/>
                      <w:sz w:val="20"/>
                      <w:szCs w:val="20"/>
                      <w:lang w:val="en-US" w:eastAsia="zh-CN"/>
                    </w:rPr>
                    <w:t>8</w:t>
                  </w:r>
                </w:p>
              </w:tc>
              <w:tc>
                <w:tcPr>
                  <w:tcW w:w="835" w:type="dxa"/>
                  <w:noWrap w:val="0"/>
                  <w:tcMar>
                    <w:top w:w="135" w:type="dxa"/>
                    <w:left w:w="120" w:type="dxa"/>
                    <w:bottom w:w="135" w:type="dxa"/>
                    <w:right w:w="120" w:type="dxa"/>
                  </w:tcMar>
                  <w:vAlign w:val="center"/>
                </w:tcPr>
                <w:p w14:paraId="1323AD51">
                  <w:pPr>
                    <w:keepNext w:val="0"/>
                    <w:keepLines w:val="0"/>
                    <w:widowControl/>
                    <w:suppressLineNumbers w:val="0"/>
                    <w:pBdr>
                      <w:top w:val="none" w:color="auto" w:sz="0" w:space="0"/>
                      <w:left w:val="none" w:color="auto" w:sz="0" w:space="0"/>
                      <w:bottom w:val="none" w:color="auto" w:sz="0" w:space="0"/>
                      <w:right w:val="none" w:color="auto" w:sz="0" w:space="0"/>
                    </w:pBdr>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氨水</w:t>
                  </w:r>
                </w:p>
              </w:tc>
              <w:tc>
                <w:tcPr>
                  <w:tcW w:w="1145" w:type="dxa"/>
                  <w:noWrap w:val="0"/>
                  <w:tcMar>
                    <w:top w:w="135" w:type="dxa"/>
                    <w:left w:w="120" w:type="dxa"/>
                    <w:bottom w:w="135" w:type="dxa"/>
                    <w:right w:w="120" w:type="dxa"/>
                  </w:tcMar>
                  <w:vAlign w:val="center"/>
                </w:tcPr>
                <w:p w14:paraId="7909A222">
                  <w:pPr>
                    <w:keepNext w:val="0"/>
                    <w:keepLines w:val="0"/>
                    <w:widowControl/>
                    <w:suppressLineNumbers w:val="0"/>
                    <w:pBdr>
                      <w:top w:val="none" w:color="auto" w:sz="0" w:space="0"/>
                      <w:left w:val="none" w:color="auto" w:sz="0" w:space="0"/>
                      <w:bottom w:val="none" w:color="auto" w:sz="0" w:space="0"/>
                      <w:right w:val="none" w:color="auto" w:sz="0" w:space="0"/>
                    </w:pBdr>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NH₃·H₂O</w:t>
                  </w:r>
                </w:p>
              </w:tc>
              <w:tc>
                <w:tcPr>
                  <w:tcW w:w="3851" w:type="dxa"/>
                  <w:noWrap w:val="0"/>
                  <w:tcMar>
                    <w:top w:w="135" w:type="dxa"/>
                    <w:left w:w="120" w:type="dxa"/>
                    <w:bottom w:w="135" w:type="dxa"/>
                    <w:right w:w="120" w:type="dxa"/>
                  </w:tcMar>
                  <w:vAlign w:val="center"/>
                </w:tcPr>
                <w:p w14:paraId="70A32E3D">
                  <w:pPr>
                    <w:keepNext w:val="0"/>
                    <w:keepLines w:val="0"/>
                    <w:widowControl/>
                    <w:suppressLineNumbers w:val="0"/>
                    <w:pBdr>
                      <w:top w:val="none" w:color="auto" w:sz="0" w:space="0"/>
                      <w:left w:val="none" w:color="auto" w:sz="0" w:space="0"/>
                      <w:bottom w:val="none" w:color="auto" w:sz="0" w:space="0"/>
                      <w:right w:val="none" w:color="auto" w:sz="0" w:space="0"/>
                    </w:pBdr>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无色透明液体，有强烈氨臭味。熔点 - 77℃，沸点 36℃，相对密度 (水 = 1) 0.91。易挥发，遇热释放氨气；与酸反应剧烈放热，不燃，无爆炸性。</w:t>
                  </w:r>
                </w:p>
              </w:tc>
              <w:tc>
                <w:tcPr>
                  <w:tcW w:w="2169" w:type="dxa"/>
                  <w:noWrap w:val="0"/>
                  <w:tcMar>
                    <w:top w:w="135" w:type="dxa"/>
                    <w:left w:w="120" w:type="dxa"/>
                    <w:bottom w:w="135" w:type="dxa"/>
                    <w:right w:w="120" w:type="dxa"/>
                  </w:tcMar>
                  <w:vAlign w:val="center"/>
                </w:tcPr>
                <w:p w14:paraId="1CC24DF9">
                  <w:pPr>
                    <w:keepNext w:val="0"/>
                    <w:keepLines w:val="0"/>
                    <w:widowControl/>
                    <w:suppressLineNumbers w:val="0"/>
                    <w:pBdr>
                      <w:top w:val="none" w:color="auto" w:sz="0" w:space="0"/>
                      <w:left w:val="none" w:color="auto" w:sz="0" w:space="0"/>
                      <w:bottom w:val="none" w:color="auto" w:sz="0" w:space="0"/>
                      <w:right w:val="none" w:color="auto" w:sz="0" w:space="0"/>
                    </w:pBdr>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LD50 350mg/kg（大鼠经口）；LC50 1390mg/m³，4 小时（大鼠吸入）</w:t>
                  </w:r>
                </w:p>
              </w:tc>
            </w:tr>
            <w:tr w14:paraId="05ADD8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0" w:hRule="atLeast"/>
              </w:trPr>
              <w:tc>
                <w:tcPr>
                  <w:tcW w:w="624" w:type="dxa"/>
                  <w:noWrap w:val="0"/>
                  <w:tcMar>
                    <w:top w:w="135" w:type="dxa"/>
                    <w:left w:w="120" w:type="dxa"/>
                    <w:bottom w:w="135" w:type="dxa"/>
                    <w:right w:w="120" w:type="dxa"/>
                  </w:tcMar>
                  <w:vAlign w:val="center"/>
                </w:tcPr>
                <w:p w14:paraId="465DD533">
                  <w:pPr>
                    <w:keepNext w:val="0"/>
                    <w:keepLines w:val="0"/>
                    <w:widowControl/>
                    <w:suppressLineNumbers w:val="0"/>
                    <w:pBdr>
                      <w:top w:val="none" w:color="auto" w:sz="0" w:space="0"/>
                      <w:left w:val="none" w:color="auto" w:sz="0" w:space="0"/>
                      <w:bottom w:val="none" w:color="auto" w:sz="0" w:space="0"/>
                      <w:right w:val="none" w:color="auto" w:sz="0" w:space="0"/>
                    </w:pBdr>
                    <w:jc w:val="center"/>
                    <w:textAlignment w:val="top"/>
                    <w:rPr>
                      <w:rFonts w:hint="eastAsia" w:ascii="Times New Roman" w:hAnsi="Times New Roman" w:eastAsia="宋体" w:cs="Times New Roman"/>
                      <w:color w:val="auto"/>
                      <w:sz w:val="20"/>
                      <w:szCs w:val="20"/>
                      <w:lang w:val="en-US" w:eastAsia="zh-CN"/>
                    </w:rPr>
                  </w:pPr>
                  <w:r>
                    <w:rPr>
                      <w:rFonts w:hint="eastAsia" w:cs="Times New Roman"/>
                      <w:color w:val="auto"/>
                      <w:sz w:val="20"/>
                      <w:szCs w:val="20"/>
                      <w:lang w:val="en-US" w:eastAsia="zh-CN"/>
                    </w:rPr>
                    <w:t>9</w:t>
                  </w:r>
                </w:p>
              </w:tc>
              <w:tc>
                <w:tcPr>
                  <w:tcW w:w="835" w:type="dxa"/>
                  <w:noWrap w:val="0"/>
                  <w:tcMar>
                    <w:top w:w="135" w:type="dxa"/>
                    <w:left w:w="120" w:type="dxa"/>
                    <w:bottom w:w="135" w:type="dxa"/>
                    <w:right w:w="120" w:type="dxa"/>
                  </w:tcMar>
                  <w:vAlign w:val="center"/>
                </w:tcPr>
                <w:p w14:paraId="20E8939F">
                  <w:pPr>
                    <w:keepNext w:val="0"/>
                    <w:keepLines w:val="0"/>
                    <w:widowControl/>
                    <w:suppressLineNumbers w:val="0"/>
                    <w:pBdr>
                      <w:top w:val="none" w:color="auto" w:sz="0" w:space="0"/>
                      <w:left w:val="none" w:color="auto" w:sz="0" w:space="0"/>
                      <w:bottom w:val="none" w:color="auto" w:sz="0" w:space="0"/>
                      <w:right w:val="none" w:color="auto" w:sz="0" w:space="0"/>
                    </w:pBdr>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溴水</w:t>
                  </w:r>
                </w:p>
              </w:tc>
              <w:tc>
                <w:tcPr>
                  <w:tcW w:w="1145" w:type="dxa"/>
                  <w:noWrap w:val="0"/>
                  <w:tcMar>
                    <w:top w:w="135" w:type="dxa"/>
                    <w:left w:w="120" w:type="dxa"/>
                    <w:bottom w:w="135" w:type="dxa"/>
                    <w:right w:w="120" w:type="dxa"/>
                  </w:tcMar>
                  <w:vAlign w:val="center"/>
                </w:tcPr>
                <w:p w14:paraId="22A7B824">
                  <w:pPr>
                    <w:keepNext w:val="0"/>
                    <w:keepLines w:val="0"/>
                    <w:widowControl/>
                    <w:suppressLineNumbers w:val="0"/>
                    <w:pBdr>
                      <w:top w:val="none" w:color="auto" w:sz="0" w:space="0"/>
                      <w:left w:val="none" w:color="auto" w:sz="0" w:space="0"/>
                      <w:bottom w:val="none" w:color="auto" w:sz="0" w:space="0"/>
                      <w:right w:val="none" w:color="auto" w:sz="0" w:space="0"/>
                    </w:pBdr>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Br₂+H₂O</w:t>
                  </w:r>
                </w:p>
              </w:tc>
              <w:tc>
                <w:tcPr>
                  <w:tcW w:w="3851" w:type="dxa"/>
                  <w:noWrap w:val="0"/>
                  <w:tcMar>
                    <w:top w:w="135" w:type="dxa"/>
                    <w:left w:w="120" w:type="dxa"/>
                    <w:bottom w:w="135" w:type="dxa"/>
                    <w:right w:w="120" w:type="dxa"/>
                  </w:tcMar>
                  <w:vAlign w:val="center"/>
                </w:tcPr>
                <w:p w14:paraId="477CD635">
                  <w:pPr>
                    <w:keepNext w:val="0"/>
                    <w:keepLines w:val="0"/>
                    <w:widowControl/>
                    <w:suppressLineNumbers w:val="0"/>
                    <w:pBdr>
                      <w:top w:val="none" w:color="auto" w:sz="0" w:space="0"/>
                      <w:left w:val="none" w:color="auto" w:sz="0" w:space="0"/>
                      <w:bottom w:val="none" w:color="auto" w:sz="0" w:space="0"/>
                      <w:right w:val="none" w:color="auto" w:sz="0" w:space="0"/>
                    </w:pBdr>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橙黄色至红棕色液体，有刺激性臭味。熔点 - 7.2℃（纯溴），沸点 58.78℃（纯溴），相对密度 (水 = 1) 3.12。溴易挥发，具强腐蚀性；不燃，与有机物反应可生成有毒物质。</w:t>
                  </w:r>
                </w:p>
              </w:tc>
              <w:tc>
                <w:tcPr>
                  <w:tcW w:w="2169" w:type="dxa"/>
                  <w:noWrap w:val="0"/>
                  <w:tcMar>
                    <w:top w:w="135" w:type="dxa"/>
                    <w:left w:w="120" w:type="dxa"/>
                    <w:bottom w:w="135" w:type="dxa"/>
                    <w:right w:w="120" w:type="dxa"/>
                  </w:tcMar>
                  <w:vAlign w:val="center"/>
                </w:tcPr>
                <w:p w14:paraId="4F086FA3">
                  <w:pPr>
                    <w:keepNext w:val="0"/>
                    <w:keepLines w:val="0"/>
                    <w:widowControl/>
                    <w:suppressLineNumbers w:val="0"/>
                    <w:pBdr>
                      <w:top w:val="none" w:color="auto" w:sz="0" w:space="0"/>
                      <w:left w:val="none" w:color="auto" w:sz="0" w:space="0"/>
                      <w:bottom w:val="none" w:color="auto" w:sz="0" w:space="0"/>
                      <w:right w:val="none" w:color="auto" w:sz="0" w:space="0"/>
                    </w:pBdr>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LD50 78mg/kg（大鼠经口，纯溴）；LC50 1430mg/m³，1 小时（大鼠吸入，纯溴）</w:t>
                  </w:r>
                </w:p>
              </w:tc>
            </w:tr>
            <w:tr w14:paraId="21365C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0" w:hRule="atLeast"/>
              </w:trPr>
              <w:tc>
                <w:tcPr>
                  <w:tcW w:w="624" w:type="dxa"/>
                  <w:noWrap w:val="0"/>
                  <w:tcMar>
                    <w:top w:w="135" w:type="dxa"/>
                    <w:left w:w="120" w:type="dxa"/>
                    <w:bottom w:w="135" w:type="dxa"/>
                    <w:right w:w="120" w:type="dxa"/>
                  </w:tcMar>
                  <w:vAlign w:val="center"/>
                </w:tcPr>
                <w:p w14:paraId="538D251D">
                  <w:pPr>
                    <w:keepNext w:val="0"/>
                    <w:keepLines w:val="0"/>
                    <w:widowControl/>
                    <w:suppressLineNumbers w:val="0"/>
                    <w:pBdr>
                      <w:top w:val="none" w:color="auto" w:sz="0" w:space="0"/>
                      <w:left w:val="none" w:color="auto" w:sz="0" w:space="0"/>
                      <w:bottom w:val="none" w:color="auto" w:sz="0" w:space="0"/>
                      <w:right w:val="none" w:color="auto" w:sz="0" w:space="0"/>
                    </w:pBdr>
                    <w:jc w:val="center"/>
                    <w:textAlignment w:val="top"/>
                    <w:rPr>
                      <w:rFonts w:hint="default" w:ascii="Times New Roman" w:hAnsi="Times New Roman" w:eastAsia="宋体" w:cs="Times New Roman"/>
                      <w:color w:val="auto"/>
                      <w:sz w:val="20"/>
                      <w:szCs w:val="20"/>
                      <w:lang w:val="en-US" w:eastAsia="zh-CN"/>
                    </w:rPr>
                  </w:pPr>
                  <w:r>
                    <w:rPr>
                      <w:rFonts w:hint="eastAsia" w:cs="Times New Roman"/>
                      <w:color w:val="auto"/>
                      <w:sz w:val="20"/>
                      <w:szCs w:val="20"/>
                      <w:lang w:val="en-US" w:eastAsia="zh-CN"/>
                    </w:rPr>
                    <w:t>10</w:t>
                  </w:r>
                </w:p>
              </w:tc>
              <w:tc>
                <w:tcPr>
                  <w:tcW w:w="835" w:type="dxa"/>
                  <w:noWrap w:val="0"/>
                  <w:tcMar>
                    <w:top w:w="135" w:type="dxa"/>
                    <w:left w:w="120" w:type="dxa"/>
                    <w:bottom w:w="135" w:type="dxa"/>
                    <w:right w:w="120" w:type="dxa"/>
                  </w:tcMar>
                  <w:vAlign w:val="center"/>
                </w:tcPr>
                <w:p w14:paraId="1698E040">
                  <w:pPr>
                    <w:keepNext w:val="0"/>
                    <w:keepLines w:val="0"/>
                    <w:widowControl/>
                    <w:suppressLineNumbers w:val="0"/>
                    <w:pBdr>
                      <w:top w:val="none" w:color="auto" w:sz="0" w:space="0"/>
                      <w:left w:val="none" w:color="auto" w:sz="0" w:space="0"/>
                      <w:bottom w:val="none" w:color="auto" w:sz="0" w:space="0"/>
                      <w:right w:val="none" w:color="auto" w:sz="0" w:space="0"/>
                    </w:pBdr>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无水乙醇</w:t>
                  </w:r>
                </w:p>
              </w:tc>
              <w:tc>
                <w:tcPr>
                  <w:tcW w:w="1145" w:type="dxa"/>
                  <w:noWrap w:val="0"/>
                  <w:tcMar>
                    <w:top w:w="135" w:type="dxa"/>
                    <w:left w:w="120" w:type="dxa"/>
                    <w:bottom w:w="135" w:type="dxa"/>
                    <w:right w:w="120" w:type="dxa"/>
                  </w:tcMar>
                  <w:vAlign w:val="center"/>
                </w:tcPr>
                <w:p w14:paraId="4E003DB2">
                  <w:pPr>
                    <w:keepNext w:val="0"/>
                    <w:keepLines w:val="0"/>
                    <w:widowControl/>
                    <w:suppressLineNumbers w:val="0"/>
                    <w:pBdr>
                      <w:top w:val="none" w:color="auto" w:sz="0" w:space="0"/>
                      <w:left w:val="none" w:color="auto" w:sz="0" w:space="0"/>
                      <w:bottom w:val="none" w:color="auto" w:sz="0" w:space="0"/>
                      <w:right w:val="none" w:color="auto" w:sz="0" w:space="0"/>
                    </w:pBdr>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C₂H₅OH</w:t>
                  </w:r>
                </w:p>
              </w:tc>
              <w:tc>
                <w:tcPr>
                  <w:tcW w:w="3851" w:type="dxa"/>
                  <w:noWrap w:val="0"/>
                  <w:tcMar>
                    <w:top w:w="135" w:type="dxa"/>
                    <w:left w:w="120" w:type="dxa"/>
                    <w:bottom w:w="135" w:type="dxa"/>
                    <w:right w:w="120" w:type="dxa"/>
                  </w:tcMar>
                  <w:vAlign w:val="center"/>
                </w:tcPr>
                <w:p w14:paraId="778BB780">
                  <w:pPr>
                    <w:keepNext w:val="0"/>
                    <w:keepLines w:val="0"/>
                    <w:widowControl/>
                    <w:suppressLineNumbers w:val="0"/>
                    <w:pBdr>
                      <w:top w:val="none" w:color="auto" w:sz="0" w:space="0"/>
                      <w:left w:val="none" w:color="auto" w:sz="0" w:space="0"/>
                      <w:bottom w:val="none" w:color="auto" w:sz="0" w:space="0"/>
                      <w:right w:val="none" w:color="auto" w:sz="0" w:space="0"/>
                    </w:pBdr>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无色透明液体，有特殊香味。熔点 - 114.1℃，沸点 78.3℃，相对密度 (水 = 1) 0.79。易燃，闪点 13℃，爆炸极限 3.3%-19.0%；与氧化剂接触易燃烧。</w:t>
                  </w:r>
                </w:p>
              </w:tc>
              <w:tc>
                <w:tcPr>
                  <w:tcW w:w="2169" w:type="dxa"/>
                  <w:noWrap w:val="0"/>
                  <w:tcMar>
                    <w:top w:w="135" w:type="dxa"/>
                    <w:left w:w="120" w:type="dxa"/>
                    <w:bottom w:w="135" w:type="dxa"/>
                    <w:right w:w="120" w:type="dxa"/>
                  </w:tcMar>
                  <w:vAlign w:val="center"/>
                </w:tcPr>
                <w:p w14:paraId="086DA22A">
                  <w:pPr>
                    <w:keepNext w:val="0"/>
                    <w:keepLines w:val="0"/>
                    <w:widowControl/>
                    <w:suppressLineNumbers w:val="0"/>
                    <w:pBdr>
                      <w:top w:val="none" w:color="auto" w:sz="0" w:space="0"/>
                      <w:left w:val="none" w:color="auto" w:sz="0" w:space="0"/>
                      <w:bottom w:val="none" w:color="auto" w:sz="0" w:space="0"/>
                      <w:right w:val="none" w:color="auto" w:sz="0" w:space="0"/>
                    </w:pBdr>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LD50 7060mg/kg（大鼠经口）；LC50 37620mg/m³，10 小时（大鼠吸入）</w:t>
                  </w:r>
                </w:p>
              </w:tc>
            </w:tr>
            <w:tr w14:paraId="082316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0" w:hRule="atLeast"/>
              </w:trPr>
              <w:tc>
                <w:tcPr>
                  <w:tcW w:w="624" w:type="dxa"/>
                  <w:noWrap w:val="0"/>
                  <w:tcMar>
                    <w:top w:w="135" w:type="dxa"/>
                    <w:left w:w="120" w:type="dxa"/>
                    <w:bottom w:w="135" w:type="dxa"/>
                    <w:right w:w="120" w:type="dxa"/>
                  </w:tcMar>
                  <w:vAlign w:val="center"/>
                </w:tcPr>
                <w:p w14:paraId="0DAFA68A">
                  <w:pPr>
                    <w:keepNext w:val="0"/>
                    <w:keepLines w:val="0"/>
                    <w:widowControl/>
                    <w:suppressLineNumbers w:val="0"/>
                    <w:pBdr>
                      <w:top w:val="none" w:color="auto" w:sz="0" w:space="0"/>
                      <w:left w:val="none" w:color="auto" w:sz="0" w:space="0"/>
                      <w:bottom w:val="none" w:color="auto" w:sz="0" w:space="0"/>
                      <w:right w:val="none" w:color="auto" w:sz="0" w:space="0"/>
                    </w:pBdr>
                    <w:jc w:val="center"/>
                    <w:textAlignment w:val="top"/>
                    <w:rPr>
                      <w:rFonts w:hint="default" w:ascii="Times New Roman" w:hAnsi="Times New Roman" w:eastAsia="宋体" w:cs="Times New Roman"/>
                      <w:color w:val="auto"/>
                      <w:sz w:val="20"/>
                      <w:szCs w:val="20"/>
                      <w:lang w:val="en-US" w:eastAsia="zh-CN"/>
                    </w:rPr>
                  </w:pPr>
                  <w:r>
                    <w:rPr>
                      <w:rFonts w:hint="eastAsia" w:cs="Times New Roman"/>
                      <w:color w:val="auto"/>
                      <w:sz w:val="20"/>
                      <w:szCs w:val="20"/>
                      <w:lang w:val="en-US" w:eastAsia="zh-CN"/>
                    </w:rPr>
                    <w:t>11</w:t>
                  </w:r>
                </w:p>
              </w:tc>
              <w:tc>
                <w:tcPr>
                  <w:tcW w:w="835" w:type="dxa"/>
                  <w:noWrap w:val="0"/>
                  <w:tcMar>
                    <w:top w:w="135" w:type="dxa"/>
                    <w:left w:w="120" w:type="dxa"/>
                    <w:bottom w:w="135" w:type="dxa"/>
                    <w:right w:w="120" w:type="dxa"/>
                  </w:tcMar>
                  <w:vAlign w:val="center"/>
                </w:tcPr>
                <w:p w14:paraId="66C5807D">
                  <w:pPr>
                    <w:keepNext w:val="0"/>
                    <w:keepLines w:val="0"/>
                    <w:widowControl/>
                    <w:suppressLineNumbers w:val="0"/>
                    <w:pBdr>
                      <w:top w:val="none" w:color="auto" w:sz="0" w:space="0"/>
                      <w:left w:val="none" w:color="auto" w:sz="0" w:space="0"/>
                      <w:bottom w:val="none" w:color="auto" w:sz="0" w:space="0"/>
                      <w:right w:val="none" w:color="auto" w:sz="0" w:space="0"/>
                    </w:pBdr>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三氯化钛</w:t>
                  </w:r>
                </w:p>
              </w:tc>
              <w:tc>
                <w:tcPr>
                  <w:tcW w:w="1145" w:type="dxa"/>
                  <w:noWrap w:val="0"/>
                  <w:tcMar>
                    <w:top w:w="135" w:type="dxa"/>
                    <w:left w:w="120" w:type="dxa"/>
                    <w:bottom w:w="135" w:type="dxa"/>
                    <w:right w:w="120" w:type="dxa"/>
                  </w:tcMar>
                  <w:vAlign w:val="center"/>
                </w:tcPr>
                <w:p w14:paraId="21C98ED7">
                  <w:pPr>
                    <w:keepNext w:val="0"/>
                    <w:keepLines w:val="0"/>
                    <w:widowControl/>
                    <w:suppressLineNumbers w:val="0"/>
                    <w:pBdr>
                      <w:top w:val="none" w:color="auto" w:sz="0" w:space="0"/>
                      <w:left w:val="none" w:color="auto" w:sz="0" w:space="0"/>
                      <w:bottom w:val="none" w:color="auto" w:sz="0" w:space="0"/>
                      <w:right w:val="none" w:color="auto" w:sz="0" w:space="0"/>
                    </w:pBdr>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TiCl₃</w:t>
                  </w:r>
                </w:p>
              </w:tc>
              <w:tc>
                <w:tcPr>
                  <w:tcW w:w="3851" w:type="dxa"/>
                  <w:noWrap w:val="0"/>
                  <w:tcMar>
                    <w:top w:w="135" w:type="dxa"/>
                    <w:left w:w="120" w:type="dxa"/>
                    <w:bottom w:w="135" w:type="dxa"/>
                    <w:right w:w="120" w:type="dxa"/>
                  </w:tcMar>
                  <w:vAlign w:val="center"/>
                </w:tcPr>
                <w:p w14:paraId="185EF080">
                  <w:pPr>
                    <w:keepNext w:val="0"/>
                    <w:keepLines w:val="0"/>
                    <w:widowControl/>
                    <w:suppressLineNumbers w:val="0"/>
                    <w:pBdr>
                      <w:top w:val="none" w:color="auto" w:sz="0" w:space="0"/>
                      <w:left w:val="none" w:color="auto" w:sz="0" w:space="0"/>
                      <w:bottom w:val="none" w:color="auto" w:sz="0" w:space="0"/>
                      <w:right w:val="none" w:color="auto" w:sz="0" w:space="0"/>
                    </w:pBdr>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深紫色结晶或粉末，易潮解。熔点 304℃，沸点 730℃（分解），相对密度 (水 = 1) 2.64。遇水生成盐酸和氢氧化钛，具腐蚀性；不燃，受热分解释放氯化氢气体。</w:t>
                  </w:r>
                </w:p>
              </w:tc>
              <w:tc>
                <w:tcPr>
                  <w:tcW w:w="2169" w:type="dxa"/>
                  <w:noWrap w:val="0"/>
                  <w:tcMar>
                    <w:top w:w="135" w:type="dxa"/>
                    <w:left w:w="120" w:type="dxa"/>
                    <w:bottom w:w="135" w:type="dxa"/>
                    <w:right w:w="120" w:type="dxa"/>
                  </w:tcMar>
                  <w:vAlign w:val="center"/>
                </w:tcPr>
                <w:p w14:paraId="640E5275">
                  <w:pPr>
                    <w:keepNext w:val="0"/>
                    <w:keepLines w:val="0"/>
                    <w:widowControl/>
                    <w:suppressLineNumbers w:val="0"/>
                    <w:pBdr>
                      <w:top w:val="none" w:color="auto" w:sz="0" w:space="0"/>
                      <w:left w:val="none" w:color="auto" w:sz="0" w:space="0"/>
                      <w:bottom w:val="none" w:color="auto" w:sz="0" w:space="0"/>
                      <w:right w:val="none" w:color="auto" w:sz="0" w:space="0"/>
                    </w:pBdr>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LD50 4000mg/kg（大鼠经口）；对皮肤、黏膜有刺激性，吸入可致呼吸道损伤</w:t>
                  </w:r>
                </w:p>
              </w:tc>
            </w:tr>
            <w:tr w14:paraId="52FBDE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0" w:hRule="atLeast"/>
              </w:trPr>
              <w:tc>
                <w:tcPr>
                  <w:tcW w:w="624" w:type="dxa"/>
                  <w:noWrap w:val="0"/>
                  <w:tcMar>
                    <w:top w:w="135" w:type="dxa"/>
                    <w:left w:w="120" w:type="dxa"/>
                    <w:bottom w:w="135" w:type="dxa"/>
                    <w:right w:w="120" w:type="dxa"/>
                  </w:tcMar>
                  <w:vAlign w:val="center"/>
                </w:tcPr>
                <w:p w14:paraId="7509C33E">
                  <w:pPr>
                    <w:keepNext w:val="0"/>
                    <w:keepLines w:val="0"/>
                    <w:widowControl/>
                    <w:suppressLineNumbers w:val="0"/>
                    <w:pBdr>
                      <w:top w:val="none" w:color="auto" w:sz="0" w:space="0"/>
                      <w:left w:val="none" w:color="auto" w:sz="0" w:space="0"/>
                      <w:bottom w:val="none" w:color="auto" w:sz="0" w:space="0"/>
                      <w:right w:val="none" w:color="auto" w:sz="0" w:space="0"/>
                    </w:pBdr>
                    <w:jc w:val="center"/>
                    <w:textAlignment w:val="top"/>
                    <w:rPr>
                      <w:rFonts w:hint="default" w:ascii="Times New Roman" w:hAnsi="Times New Roman" w:eastAsia="宋体" w:cs="Times New Roman"/>
                      <w:color w:val="auto"/>
                      <w:sz w:val="20"/>
                      <w:szCs w:val="20"/>
                      <w:lang w:val="en-US" w:eastAsia="zh-CN"/>
                    </w:rPr>
                  </w:pPr>
                  <w:r>
                    <w:rPr>
                      <w:rFonts w:hint="eastAsia" w:cs="Times New Roman"/>
                      <w:color w:val="auto"/>
                      <w:sz w:val="20"/>
                      <w:szCs w:val="20"/>
                      <w:lang w:val="en-US" w:eastAsia="zh-CN"/>
                    </w:rPr>
                    <w:t>12</w:t>
                  </w:r>
                </w:p>
              </w:tc>
              <w:tc>
                <w:tcPr>
                  <w:tcW w:w="835" w:type="dxa"/>
                  <w:noWrap w:val="0"/>
                  <w:tcMar>
                    <w:top w:w="135" w:type="dxa"/>
                    <w:left w:w="120" w:type="dxa"/>
                    <w:bottom w:w="135" w:type="dxa"/>
                    <w:right w:w="120" w:type="dxa"/>
                  </w:tcMar>
                  <w:vAlign w:val="center"/>
                </w:tcPr>
                <w:p w14:paraId="4B3B90A9">
                  <w:pPr>
                    <w:keepNext w:val="0"/>
                    <w:keepLines w:val="0"/>
                    <w:widowControl/>
                    <w:suppressLineNumbers w:val="0"/>
                    <w:pBdr>
                      <w:top w:val="none" w:color="auto" w:sz="0" w:space="0"/>
                      <w:left w:val="none" w:color="auto" w:sz="0" w:space="0"/>
                      <w:bottom w:val="none" w:color="auto" w:sz="0" w:space="0"/>
                      <w:right w:val="none" w:color="auto" w:sz="0" w:space="0"/>
                    </w:pBdr>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氟化氢铵</w:t>
                  </w:r>
                </w:p>
              </w:tc>
              <w:tc>
                <w:tcPr>
                  <w:tcW w:w="1145" w:type="dxa"/>
                  <w:noWrap w:val="0"/>
                  <w:tcMar>
                    <w:top w:w="135" w:type="dxa"/>
                    <w:left w:w="120" w:type="dxa"/>
                    <w:bottom w:w="135" w:type="dxa"/>
                    <w:right w:w="120" w:type="dxa"/>
                  </w:tcMar>
                  <w:vAlign w:val="center"/>
                </w:tcPr>
                <w:p w14:paraId="7C4BADDC">
                  <w:pPr>
                    <w:keepNext w:val="0"/>
                    <w:keepLines w:val="0"/>
                    <w:widowControl/>
                    <w:suppressLineNumbers w:val="0"/>
                    <w:pBdr>
                      <w:top w:val="none" w:color="auto" w:sz="0" w:space="0"/>
                      <w:left w:val="none" w:color="auto" w:sz="0" w:space="0"/>
                      <w:bottom w:val="none" w:color="auto" w:sz="0" w:space="0"/>
                      <w:right w:val="none" w:color="auto" w:sz="0" w:space="0"/>
                    </w:pBdr>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NH₄HF₂</w:t>
                  </w:r>
                </w:p>
              </w:tc>
              <w:tc>
                <w:tcPr>
                  <w:tcW w:w="3851" w:type="dxa"/>
                  <w:noWrap w:val="0"/>
                  <w:tcMar>
                    <w:top w:w="135" w:type="dxa"/>
                    <w:left w:w="120" w:type="dxa"/>
                    <w:bottom w:w="135" w:type="dxa"/>
                    <w:right w:w="120" w:type="dxa"/>
                  </w:tcMar>
                  <w:vAlign w:val="center"/>
                </w:tcPr>
                <w:p w14:paraId="4BEEE0E6">
                  <w:pPr>
                    <w:keepNext w:val="0"/>
                    <w:keepLines w:val="0"/>
                    <w:widowControl/>
                    <w:suppressLineNumbers w:val="0"/>
                    <w:pBdr>
                      <w:top w:val="none" w:color="auto" w:sz="0" w:space="0"/>
                      <w:left w:val="none" w:color="auto" w:sz="0" w:space="0"/>
                      <w:bottom w:val="none" w:color="auto" w:sz="0" w:space="0"/>
                      <w:right w:val="none" w:color="auto" w:sz="0" w:space="0"/>
                    </w:pBdr>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白色结晶粉末，有刺激性气味。熔点 125℃（分解），相对密度 (水 = 1) 1.52。易潮解，遇水释放氟化氢；具强腐蚀性（腐蚀玻璃），不燃，受热分解产生有毒气体。</w:t>
                  </w:r>
                </w:p>
              </w:tc>
              <w:tc>
                <w:tcPr>
                  <w:tcW w:w="2169" w:type="dxa"/>
                  <w:noWrap w:val="0"/>
                  <w:tcMar>
                    <w:top w:w="135" w:type="dxa"/>
                    <w:left w:w="120" w:type="dxa"/>
                    <w:bottom w:w="135" w:type="dxa"/>
                    <w:right w:w="120" w:type="dxa"/>
                  </w:tcMar>
                  <w:vAlign w:val="center"/>
                </w:tcPr>
                <w:p w14:paraId="347E20B3">
                  <w:pPr>
                    <w:keepNext w:val="0"/>
                    <w:keepLines w:val="0"/>
                    <w:widowControl/>
                    <w:suppressLineNumbers w:val="0"/>
                    <w:pBdr>
                      <w:top w:val="none" w:color="auto" w:sz="0" w:space="0"/>
                      <w:left w:val="none" w:color="auto" w:sz="0" w:space="0"/>
                      <w:bottom w:val="none" w:color="auto" w:sz="0" w:space="0"/>
                      <w:right w:val="none" w:color="auto" w:sz="0" w:space="0"/>
                    </w:pBdr>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LD50 325mg/kg（大鼠经口）；对皮肤、骨骼有损害，吸入可致肺水肿</w:t>
                  </w:r>
                </w:p>
              </w:tc>
            </w:tr>
            <w:tr w14:paraId="200A77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0" w:hRule="atLeast"/>
              </w:trPr>
              <w:tc>
                <w:tcPr>
                  <w:tcW w:w="624" w:type="dxa"/>
                  <w:noWrap w:val="0"/>
                  <w:tcMar>
                    <w:top w:w="135" w:type="dxa"/>
                    <w:left w:w="120" w:type="dxa"/>
                    <w:bottom w:w="135" w:type="dxa"/>
                    <w:right w:w="120" w:type="dxa"/>
                  </w:tcMar>
                  <w:vAlign w:val="center"/>
                </w:tcPr>
                <w:p w14:paraId="0F37BDA3">
                  <w:pPr>
                    <w:keepNext w:val="0"/>
                    <w:keepLines w:val="0"/>
                    <w:widowControl/>
                    <w:suppressLineNumbers w:val="0"/>
                    <w:pBdr>
                      <w:top w:val="none" w:color="auto" w:sz="0" w:space="0"/>
                      <w:left w:val="none" w:color="auto" w:sz="0" w:space="0"/>
                      <w:bottom w:val="none" w:color="auto" w:sz="0" w:space="0"/>
                      <w:right w:val="none" w:color="auto" w:sz="0" w:space="0"/>
                    </w:pBdr>
                    <w:jc w:val="center"/>
                    <w:textAlignment w:val="top"/>
                    <w:rPr>
                      <w:rFonts w:hint="default" w:ascii="Times New Roman" w:hAnsi="Times New Roman" w:eastAsia="宋体" w:cs="Times New Roman"/>
                      <w:color w:val="auto"/>
                      <w:sz w:val="20"/>
                      <w:szCs w:val="20"/>
                      <w:lang w:val="en-US" w:eastAsia="zh-CN"/>
                    </w:rPr>
                  </w:pPr>
                  <w:r>
                    <w:rPr>
                      <w:rFonts w:hint="eastAsia" w:cs="Times New Roman"/>
                      <w:color w:val="auto"/>
                      <w:sz w:val="20"/>
                      <w:szCs w:val="20"/>
                      <w:lang w:val="en-US" w:eastAsia="zh-CN"/>
                    </w:rPr>
                    <w:t>13</w:t>
                  </w:r>
                </w:p>
              </w:tc>
              <w:tc>
                <w:tcPr>
                  <w:tcW w:w="835" w:type="dxa"/>
                  <w:noWrap w:val="0"/>
                  <w:tcMar>
                    <w:top w:w="135" w:type="dxa"/>
                    <w:left w:w="120" w:type="dxa"/>
                    <w:bottom w:w="135" w:type="dxa"/>
                    <w:right w:w="120" w:type="dxa"/>
                  </w:tcMar>
                  <w:vAlign w:val="center"/>
                </w:tcPr>
                <w:p w14:paraId="7BB956EB">
                  <w:pPr>
                    <w:keepNext w:val="0"/>
                    <w:keepLines w:val="0"/>
                    <w:widowControl/>
                    <w:suppressLineNumbers w:val="0"/>
                    <w:pBdr>
                      <w:top w:val="none" w:color="auto" w:sz="0" w:space="0"/>
                      <w:left w:val="none" w:color="auto" w:sz="0" w:space="0"/>
                      <w:bottom w:val="none" w:color="auto" w:sz="0" w:space="0"/>
                      <w:right w:val="none" w:color="auto" w:sz="0" w:space="0"/>
                    </w:pBdr>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氟化铵</w:t>
                  </w:r>
                </w:p>
              </w:tc>
              <w:tc>
                <w:tcPr>
                  <w:tcW w:w="1145" w:type="dxa"/>
                  <w:noWrap w:val="0"/>
                  <w:tcMar>
                    <w:top w:w="135" w:type="dxa"/>
                    <w:left w:w="120" w:type="dxa"/>
                    <w:bottom w:w="135" w:type="dxa"/>
                    <w:right w:w="120" w:type="dxa"/>
                  </w:tcMar>
                  <w:vAlign w:val="center"/>
                </w:tcPr>
                <w:p w14:paraId="38B18201">
                  <w:pPr>
                    <w:keepNext w:val="0"/>
                    <w:keepLines w:val="0"/>
                    <w:widowControl/>
                    <w:suppressLineNumbers w:val="0"/>
                    <w:pBdr>
                      <w:top w:val="none" w:color="auto" w:sz="0" w:space="0"/>
                      <w:left w:val="none" w:color="auto" w:sz="0" w:space="0"/>
                      <w:bottom w:val="none" w:color="auto" w:sz="0" w:space="0"/>
                      <w:right w:val="none" w:color="auto" w:sz="0" w:space="0"/>
                    </w:pBdr>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NH₄F</w:t>
                  </w:r>
                </w:p>
              </w:tc>
              <w:tc>
                <w:tcPr>
                  <w:tcW w:w="3851" w:type="dxa"/>
                  <w:noWrap w:val="0"/>
                  <w:tcMar>
                    <w:top w:w="135" w:type="dxa"/>
                    <w:left w:w="120" w:type="dxa"/>
                    <w:bottom w:w="135" w:type="dxa"/>
                    <w:right w:w="120" w:type="dxa"/>
                  </w:tcMar>
                  <w:vAlign w:val="center"/>
                </w:tcPr>
                <w:p w14:paraId="68B4E27F">
                  <w:pPr>
                    <w:keepNext w:val="0"/>
                    <w:keepLines w:val="0"/>
                    <w:widowControl/>
                    <w:suppressLineNumbers w:val="0"/>
                    <w:pBdr>
                      <w:top w:val="none" w:color="auto" w:sz="0" w:space="0"/>
                      <w:left w:val="none" w:color="auto" w:sz="0" w:space="0"/>
                      <w:bottom w:val="none" w:color="auto" w:sz="0" w:space="0"/>
                      <w:right w:val="none" w:color="auto" w:sz="0" w:space="0"/>
                    </w:pBdr>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白色结晶粉末，易潮解。熔点 98℃（分解），相对密度 (水 = 1) 1.01。溶于水，遇热释放氨气和氟化氢；具腐蚀性，不燃，长期接触可致氟骨症。</w:t>
                  </w:r>
                </w:p>
              </w:tc>
              <w:tc>
                <w:tcPr>
                  <w:tcW w:w="2169" w:type="dxa"/>
                  <w:noWrap w:val="0"/>
                  <w:tcMar>
                    <w:top w:w="135" w:type="dxa"/>
                    <w:left w:w="120" w:type="dxa"/>
                    <w:bottom w:w="135" w:type="dxa"/>
                    <w:right w:w="120" w:type="dxa"/>
                  </w:tcMar>
                  <w:vAlign w:val="center"/>
                </w:tcPr>
                <w:p w14:paraId="2C07D661">
                  <w:pPr>
                    <w:keepNext w:val="0"/>
                    <w:keepLines w:val="0"/>
                    <w:widowControl/>
                    <w:suppressLineNumbers w:val="0"/>
                    <w:pBdr>
                      <w:top w:val="none" w:color="auto" w:sz="0" w:space="0"/>
                      <w:left w:val="none" w:color="auto" w:sz="0" w:space="0"/>
                      <w:bottom w:val="none" w:color="auto" w:sz="0" w:space="0"/>
                      <w:right w:val="none" w:color="auto" w:sz="0" w:space="0"/>
                    </w:pBdr>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LD50 325mg/kg（大鼠经口）；LC50 2600mg/m³，1 小时（大鼠吸入）</w:t>
                  </w:r>
                </w:p>
              </w:tc>
            </w:tr>
            <w:tr w14:paraId="2BA59A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0" w:hRule="atLeast"/>
              </w:trPr>
              <w:tc>
                <w:tcPr>
                  <w:tcW w:w="624" w:type="dxa"/>
                  <w:noWrap w:val="0"/>
                  <w:tcMar>
                    <w:top w:w="135" w:type="dxa"/>
                    <w:left w:w="120" w:type="dxa"/>
                    <w:bottom w:w="135" w:type="dxa"/>
                    <w:right w:w="120" w:type="dxa"/>
                  </w:tcMar>
                  <w:vAlign w:val="center"/>
                </w:tcPr>
                <w:p w14:paraId="42F2973E">
                  <w:pPr>
                    <w:keepNext w:val="0"/>
                    <w:keepLines w:val="0"/>
                    <w:widowControl/>
                    <w:suppressLineNumbers w:val="0"/>
                    <w:pBdr>
                      <w:top w:val="none" w:color="auto" w:sz="0" w:space="0"/>
                      <w:left w:val="none" w:color="auto" w:sz="0" w:space="0"/>
                      <w:bottom w:val="none" w:color="auto" w:sz="0" w:space="0"/>
                      <w:right w:val="none" w:color="auto" w:sz="0" w:space="0"/>
                    </w:pBdr>
                    <w:jc w:val="center"/>
                    <w:textAlignment w:val="top"/>
                    <w:rPr>
                      <w:rFonts w:hint="default" w:ascii="Times New Roman" w:hAnsi="Times New Roman" w:eastAsia="宋体" w:cs="Times New Roman"/>
                      <w:color w:val="auto"/>
                      <w:sz w:val="20"/>
                      <w:szCs w:val="20"/>
                      <w:lang w:val="en-US" w:eastAsia="zh-CN"/>
                    </w:rPr>
                  </w:pPr>
                  <w:r>
                    <w:rPr>
                      <w:rFonts w:hint="eastAsia" w:cs="Times New Roman"/>
                      <w:color w:val="auto"/>
                      <w:sz w:val="20"/>
                      <w:szCs w:val="20"/>
                      <w:lang w:val="en-US" w:eastAsia="zh-CN"/>
                    </w:rPr>
                    <w:t>14</w:t>
                  </w:r>
                </w:p>
              </w:tc>
              <w:tc>
                <w:tcPr>
                  <w:tcW w:w="835" w:type="dxa"/>
                  <w:noWrap w:val="0"/>
                  <w:tcMar>
                    <w:top w:w="135" w:type="dxa"/>
                    <w:left w:w="120" w:type="dxa"/>
                    <w:bottom w:w="135" w:type="dxa"/>
                    <w:right w:w="120" w:type="dxa"/>
                  </w:tcMar>
                  <w:vAlign w:val="center"/>
                </w:tcPr>
                <w:p w14:paraId="38AF4480">
                  <w:pPr>
                    <w:keepNext w:val="0"/>
                    <w:keepLines w:val="0"/>
                    <w:widowControl/>
                    <w:suppressLineNumbers w:val="0"/>
                    <w:pBdr>
                      <w:top w:val="none" w:color="auto" w:sz="0" w:space="0"/>
                      <w:left w:val="none" w:color="auto" w:sz="0" w:space="0"/>
                      <w:bottom w:val="none" w:color="auto" w:sz="0" w:space="0"/>
                      <w:right w:val="none" w:color="auto" w:sz="0" w:space="0"/>
                    </w:pBdr>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氟化钾</w:t>
                  </w:r>
                </w:p>
              </w:tc>
              <w:tc>
                <w:tcPr>
                  <w:tcW w:w="1145" w:type="dxa"/>
                  <w:noWrap w:val="0"/>
                  <w:tcMar>
                    <w:top w:w="135" w:type="dxa"/>
                    <w:left w:w="120" w:type="dxa"/>
                    <w:bottom w:w="135" w:type="dxa"/>
                    <w:right w:w="120" w:type="dxa"/>
                  </w:tcMar>
                  <w:vAlign w:val="center"/>
                </w:tcPr>
                <w:p w14:paraId="6ED57F33">
                  <w:pPr>
                    <w:keepNext w:val="0"/>
                    <w:keepLines w:val="0"/>
                    <w:widowControl/>
                    <w:suppressLineNumbers w:val="0"/>
                    <w:pBdr>
                      <w:top w:val="none" w:color="auto" w:sz="0" w:space="0"/>
                      <w:left w:val="none" w:color="auto" w:sz="0" w:space="0"/>
                      <w:bottom w:val="none" w:color="auto" w:sz="0" w:space="0"/>
                      <w:right w:val="none" w:color="auto" w:sz="0" w:space="0"/>
                    </w:pBdr>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KF</w:t>
                  </w:r>
                </w:p>
              </w:tc>
              <w:tc>
                <w:tcPr>
                  <w:tcW w:w="3851" w:type="dxa"/>
                  <w:noWrap w:val="0"/>
                  <w:tcMar>
                    <w:top w:w="135" w:type="dxa"/>
                    <w:left w:w="120" w:type="dxa"/>
                    <w:bottom w:w="135" w:type="dxa"/>
                    <w:right w:w="120" w:type="dxa"/>
                  </w:tcMar>
                  <w:vAlign w:val="center"/>
                </w:tcPr>
                <w:p w14:paraId="7F7FE5E4">
                  <w:pPr>
                    <w:keepNext w:val="0"/>
                    <w:keepLines w:val="0"/>
                    <w:widowControl/>
                    <w:suppressLineNumbers w:val="0"/>
                    <w:pBdr>
                      <w:top w:val="none" w:color="auto" w:sz="0" w:space="0"/>
                      <w:left w:val="none" w:color="auto" w:sz="0" w:space="0"/>
                      <w:bottom w:val="none" w:color="auto" w:sz="0" w:space="0"/>
                      <w:right w:val="none" w:color="auto" w:sz="0" w:space="0"/>
                    </w:pBdr>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白色结晶粉末，易潮解。熔点 858℃，沸点 1505℃，相对密度 (水 = 1) 2.48。溶于水，具强腐蚀性；不燃，稳定，长期接触可致氟中毒。</w:t>
                  </w:r>
                </w:p>
              </w:tc>
              <w:tc>
                <w:tcPr>
                  <w:tcW w:w="2169" w:type="dxa"/>
                  <w:noWrap w:val="0"/>
                  <w:tcMar>
                    <w:top w:w="135" w:type="dxa"/>
                    <w:left w:w="120" w:type="dxa"/>
                    <w:bottom w:w="135" w:type="dxa"/>
                    <w:right w:w="120" w:type="dxa"/>
                  </w:tcMar>
                  <w:vAlign w:val="center"/>
                </w:tcPr>
                <w:p w14:paraId="60A14FED">
                  <w:pPr>
                    <w:keepNext w:val="0"/>
                    <w:keepLines w:val="0"/>
                    <w:widowControl/>
                    <w:suppressLineNumbers w:val="0"/>
                    <w:pBdr>
                      <w:top w:val="none" w:color="auto" w:sz="0" w:space="0"/>
                      <w:left w:val="none" w:color="auto" w:sz="0" w:space="0"/>
                      <w:bottom w:val="none" w:color="auto" w:sz="0" w:space="0"/>
                      <w:right w:val="none" w:color="auto" w:sz="0" w:space="0"/>
                    </w:pBdr>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LD50 245mg/kg（大鼠经口）；对皮肤、黏膜有刺激性，吸入可致呼吸道损伤</w:t>
                  </w:r>
                </w:p>
              </w:tc>
            </w:tr>
            <w:tr w14:paraId="0F53A4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0" w:hRule="atLeast"/>
              </w:trPr>
              <w:tc>
                <w:tcPr>
                  <w:tcW w:w="624" w:type="dxa"/>
                  <w:noWrap w:val="0"/>
                  <w:tcMar>
                    <w:top w:w="135" w:type="dxa"/>
                    <w:left w:w="120" w:type="dxa"/>
                    <w:bottom w:w="135" w:type="dxa"/>
                    <w:right w:w="120" w:type="dxa"/>
                  </w:tcMar>
                  <w:vAlign w:val="center"/>
                </w:tcPr>
                <w:p w14:paraId="140528BD">
                  <w:pPr>
                    <w:keepNext w:val="0"/>
                    <w:keepLines w:val="0"/>
                    <w:widowControl/>
                    <w:suppressLineNumbers w:val="0"/>
                    <w:pBdr>
                      <w:top w:val="none" w:color="auto" w:sz="0" w:space="0"/>
                      <w:left w:val="none" w:color="auto" w:sz="0" w:space="0"/>
                      <w:bottom w:val="none" w:color="auto" w:sz="0" w:space="0"/>
                      <w:right w:val="none" w:color="auto" w:sz="0" w:space="0"/>
                    </w:pBdr>
                    <w:jc w:val="center"/>
                    <w:textAlignment w:val="top"/>
                    <w:rPr>
                      <w:rFonts w:hint="default" w:ascii="Times New Roman" w:hAnsi="Times New Roman" w:eastAsia="宋体" w:cs="Times New Roman"/>
                      <w:color w:val="auto"/>
                      <w:sz w:val="20"/>
                      <w:szCs w:val="20"/>
                      <w:lang w:val="en-US" w:eastAsia="zh-CN"/>
                    </w:rPr>
                  </w:pPr>
                  <w:r>
                    <w:rPr>
                      <w:rFonts w:hint="eastAsia" w:cs="Times New Roman"/>
                      <w:color w:val="auto"/>
                      <w:sz w:val="20"/>
                      <w:szCs w:val="20"/>
                      <w:lang w:val="en-US" w:eastAsia="zh-CN"/>
                    </w:rPr>
                    <w:t>15</w:t>
                  </w:r>
                </w:p>
              </w:tc>
              <w:tc>
                <w:tcPr>
                  <w:tcW w:w="835" w:type="dxa"/>
                  <w:noWrap w:val="0"/>
                  <w:tcMar>
                    <w:top w:w="135" w:type="dxa"/>
                    <w:left w:w="120" w:type="dxa"/>
                    <w:bottom w:w="135" w:type="dxa"/>
                    <w:right w:w="120" w:type="dxa"/>
                  </w:tcMar>
                  <w:vAlign w:val="center"/>
                </w:tcPr>
                <w:p w14:paraId="143DEE85">
                  <w:pPr>
                    <w:keepNext w:val="0"/>
                    <w:keepLines w:val="0"/>
                    <w:widowControl/>
                    <w:suppressLineNumbers w:val="0"/>
                    <w:pBdr>
                      <w:top w:val="none" w:color="auto" w:sz="0" w:space="0"/>
                      <w:left w:val="none" w:color="auto" w:sz="0" w:space="0"/>
                      <w:bottom w:val="none" w:color="auto" w:sz="0" w:space="0"/>
                      <w:right w:val="none" w:color="auto" w:sz="0" w:space="0"/>
                    </w:pBdr>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对硝基酚</w:t>
                  </w:r>
                </w:p>
              </w:tc>
              <w:tc>
                <w:tcPr>
                  <w:tcW w:w="1145" w:type="dxa"/>
                  <w:noWrap w:val="0"/>
                  <w:tcMar>
                    <w:top w:w="135" w:type="dxa"/>
                    <w:left w:w="120" w:type="dxa"/>
                    <w:bottom w:w="135" w:type="dxa"/>
                    <w:right w:w="120" w:type="dxa"/>
                  </w:tcMar>
                  <w:vAlign w:val="center"/>
                </w:tcPr>
                <w:p w14:paraId="105A7E6A">
                  <w:pPr>
                    <w:keepNext w:val="0"/>
                    <w:keepLines w:val="0"/>
                    <w:widowControl/>
                    <w:suppressLineNumbers w:val="0"/>
                    <w:pBdr>
                      <w:top w:val="none" w:color="auto" w:sz="0" w:space="0"/>
                      <w:left w:val="none" w:color="auto" w:sz="0" w:space="0"/>
                      <w:bottom w:val="none" w:color="auto" w:sz="0" w:space="0"/>
                      <w:right w:val="none" w:color="auto" w:sz="0" w:space="0"/>
                    </w:pBdr>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C₆H₅NO₃</w:t>
                  </w:r>
                </w:p>
              </w:tc>
              <w:tc>
                <w:tcPr>
                  <w:tcW w:w="3851" w:type="dxa"/>
                  <w:noWrap w:val="0"/>
                  <w:tcMar>
                    <w:top w:w="135" w:type="dxa"/>
                    <w:left w:w="120" w:type="dxa"/>
                    <w:bottom w:w="135" w:type="dxa"/>
                    <w:right w:w="120" w:type="dxa"/>
                  </w:tcMar>
                  <w:vAlign w:val="center"/>
                </w:tcPr>
                <w:p w14:paraId="5803D6CD">
                  <w:pPr>
                    <w:keepNext w:val="0"/>
                    <w:keepLines w:val="0"/>
                    <w:widowControl/>
                    <w:suppressLineNumbers w:val="0"/>
                    <w:pBdr>
                      <w:top w:val="none" w:color="auto" w:sz="0" w:space="0"/>
                      <w:left w:val="none" w:color="auto" w:sz="0" w:space="0"/>
                      <w:bottom w:val="none" w:color="auto" w:sz="0" w:space="0"/>
                      <w:right w:val="none" w:color="auto" w:sz="0" w:space="0"/>
                    </w:pBdr>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淡黄色结晶，有苦味。熔点 114℃，沸点 279℃（分解），相对密度 (水 = 1) 1.49。微溶于水，易燃，闪点 169℃；燃烧生成有毒氮氧化物。</w:t>
                  </w:r>
                </w:p>
              </w:tc>
              <w:tc>
                <w:tcPr>
                  <w:tcW w:w="2169" w:type="dxa"/>
                  <w:noWrap w:val="0"/>
                  <w:tcMar>
                    <w:top w:w="135" w:type="dxa"/>
                    <w:left w:w="120" w:type="dxa"/>
                    <w:bottom w:w="135" w:type="dxa"/>
                    <w:right w:w="120" w:type="dxa"/>
                  </w:tcMar>
                  <w:vAlign w:val="center"/>
                </w:tcPr>
                <w:p w14:paraId="26681007">
                  <w:pPr>
                    <w:keepNext w:val="0"/>
                    <w:keepLines w:val="0"/>
                    <w:widowControl/>
                    <w:suppressLineNumbers w:val="0"/>
                    <w:pBdr>
                      <w:top w:val="none" w:color="auto" w:sz="0" w:space="0"/>
                      <w:left w:val="none" w:color="auto" w:sz="0" w:space="0"/>
                      <w:bottom w:val="none" w:color="auto" w:sz="0" w:space="0"/>
                      <w:right w:val="none" w:color="auto" w:sz="0" w:space="0"/>
                    </w:pBdr>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LD50 467mg/kg（大鼠经口）；中等毒性，皮肤接触可致过敏，吸入可致呼吸道损伤</w:t>
                  </w:r>
                </w:p>
              </w:tc>
            </w:tr>
            <w:tr w14:paraId="4D66F9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0" w:hRule="atLeast"/>
              </w:trPr>
              <w:tc>
                <w:tcPr>
                  <w:tcW w:w="624" w:type="dxa"/>
                  <w:noWrap w:val="0"/>
                  <w:tcMar>
                    <w:top w:w="135" w:type="dxa"/>
                    <w:left w:w="120" w:type="dxa"/>
                    <w:bottom w:w="135" w:type="dxa"/>
                    <w:right w:w="120" w:type="dxa"/>
                  </w:tcMar>
                  <w:vAlign w:val="center"/>
                </w:tcPr>
                <w:p w14:paraId="01D4B42F">
                  <w:pPr>
                    <w:keepNext w:val="0"/>
                    <w:keepLines w:val="0"/>
                    <w:widowControl/>
                    <w:suppressLineNumbers w:val="0"/>
                    <w:pBdr>
                      <w:top w:val="none" w:color="auto" w:sz="0" w:space="0"/>
                      <w:left w:val="none" w:color="auto" w:sz="0" w:space="0"/>
                      <w:bottom w:val="none" w:color="auto" w:sz="0" w:space="0"/>
                      <w:right w:val="none" w:color="auto" w:sz="0" w:space="0"/>
                    </w:pBdr>
                    <w:jc w:val="center"/>
                    <w:textAlignment w:val="top"/>
                    <w:rPr>
                      <w:rFonts w:hint="default" w:ascii="Times New Roman" w:hAnsi="Times New Roman" w:eastAsia="宋体" w:cs="Times New Roman"/>
                      <w:color w:val="auto"/>
                      <w:sz w:val="20"/>
                      <w:szCs w:val="20"/>
                      <w:lang w:val="en-US" w:eastAsia="zh-CN"/>
                    </w:rPr>
                  </w:pPr>
                  <w:r>
                    <w:rPr>
                      <w:rFonts w:hint="eastAsia" w:cs="Times New Roman"/>
                      <w:color w:val="auto"/>
                      <w:sz w:val="20"/>
                      <w:szCs w:val="20"/>
                      <w:lang w:val="en-US" w:eastAsia="zh-CN"/>
                    </w:rPr>
                    <w:t>16</w:t>
                  </w:r>
                </w:p>
              </w:tc>
              <w:tc>
                <w:tcPr>
                  <w:tcW w:w="835" w:type="dxa"/>
                  <w:noWrap w:val="0"/>
                  <w:tcMar>
                    <w:top w:w="135" w:type="dxa"/>
                    <w:left w:w="120" w:type="dxa"/>
                    <w:bottom w:w="135" w:type="dxa"/>
                    <w:right w:w="120" w:type="dxa"/>
                  </w:tcMar>
                  <w:vAlign w:val="center"/>
                </w:tcPr>
                <w:p w14:paraId="6BD2B1C9">
                  <w:pPr>
                    <w:keepNext w:val="0"/>
                    <w:keepLines w:val="0"/>
                    <w:widowControl/>
                    <w:suppressLineNumbers w:val="0"/>
                    <w:pBdr>
                      <w:top w:val="none" w:color="auto" w:sz="0" w:space="0"/>
                      <w:left w:val="none" w:color="auto" w:sz="0" w:space="0"/>
                      <w:bottom w:val="none" w:color="auto" w:sz="0" w:space="0"/>
                      <w:right w:val="none" w:color="auto" w:sz="0" w:space="0"/>
                    </w:pBdr>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高锰酸钾</w:t>
                  </w:r>
                </w:p>
              </w:tc>
              <w:tc>
                <w:tcPr>
                  <w:tcW w:w="1145" w:type="dxa"/>
                  <w:noWrap w:val="0"/>
                  <w:tcMar>
                    <w:top w:w="135" w:type="dxa"/>
                    <w:left w:w="120" w:type="dxa"/>
                    <w:bottom w:w="135" w:type="dxa"/>
                    <w:right w:w="120" w:type="dxa"/>
                  </w:tcMar>
                  <w:vAlign w:val="center"/>
                </w:tcPr>
                <w:p w14:paraId="50B5DE8C">
                  <w:pPr>
                    <w:keepNext w:val="0"/>
                    <w:keepLines w:val="0"/>
                    <w:widowControl/>
                    <w:suppressLineNumbers w:val="0"/>
                    <w:pBdr>
                      <w:top w:val="none" w:color="auto" w:sz="0" w:space="0"/>
                      <w:left w:val="none" w:color="auto" w:sz="0" w:space="0"/>
                      <w:bottom w:val="none" w:color="auto" w:sz="0" w:space="0"/>
                      <w:right w:val="none" w:color="auto" w:sz="0" w:space="0"/>
                    </w:pBdr>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KMnO₄</w:t>
                  </w:r>
                </w:p>
              </w:tc>
              <w:tc>
                <w:tcPr>
                  <w:tcW w:w="3851" w:type="dxa"/>
                  <w:noWrap w:val="0"/>
                  <w:tcMar>
                    <w:top w:w="135" w:type="dxa"/>
                    <w:left w:w="120" w:type="dxa"/>
                    <w:bottom w:w="135" w:type="dxa"/>
                    <w:right w:w="120" w:type="dxa"/>
                  </w:tcMar>
                  <w:vAlign w:val="center"/>
                </w:tcPr>
                <w:p w14:paraId="27E6504B">
                  <w:pPr>
                    <w:keepNext w:val="0"/>
                    <w:keepLines w:val="0"/>
                    <w:widowControl/>
                    <w:suppressLineNumbers w:val="0"/>
                    <w:pBdr>
                      <w:top w:val="none" w:color="auto" w:sz="0" w:space="0"/>
                      <w:left w:val="none" w:color="auto" w:sz="0" w:space="0"/>
                      <w:bottom w:val="none" w:color="auto" w:sz="0" w:space="0"/>
                      <w:right w:val="none" w:color="auto" w:sz="0" w:space="0"/>
                    </w:pBdr>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紫黑色结晶，无臭。熔点 240℃（分解），相对密度 (水 = 1) 2.70。溶于水，强氧化性；遇有机物、还原剂易燃烧爆炸，受热分解产生氧气。</w:t>
                  </w:r>
                </w:p>
              </w:tc>
              <w:tc>
                <w:tcPr>
                  <w:tcW w:w="2169" w:type="dxa"/>
                  <w:noWrap w:val="0"/>
                  <w:tcMar>
                    <w:top w:w="135" w:type="dxa"/>
                    <w:left w:w="120" w:type="dxa"/>
                    <w:bottom w:w="135" w:type="dxa"/>
                    <w:right w:w="120" w:type="dxa"/>
                  </w:tcMar>
                  <w:vAlign w:val="center"/>
                </w:tcPr>
                <w:p w14:paraId="56D49C00">
                  <w:pPr>
                    <w:keepNext w:val="0"/>
                    <w:keepLines w:val="0"/>
                    <w:widowControl/>
                    <w:suppressLineNumbers w:val="0"/>
                    <w:pBdr>
                      <w:top w:val="none" w:color="auto" w:sz="0" w:space="0"/>
                      <w:left w:val="none" w:color="auto" w:sz="0" w:space="0"/>
                      <w:bottom w:val="none" w:color="auto" w:sz="0" w:space="0"/>
                      <w:right w:val="none" w:color="auto" w:sz="0" w:space="0"/>
                    </w:pBdr>
                    <w:jc w:val="center"/>
                    <w:textAlignment w:val="top"/>
                    <w:rPr>
                      <w:rFonts w:hint="default" w:ascii="Times New Roman" w:hAnsi="Times New Roman" w:eastAsia="宋体" w:cs="Times New Roman"/>
                      <w:color w:val="auto"/>
                      <w:sz w:val="20"/>
                      <w:szCs w:val="20"/>
                    </w:rPr>
                  </w:pPr>
                  <w:r>
                    <w:rPr>
                      <w:rFonts w:hint="default" w:ascii="Times New Roman" w:hAnsi="Times New Roman" w:eastAsia="宋体" w:cs="Times New Roman"/>
                      <w:snapToGrid w:val="0"/>
                      <w:color w:val="auto"/>
                      <w:kern w:val="0"/>
                      <w:sz w:val="20"/>
                      <w:szCs w:val="20"/>
                      <w:lang w:val="en-US" w:eastAsia="zh-CN" w:bidi="ar"/>
                    </w:rPr>
                    <w:t>LD50 1090mg/kg（大鼠经口）；中等毒性，皮肤接触可致灼伤，吸入可致呼吸道损伤</w:t>
                  </w:r>
                </w:p>
              </w:tc>
            </w:tr>
          </w:tbl>
          <w:p w14:paraId="2F0E447E">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highlight w:val="none"/>
                <w:lang w:bidi="ar"/>
              </w:rPr>
            </w:pPr>
            <w:r>
              <w:rPr>
                <w:rFonts w:hint="default" w:ascii="Times New Roman" w:hAnsi="Times New Roman" w:eastAsia="宋体" w:cs="Times New Roman"/>
                <w:color w:val="auto"/>
                <w:kern w:val="0"/>
                <w:sz w:val="24"/>
                <w:highlight w:val="none"/>
                <w:lang w:bidi="ar"/>
              </w:rPr>
              <w:t>项目危险物质数量与临界量比值（Q）计算结果，见</w:t>
            </w:r>
            <w:r>
              <w:rPr>
                <w:rFonts w:hint="default" w:ascii="Times New Roman" w:hAnsi="Times New Roman" w:eastAsia="宋体" w:cs="Times New Roman"/>
                <w:color w:val="auto"/>
                <w:kern w:val="0"/>
                <w:sz w:val="24"/>
                <w:highlight w:val="none"/>
                <w:lang w:eastAsia="zh-CN" w:bidi="ar"/>
              </w:rPr>
              <w:t>表</w:t>
            </w:r>
            <w:r>
              <w:rPr>
                <w:rFonts w:hint="default" w:ascii="Times New Roman" w:hAnsi="Times New Roman" w:eastAsia="宋体" w:cs="Times New Roman"/>
                <w:color w:val="auto"/>
                <w:kern w:val="0"/>
                <w:sz w:val="24"/>
                <w:highlight w:val="none"/>
                <w:lang w:val="en-US" w:eastAsia="zh-CN" w:bidi="ar"/>
              </w:rPr>
              <w:t>4-</w:t>
            </w:r>
            <w:r>
              <w:rPr>
                <w:rFonts w:hint="eastAsia" w:ascii="Times New Roman" w:hAnsi="Times New Roman" w:eastAsia="宋体" w:cs="Times New Roman"/>
                <w:color w:val="auto"/>
                <w:kern w:val="0"/>
                <w:sz w:val="24"/>
                <w:highlight w:val="none"/>
                <w:lang w:val="en-US" w:eastAsia="zh-CN" w:bidi="ar"/>
              </w:rPr>
              <w:t>17</w:t>
            </w:r>
            <w:r>
              <w:rPr>
                <w:rFonts w:hint="default" w:ascii="Times New Roman" w:hAnsi="Times New Roman" w:eastAsia="宋体" w:cs="Times New Roman"/>
                <w:color w:val="auto"/>
                <w:kern w:val="0"/>
                <w:sz w:val="24"/>
                <w:highlight w:val="none"/>
                <w:lang w:bidi="ar"/>
              </w:rPr>
              <w:t>。</w:t>
            </w:r>
          </w:p>
          <w:p w14:paraId="6E61AD7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highlight w:val="none"/>
                <w:lang w:val="zh-CN"/>
              </w:rPr>
            </w:pPr>
            <w:r>
              <w:rPr>
                <w:rFonts w:hint="default" w:ascii="Times New Roman" w:hAnsi="Times New Roman" w:eastAsia="宋体" w:cs="Times New Roman"/>
                <w:b/>
                <w:bCs/>
                <w:color w:val="auto"/>
                <w:sz w:val="21"/>
                <w:szCs w:val="21"/>
                <w:highlight w:val="none"/>
                <w:lang w:val="zh-CN"/>
              </w:rPr>
              <w:t>表</w:t>
            </w:r>
            <w:r>
              <w:rPr>
                <w:rFonts w:hint="default" w:ascii="Times New Roman" w:hAnsi="Times New Roman" w:eastAsia="宋体" w:cs="Times New Roman"/>
                <w:b/>
                <w:bCs/>
                <w:color w:val="auto"/>
                <w:sz w:val="21"/>
                <w:szCs w:val="21"/>
                <w:highlight w:val="none"/>
                <w:lang w:val="en-US" w:eastAsia="zh-CN"/>
              </w:rPr>
              <w:t>4-1</w:t>
            </w:r>
            <w:r>
              <w:rPr>
                <w:rFonts w:hint="eastAsia" w:ascii="Times New Roman" w:hAnsi="Times New Roman" w:eastAsia="宋体" w:cs="Times New Roman"/>
                <w:b/>
                <w:bCs/>
                <w:color w:val="auto"/>
                <w:sz w:val="21"/>
                <w:szCs w:val="21"/>
                <w:highlight w:val="none"/>
                <w:lang w:val="en-US" w:eastAsia="zh-CN"/>
              </w:rPr>
              <w:t xml:space="preserve">7 </w:t>
            </w:r>
            <w:r>
              <w:rPr>
                <w:rFonts w:hint="default" w:ascii="Times New Roman" w:hAnsi="Times New Roman" w:eastAsia="宋体" w:cs="Times New Roman"/>
                <w:b/>
                <w:bCs/>
                <w:color w:val="auto"/>
                <w:sz w:val="21"/>
                <w:szCs w:val="21"/>
                <w:highlight w:val="none"/>
                <w:lang w:val="en-US" w:eastAsia="zh-CN"/>
              </w:rPr>
              <w:t xml:space="preserve"> </w:t>
            </w:r>
            <w:r>
              <w:rPr>
                <w:rFonts w:hint="default" w:ascii="Times New Roman" w:hAnsi="Times New Roman" w:eastAsia="宋体" w:cs="Times New Roman"/>
                <w:b/>
                <w:bCs/>
                <w:color w:val="auto"/>
                <w:sz w:val="21"/>
                <w:szCs w:val="21"/>
                <w:highlight w:val="none"/>
                <w:lang w:val="zh-CN"/>
              </w:rPr>
              <w:t>项目危险物质数量与临界量比值（Q）计算结果一览表</w:t>
            </w:r>
          </w:p>
          <w:tbl>
            <w:tblPr>
              <w:tblStyle w:val="28"/>
              <w:tblW w:w="8685"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88"/>
              <w:gridCol w:w="2198"/>
              <w:gridCol w:w="1291"/>
              <w:gridCol w:w="1583"/>
              <w:gridCol w:w="1124"/>
              <w:gridCol w:w="1201"/>
            </w:tblGrid>
            <w:tr w14:paraId="0972C6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blHeader/>
                <w:jc w:val="center"/>
              </w:trPr>
              <w:tc>
                <w:tcPr>
                  <w:tcW w:w="742" w:type="pct"/>
                  <w:tcBorders>
                    <w:top w:val="single" w:color="auto" w:sz="4" w:space="0"/>
                    <w:left w:val="single" w:color="auto" w:sz="0" w:space="0"/>
                    <w:bottom w:val="single" w:color="auto" w:sz="4" w:space="0"/>
                    <w:right w:val="single" w:color="auto" w:sz="4" w:space="0"/>
                    <w:tl2br w:val="nil"/>
                    <w:tr2bl w:val="nil"/>
                  </w:tcBorders>
                  <w:noWrap w:val="0"/>
                  <w:vAlign w:val="center"/>
                </w:tcPr>
                <w:p w14:paraId="5E70A601">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0"/>
                      <w:sz w:val="21"/>
                      <w:szCs w:val="21"/>
                      <w:highlight w:val="none"/>
                      <w:lang w:bidi="ar"/>
                    </w:rPr>
                  </w:pPr>
                  <w:r>
                    <w:rPr>
                      <w:rFonts w:hint="default" w:ascii="Times New Roman" w:hAnsi="Times New Roman" w:eastAsia="宋体" w:cs="Times New Roman"/>
                      <w:b w:val="0"/>
                      <w:bCs w:val="0"/>
                      <w:color w:val="auto"/>
                      <w:kern w:val="0"/>
                      <w:sz w:val="21"/>
                      <w:szCs w:val="21"/>
                      <w:highlight w:val="none"/>
                      <w:lang w:bidi="ar"/>
                    </w:rPr>
                    <w:t>序号</w:t>
                  </w:r>
                </w:p>
              </w:tc>
              <w:tc>
                <w:tcPr>
                  <w:tcW w:w="1265" w:type="pct"/>
                  <w:tcBorders>
                    <w:top w:val="single" w:color="auto" w:sz="4" w:space="0"/>
                    <w:left w:val="single" w:color="auto" w:sz="4" w:space="0"/>
                    <w:bottom w:val="single" w:color="auto" w:sz="4" w:space="0"/>
                    <w:right w:val="single" w:color="auto" w:sz="4" w:space="0"/>
                    <w:tl2br w:val="nil"/>
                    <w:tr2bl w:val="nil"/>
                  </w:tcBorders>
                  <w:noWrap w:val="0"/>
                  <w:vAlign w:val="center"/>
                </w:tcPr>
                <w:p w14:paraId="75D93073">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0"/>
                      <w:sz w:val="21"/>
                      <w:szCs w:val="21"/>
                      <w:highlight w:val="none"/>
                      <w:lang w:bidi="ar"/>
                    </w:rPr>
                  </w:pPr>
                  <w:r>
                    <w:rPr>
                      <w:rFonts w:hint="default" w:ascii="Times New Roman" w:hAnsi="Times New Roman" w:eastAsia="宋体" w:cs="Times New Roman"/>
                      <w:b w:val="0"/>
                      <w:bCs w:val="0"/>
                      <w:color w:val="auto"/>
                      <w:kern w:val="0"/>
                      <w:sz w:val="21"/>
                      <w:szCs w:val="21"/>
                      <w:highlight w:val="none"/>
                      <w:lang w:bidi="ar"/>
                    </w:rPr>
                    <w:t>危险物质名称</w:t>
                  </w:r>
                </w:p>
              </w:tc>
              <w:tc>
                <w:tcPr>
                  <w:tcW w:w="743" w:type="pct"/>
                  <w:tcBorders>
                    <w:top w:val="single" w:color="auto" w:sz="4" w:space="0"/>
                    <w:left w:val="single" w:color="auto" w:sz="4" w:space="0"/>
                    <w:bottom w:val="single" w:color="auto" w:sz="4" w:space="0"/>
                    <w:right w:val="single" w:color="auto" w:sz="4" w:space="0"/>
                    <w:tl2br w:val="nil"/>
                    <w:tr2bl w:val="nil"/>
                  </w:tcBorders>
                  <w:noWrap w:val="0"/>
                  <w:vAlign w:val="center"/>
                </w:tcPr>
                <w:p w14:paraId="45A3C165">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0"/>
                      <w:sz w:val="21"/>
                      <w:szCs w:val="21"/>
                      <w:highlight w:val="none"/>
                      <w:lang w:bidi="ar"/>
                    </w:rPr>
                  </w:pPr>
                  <w:r>
                    <w:rPr>
                      <w:rFonts w:hint="default" w:ascii="Times New Roman" w:hAnsi="Times New Roman" w:eastAsia="宋体" w:cs="Times New Roman"/>
                      <w:b w:val="0"/>
                      <w:bCs w:val="0"/>
                      <w:color w:val="auto"/>
                      <w:kern w:val="0"/>
                      <w:sz w:val="21"/>
                      <w:szCs w:val="21"/>
                      <w:highlight w:val="none"/>
                      <w:lang w:bidi="ar"/>
                    </w:rPr>
                    <w:t>CAS号</w:t>
                  </w:r>
                </w:p>
              </w:tc>
              <w:tc>
                <w:tcPr>
                  <w:tcW w:w="911" w:type="pct"/>
                  <w:tcBorders>
                    <w:top w:val="single" w:color="auto" w:sz="4" w:space="0"/>
                    <w:left w:val="single" w:color="auto" w:sz="4" w:space="0"/>
                    <w:bottom w:val="single" w:color="auto" w:sz="4" w:space="0"/>
                    <w:right w:val="single" w:color="auto" w:sz="4" w:space="0"/>
                    <w:tl2br w:val="nil"/>
                    <w:tr2bl w:val="nil"/>
                  </w:tcBorders>
                  <w:noWrap w:val="0"/>
                  <w:vAlign w:val="center"/>
                </w:tcPr>
                <w:p w14:paraId="7C368390">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0"/>
                      <w:sz w:val="21"/>
                      <w:szCs w:val="21"/>
                      <w:highlight w:val="none"/>
                      <w:lang w:bidi="ar"/>
                    </w:rPr>
                  </w:pPr>
                  <w:r>
                    <w:rPr>
                      <w:rFonts w:hint="default" w:ascii="Times New Roman" w:hAnsi="Times New Roman" w:eastAsia="宋体" w:cs="Times New Roman"/>
                      <w:b w:val="0"/>
                      <w:bCs w:val="0"/>
                      <w:color w:val="auto"/>
                      <w:kern w:val="0"/>
                      <w:sz w:val="21"/>
                      <w:szCs w:val="21"/>
                      <w:highlight w:val="none"/>
                      <w:lang w:bidi="ar"/>
                    </w:rPr>
                    <w:t>临界量</w:t>
                  </w:r>
                </w:p>
                <w:p w14:paraId="7A7B97DE">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0"/>
                      <w:sz w:val="21"/>
                      <w:szCs w:val="21"/>
                      <w:highlight w:val="none"/>
                      <w:lang w:bidi="ar"/>
                    </w:rPr>
                  </w:pPr>
                  <w:r>
                    <w:rPr>
                      <w:rFonts w:hint="default" w:ascii="Times New Roman" w:hAnsi="Times New Roman" w:eastAsia="宋体" w:cs="Times New Roman"/>
                      <w:b w:val="0"/>
                      <w:bCs w:val="0"/>
                      <w:color w:val="auto"/>
                      <w:kern w:val="0"/>
                      <w:sz w:val="21"/>
                      <w:szCs w:val="21"/>
                      <w:highlight w:val="none"/>
                      <w:lang w:bidi="ar"/>
                    </w:rPr>
                    <w:t>Q</w:t>
                  </w:r>
                  <w:r>
                    <w:rPr>
                      <w:rFonts w:hint="default" w:ascii="Times New Roman" w:hAnsi="Times New Roman" w:eastAsia="宋体" w:cs="Times New Roman"/>
                      <w:b w:val="0"/>
                      <w:bCs w:val="0"/>
                      <w:color w:val="auto"/>
                      <w:kern w:val="0"/>
                      <w:sz w:val="21"/>
                      <w:szCs w:val="21"/>
                      <w:highlight w:val="none"/>
                      <w:vertAlign w:val="subscript"/>
                      <w:lang w:bidi="ar"/>
                    </w:rPr>
                    <w:t>n</w:t>
                  </w:r>
                  <w:r>
                    <w:rPr>
                      <w:rFonts w:hint="default" w:ascii="Times New Roman" w:hAnsi="Times New Roman" w:eastAsia="宋体" w:cs="Times New Roman"/>
                      <w:b w:val="0"/>
                      <w:bCs w:val="0"/>
                      <w:color w:val="auto"/>
                      <w:kern w:val="0"/>
                      <w:sz w:val="21"/>
                      <w:szCs w:val="21"/>
                      <w:highlight w:val="none"/>
                      <w:lang w:bidi="ar"/>
                    </w:rPr>
                    <w:t>/t</w:t>
                  </w:r>
                </w:p>
              </w:tc>
              <w:tc>
                <w:tcPr>
                  <w:tcW w:w="644" w:type="pct"/>
                  <w:tcBorders>
                    <w:top w:val="single" w:color="auto" w:sz="4" w:space="0"/>
                    <w:left w:val="single" w:color="auto" w:sz="4" w:space="0"/>
                    <w:bottom w:val="single" w:color="auto" w:sz="4" w:space="0"/>
                    <w:right w:val="single" w:color="auto" w:sz="4" w:space="0"/>
                    <w:tl2br w:val="nil"/>
                    <w:tr2bl w:val="nil"/>
                  </w:tcBorders>
                  <w:noWrap w:val="0"/>
                  <w:vAlign w:val="center"/>
                </w:tcPr>
                <w:p w14:paraId="18DDEBA0">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0"/>
                      <w:sz w:val="21"/>
                      <w:szCs w:val="21"/>
                      <w:highlight w:val="none"/>
                      <w:lang w:bidi="ar"/>
                    </w:rPr>
                  </w:pPr>
                  <w:r>
                    <w:rPr>
                      <w:rFonts w:hint="default" w:ascii="Times New Roman" w:hAnsi="Times New Roman" w:eastAsia="宋体" w:cs="Times New Roman"/>
                      <w:b w:val="0"/>
                      <w:bCs w:val="0"/>
                      <w:color w:val="auto"/>
                      <w:kern w:val="0"/>
                      <w:sz w:val="21"/>
                      <w:szCs w:val="21"/>
                      <w:highlight w:val="none"/>
                      <w:lang w:bidi="ar"/>
                    </w:rPr>
                    <w:t>最大存在总量q</w:t>
                  </w:r>
                  <w:r>
                    <w:rPr>
                      <w:rFonts w:hint="default" w:ascii="Times New Roman" w:hAnsi="Times New Roman" w:eastAsia="宋体" w:cs="Times New Roman"/>
                      <w:b w:val="0"/>
                      <w:bCs w:val="0"/>
                      <w:color w:val="auto"/>
                      <w:kern w:val="0"/>
                      <w:sz w:val="21"/>
                      <w:szCs w:val="21"/>
                      <w:highlight w:val="none"/>
                      <w:vertAlign w:val="subscript"/>
                      <w:lang w:bidi="ar"/>
                    </w:rPr>
                    <w:t>n</w:t>
                  </w:r>
                  <w:r>
                    <w:rPr>
                      <w:rFonts w:hint="default" w:ascii="Times New Roman" w:hAnsi="Times New Roman" w:eastAsia="宋体" w:cs="Times New Roman"/>
                      <w:b w:val="0"/>
                      <w:bCs w:val="0"/>
                      <w:color w:val="auto"/>
                      <w:kern w:val="0"/>
                      <w:sz w:val="21"/>
                      <w:szCs w:val="21"/>
                      <w:highlight w:val="none"/>
                      <w:lang w:bidi="ar"/>
                    </w:rPr>
                    <w:t>/t</w:t>
                  </w:r>
                </w:p>
              </w:tc>
              <w:tc>
                <w:tcPr>
                  <w:tcW w:w="691" w:type="pct"/>
                  <w:tcBorders>
                    <w:top w:val="single" w:color="auto" w:sz="4" w:space="0"/>
                    <w:left w:val="single" w:color="auto" w:sz="4" w:space="0"/>
                    <w:bottom w:val="single" w:color="auto" w:sz="4" w:space="0"/>
                    <w:right w:val="single" w:color="auto" w:sz="4" w:space="0"/>
                    <w:tl2br w:val="nil"/>
                    <w:tr2bl w:val="nil"/>
                  </w:tcBorders>
                  <w:noWrap w:val="0"/>
                  <w:vAlign w:val="center"/>
                </w:tcPr>
                <w:p w14:paraId="0BE14C7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q/Q值</w:t>
                  </w:r>
                </w:p>
              </w:tc>
            </w:tr>
            <w:tr w14:paraId="7E1885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blHeader/>
                <w:jc w:val="center"/>
              </w:trPr>
              <w:tc>
                <w:tcPr>
                  <w:tcW w:w="742" w:type="pct"/>
                  <w:tcBorders>
                    <w:top w:val="single" w:color="auto" w:sz="4" w:space="0"/>
                    <w:left w:val="single" w:color="auto" w:sz="4" w:space="0"/>
                    <w:bottom w:val="single" w:color="auto" w:sz="4" w:space="0"/>
                    <w:right w:val="single" w:color="auto" w:sz="4" w:space="0"/>
                    <w:tl2br w:val="nil"/>
                    <w:tr2bl w:val="nil"/>
                  </w:tcBorders>
                  <w:noWrap w:val="0"/>
                  <w:vAlign w:val="center"/>
                </w:tcPr>
                <w:p w14:paraId="629890A2">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w:t>
                  </w:r>
                </w:p>
              </w:tc>
              <w:tc>
                <w:tcPr>
                  <w:tcW w:w="1265" w:type="pct"/>
                  <w:tcBorders>
                    <w:top w:val="single" w:color="auto" w:sz="4" w:space="0"/>
                    <w:left w:val="single" w:color="auto" w:sz="4" w:space="0"/>
                    <w:bottom w:val="single" w:color="auto" w:sz="4" w:space="0"/>
                    <w:right w:val="single" w:color="auto" w:sz="4" w:space="0"/>
                    <w:tl2br w:val="nil"/>
                    <w:tr2bl w:val="nil"/>
                  </w:tcBorders>
                  <w:noWrap w:val="0"/>
                  <w:vAlign w:val="center"/>
                </w:tcPr>
                <w:p w14:paraId="6FC684B1">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盐酸</w:t>
                  </w:r>
                </w:p>
              </w:tc>
              <w:tc>
                <w:tcPr>
                  <w:tcW w:w="743" w:type="pct"/>
                  <w:tcBorders>
                    <w:top w:val="single" w:color="auto" w:sz="4" w:space="0"/>
                    <w:left w:val="single" w:color="auto" w:sz="4" w:space="0"/>
                    <w:bottom w:val="single" w:color="auto" w:sz="4" w:space="0"/>
                    <w:right w:val="single" w:color="auto" w:sz="4" w:space="0"/>
                    <w:tl2br w:val="nil"/>
                    <w:tr2bl w:val="nil"/>
                  </w:tcBorders>
                  <w:noWrap w:val="0"/>
                  <w:vAlign w:val="center"/>
                </w:tcPr>
                <w:p w14:paraId="20549649">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7647-01-0</w:t>
                  </w:r>
                </w:p>
              </w:tc>
              <w:tc>
                <w:tcPr>
                  <w:tcW w:w="911" w:type="pct"/>
                  <w:tcBorders>
                    <w:top w:val="single" w:color="auto" w:sz="4" w:space="0"/>
                    <w:left w:val="single" w:color="auto" w:sz="4" w:space="0"/>
                    <w:bottom w:val="single" w:color="auto" w:sz="4" w:space="0"/>
                    <w:right w:val="single" w:color="auto" w:sz="4" w:space="0"/>
                    <w:tl2br w:val="nil"/>
                    <w:tr2bl w:val="nil"/>
                  </w:tcBorders>
                  <w:noWrap w:val="0"/>
                  <w:vAlign w:val="center"/>
                </w:tcPr>
                <w:p w14:paraId="06EA9868">
                  <w:pPr>
                    <w:keepNext w:val="0"/>
                    <w:keepLines w:val="0"/>
                    <w:widowControl/>
                    <w:suppressLineNumbers w:val="0"/>
                    <w:jc w:val="center"/>
                    <w:textAlignment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i w:val="0"/>
                      <w:iCs w:val="0"/>
                      <w:color w:val="auto"/>
                      <w:kern w:val="0"/>
                      <w:sz w:val="21"/>
                      <w:szCs w:val="21"/>
                      <w:u w:val="none"/>
                      <w:lang w:val="en-US" w:eastAsia="zh-CN" w:bidi="ar"/>
                    </w:rPr>
                    <w:t>7.5</w:t>
                  </w:r>
                </w:p>
              </w:tc>
              <w:tc>
                <w:tcPr>
                  <w:tcW w:w="644" w:type="pct"/>
                  <w:tcBorders>
                    <w:top w:val="single" w:color="auto" w:sz="4" w:space="0"/>
                    <w:left w:val="single" w:color="auto" w:sz="4" w:space="0"/>
                    <w:bottom w:val="single" w:color="auto" w:sz="4" w:space="0"/>
                    <w:right w:val="single" w:color="auto" w:sz="4" w:space="0"/>
                    <w:tl2br w:val="nil"/>
                    <w:tr2bl w:val="nil"/>
                  </w:tcBorders>
                  <w:noWrap w:val="0"/>
                  <w:vAlign w:val="center"/>
                </w:tcPr>
                <w:p w14:paraId="5E521C93">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0.059</w:t>
                  </w:r>
                </w:p>
              </w:tc>
              <w:tc>
                <w:tcPr>
                  <w:tcW w:w="691" w:type="pct"/>
                  <w:tcBorders>
                    <w:top w:val="single" w:color="auto" w:sz="4" w:space="0"/>
                    <w:left w:val="single" w:color="auto" w:sz="4" w:space="0"/>
                    <w:bottom w:val="single" w:color="auto" w:sz="4" w:space="0"/>
                    <w:right w:val="single" w:color="auto" w:sz="4" w:space="0"/>
                    <w:tl2br w:val="nil"/>
                    <w:tr2bl w:val="nil"/>
                  </w:tcBorders>
                  <w:noWrap w:val="0"/>
                  <w:vAlign w:val="center"/>
                </w:tcPr>
                <w:p w14:paraId="1BA1DA7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0.007867</w:t>
                  </w:r>
                </w:p>
              </w:tc>
            </w:tr>
            <w:tr w14:paraId="6CE4CD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blHeader/>
                <w:jc w:val="center"/>
              </w:trPr>
              <w:tc>
                <w:tcPr>
                  <w:tcW w:w="742" w:type="pct"/>
                  <w:tcBorders>
                    <w:top w:val="single" w:color="auto" w:sz="4" w:space="0"/>
                    <w:left w:val="single" w:color="auto" w:sz="4" w:space="0"/>
                    <w:bottom w:val="single" w:color="auto" w:sz="4" w:space="0"/>
                    <w:right w:val="single" w:color="auto" w:sz="4" w:space="0"/>
                    <w:tl2br w:val="nil"/>
                    <w:tr2bl w:val="nil"/>
                  </w:tcBorders>
                  <w:noWrap w:val="0"/>
                  <w:vAlign w:val="center"/>
                </w:tcPr>
                <w:p w14:paraId="73F30704">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2</w:t>
                  </w:r>
                </w:p>
              </w:tc>
              <w:tc>
                <w:tcPr>
                  <w:tcW w:w="1265" w:type="pct"/>
                  <w:tcBorders>
                    <w:top w:val="single" w:color="auto" w:sz="4" w:space="0"/>
                    <w:left w:val="single" w:color="auto" w:sz="4" w:space="0"/>
                    <w:bottom w:val="single" w:color="auto" w:sz="4" w:space="0"/>
                    <w:right w:val="single" w:color="auto" w:sz="4" w:space="0"/>
                    <w:tl2br w:val="nil"/>
                    <w:tr2bl w:val="nil"/>
                  </w:tcBorders>
                  <w:noWrap w:val="0"/>
                  <w:vAlign w:val="center"/>
                </w:tcPr>
                <w:p w14:paraId="7F8C6063">
                  <w:pPr>
                    <w:keepNext w:val="0"/>
                    <w:keepLines w:val="0"/>
                    <w:widowControl/>
                    <w:suppressLineNumbers w:val="0"/>
                    <w:jc w:val="center"/>
                    <w:textAlignment w:val="center"/>
                    <w:rPr>
                      <w:rFonts w:hint="default" w:ascii="Times New Roman" w:hAnsi="Times New Roman" w:eastAsia="宋体" w:cs="Times New Roman"/>
                      <w:b w:val="0"/>
                      <w:bCs w:val="0"/>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硝酸</w:t>
                  </w:r>
                </w:p>
              </w:tc>
              <w:tc>
                <w:tcPr>
                  <w:tcW w:w="743" w:type="pct"/>
                  <w:tcBorders>
                    <w:top w:val="single" w:color="auto" w:sz="4" w:space="0"/>
                    <w:left w:val="single" w:color="auto" w:sz="4" w:space="0"/>
                    <w:bottom w:val="single" w:color="auto" w:sz="4" w:space="0"/>
                    <w:right w:val="single" w:color="auto" w:sz="4" w:space="0"/>
                    <w:tl2br w:val="nil"/>
                    <w:tr2bl w:val="nil"/>
                  </w:tcBorders>
                  <w:noWrap w:val="0"/>
                  <w:vAlign w:val="center"/>
                </w:tcPr>
                <w:p w14:paraId="6A905FE7">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7697-37-2</w:t>
                  </w:r>
                </w:p>
              </w:tc>
              <w:tc>
                <w:tcPr>
                  <w:tcW w:w="911" w:type="pct"/>
                  <w:tcBorders>
                    <w:top w:val="single" w:color="auto" w:sz="4" w:space="0"/>
                    <w:left w:val="single" w:color="auto" w:sz="4" w:space="0"/>
                    <w:bottom w:val="single" w:color="auto" w:sz="4" w:space="0"/>
                    <w:right w:val="single" w:color="auto" w:sz="4" w:space="0"/>
                    <w:tl2br w:val="nil"/>
                    <w:tr2bl w:val="nil"/>
                  </w:tcBorders>
                  <w:noWrap w:val="0"/>
                  <w:vAlign w:val="center"/>
                </w:tcPr>
                <w:p w14:paraId="5D81C087">
                  <w:pPr>
                    <w:keepNext w:val="0"/>
                    <w:keepLines w:val="0"/>
                    <w:widowControl/>
                    <w:suppressLineNumbers w:val="0"/>
                    <w:jc w:val="center"/>
                    <w:textAlignment w:val="center"/>
                    <w:rPr>
                      <w:rFonts w:hint="eastAsia" w:ascii="Times New Roman" w:hAnsi="Times New Roman" w:eastAsia="宋体" w:cs="Times New Roman"/>
                      <w:b w:val="0"/>
                      <w:bCs w:val="0"/>
                      <w:color w:val="auto"/>
                      <w:kern w:val="0"/>
                      <w:sz w:val="21"/>
                      <w:szCs w:val="21"/>
                      <w:highlight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7.5</w:t>
                  </w:r>
                </w:p>
              </w:tc>
              <w:tc>
                <w:tcPr>
                  <w:tcW w:w="644" w:type="pct"/>
                  <w:tcBorders>
                    <w:top w:val="single" w:color="auto" w:sz="4" w:space="0"/>
                    <w:left w:val="single" w:color="auto" w:sz="4" w:space="0"/>
                    <w:bottom w:val="single" w:color="auto" w:sz="4" w:space="0"/>
                    <w:right w:val="single" w:color="auto" w:sz="4" w:space="0"/>
                    <w:tl2br w:val="nil"/>
                    <w:tr2bl w:val="nil"/>
                  </w:tcBorders>
                  <w:noWrap w:val="0"/>
                  <w:vAlign w:val="center"/>
                </w:tcPr>
                <w:p w14:paraId="6B9D4652">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0.0284</w:t>
                  </w:r>
                </w:p>
              </w:tc>
              <w:tc>
                <w:tcPr>
                  <w:tcW w:w="691" w:type="pct"/>
                  <w:tcBorders>
                    <w:top w:val="single" w:color="auto" w:sz="4" w:space="0"/>
                    <w:left w:val="single" w:color="auto" w:sz="4" w:space="0"/>
                    <w:bottom w:val="single" w:color="auto" w:sz="4" w:space="0"/>
                    <w:right w:val="single" w:color="auto" w:sz="4" w:space="0"/>
                    <w:tl2br w:val="nil"/>
                    <w:tr2bl w:val="nil"/>
                  </w:tcBorders>
                  <w:noWrap w:val="0"/>
                  <w:vAlign w:val="center"/>
                </w:tcPr>
                <w:p w14:paraId="43884D8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0.003787</w:t>
                  </w:r>
                </w:p>
              </w:tc>
            </w:tr>
            <w:tr w14:paraId="53E179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blHeader/>
                <w:jc w:val="center"/>
              </w:trPr>
              <w:tc>
                <w:tcPr>
                  <w:tcW w:w="742" w:type="pct"/>
                  <w:tcBorders>
                    <w:top w:val="single" w:color="auto" w:sz="4" w:space="0"/>
                    <w:left w:val="single" w:color="auto" w:sz="4" w:space="0"/>
                    <w:bottom w:val="single" w:color="auto" w:sz="4" w:space="0"/>
                    <w:right w:val="single" w:color="auto" w:sz="4" w:space="0"/>
                    <w:tl2br w:val="nil"/>
                    <w:tr2bl w:val="nil"/>
                  </w:tcBorders>
                  <w:noWrap w:val="0"/>
                  <w:vAlign w:val="center"/>
                </w:tcPr>
                <w:p w14:paraId="17013940">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3</w:t>
                  </w:r>
                </w:p>
              </w:tc>
              <w:tc>
                <w:tcPr>
                  <w:tcW w:w="1265" w:type="pct"/>
                  <w:tcBorders>
                    <w:top w:val="single" w:color="auto" w:sz="4" w:space="0"/>
                    <w:left w:val="single" w:color="auto" w:sz="4" w:space="0"/>
                    <w:bottom w:val="single" w:color="auto" w:sz="4" w:space="0"/>
                    <w:right w:val="single" w:color="auto" w:sz="4" w:space="0"/>
                    <w:tl2br w:val="nil"/>
                    <w:tr2bl w:val="nil"/>
                  </w:tcBorders>
                  <w:noWrap w:val="0"/>
                  <w:vAlign w:val="center"/>
                </w:tcPr>
                <w:p w14:paraId="7B1BB90C">
                  <w:pPr>
                    <w:keepNext w:val="0"/>
                    <w:keepLines w:val="0"/>
                    <w:widowControl/>
                    <w:suppressLineNumbers w:val="0"/>
                    <w:jc w:val="center"/>
                    <w:textAlignment w:val="center"/>
                    <w:rPr>
                      <w:rFonts w:hint="default" w:ascii="Times New Roman" w:hAnsi="Times New Roman" w:eastAsia="宋体" w:cs="Times New Roman"/>
                      <w:b w:val="0"/>
                      <w:bCs w:val="0"/>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硫酸</w:t>
                  </w:r>
                </w:p>
              </w:tc>
              <w:tc>
                <w:tcPr>
                  <w:tcW w:w="743" w:type="pct"/>
                  <w:tcBorders>
                    <w:top w:val="single" w:color="auto" w:sz="4" w:space="0"/>
                    <w:left w:val="single" w:color="auto" w:sz="4" w:space="0"/>
                    <w:bottom w:val="single" w:color="auto" w:sz="4" w:space="0"/>
                    <w:right w:val="single" w:color="auto" w:sz="4" w:space="0"/>
                    <w:tl2br w:val="nil"/>
                    <w:tr2bl w:val="nil"/>
                  </w:tcBorders>
                  <w:noWrap w:val="0"/>
                  <w:vAlign w:val="center"/>
                </w:tcPr>
                <w:p w14:paraId="5D7C2486">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7664-93-9</w:t>
                  </w:r>
                </w:p>
              </w:tc>
              <w:tc>
                <w:tcPr>
                  <w:tcW w:w="911" w:type="pct"/>
                  <w:tcBorders>
                    <w:top w:val="single" w:color="auto" w:sz="4" w:space="0"/>
                    <w:left w:val="single" w:color="auto" w:sz="4" w:space="0"/>
                    <w:bottom w:val="single" w:color="auto" w:sz="4" w:space="0"/>
                    <w:right w:val="single" w:color="auto" w:sz="4" w:space="0"/>
                    <w:tl2br w:val="nil"/>
                    <w:tr2bl w:val="nil"/>
                  </w:tcBorders>
                  <w:noWrap w:val="0"/>
                  <w:vAlign w:val="center"/>
                </w:tcPr>
                <w:p w14:paraId="34CF9E95">
                  <w:pPr>
                    <w:keepNext w:val="0"/>
                    <w:keepLines w:val="0"/>
                    <w:widowControl/>
                    <w:suppressLineNumbers w:val="0"/>
                    <w:jc w:val="center"/>
                    <w:textAlignment w:val="center"/>
                    <w:rPr>
                      <w:rFonts w:hint="eastAsia" w:ascii="Times New Roman" w:hAnsi="Times New Roman" w:eastAsia="宋体" w:cs="Times New Roman"/>
                      <w:b w:val="0"/>
                      <w:bCs w:val="0"/>
                      <w:color w:val="auto"/>
                      <w:kern w:val="0"/>
                      <w:sz w:val="21"/>
                      <w:szCs w:val="21"/>
                      <w:highlight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10</w:t>
                  </w:r>
                </w:p>
              </w:tc>
              <w:tc>
                <w:tcPr>
                  <w:tcW w:w="644" w:type="pct"/>
                  <w:tcBorders>
                    <w:top w:val="single" w:color="auto" w:sz="4" w:space="0"/>
                    <w:left w:val="single" w:color="auto" w:sz="4" w:space="0"/>
                    <w:bottom w:val="single" w:color="auto" w:sz="4" w:space="0"/>
                    <w:right w:val="single" w:color="auto" w:sz="4" w:space="0"/>
                    <w:tl2br w:val="nil"/>
                    <w:tr2bl w:val="nil"/>
                  </w:tcBorders>
                  <w:noWrap w:val="0"/>
                  <w:vAlign w:val="center"/>
                </w:tcPr>
                <w:p w14:paraId="6FA876B1">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0.0046</w:t>
                  </w:r>
                </w:p>
              </w:tc>
              <w:tc>
                <w:tcPr>
                  <w:tcW w:w="691" w:type="pct"/>
                  <w:tcBorders>
                    <w:top w:val="single" w:color="auto" w:sz="4" w:space="0"/>
                    <w:left w:val="single" w:color="auto" w:sz="4" w:space="0"/>
                    <w:bottom w:val="single" w:color="auto" w:sz="4" w:space="0"/>
                    <w:right w:val="single" w:color="auto" w:sz="4" w:space="0"/>
                    <w:tl2br w:val="nil"/>
                    <w:tr2bl w:val="nil"/>
                  </w:tcBorders>
                  <w:noWrap w:val="0"/>
                  <w:vAlign w:val="center"/>
                </w:tcPr>
                <w:p w14:paraId="7FF45F4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0.000460</w:t>
                  </w:r>
                </w:p>
              </w:tc>
            </w:tr>
            <w:tr w14:paraId="3DA8D3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blHeader/>
                <w:jc w:val="center"/>
              </w:trPr>
              <w:tc>
                <w:tcPr>
                  <w:tcW w:w="742" w:type="pct"/>
                  <w:tcBorders>
                    <w:top w:val="single" w:color="auto" w:sz="4" w:space="0"/>
                    <w:left w:val="single" w:color="auto" w:sz="4" w:space="0"/>
                    <w:bottom w:val="single" w:color="auto" w:sz="4" w:space="0"/>
                    <w:right w:val="single" w:color="auto" w:sz="4" w:space="0"/>
                    <w:tl2br w:val="nil"/>
                    <w:tr2bl w:val="nil"/>
                  </w:tcBorders>
                  <w:noWrap w:val="0"/>
                  <w:vAlign w:val="center"/>
                </w:tcPr>
                <w:p w14:paraId="2E2D393C">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4</w:t>
                  </w:r>
                </w:p>
              </w:tc>
              <w:tc>
                <w:tcPr>
                  <w:tcW w:w="1265" w:type="pct"/>
                  <w:tcBorders>
                    <w:top w:val="single" w:color="auto" w:sz="4" w:space="0"/>
                    <w:left w:val="single" w:color="auto" w:sz="4" w:space="0"/>
                    <w:bottom w:val="single" w:color="auto" w:sz="4" w:space="0"/>
                    <w:right w:val="single" w:color="auto" w:sz="4" w:space="0"/>
                    <w:tl2br w:val="nil"/>
                    <w:tr2bl w:val="nil"/>
                  </w:tcBorders>
                  <w:noWrap w:val="0"/>
                  <w:vAlign w:val="center"/>
                </w:tcPr>
                <w:p w14:paraId="45451AFE">
                  <w:pPr>
                    <w:keepNext w:val="0"/>
                    <w:keepLines w:val="0"/>
                    <w:widowControl/>
                    <w:suppressLineNumbers w:val="0"/>
                    <w:jc w:val="center"/>
                    <w:textAlignment w:val="center"/>
                    <w:rPr>
                      <w:rFonts w:hint="default" w:ascii="Times New Roman" w:hAnsi="Times New Roman" w:eastAsia="宋体" w:cs="Times New Roman"/>
                      <w:b w:val="0"/>
                      <w:bCs w:val="0"/>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高氯酸</w:t>
                  </w:r>
                </w:p>
              </w:tc>
              <w:tc>
                <w:tcPr>
                  <w:tcW w:w="743" w:type="pct"/>
                  <w:tcBorders>
                    <w:top w:val="single" w:color="auto" w:sz="4" w:space="0"/>
                    <w:left w:val="single" w:color="auto" w:sz="4" w:space="0"/>
                    <w:bottom w:val="single" w:color="auto" w:sz="4" w:space="0"/>
                    <w:right w:val="single" w:color="auto" w:sz="4" w:space="0"/>
                    <w:tl2br w:val="nil"/>
                    <w:tr2bl w:val="nil"/>
                  </w:tcBorders>
                  <w:noWrap w:val="0"/>
                  <w:vAlign w:val="center"/>
                </w:tcPr>
                <w:p w14:paraId="1C8458F0">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i w:val="0"/>
                      <w:iCs w:val="0"/>
                      <w:color w:val="auto"/>
                      <w:kern w:val="0"/>
                      <w:sz w:val="21"/>
                      <w:szCs w:val="21"/>
                      <w:u w:val="none"/>
                      <w:lang w:val="en-US" w:eastAsia="zh-CN" w:bidi="ar"/>
                    </w:rPr>
                    <w:t>/</w:t>
                  </w:r>
                </w:p>
              </w:tc>
              <w:tc>
                <w:tcPr>
                  <w:tcW w:w="911" w:type="pct"/>
                  <w:tcBorders>
                    <w:top w:val="single" w:color="auto" w:sz="4" w:space="0"/>
                    <w:left w:val="single" w:color="auto" w:sz="4" w:space="0"/>
                    <w:bottom w:val="single" w:color="auto" w:sz="4" w:space="0"/>
                    <w:right w:val="single" w:color="auto" w:sz="4" w:space="0"/>
                    <w:tl2br w:val="nil"/>
                    <w:tr2bl w:val="nil"/>
                  </w:tcBorders>
                  <w:noWrap w:val="0"/>
                  <w:vAlign w:val="center"/>
                </w:tcPr>
                <w:p w14:paraId="4D5CD814">
                  <w:pPr>
                    <w:keepNext w:val="0"/>
                    <w:keepLines w:val="0"/>
                    <w:widowControl/>
                    <w:suppressLineNumbers w:val="0"/>
                    <w:jc w:val="center"/>
                    <w:textAlignment w:val="center"/>
                    <w:rPr>
                      <w:rFonts w:hint="eastAsia" w:ascii="Times New Roman" w:hAnsi="Times New Roman" w:eastAsia="宋体" w:cs="Times New Roman"/>
                      <w:b w:val="0"/>
                      <w:bCs w:val="0"/>
                      <w:color w:val="auto"/>
                      <w:kern w:val="0"/>
                      <w:sz w:val="21"/>
                      <w:szCs w:val="21"/>
                      <w:highlight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50</w:t>
                  </w:r>
                </w:p>
              </w:tc>
              <w:tc>
                <w:tcPr>
                  <w:tcW w:w="644" w:type="pct"/>
                  <w:tcBorders>
                    <w:top w:val="single" w:color="auto" w:sz="4" w:space="0"/>
                    <w:left w:val="single" w:color="auto" w:sz="4" w:space="0"/>
                    <w:bottom w:val="single" w:color="auto" w:sz="4" w:space="0"/>
                    <w:right w:val="single" w:color="auto" w:sz="4" w:space="0"/>
                    <w:tl2br w:val="nil"/>
                    <w:tr2bl w:val="nil"/>
                  </w:tcBorders>
                  <w:noWrap w:val="0"/>
                  <w:vAlign w:val="center"/>
                </w:tcPr>
                <w:p w14:paraId="090AA3A5">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0.00176</w:t>
                  </w:r>
                </w:p>
              </w:tc>
              <w:tc>
                <w:tcPr>
                  <w:tcW w:w="691" w:type="pct"/>
                  <w:tcBorders>
                    <w:top w:val="single" w:color="auto" w:sz="4" w:space="0"/>
                    <w:left w:val="single" w:color="auto" w:sz="4" w:space="0"/>
                    <w:bottom w:val="single" w:color="auto" w:sz="4" w:space="0"/>
                    <w:right w:val="single" w:color="auto" w:sz="4" w:space="0"/>
                    <w:tl2br w:val="nil"/>
                    <w:tr2bl w:val="nil"/>
                  </w:tcBorders>
                  <w:noWrap w:val="0"/>
                  <w:vAlign w:val="center"/>
                </w:tcPr>
                <w:p w14:paraId="07FF654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0.000035</w:t>
                  </w:r>
                </w:p>
              </w:tc>
            </w:tr>
            <w:tr w14:paraId="442ACC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blHeader/>
                <w:jc w:val="center"/>
              </w:trPr>
              <w:tc>
                <w:tcPr>
                  <w:tcW w:w="742" w:type="pct"/>
                  <w:tcBorders>
                    <w:top w:val="single" w:color="auto" w:sz="4" w:space="0"/>
                    <w:left w:val="single" w:color="auto" w:sz="4" w:space="0"/>
                    <w:bottom w:val="single" w:color="auto" w:sz="4" w:space="0"/>
                    <w:right w:val="single" w:color="auto" w:sz="4" w:space="0"/>
                    <w:tl2br w:val="nil"/>
                    <w:tr2bl w:val="nil"/>
                  </w:tcBorders>
                  <w:noWrap w:val="0"/>
                  <w:vAlign w:val="center"/>
                </w:tcPr>
                <w:p w14:paraId="6A1338E5">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5</w:t>
                  </w:r>
                </w:p>
              </w:tc>
              <w:tc>
                <w:tcPr>
                  <w:tcW w:w="1265" w:type="pct"/>
                  <w:tcBorders>
                    <w:top w:val="single" w:color="auto" w:sz="4" w:space="0"/>
                    <w:left w:val="single" w:color="auto" w:sz="4" w:space="0"/>
                    <w:bottom w:val="single" w:color="auto" w:sz="4" w:space="0"/>
                    <w:right w:val="single" w:color="auto" w:sz="4" w:space="0"/>
                    <w:tl2br w:val="nil"/>
                    <w:tr2bl w:val="nil"/>
                  </w:tcBorders>
                  <w:noWrap w:val="0"/>
                  <w:vAlign w:val="center"/>
                </w:tcPr>
                <w:p w14:paraId="1EAC2ACD">
                  <w:pPr>
                    <w:keepNext w:val="0"/>
                    <w:keepLines w:val="0"/>
                    <w:widowControl/>
                    <w:suppressLineNumbers w:val="0"/>
                    <w:jc w:val="center"/>
                    <w:textAlignment w:val="center"/>
                    <w:rPr>
                      <w:rFonts w:hint="default" w:ascii="Times New Roman" w:hAnsi="Times New Roman" w:eastAsia="宋体" w:cs="Times New Roman"/>
                      <w:b w:val="0"/>
                      <w:bCs w:val="0"/>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氢氟酸</w:t>
                  </w:r>
                </w:p>
              </w:tc>
              <w:tc>
                <w:tcPr>
                  <w:tcW w:w="743" w:type="pct"/>
                  <w:tcBorders>
                    <w:top w:val="single" w:color="auto" w:sz="4" w:space="0"/>
                    <w:left w:val="single" w:color="auto" w:sz="4" w:space="0"/>
                    <w:bottom w:val="single" w:color="auto" w:sz="4" w:space="0"/>
                    <w:right w:val="single" w:color="auto" w:sz="4" w:space="0"/>
                    <w:tl2br w:val="nil"/>
                    <w:tr2bl w:val="nil"/>
                  </w:tcBorders>
                  <w:noWrap w:val="0"/>
                  <w:vAlign w:val="center"/>
                </w:tcPr>
                <w:p w14:paraId="13B676D9">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7664-39-3</w:t>
                  </w:r>
                </w:p>
              </w:tc>
              <w:tc>
                <w:tcPr>
                  <w:tcW w:w="911" w:type="pct"/>
                  <w:tcBorders>
                    <w:top w:val="single" w:color="auto" w:sz="4" w:space="0"/>
                    <w:left w:val="single" w:color="auto" w:sz="4" w:space="0"/>
                    <w:bottom w:val="single" w:color="auto" w:sz="4" w:space="0"/>
                    <w:right w:val="single" w:color="auto" w:sz="4" w:space="0"/>
                    <w:tl2br w:val="nil"/>
                    <w:tr2bl w:val="nil"/>
                  </w:tcBorders>
                  <w:noWrap w:val="0"/>
                  <w:vAlign w:val="center"/>
                </w:tcPr>
                <w:p w14:paraId="430A5A14">
                  <w:pPr>
                    <w:keepNext w:val="0"/>
                    <w:keepLines w:val="0"/>
                    <w:widowControl/>
                    <w:suppressLineNumbers w:val="0"/>
                    <w:jc w:val="center"/>
                    <w:textAlignment w:val="center"/>
                    <w:rPr>
                      <w:rFonts w:hint="eastAsia" w:ascii="Times New Roman" w:hAnsi="Times New Roman" w:eastAsia="宋体" w:cs="Times New Roman"/>
                      <w:b w:val="0"/>
                      <w:bCs w:val="0"/>
                      <w:color w:val="auto"/>
                      <w:kern w:val="0"/>
                      <w:sz w:val="21"/>
                      <w:szCs w:val="21"/>
                      <w:highlight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1</w:t>
                  </w:r>
                </w:p>
              </w:tc>
              <w:tc>
                <w:tcPr>
                  <w:tcW w:w="644" w:type="pct"/>
                  <w:tcBorders>
                    <w:top w:val="single" w:color="auto" w:sz="4" w:space="0"/>
                    <w:left w:val="single" w:color="auto" w:sz="4" w:space="0"/>
                    <w:bottom w:val="single" w:color="auto" w:sz="4" w:space="0"/>
                    <w:right w:val="single" w:color="auto" w:sz="4" w:space="0"/>
                    <w:tl2br w:val="nil"/>
                    <w:tr2bl w:val="nil"/>
                  </w:tcBorders>
                  <w:noWrap w:val="0"/>
                  <w:vAlign w:val="center"/>
                </w:tcPr>
                <w:p w14:paraId="25051DD6">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0.00115</w:t>
                  </w:r>
                </w:p>
              </w:tc>
              <w:tc>
                <w:tcPr>
                  <w:tcW w:w="691" w:type="pct"/>
                  <w:tcBorders>
                    <w:top w:val="single" w:color="auto" w:sz="4" w:space="0"/>
                    <w:left w:val="single" w:color="auto" w:sz="4" w:space="0"/>
                    <w:bottom w:val="single" w:color="auto" w:sz="4" w:space="0"/>
                    <w:right w:val="single" w:color="auto" w:sz="4" w:space="0"/>
                    <w:tl2br w:val="nil"/>
                    <w:tr2bl w:val="nil"/>
                  </w:tcBorders>
                  <w:noWrap w:val="0"/>
                  <w:vAlign w:val="center"/>
                </w:tcPr>
                <w:p w14:paraId="547309F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0.001150</w:t>
                  </w:r>
                </w:p>
              </w:tc>
            </w:tr>
            <w:tr w14:paraId="5FF345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blHeader/>
                <w:jc w:val="center"/>
              </w:trPr>
              <w:tc>
                <w:tcPr>
                  <w:tcW w:w="742" w:type="pct"/>
                  <w:tcBorders>
                    <w:top w:val="single" w:color="auto" w:sz="4" w:space="0"/>
                    <w:left w:val="single" w:color="auto" w:sz="4" w:space="0"/>
                    <w:bottom w:val="single" w:color="auto" w:sz="4" w:space="0"/>
                    <w:right w:val="single" w:color="auto" w:sz="4" w:space="0"/>
                    <w:tl2br w:val="nil"/>
                    <w:tr2bl w:val="nil"/>
                  </w:tcBorders>
                  <w:noWrap w:val="0"/>
                  <w:vAlign w:val="center"/>
                </w:tcPr>
                <w:p w14:paraId="7A22B68B">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6</w:t>
                  </w:r>
                </w:p>
              </w:tc>
              <w:tc>
                <w:tcPr>
                  <w:tcW w:w="1265" w:type="pct"/>
                  <w:tcBorders>
                    <w:top w:val="single" w:color="auto" w:sz="4" w:space="0"/>
                    <w:left w:val="single" w:color="auto" w:sz="4" w:space="0"/>
                    <w:bottom w:val="single" w:color="auto" w:sz="4" w:space="0"/>
                    <w:right w:val="single" w:color="auto" w:sz="4" w:space="0"/>
                    <w:tl2br w:val="nil"/>
                    <w:tr2bl w:val="nil"/>
                  </w:tcBorders>
                  <w:noWrap w:val="0"/>
                  <w:vAlign w:val="center"/>
                </w:tcPr>
                <w:p w14:paraId="2B3B567F">
                  <w:pPr>
                    <w:keepNext w:val="0"/>
                    <w:keepLines w:val="0"/>
                    <w:widowControl/>
                    <w:suppressLineNumbers w:val="0"/>
                    <w:jc w:val="center"/>
                    <w:textAlignment w:val="center"/>
                    <w:rPr>
                      <w:rFonts w:hint="default" w:ascii="Times New Roman" w:hAnsi="Times New Roman" w:eastAsia="宋体" w:cs="Times New Roman"/>
                      <w:b w:val="0"/>
                      <w:bCs w:val="0"/>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过氧化钠</w:t>
                  </w:r>
                </w:p>
              </w:tc>
              <w:tc>
                <w:tcPr>
                  <w:tcW w:w="743" w:type="pct"/>
                  <w:tcBorders>
                    <w:top w:val="single" w:color="auto" w:sz="4" w:space="0"/>
                    <w:left w:val="single" w:color="auto" w:sz="4" w:space="0"/>
                    <w:bottom w:val="single" w:color="auto" w:sz="4" w:space="0"/>
                    <w:right w:val="single" w:color="auto" w:sz="4" w:space="0"/>
                    <w:tl2br w:val="nil"/>
                    <w:tr2bl w:val="nil"/>
                  </w:tcBorders>
                  <w:noWrap w:val="0"/>
                  <w:vAlign w:val="center"/>
                </w:tcPr>
                <w:p w14:paraId="1FB04271">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1313-60-6</w:t>
                  </w:r>
                </w:p>
              </w:tc>
              <w:tc>
                <w:tcPr>
                  <w:tcW w:w="911" w:type="pct"/>
                  <w:tcBorders>
                    <w:top w:val="single" w:color="auto" w:sz="4" w:space="0"/>
                    <w:left w:val="single" w:color="auto" w:sz="4" w:space="0"/>
                    <w:bottom w:val="single" w:color="auto" w:sz="4" w:space="0"/>
                    <w:right w:val="single" w:color="auto" w:sz="4" w:space="0"/>
                    <w:tl2br w:val="nil"/>
                    <w:tr2bl w:val="nil"/>
                  </w:tcBorders>
                  <w:noWrap w:val="0"/>
                  <w:vAlign w:val="center"/>
                </w:tcPr>
                <w:p w14:paraId="13A6BDD8">
                  <w:pPr>
                    <w:keepNext w:val="0"/>
                    <w:keepLines w:val="0"/>
                    <w:widowControl/>
                    <w:suppressLineNumbers w:val="0"/>
                    <w:jc w:val="center"/>
                    <w:textAlignment w:val="center"/>
                    <w:rPr>
                      <w:rFonts w:hint="eastAsia" w:ascii="Times New Roman" w:hAnsi="Times New Roman" w:eastAsia="宋体" w:cs="Times New Roman"/>
                      <w:b w:val="0"/>
                      <w:bCs w:val="0"/>
                      <w:color w:val="auto"/>
                      <w:kern w:val="0"/>
                      <w:sz w:val="21"/>
                      <w:szCs w:val="21"/>
                      <w:highlight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10</w:t>
                  </w:r>
                </w:p>
              </w:tc>
              <w:tc>
                <w:tcPr>
                  <w:tcW w:w="644" w:type="pct"/>
                  <w:tcBorders>
                    <w:top w:val="single" w:color="auto" w:sz="4" w:space="0"/>
                    <w:left w:val="single" w:color="auto" w:sz="4" w:space="0"/>
                    <w:bottom w:val="single" w:color="auto" w:sz="4" w:space="0"/>
                    <w:right w:val="single" w:color="auto" w:sz="4" w:space="0"/>
                    <w:tl2br w:val="nil"/>
                    <w:tr2bl w:val="nil"/>
                  </w:tcBorders>
                  <w:noWrap w:val="0"/>
                  <w:vAlign w:val="center"/>
                </w:tcPr>
                <w:p w14:paraId="751F814D">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0.0005</w:t>
                  </w:r>
                </w:p>
              </w:tc>
              <w:tc>
                <w:tcPr>
                  <w:tcW w:w="691" w:type="pct"/>
                  <w:tcBorders>
                    <w:top w:val="single" w:color="auto" w:sz="4" w:space="0"/>
                    <w:left w:val="single" w:color="auto" w:sz="4" w:space="0"/>
                    <w:bottom w:val="single" w:color="auto" w:sz="4" w:space="0"/>
                    <w:right w:val="single" w:color="auto" w:sz="4" w:space="0"/>
                    <w:tl2br w:val="nil"/>
                    <w:tr2bl w:val="nil"/>
                  </w:tcBorders>
                  <w:noWrap w:val="0"/>
                  <w:vAlign w:val="center"/>
                </w:tcPr>
                <w:p w14:paraId="4B48F87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0.000050</w:t>
                  </w:r>
                </w:p>
              </w:tc>
            </w:tr>
            <w:tr w14:paraId="37A9FF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blHeader/>
                <w:jc w:val="center"/>
              </w:trPr>
              <w:tc>
                <w:tcPr>
                  <w:tcW w:w="742" w:type="pct"/>
                  <w:tcBorders>
                    <w:top w:val="single" w:color="auto" w:sz="4" w:space="0"/>
                    <w:left w:val="single" w:color="auto" w:sz="4" w:space="0"/>
                    <w:bottom w:val="single" w:color="auto" w:sz="4" w:space="0"/>
                    <w:right w:val="single" w:color="auto" w:sz="4" w:space="0"/>
                    <w:tl2br w:val="nil"/>
                    <w:tr2bl w:val="nil"/>
                  </w:tcBorders>
                  <w:noWrap w:val="0"/>
                  <w:vAlign w:val="center"/>
                </w:tcPr>
                <w:p w14:paraId="47C9E97F">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7</w:t>
                  </w:r>
                </w:p>
              </w:tc>
              <w:tc>
                <w:tcPr>
                  <w:tcW w:w="1265" w:type="pct"/>
                  <w:tcBorders>
                    <w:top w:val="single" w:color="auto" w:sz="4" w:space="0"/>
                    <w:left w:val="single" w:color="auto" w:sz="4" w:space="0"/>
                    <w:bottom w:val="single" w:color="auto" w:sz="4" w:space="0"/>
                    <w:right w:val="single" w:color="auto" w:sz="4" w:space="0"/>
                    <w:tl2br w:val="nil"/>
                    <w:tr2bl w:val="nil"/>
                  </w:tcBorders>
                  <w:noWrap w:val="0"/>
                  <w:vAlign w:val="center"/>
                </w:tcPr>
                <w:p w14:paraId="0C7F7F54">
                  <w:pPr>
                    <w:keepNext w:val="0"/>
                    <w:keepLines w:val="0"/>
                    <w:widowControl/>
                    <w:suppressLineNumbers w:val="0"/>
                    <w:jc w:val="center"/>
                    <w:textAlignment w:val="center"/>
                    <w:rPr>
                      <w:rFonts w:hint="default" w:ascii="Times New Roman" w:hAnsi="Times New Roman" w:eastAsia="宋体" w:cs="Times New Roman"/>
                      <w:b w:val="0"/>
                      <w:bCs w:val="0"/>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冰乙酸</w:t>
                  </w:r>
                </w:p>
              </w:tc>
              <w:tc>
                <w:tcPr>
                  <w:tcW w:w="743" w:type="pct"/>
                  <w:tcBorders>
                    <w:top w:val="single" w:color="auto" w:sz="4" w:space="0"/>
                    <w:left w:val="single" w:color="auto" w:sz="4" w:space="0"/>
                    <w:bottom w:val="single" w:color="auto" w:sz="4" w:space="0"/>
                    <w:right w:val="single" w:color="auto" w:sz="4" w:space="0"/>
                    <w:tl2br w:val="nil"/>
                    <w:tr2bl w:val="nil"/>
                  </w:tcBorders>
                  <w:noWrap w:val="0"/>
                  <w:vAlign w:val="center"/>
                </w:tcPr>
                <w:p w14:paraId="4329ABEA">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64-19-7</w:t>
                  </w:r>
                </w:p>
              </w:tc>
              <w:tc>
                <w:tcPr>
                  <w:tcW w:w="911" w:type="pct"/>
                  <w:tcBorders>
                    <w:top w:val="single" w:color="auto" w:sz="4" w:space="0"/>
                    <w:left w:val="single" w:color="auto" w:sz="4" w:space="0"/>
                    <w:bottom w:val="single" w:color="auto" w:sz="4" w:space="0"/>
                    <w:right w:val="single" w:color="auto" w:sz="4" w:space="0"/>
                    <w:tl2br w:val="nil"/>
                    <w:tr2bl w:val="nil"/>
                  </w:tcBorders>
                  <w:noWrap w:val="0"/>
                  <w:vAlign w:val="center"/>
                </w:tcPr>
                <w:p w14:paraId="12274131">
                  <w:pPr>
                    <w:keepNext w:val="0"/>
                    <w:keepLines w:val="0"/>
                    <w:widowControl/>
                    <w:suppressLineNumbers w:val="0"/>
                    <w:jc w:val="center"/>
                    <w:textAlignment w:val="center"/>
                    <w:rPr>
                      <w:rFonts w:hint="eastAsia" w:ascii="Times New Roman" w:hAnsi="Times New Roman" w:eastAsia="宋体" w:cs="Times New Roman"/>
                      <w:b w:val="0"/>
                      <w:bCs w:val="0"/>
                      <w:color w:val="auto"/>
                      <w:kern w:val="0"/>
                      <w:sz w:val="21"/>
                      <w:szCs w:val="21"/>
                      <w:highlight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500</w:t>
                  </w:r>
                </w:p>
              </w:tc>
              <w:tc>
                <w:tcPr>
                  <w:tcW w:w="644" w:type="pct"/>
                  <w:tcBorders>
                    <w:top w:val="single" w:color="auto" w:sz="4" w:space="0"/>
                    <w:left w:val="single" w:color="auto" w:sz="4" w:space="0"/>
                    <w:bottom w:val="single" w:color="auto" w:sz="4" w:space="0"/>
                    <w:right w:val="single" w:color="auto" w:sz="4" w:space="0"/>
                    <w:tl2br w:val="nil"/>
                    <w:tr2bl w:val="nil"/>
                  </w:tcBorders>
                  <w:noWrap w:val="0"/>
                  <w:vAlign w:val="center"/>
                </w:tcPr>
                <w:p w14:paraId="0B832D50">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0.000525</w:t>
                  </w:r>
                </w:p>
              </w:tc>
              <w:tc>
                <w:tcPr>
                  <w:tcW w:w="691" w:type="pct"/>
                  <w:tcBorders>
                    <w:top w:val="single" w:color="auto" w:sz="4" w:space="0"/>
                    <w:left w:val="single" w:color="auto" w:sz="4" w:space="0"/>
                    <w:bottom w:val="single" w:color="auto" w:sz="4" w:space="0"/>
                    <w:right w:val="single" w:color="auto" w:sz="4" w:space="0"/>
                    <w:tl2br w:val="nil"/>
                    <w:tr2bl w:val="nil"/>
                  </w:tcBorders>
                  <w:noWrap w:val="0"/>
                  <w:vAlign w:val="center"/>
                </w:tcPr>
                <w:p w14:paraId="0286DB0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0.000001</w:t>
                  </w:r>
                </w:p>
              </w:tc>
            </w:tr>
            <w:tr w14:paraId="0EEA44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blHeader/>
                <w:jc w:val="center"/>
              </w:trPr>
              <w:tc>
                <w:tcPr>
                  <w:tcW w:w="742" w:type="pct"/>
                  <w:tcBorders>
                    <w:top w:val="single" w:color="auto" w:sz="4" w:space="0"/>
                    <w:left w:val="single" w:color="auto" w:sz="4" w:space="0"/>
                    <w:bottom w:val="single" w:color="auto" w:sz="4" w:space="0"/>
                    <w:right w:val="single" w:color="auto" w:sz="4" w:space="0"/>
                    <w:tl2br w:val="nil"/>
                    <w:tr2bl w:val="nil"/>
                  </w:tcBorders>
                  <w:noWrap w:val="0"/>
                  <w:vAlign w:val="center"/>
                </w:tcPr>
                <w:p w14:paraId="09E1700B">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8</w:t>
                  </w:r>
                </w:p>
              </w:tc>
              <w:tc>
                <w:tcPr>
                  <w:tcW w:w="1265" w:type="pct"/>
                  <w:tcBorders>
                    <w:top w:val="single" w:color="auto" w:sz="4" w:space="0"/>
                    <w:left w:val="single" w:color="auto" w:sz="4" w:space="0"/>
                    <w:bottom w:val="single" w:color="auto" w:sz="4" w:space="0"/>
                    <w:right w:val="single" w:color="auto" w:sz="4" w:space="0"/>
                    <w:tl2br w:val="nil"/>
                    <w:tr2bl w:val="nil"/>
                  </w:tcBorders>
                  <w:noWrap w:val="0"/>
                  <w:vAlign w:val="center"/>
                </w:tcPr>
                <w:p w14:paraId="63C36468">
                  <w:pPr>
                    <w:keepNext w:val="0"/>
                    <w:keepLines w:val="0"/>
                    <w:widowControl/>
                    <w:suppressLineNumbers w:val="0"/>
                    <w:jc w:val="center"/>
                    <w:textAlignment w:val="center"/>
                    <w:rPr>
                      <w:rFonts w:hint="default" w:ascii="Times New Roman" w:hAnsi="Times New Roman" w:eastAsia="宋体" w:cs="Times New Roman"/>
                      <w:b w:val="0"/>
                      <w:bCs w:val="0"/>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氨水</w:t>
                  </w:r>
                </w:p>
              </w:tc>
              <w:tc>
                <w:tcPr>
                  <w:tcW w:w="743" w:type="pct"/>
                  <w:tcBorders>
                    <w:top w:val="single" w:color="auto" w:sz="4" w:space="0"/>
                    <w:left w:val="single" w:color="auto" w:sz="4" w:space="0"/>
                    <w:bottom w:val="single" w:color="auto" w:sz="4" w:space="0"/>
                    <w:right w:val="single" w:color="auto" w:sz="4" w:space="0"/>
                    <w:tl2br w:val="nil"/>
                    <w:tr2bl w:val="nil"/>
                  </w:tcBorders>
                  <w:noWrap w:val="0"/>
                  <w:vAlign w:val="center"/>
                </w:tcPr>
                <w:p w14:paraId="39C21040">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1336-21-6</w:t>
                  </w:r>
                </w:p>
              </w:tc>
              <w:tc>
                <w:tcPr>
                  <w:tcW w:w="911" w:type="pct"/>
                  <w:tcBorders>
                    <w:top w:val="single" w:color="auto" w:sz="4" w:space="0"/>
                    <w:left w:val="single" w:color="auto" w:sz="4" w:space="0"/>
                    <w:bottom w:val="single" w:color="auto" w:sz="4" w:space="0"/>
                    <w:right w:val="single" w:color="auto" w:sz="4" w:space="0"/>
                    <w:tl2br w:val="nil"/>
                    <w:tr2bl w:val="nil"/>
                  </w:tcBorders>
                  <w:noWrap w:val="0"/>
                  <w:vAlign w:val="center"/>
                </w:tcPr>
                <w:p w14:paraId="763BB9A5">
                  <w:pPr>
                    <w:keepNext w:val="0"/>
                    <w:keepLines w:val="0"/>
                    <w:widowControl/>
                    <w:suppressLineNumbers w:val="0"/>
                    <w:jc w:val="center"/>
                    <w:textAlignment w:val="center"/>
                    <w:rPr>
                      <w:rFonts w:hint="eastAsia" w:ascii="Times New Roman" w:hAnsi="Times New Roman" w:eastAsia="宋体" w:cs="Times New Roman"/>
                      <w:b w:val="0"/>
                      <w:bCs w:val="0"/>
                      <w:color w:val="auto"/>
                      <w:kern w:val="0"/>
                      <w:sz w:val="21"/>
                      <w:szCs w:val="21"/>
                      <w:highlight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10</w:t>
                  </w:r>
                </w:p>
              </w:tc>
              <w:tc>
                <w:tcPr>
                  <w:tcW w:w="644" w:type="pct"/>
                  <w:tcBorders>
                    <w:top w:val="single" w:color="auto" w:sz="4" w:space="0"/>
                    <w:left w:val="single" w:color="auto" w:sz="4" w:space="0"/>
                    <w:bottom w:val="single" w:color="auto" w:sz="4" w:space="0"/>
                    <w:right w:val="single" w:color="auto" w:sz="4" w:space="0"/>
                    <w:tl2br w:val="nil"/>
                    <w:tr2bl w:val="nil"/>
                  </w:tcBorders>
                  <w:noWrap w:val="0"/>
                  <w:vAlign w:val="center"/>
                </w:tcPr>
                <w:p w14:paraId="071787DC">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0.00455</w:t>
                  </w:r>
                </w:p>
              </w:tc>
              <w:tc>
                <w:tcPr>
                  <w:tcW w:w="691" w:type="pct"/>
                  <w:tcBorders>
                    <w:top w:val="single" w:color="auto" w:sz="4" w:space="0"/>
                    <w:left w:val="single" w:color="auto" w:sz="4" w:space="0"/>
                    <w:bottom w:val="single" w:color="auto" w:sz="4" w:space="0"/>
                    <w:right w:val="single" w:color="auto" w:sz="4" w:space="0"/>
                    <w:tl2br w:val="nil"/>
                    <w:tr2bl w:val="nil"/>
                  </w:tcBorders>
                  <w:noWrap w:val="0"/>
                  <w:vAlign w:val="center"/>
                </w:tcPr>
                <w:p w14:paraId="3FE1BD5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0.000455</w:t>
                  </w:r>
                </w:p>
              </w:tc>
            </w:tr>
            <w:tr w14:paraId="557C04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blHeader/>
                <w:jc w:val="center"/>
              </w:trPr>
              <w:tc>
                <w:tcPr>
                  <w:tcW w:w="742" w:type="pct"/>
                  <w:tcBorders>
                    <w:top w:val="single" w:color="auto" w:sz="4" w:space="0"/>
                    <w:left w:val="single" w:color="auto" w:sz="4" w:space="0"/>
                    <w:bottom w:val="single" w:color="auto" w:sz="4" w:space="0"/>
                    <w:right w:val="single" w:color="auto" w:sz="4" w:space="0"/>
                    <w:tl2br w:val="nil"/>
                    <w:tr2bl w:val="nil"/>
                  </w:tcBorders>
                  <w:noWrap w:val="0"/>
                  <w:vAlign w:val="center"/>
                </w:tcPr>
                <w:p w14:paraId="2A83A8AA">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9</w:t>
                  </w:r>
                </w:p>
              </w:tc>
              <w:tc>
                <w:tcPr>
                  <w:tcW w:w="1265" w:type="pct"/>
                  <w:tcBorders>
                    <w:top w:val="single" w:color="auto" w:sz="4" w:space="0"/>
                    <w:left w:val="single" w:color="auto" w:sz="4" w:space="0"/>
                    <w:bottom w:val="single" w:color="auto" w:sz="4" w:space="0"/>
                    <w:right w:val="single" w:color="auto" w:sz="4" w:space="0"/>
                    <w:tl2br w:val="nil"/>
                    <w:tr2bl w:val="nil"/>
                  </w:tcBorders>
                  <w:noWrap w:val="0"/>
                  <w:vAlign w:val="center"/>
                </w:tcPr>
                <w:p w14:paraId="477CB403">
                  <w:pPr>
                    <w:keepNext w:val="0"/>
                    <w:keepLines w:val="0"/>
                    <w:widowControl/>
                    <w:suppressLineNumbers w:val="0"/>
                    <w:jc w:val="center"/>
                    <w:textAlignment w:val="center"/>
                    <w:rPr>
                      <w:rFonts w:hint="default" w:ascii="Times New Roman" w:hAnsi="Times New Roman" w:eastAsia="宋体" w:cs="Times New Roman"/>
                      <w:b w:val="0"/>
                      <w:bCs w:val="0"/>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溴水</w:t>
                  </w:r>
                </w:p>
              </w:tc>
              <w:tc>
                <w:tcPr>
                  <w:tcW w:w="743" w:type="pct"/>
                  <w:tcBorders>
                    <w:top w:val="single" w:color="auto" w:sz="4" w:space="0"/>
                    <w:left w:val="single" w:color="auto" w:sz="4" w:space="0"/>
                    <w:bottom w:val="single" w:color="auto" w:sz="4" w:space="0"/>
                    <w:right w:val="single" w:color="auto" w:sz="4" w:space="0"/>
                    <w:tl2br w:val="nil"/>
                    <w:tr2bl w:val="nil"/>
                  </w:tcBorders>
                  <w:noWrap w:val="0"/>
                  <w:vAlign w:val="center"/>
                </w:tcPr>
                <w:p w14:paraId="6551331F">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7726-95-6</w:t>
                  </w:r>
                </w:p>
              </w:tc>
              <w:tc>
                <w:tcPr>
                  <w:tcW w:w="911" w:type="pct"/>
                  <w:tcBorders>
                    <w:top w:val="single" w:color="auto" w:sz="4" w:space="0"/>
                    <w:left w:val="single" w:color="auto" w:sz="4" w:space="0"/>
                    <w:bottom w:val="single" w:color="auto" w:sz="4" w:space="0"/>
                    <w:right w:val="single" w:color="auto" w:sz="4" w:space="0"/>
                    <w:tl2br w:val="nil"/>
                    <w:tr2bl w:val="nil"/>
                  </w:tcBorders>
                  <w:noWrap w:val="0"/>
                  <w:vAlign w:val="center"/>
                </w:tcPr>
                <w:p w14:paraId="7878A336">
                  <w:pPr>
                    <w:keepNext w:val="0"/>
                    <w:keepLines w:val="0"/>
                    <w:widowControl/>
                    <w:suppressLineNumbers w:val="0"/>
                    <w:jc w:val="center"/>
                    <w:textAlignment w:val="center"/>
                    <w:rPr>
                      <w:rFonts w:hint="eastAsia" w:ascii="Times New Roman" w:hAnsi="Times New Roman" w:eastAsia="宋体" w:cs="Times New Roman"/>
                      <w:b w:val="0"/>
                      <w:bCs w:val="0"/>
                      <w:color w:val="auto"/>
                      <w:kern w:val="0"/>
                      <w:sz w:val="21"/>
                      <w:szCs w:val="21"/>
                      <w:highlight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5</w:t>
                  </w:r>
                </w:p>
              </w:tc>
              <w:tc>
                <w:tcPr>
                  <w:tcW w:w="644" w:type="pct"/>
                  <w:tcBorders>
                    <w:top w:val="single" w:color="auto" w:sz="4" w:space="0"/>
                    <w:left w:val="single" w:color="auto" w:sz="4" w:space="0"/>
                    <w:bottom w:val="single" w:color="auto" w:sz="4" w:space="0"/>
                    <w:right w:val="single" w:color="auto" w:sz="4" w:space="0"/>
                    <w:tl2br w:val="nil"/>
                    <w:tr2bl w:val="nil"/>
                  </w:tcBorders>
                  <w:noWrap w:val="0"/>
                  <w:vAlign w:val="center"/>
                </w:tcPr>
                <w:p w14:paraId="5070B832">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0.00156</w:t>
                  </w:r>
                </w:p>
              </w:tc>
              <w:tc>
                <w:tcPr>
                  <w:tcW w:w="691" w:type="pct"/>
                  <w:tcBorders>
                    <w:top w:val="single" w:color="auto" w:sz="4" w:space="0"/>
                    <w:left w:val="single" w:color="auto" w:sz="4" w:space="0"/>
                    <w:bottom w:val="single" w:color="auto" w:sz="4" w:space="0"/>
                    <w:right w:val="single" w:color="auto" w:sz="4" w:space="0"/>
                    <w:tl2br w:val="nil"/>
                    <w:tr2bl w:val="nil"/>
                  </w:tcBorders>
                  <w:noWrap w:val="0"/>
                  <w:vAlign w:val="center"/>
                </w:tcPr>
                <w:p w14:paraId="4A3A4D1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0.000312</w:t>
                  </w:r>
                </w:p>
              </w:tc>
            </w:tr>
            <w:tr w14:paraId="1B209D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blHeader/>
                <w:jc w:val="center"/>
              </w:trPr>
              <w:tc>
                <w:tcPr>
                  <w:tcW w:w="742" w:type="pct"/>
                  <w:tcBorders>
                    <w:top w:val="single" w:color="auto" w:sz="4" w:space="0"/>
                    <w:left w:val="single" w:color="auto" w:sz="4" w:space="0"/>
                    <w:bottom w:val="single" w:color="auto" w:sz="4" w:space="0"/>
                    <w:right w:val="single" w:color="auto" w:sz="4" w:space="0"/>
                    <w:tl2br w:val="nil"/>
                    <w:tr2bl w:val="nil"/>
                  </w:tcBorders>
                  <w:noWrap w:val="0"/>
                  <w:vAlign w:val="center"/>
                </w:tcPr>
                <w:p w14:paraId="35551A7D">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10</w:t>
                  </w:r>
                </w:p>
              </w:tc>
              <w:tc>
                <w:tcPr>
                  <w:tcW w:w="1265" w:type="pct"/>
                  <w:tcBorders>
                    <w:top w:val="single" w:color="auto" w:sz="4" w:space="0"/>
                    <w:left w:val="single" w:color="auto" w:sz="4" w:space="0"/>
                    <w:bottom w:val="single" w:color="auto" w:sz="4" w:space="0"/>
                    <w:right w:val="single" w:color="auto" w:sz="4" w:space="0"/>
                    <w:tl2br w:val="nil"/>
                    <w:tr2bl w:val="nil"/>
                  </w:tcBorders>
                  <w:noWrap w:val="0"/>
                  <w:vAlign w:val="center"/>
                </w:tcPr>
                <w:p w14:paraId="56289637">
                  <w:pPr>
                    <w:keepNext w:val="0"/>
                    <w:keepLines w:val="0"/>
                    <w:widowControl/>
                    <w:suppressLineNumbers w:val="0"/>
                    <w:jc w:val="center"/>
                    <w:textAlignment w:val="center"/>
                    <w:rPr>
                      <w:rFonts w:hint="default" w:ascii="Times New Roman" w:hAnsi="Times New Roman" w:eastAsia="宋体" w:cs="Times New Roman"/>
                      <w:b w:val="0"/>
                      <w:bCs w:val="0"/>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无水乙醇</w:t>
                  </w:r>
                </w:p>
              </w:tc>
              <w:tc>
                <w:tcPr>
                  <w:tcW w:w="743" w:type="pct"/>
                  <w:tcBorders>
                    <w:top w:val="single" w:color="auto" w:sz="4" w:space="0"/>
                    <w:left w:val="single" w:color="auto" w:sz="4" w:space="0"/>
                    <w:bottom w:val="single" w:color="auto" w:sz="4" w:space="0"/>
                    <w:right w:val="single" w:color="auto" w:sz="4" w:space="0"/>
                    <w:tl2br w:val="nil"/>
                    <w:tr2bl w:val="nil"/>
                  </w:tcBorders>
                  <w:noWrap w:val="0"/>
                  <w:vAlign w:val="center"/>
                </w:tcPr>
                <w:p w14:paraId="1F51A82A">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64-17-5</w:t>
                  </w:r>
                </w:p>
              </w:tc>
              <w:tc>
                <w:tcPr>
                  <w:tcW w:w="911" w:type="pct"/>
                  <w:tcBorders>
                    <w:top w:val="single" w:color="auto" w:sz="4" w:space="0"/>
                    <w:left w:val="single" w:color="auto" w:sz="4" w:space="0"/>
                    <w:bottom w:val="single" w:color="auto" w:sz="4" w:space="0"/>
                    <w:right w:val="single" w:color="auto" w:sz="4" w:space="0"/>
                    <w:tl2br w:val="nil"/>
                    <w:tr2bl w:val="nil"/>
                  </w:tcBorders>
                  <w:noWrap w:val="0"/>
                  <w:vAlign w:val="center"/>
                </w:tcPr>
                <w:p w14:paraId="0F6081D5">
                  <w:pPr>
                    <w:keepNext w:val="0"/>
                    <w:keepLines w:val="0"/>
                    <w:widowControl/>
                    <w:suppressLineNumbers w:val="0"/>
                    <w:jc w:val="center"/>
                    <w:textAlignment w:val="center"/>
                    <w:rPr>
                      <w:rFonts w:hint="eastAsia" w:ascii="Times New Roman" w:hAnsi="Times New Roman" w:eastAsia="宋体" w:cs="Times New Roman"/>
                      <w:b w:val="0"/>
                      <w:bCs w:val="0"/>
                      <w:color w:val="auto"/>
                      <w:kern w:val="0"/>
                      <w:sz w:val="21"/>
                      <w:szCs w:val="21"/>
                      <w:highlight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500</w:t>
                  </w:r>
                </w:p>
              </w:tc>
              <w:tc>
                <w:tcPr>
                  <w:tcW w:w="644" w:type="pct"/>
                  <w:tcBorders>
                    <w:top w:val="single" w:color="auto" w:sz="4" w:space="0"/>
                    <w:left w:val="single" w:color="auto" w:sz="4" w:space="0"/>
                    <w:bottom w:val="single" w:color="auto" w:sz="4" w:space="0"/>
                    <w:right w:val="single" w:color="auto" w:sz="4" w:space="0"/>
                    <w:tl2br w:val="nil"/>
                    <w:tr2bl w:val="nil"/>
                  </w:tcBorders>
                  <w:noWrap w:val="0"/>
                  <w:vAlign w:val="center"/>
                </w:tcPr>
                <w:p w14:paraId="010BEED8">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0.00079</w:t>
                  </w:r>
                </w:p>
              </w:tc>
              <w:tc>
                <w:tcPr>
                  <w:tcW w:w="691" w:type="pct"/>
                  <w:tcBorders>
                    <w:top w:val="single" w:color="auto" w:sz="4" w:space="0"/>
                    <w:left w:val="single" w:color="auto" w:sz="4" w:space="0"/>
                    <w:bottom w:val="single" w:color="auto" w:sz="4" w:space="0"/>
                    <w:right w:val="single" w:color="auto" w:sz="4" w:space="0"/>
                    <w:tl2br w:val="nil"/>
                    <w:tr2bl w:val="nil"/>
                  </w:tcBorders>
                  <w:noWrap w:val="0"/>
                  <w:vAlign w:val="center"/>
                </w:tcPr>
                <w:p w14:paraId="61CD528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0.000002</w:t>
                  </w:r>
                </w:p>
              </w:tc>
            </w:tr>
            <w:tr w14:paraId="5627F8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blHeader/>
                <w:jc w:val="center"/>
              </w:trPr>
              <w:tc>
                <w:tcPr>
                  <w:tcW w:w="742" w:type="pct"/>
                  <w:tcBorders>
                    <w:top w:val="single" w:color="auto" w:sz="4" w:space="0"/>
                    <w:left w:val="single" w:color="auto" w:sz="4" w:space="0"/>
                    <w:bottom w:val="single" w:color="auto" w:sz="4" w:space="0"/>
                    <w:right w:val="single" w:color="auto" w:sz="4" w:space="0"/>
                    <w:tl2br w:val="nil"/>
                    <w:tr2bl w:val="nil"/>
                  </w:tcBorders>
                  <w:noWrap w:val="0"/>
                  <w:vAlign w:val="center"/>
                </w:tcPr>
                <w:p w14:paraId="601089E8">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11</w:t>
                  </w:r>
                </w:p>
              </w:tc>
              <w:tc>
                <w:tcPr>
                  <w:tcW w:w="1265" w:type="pct"/>
                  <w:tcBorders>
                    <w:top w:val="single" w:color="auto" w:sz="4" w:space="0"/>
                    <w:left w:val="single" w:color="auto" w:sz="4" w:space="0"/>
                    <w:bottom w:val="single" w:color="auto" w:sz="4" w:space="0"/>
                    <w:right w:val="single" w:color="auto" w:sz="4" w:space="0"/>
                    <w:tl2br w:val="nil"/>
                    <w:tr2bl w:val="nil"/>
                  </w:tcBorders>
                  <w:noWrap w:val="0"/>
                  <w:vAlign w:val="center"/>
                </w:tcPr>
                <w:p w14:paraId="7F0194CE">
                  <w:pPr>
                    <w:keepNext w:val="0"/>
                    <w:keepLines w:val="0"/>
                    <w:widowControl/>
                    <w:suppressLineNumbers w:val="0"/>
                    <w:jc w:val="center"/>
                    <w:textAlignment w:val="center"/>
                    <w:rPr>
                      <w:rFonts w:hint="default" w:ascii="Times New Roman" w:hAnsi="Times New Roman" w:eastAsia="宋体" w:cs="Times New Roman"/>
                      <w:b w:val="0"/>
                      <w:bCs w:val="0"/>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三氯化钛</w:t>
                  </w:r>
                </w:p>
              </w:tc>
              <w:tc>
                <w:tcPr>
                  <w:tcW w:w="743" w:type="pct"/>
                  <w:tcBorders>
                    <w:top w:val="single" w:color="auto" w:sz="4" w:space="0"/>
                    <w:left w:val="single" w:color="auto" w:sz="4" w:space="0"/>
                    <w:bottom w:val="single" w:color="auto" w:sz="4" w:space="0"/>
                    <w:right w:val="single" w:color="auto" w:sz="4" w:space="0"/>
                    <w:tl2br w:val="nil"/>
                    <w:tr2bl w:val="nil"/>
                  </w:tcBorders>
                  <w:noWrap w:val="0"/>
                  <w:vAlign w:val="center"/>
                </w:tcPr>
                <w:p w14:paraId="28BC13E1">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7705-07-9</w:t>
                  </w:r>
                </w:p>
              </w:tc>
              <w:tc>
                <w:tcPr>
                  <w:tcW w:w="911" w:type="pct"/>
                  <w:tcBorders>
                    <w:top w:val="single" w:color="auto" w:sz="4" w:space="0"/>
                    <w:left w:val="single" w:color="auto" w:sz="4" w:space="0"/>
                    <w:bottom w:val="single" w:color="auto" w:sz="4" w:space="0"/>
                    <w:right w:val="single" w:color="auto" w:sz="4" w:space="0"/>
                    <w:tl2br w:val="nil"/>
                    <w:tr2bl w:val="nil"/>
                  </w:tcBorders>
                  <w:noWrap w:val="0"/>
                  <w:vAlign w:val="center"/>
                </w:tcPr>
                <w:p w14:paraId="5B1DA0AF">
                  <w:pPr>
                    <w:keepNext w:val="0"/>
                    <w:keepLines w:val="0"/>
                    <w:widowControl/>
                    <w:suppressLineNumbers w:val="0"/>
                    <w:jc w:val="center"/>
                    <w:textAlignment w:val="center"/>
                    <w:rPr>
                      <w:rFonts w:hint="eastAsia" w:ascii="Times New Roman" w:hAnsi="Times New Roman" w:eastAsia="宋体" w:cs="Times New Roman"/>
                      <w:b w:val="0"/>
                      <w:bCs w:val="0"/>
                      <w:color w:val="auto"/>
                      <w:kern w:val="0"/>
                      <w:sz w:val="21"/>
                      <w:szCs w:val="21"/>
                      <w:highlight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5</w:t>
                  </w:r>
                </w:p>
              </w:tc>
              <w:tc>
                <w:tcPr>
                  <w:tcW w:w="644" w:type="pct"/>
                  <w:tcBorders>
                    <w:top w:val="single" w:color="auto" w:sz="4" w:space="0"/>
                    <w:left w:val="single" w:color="auto" w:sz="4" w:space="0"/>
                    <w:bottom w:val="single" w:color="auto" w:sz="4" w:space="0"/>
                    <w:right w:val="single" w:color="auto" w:sz="4" w:space="0"/>
                    <w:tl2br w:val="nil"/>
                    <w:tr2bl w:val="nil"/>
                  </w:tcBorders>
                  <w:noWrap w:val="0"/>
                  <w:vAlign w:val="center"/>
                </w:tcPr>
                <w:p w14:paraId="021B5F3F">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0.00132</w:t>
                  </w:r>
                </w:p>
              </w:tc>
              <w:tc>
                <w:tcPr>
                  <w:tcW w:w="691" w:type="pct"/>
                  <w:tcBorders>
                    <w:top w:val="single" w:color="auto" w:sz="4" w:space="0"/>
                    <w:left w:val="single" w:color="auto" w:sz="4" w:space="0"/>
                    <w:bottom w:val="single" w:color="auto" w:sz="4" w:space="0"/>
                    <w:right w:val="single" w:color="auto" w:sz="4" w:space="0"/>
                    <w:tl2br w:val="nil"/>
                    <w:tr2bl w:val="nil"/>
                  </w:tcBorders>
                  <w:noWrap w:val="0"/>
                  <w:vAlign w:val="center"/>
                </w:tcPr>
                <w:p w14:paraId="3621084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0.000264</w:t>
                  </w:r>
                </w:p>
              </w:tc>
            </w:tr>
            <w:tr w14:paraId="2CEC9F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blHeader/>
                <w:jc w:val="center"/>
              </w:trPr>
              <w:tc>
                <w:tcPr>
                  <w:tcW w:w="742" w:type="pct"/>
                  <w:tcBorders>
                    <w:top w:val="single" w:color="auto" w:sz="4" w:space="0"/>
                    <w:left w:val="single" w:color="auto" w:sz="4" w:space="0"/>
                    <w:bottom w:val="single" w:color="auto" w:sz="4" w:space="0"/>
                    <w:right w:val="single" w:color="auto" w:sz="4" w:space="0"/>
                    <w:tl2br w:val="nil"/>
                    <w:tr2bl w:val="nil"/>
                  </w:tcBorders>
                  <w:noWrap w:val="0"/>
                  <w:vAlign w:val="center"/>
                </w:tcPr>
                <w:p w14:paraId="18C0F6A1">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12</w:t>
                  </w:r>
                </w:p>
              </w:tc>
              <w:tc>
                <w:tcPr>
                  <w:tcW w:w="1265" w:type="pct"/>
                  <w:tcBorders>
                    <w:top w:val="single" w:color="auto" w:sz="4" w:space="0"/>
                    <w:left w:val="single" w:color="auto" w:sz="4" w:space="0"/>
                    <w:bottom w:val="single" w:color="auto" w:sz="4" w:space="0"/>
                    <w:right w:val="single" w:color="auto" w:sz="4" w:space="0"/>
                    <w:tl2br w:val="nil"/>
                    <w:tr2bl w:val="nil"/>
                  </w:tcBorders>
                  <w:noWrap w:val="0"/>
                  <w:vAlign w:val="center"/>
                </w:tcPr>
                <w:p w14:paraId="6BB7D81B">
                  <w:pPr>
                    <w:keepNext w:val="0"/>
                    <w:keepLines w:val="0"/>
                    <w:widowControl/>
                    <w:suppressLineNumbers w:val="0"/>
                    <w:jc w:val="center"/>
                    <w:textAlignment w:val="center"/>
                    <w:rPr>
                      <w:rFonts w:hint="default" w:ascii="Times New Roman" w:hAnsi="Times New Roman" w:eastAsia="宋体" w:cs="Times New Roman"/>
                      <w:b w:val="0"/>
                      <w:bCs w:val="0"/>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氟化氢铵</w:t>
                  </w:r>
                </w:p>
              </w:tc>
              <w:tc>
                <w:tcPr>
                  <w:tcW w:w="743" w:type="pct"/>
                  <w:tcBorders>
                    <w:top w:val="single" w:color="auto" w:sz="4" w:space="0"/>
                    <w:left w:val="single" w:color="auto" w:sz="4" w:space="0"/>
                    <w:bottom w:val="single" w:color="auto" w:sz="4" w:space="0"/>
                    <w:right w:val="single" w:color="auto" w:sz="4" w:space="0"/>
                    <w:tl2br w:val="nil"/>
                    <w:tr2bl w:val="nil"/>
                  </w:tcBorders>
                  <w:noWrap w:val="0"/>
                  <w:vAlign w:val="center"/>
                </w:tcPr>
                <w:p w14:paraId="347FD673">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1341-49-7</w:t>
                  </w:r>
                </w:p>
              </w:tc>
              <w:tc>
                <w:tcPr>
                  <w:tcW w:w="911" w:type="pct"/>
                  <w:tcBorders>
                    <w:top w:val="single" w:color="auto" w:sz="4" w:space="0"/>
                    <w:left w:val="single" w:color="auto" w:sz="4" w:space="0"/>
                    <w:bottom w:val="single" w:color="auto" w:sz="4" w:space="0"/>
                    <w:right w:val="single" w:color="auto" w:sz="4" w:space="0"/>
                    <w:tl2br w:val="nil"/>
                    <w:tr2bl w:val="nil"/>
                  </w:tcBorders>
                  <w:noWrap w:val="0"/>
                  <w:vAlign w:val="center"/>
                </w:tcPr>
                <w:p w14:paraId="53D6E128">
                  <w:pPr>
                    <w:keepNext w:val="0"/>
                    <w:keepLines w:val="0"/>
                    <w:widowControl/>
                    <w:suppressLineNumbers w:val="0"/>
                    <w:jc w:val="center"/>
                    <w:textAlignment w:val="center"/>
                    <w:rPr>
                      <w:rFonts w:hint="eastAsia" w:ascii="Times New Roman" w:hAnsi="Times New Roman" w:eastAsia="宋体" w:cs="Times New Roman"/>
                      <w:b w:val="0"/>
                      <w:bCs w:val="0"/>
                      <w:color w:val="auto"/>
                      <w:kern w:val="0"/>
                      <w:sz w:val="21"/>
                      <w:szCs w:val="21"/>
                      <w:highlight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5</w:t>
                  </w:r>
                </w:p>
              </w:tc>
              <w:tc>
                <w:tcPr>
                  <w:tcW w:w="644" w:type="pct"/>
                  <w:tcBorders>
                    <w:top w:val="single" w:color="auto" w:sz="4" w:space="0"/>
                    <w:left w:val="single" w:color="auto" w:sz="4" w:space="0"/>
                    <w:bottom w:val="single" w:color="auto" w:sz="4" w:space="0"/>
                    <w:right w:val="single" w:color="auto" w:sz="4" w:space="0"/>
                    <w:tl2br w:val="nil"/>
                    <w:tr2bl w:val="nil"/>
                  </w:tcBorders>
                  <w:noWrap w:val="0"/>
                  <w:vAlign w:val="center"/>
                </w:tcPr>
                <w:p w14:paraId="4F7EDF18">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0.0005</w:t>
                  </w:r>
                </w:p>
              </w:tc>
              <w:tc>
                <w:tcPr>
                  <w:tcW w:w="691" w:type="pct"/>
                  <w:tcBorders>
                    <w:top w:val="single" w:color="auto" w:sz="4" w:space="0"/>
                    <w:left w:val="single" w:color="auto" w:sz="4" w:space="0"/>
                    <w:bottom w:val="single" w:color="auto" w:sz="4" w:space="0"/>
                    <w:right w:val="single" w:color="auto" w:sz="4" w:space="0"/>
                    <w:tl2br w:val="nil"/>
                    <w:tr2bl w:val="nil"/>
                  </w:tcBorders>
                  <w:noWrap w:val="0"/>
                  <w:vAlign w:val="center"/>
                </w:tcPr>
                <w:p w14:paraId="2A210E25">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0.000100</w:t>
                  </w:r>
                </w:p>
              </w:tc>
            </w:tr>
            <w:tr w14:paraId="43B797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blHeader/>
                <w:jc w:val="center"/>
              </w:trPr>
              <w:tc>
                <w:tcPr>
                  <w:tcW w:w="742" w:type="pct"/>
                  <w:tcBorders>
                    <w:top w:val="single" w:color="auto" w:sz="4" w:space="0"/>
                    <w:left w:val="single" w:color="auto" w:sz="4" w:space="0"/>
                    <w:bottom w:val="single" w:color="auto" w:sz="4" w:space="0"/>
                    <w:right w:val="single" w:color="auto" w:sz="4" w:space="0"/>
                    <w:tl2br w:val="nil"/>
                    <w:tr2bl w:val="nil"/>
                  </w:tcBorders>
                  <w:noWrap w:val="0"/>
                  <w:vAlign w:val="center"/>
                </w:tcPr>
                <w:p w14:paraId="6C1D33EF">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13</w:t>
                  </w:r>
                </w:p>
              </w:tc>
              <w:tc>
                <w:tcPr>
                  <w:tcW w:w="1265" w:type="pct"/>
                  <w:tcBorders>
                    <w:top w:val="single" w:color="auto" w:sz="4" w:space="0"/>
                    <w:left w:val="single" w:color="auto" w:sz="4" w:space="0"/>
                    <w:bottom w:val="single" w:color="auto" w:sz="4" w:space="0"/>
                    <w:right w:val="single" w:color="auto" w:sz="4" w:space="0"/>
                    <w:tl2br w:val="nil"/>
                    <w:tr2bl w:val="nil"/>
                  </w:tcBorders>
                  <w:noWrap w:val="0"/>
                  <w:vAlign w:val="center"/>
                </w:tcPr>
                <w:p w14:paraId="112C5BE6">
                  <w:pPr>
                    <w:keepNext w:val="0"/>
                    <w:keepLines w:val="0"/>
                    <w:widowControl/>
                    <w:suppressLineNumbers w:val="0"/>
                    <w:jc w:val="center"/>
                    <w:textAlignment w:val="center"/>
                    <w:rPr>
                      <w:rFonts w:hint="default" w:ascii="Times New Roman" w:hAnsi="Times New Roman" w:eastAsia="宋体" w:cs="Times New Roman"/>
                      <w:b w:val="0"/>
                      <w:bCs w:val="0"/>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氟化铵</w:t>
                  </w:r>
                </w:p>
              </w:tc>
              <w:tc>
                <w:tcPr>
                  <w:tcW w:w="743" w:type="pct"/>
                  <w:tcBorders>
                    <w:top w:val="single" w:color="auto" w:sz="4" w:space="0"/>
                    <w:left w:val="single" w:color="auto" w:sz="4" w:space="0"/>
                    <w:bottom w:val="single" w:color="auto" w:sz="4" w:space="0"/>
                    <w:right w:val="single" w:color="auto" w:sz="4" w:space="0"/>
                    <w:tl2br w:val="nil"/>
                    <w:tr2bl w:val="nil"/>
                  </w:tcBorders>
                  <w:noWrap w:val="0"/>
                  <w:vAlign w:val="center"/>
                </w:tcPr>
                <w:p w14:paraId="58E23488">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12125-01-8</w:t>
                  </w:r>
                </w:p>
              </w:tc>
              <w:tc>
                <w:tcPr>
                  <w:tcW w:w="911" w:type="pct"/>
                  <w:tcBorders>
                    <w:top w:val="single" w:color="auto" w:sz="4" w:space="0"/>
                    <w:left w:val="single" w:color="auto" w:sz="4" w:space="0"/>
                    <w:bottom w:val="single" w:color="auto" w:sz="4" w:space="0"/>
                    <w:right w:val="single" w:color="auto" w:sz="4" w:space="0"/>
                    <w:tl2br w:val="nil"/>
                    <w:tr2bl w:val="nil"/>
                  </w:tcBorders>
                  <w:noWrap w:val="0"/>
                  <w:vAlign w:val="center"/>
                </w:tcPr>
                <w:p w14:paraId="49BA44A6">
                  <w:pPr>
                    <w:keepNext w:val="0"/>
                    <w:keepLines w:val="0"/>
                    <w:widowControl/>
                    <w:suppressLineNumbers w:val="0"/>
                    <w:jc w:val="center"/>
                    <w:textAlignment w:val="center"/>
                    <w:rPr>
                      <w:rFonts w:hint="eastAsia" w:ascii="Times New Roman" w:hAnsi="Times New Roman" w:eastAsia="宋体" w:cs="Times New Roman"/>
                      <w:b w:val="0"/>
                      <w:bCs w:val="0"/>
                      <w:color w:val="auto"/>
                      <w:kern w:val="0"/>
                      <w:sz w:val="21"/>
                      <w:szCs w:val="21"/>
                      <w:highlight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5</w:t>
                  </w:r>
                </w:p>
              </w:tc>
              <w:tc>
                <w:tcPr>
                  <w:tcW w:w="644" w:type="pct"/>
                  <w:tcBorders>
                    <w:top w:val="single" w:color="auto" w:sz="4" w:space="0"/>
                    <w:left w:val="single" w:color="auto" w:sz="4" w:space="0"/>
                    <w:bottom w:val="single" w:color="auto" w:sz="4" w:space="0"/>
                    <w:right w:val="single" w:color="auto" w:sz="4" w:space="0"/>
                    <w:tl2br w:val="nil"/>
                    <w:tr2bl w:val="nil"/>
                  </w:tcBorders>
                  <w:noWrap w:val="0"/>
                  <w:vAlign w:val="center"/>
                </w:tcPr>
                <w:p w14:paraId="12A407C0">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0.0005</w:t>
                  </w:r>
                </w:p>
              </w:tc>
              <w:tc>
                <w:tcPr>
                  <w:tcW w:w="691" w:type="pct"/>
                  <w:tcBorders>
                    <w:top w:val="single" w:color="auto" w:sz="4" w:space="0"/>
                    <w:left w:val="single" w:color="auto" w:sz="4" w:space="0"/>
                    <w:bottom w:val="single" w:color="auto" w:sz="4" w:space="0"/>
                    <w:right w:val="single" w:color="auto" w:sz="4" w:space="0"/>
                    <w:tl2br w:val="nil"/>
                    <w:tr2bl w:val="nil"/>
                  </w:tcBorders>
                  <w:noWrap w:val="0"/>
                  <w:vAlign w:val="center"/>
                </w:tcPr>
                <w:p w14:paraId="3DC6EB7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0.000100</w:t>
                  </w:r>
                </w:p>
              </w:tc>
            </w:tr>
            <w:tr w14:paraId="7CCDD5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blHeader/>
                <w:jc w:val="center"/>
              </w:trPr>
              <w:tc>
                <w:tcPr>
                  <w:tcW w:w="742" w:type="pct"/>
                  <w:tcBorders>
                    <w:top w:val="single" w:color="auto" w:sz="4" w:space="0"/>
                    <w:left w:val="single" w:color="auto" w:sz="4" w:space="0"/>
                    <w:bottom w:val="single" w:color="auto" w:sz="4" w:space="0"/>
                    <w:right w:val="single" w:color="auto" w:sz="4" w:space="0"/>
                    <w:tl2br w:val="nil"/>
                    <w:tr2bl w:val="nil"/>
                  </w:tcBorders>
                  <w:noWrap w:val="0"/>
                  <w:vAlign w:val="center"/>
                </w:tcPr>
                <w:p w14:paraId="4BF7F36D">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14</w:t>
                  </w:r>
                </w:p>
              </w:tc>
              <w:tc>
                <w:tcPr>
                  <w:tcW w:w="1265" w:type="pct"/>
                  <w:tcBorders>
                    <w:top w:val="single" w:color="auto" w:sz="4" w:space="0"/>
                    <w:left w:val="single" w:color="auto" w:sz="4" w:space="0"/>
                    <w:bottom w:val="single" w:color="auto" w:sz="4" w:space="0"/>
                    <w:right w:val="single" w:color="auto" w:sz="4" w:space="0"/>
                    <w:tl2br w:val="nil"/>
                    <w:tr2bl w:val="nil"/>
                  </w:tcBorders>
                  <w:noWrap w:val="0"/>
                  <w:vAlign w:val="center"/>
                </w:tcPr>
                <w:p w14:paraId="651D13D0">
                  <w:pPr>
                    <w:keepNext w:val="0"/>
                    <w:keepLines w:val="0"/>
                    <w:widowControl/>
                    <w:suppressLineNumbers w:val="0"/>
                    <w:jc w:val="center"/>
                    <w:textAlignment w:val="center"/>
                    <w:rPr>
                      <w:rFonts w:hint="default" w:ascii="Times New Roman" w:hAnsi="Times New Roman" w:eastAsia="宋体" w:cs="Times New Roman"/>
                      <w:b w:val="0"/>
                      <w:bCs w:val="0"/>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氟化钾</w:t>
                  </w:r>
                </w:p>
              </w:tc>
              <w:tc>
                <w:tcPr>
                  <w:tcW w:w="743" w:type="pct"/>
                  <w:tcBorders>
                    <w:top w:val="single" w:color="auto" w:sz="4" w:space="0"/>
                    <w:left w:val="single" w:color="auto" w:sz="4" w:space="0"/>
                    <w:bottom w:val="single" w:color="auto" w:sz="4" w:space="0"/>
                    <w:right w:val="single" w:color="auto" w:sz="4" w:space="0"/>
                    <w:tl2br w:val="nil"/>
                    <w:tr2bl w:val="nil"/>
                  </w:tcBorders>
                  <w:noWrap w:val="0"/>
                  <w:vAlign w:val="center"/>
                </w:tcPr>
                <w:p w14:paraId="3B4CBC1C">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7789-23-3</w:t>
                  </w:r>
                </w:p>
              </w:tc>
              <w:tc>
                <w:tcPr>
                  <w:tcW w:w="911" w:type="pct"/>
                  <w:tcBorders>
                    <w:top w:val="single" w:color="auto" w:sz="4" w:space="0"/>
                    <w:left w:val="single" w:color="auto" w:sz="4" w:space="0"/>
                    <w:bottom w:val="single" w:color="auto" w:sz="4" w:space="0"/>
                    <w:right w:val="single" w:color="auto" w:sz="4" w:space="0"/>
                    <w:tl2br w:val="nil"/>
                    <w:tr2bl w:val="nil"/>
                  </w:tcBorders>
                  <w:noWrap w:val="0"/>
                  <w:vAlign w:val="center"/>
                </w:tcPr>
                <w:p w14:paraId="1BEA7DBC">
                  <w:pPr>
                    <w:keepNext w:val="0"/>
                    <w:keepLines w:val="0"/>
                    <w:widowControl/>
                    <w:suppressLineNumbers w:val="0"/>
                    <w:jc w:val="center"/>
                    <w:textAlignment w:val="center"/>
                    <w:rPr>
                      <w:rFonts w:hint="eastAsia" w:ascii="Times New Roman" w:hAnsi="Times New Roman" w:eastAsia="宋体" w:cs="Times New Roman"/>
                      <w:b w:val="0"/>
                      <w:bCs w:val="0"/>
                      <w:color w:val="auto"/>
                      <w:kern w:val="0"/>
                      <w:sz w:val="21"/>
                      <w:szCs w:val="21"/>
                      <w:highlight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5</w:t>
                  </w:r>
                </w:p>
              </w:tc>
              <w:tc>
                <w:tcPr>
                  <w:tcW w:w="644" w:type="pct"/>
                  <w:tcBorders>
                    <w:top w:val="single" w:color="auto" w:sz="4" w:space="0"/>
                    <w:left w:val="single" w:color="auto" w:sz="4" w:space="0"/>
                    <w:bottom w:val="single" w:color="auto" w:sz="4" w:space="0"/>
                    <w:right w:val="single" w:color="auto" w:sz="4" w:space="0"/>
                    <w:tl2br w:val="nil"/>
                    <w:tr2bl w:val="nil"/>
                  </w:tcBorders>
                  <w:noWrap w:val="0"/>
                  <w:vAlign w:val="center"/>
                </w:tcPr>
                <w:p w14:paraId="33FDB50B">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0.0005</w:t>
                  </w:r>
                </w:p>
              </w:tc>
              <w:tc>
                <w:tcPr>
                  <w:tcW w:w="691" w:type="pct"/>
                  <w:tcBorders>
                    <w:top w:val="single" w:color="auto" w:sz="4" w:space="0"/>
                    <w:left w:val="single" w:color="auto" w:sz="4" w:space="0"/>
                    <w:bottom w:val="single" w:color="auto" w:sz="4" w:space="0"/>
                    <w:right w:val="single" w:color="auto" w:sz="4" w:space="0"/>
                    <w:tl2br w:val="nil"/>
                    <w:tr2bl w:val="nil"/>
                  </w:tcBorders>
                  <w:noWrap w:val="0"/>
                  <w:vAlign w:val="center"/>
                </w:tcPr>
                <w:p w14:paraId="6B7E536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0.000100</w:t>
                  </w:r>
                </w:p>
              </w:tc>
            </w:tr>
            <w:tr w14:paraId="5C5E94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blHeader/>
                <w:jc w:val="center"/>
              </w:trPr>
              <w:tc>
                <w:tcPr>
                  <w:tcW w:w="742" w:type="pct"/>
                  <w:tcBorders>
                    <w:top w:val="single" w:color="auto" w:sz="4" w:space="0"/>
                    <w:left w:val="single" w:color="auto" w:sz="4" w:space="0"/>
                    <w:bottom w:val="single" w:color="auto" w:sz="4" w:space="0"/>
                    <w:right w:val="single" w:color="auto" w:sz="4" w:space="0"/>
                    <w:tl2br w:val="nil"/>
                    <w:tr2bl w:val="nil"/>
                  </w:tcBorders>
                  <w:noWrap w:val="0"/>
                  <w:vAlign w:val="center"/>
                </w:tcPr>
                <w:p w14:paraId="6944F0A5">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15</w:t>
                  </w:r>
                </w:p>
              </w:tc>
              <w:tc>
                <w:tcPr>
                  <w:tcW w:w="1265" w:type="pct"/>
                  <w:tcBorders>
                    <w:top w:val="single" w:color="auto" w:sz="4" w:space="0"/>
                    <w:left w:val="single" w:color="auto" w:sz="4" w:space="0"/>
                    <w:bottom w:val="single" w:color="auto" w:sz="4" w:space="0"/>
                    <w:right w:val="single" w:color="auto" w:sz="4" w:space="0"/>
                    <w:tl2br w:val="nil"/>
                    <w:tr2bl w:val="nil"/>
                  </w:tcBorders>
                  <w:noWrap w:val="0"/>
                  <w:vAlign w:val="center"/>
                </w:tcPr>
                <w:p w14:paraId="6A398766">
                  <w:pPr>
                    <w:keepNext w:val="0"/>
                    <w:keepLines w:val="0"/>
                    <w:widowControl/>
                    <w:suppressLineNumbers w:val="0"/>
                    <w:jc w:val="center"/>
                    <w:textAlignment w:val="center"/>
                    <w:rPr>
                      <w:rFonts w:hint="default" w:ascii="Times New Roman" w:hAnsi="Times New Roman" w:eastAsia="宋体" w:cs="Times New Roman"/>
                      <w:b w:val="0"/>
                      <w:bCs w:val="0"/>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对硝基酚</w:t>
                  </w:r>
                </w:p>
              </w:tc>
              <w:tc>
                <w:tcPr>
                  <w:tcW w:w="743" w:type="pct"/>
                  <w:tcBorders>
                    <w:top w:val="single" w:color="auto" w:sz="4" w:space="0"/>
                    <w:left w:val="single" w:color="auto" w:sz="4" w:space="0"/>
                    <w:bottom w:val="single" w:color="auto" w:sz="4" w:space="0"/>
                    <w:right w:val="single" w:color="auto" w:sz="4" w:space="0"/>
                    <w:tl2br w:val="nil"/>
                    <w:tr2bl w:val="nil"/>
                  </w:tcBorders>
                  <w:noWrap w:val="0"/>
                  <w:vAlign w:val="center"/>
                </w:tcPr>
                <w:p w14:paraId="10C3FAF5">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100-02-7</w:t>
                  </w:r>
                </w:p>
              </w:tc>
              <w:tc>
                <w:tcPr>
                  <w:tcW w:w="911" w:type="pct"/>
                  <w:tcBorders>
                    <w:top w:val="single" w:color="auto" w:sz="4" w:space="0"/>
                    <w:left w:val="single" w:color="auto" w:sz="4" w:space="0"/>
                    <w:bottom w:val="single" w:color="auto" w:sz="4" w:space="0"/>
                    <w:right w:val="single" w:color="auto" w:sz="4" w:space="0"/>
                    <w:tl2br w:val="nil"/>
                    <w:tr2bl w:val="nil"/>
                  </w:tcBorders>
                  <w:noWrap w:val="0"/>
                  <w:vAlign w:val="center"/>
                </w:tcPr>
                <w:p w14:paraId="1201F353">
                  <w:pPr>
                    <w:keepNext w:val="0"/>
                    <w:keepLines w:val="0"/>
                    <w:widowControl/>
                    <w:suppressLineNumbers w:val="0"/>
                    <w:jc w:val="center"/>
                    <w:textAlignment w:val="center"/>
                    <w:rPr>
                      <w:rFonts w:hint="eastAsia" w:ascii="Times New Roman" w:hAnsi="Times New Roman" w:eastAsia="宋体" w:cs="Times New Roman"/>
                      <w:b w:val="0"/>
                      <w:bCs w:val="0"/>
                      <w:color w:val="auto"/>
                      <w:kern w:val="0"/>
                      <w:sz w:val="21"/>
                      <w:szCs w:val="21"/>
                      <w:highlight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5</w:t>
                  </w:r>
                </w:p>
              </w:tc>
              <w:tc>
                <w:tcPr>
                  <w:tcW w:w="644" w:type="pct"/>
                  <w:tcBorders>
                    <w:top w:val="single" w:color="auto" w:sz="4" w:space="0"/>
                    <w:left w:val="single" w:color="auto" w:sz="4" w:space="0"/>
                    <w:bottom w:val="single" w:color="auto" w:sz="4" w:space="0"/>
                    <w:right w:val="single" w:color="auto" w:sz="4" w:space="0"/>
                    <w:tl2br w:val="nil"/>
                    <w:tr2bl w:val="nil"/>
                  </w:tcBorders>
                  <w:noWrap w:val="0"/>
                  <w:vAlign w:val="center"/>
                </w:tcPr>
                <w:p w14:paraId="3695AB16">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0.000025</w:t>
                  </w:r>
                </w:p>
              </w:tc>
              <w:tc>
                <w:tcPr>
                  <w:tcW w:w="691" w:type="pct"/>
                  <w:tcBorders>
                    <w:top w:val="single" w:color="auto" w:sz="4" w:space="0"/>
                    <w:left w:val="single" w:color="auto" w:sz="4" w:space="0"/>
                    <w:bottom w:val="single" w:color="auto" w:sz="4" w:space="0"/>
                    <w:right w:val="single" w:color="auto" w:sz="4" w:space="0"/>
                    <w:tl2br w:val="nil"/>
                    <w:tr2bl w:val="nil"/>
                  </w:tcBorders>
                  <w:noWrap w:val="0"/>
                  <w:vAlign w:val="center"/>
                </w:tcPr>
                <w:p w14:paraId="7227440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0.000005</w:t>
                  </w:r>
                </w:p>
              </w:tc>
            </w:tr>
            <w:tr w14:paraId="02D319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blHeader/>
                <w:jc w:val="center"/>
              </w:trPr>
              <w:tc>
                <w:tcPr>
                  <w:tcW w:w="742" w:type="pct"/>
                  <w:tcBorders>
                    <w:top w:val="single" w:color="auto" w:sz="4" w:space="0"/>
                    <w:left w:val="single" w:color="auto" w:sz="4" w:space="0"/>
                    <w:bottom w:val="single" w:color="auto" w:sz="4" w:space="0"/>
                    <w:right w:val="single" w:color="auto" w:sz="4" w:space="0"/>
                    <w:tl2br w:val="nil"/>
                    <w:tr2bl w:val="nil"/>
                  </w:tcBorders>
                  <w:noWrap w:val="0"/>
                  <w:vAlign w:val="center"/>
                </w:tcPr>
                <w:p w14:paraId="7F3D6949">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16</w:t>
                  </w:r>
                </w:p>
              </w:tc>
              <w:tc>
                <w:tcPr>
                  <w:tcW w:w="1265" w:type="pct"/>
                  <w:tcBorders>
                    <w:top w:val="single" w:color="auto" w:sz="4" w:space="0"/>
                    <w:left w:val="single" w:color="auto" w:sz="4" w:space="0"/>
                    <w:bottom w:val="single" w:color="auto" w:sz="4" w:space="0"/>
                    <w:right w:val="single" w:color="auto" w:sz="4" w:space="0"/>
                    <w:tl2br w:val="nil"/>
                    <w:tr2bl w:val="nil"/>
                  </w:tcBorders>
                  <w:noWrap w:val="0"/>
                  <w:vAlign w:val="center"/>
                </w:tcPr>
                <w:p w14:paraId="096C7ED0">
                  <w:pPr>
                    <w:keepNext w:val="0"/>
                    <w:keepLines w:val="0"/>
                    <w:widowControl/>
                    <w:suppressLineNumbers w:val="0"/>
                    <w:jc w:val="center"/>
                    <w:textAlignment w:val="center"/>
                    <w:rPr>
                      <w:rFonts w:hint="default" w:ascii="Times New Roman" w:hAnsi="Times New Roman" w:eastAsia="宋体" w:cs="Times New Roman"/>
                      <w:b w:val="0"/>
                      <w:bCs w:val="0"/>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高锰酸钾</w:t>
                  </w:r>
                </w:p>
              </w:tc>
              <w:tc>
                <w:tcPr>
                  <w:tcW w:w="743" w:type="pct"/>
                  <w:tcBorders>
                    <w:top w:val="single" w:color="auto" w:sz="4" w:space="0"/>
                    <w:left w:val="single" w:color="auto" w:sz="4" w:space="0"/>
                    <w:bottom w:val="single" w:color="auto" w:sz="4" w:space="0"/>
                    <w:right w:val="single" w:color="auto" w:sz="4" w:space="0"/>
                    <w:tl2br w:val="nil"/>
                    <w:tr2bl w:val="nil"/>
                  </w:tcBorders>
                  <w:noWrap w:val="0"/>
                  <w:vAlign w:val="center"/>
                </w:tcPr>
                <w:p w14:paraId="032B47D2">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7722-64-7</w:t>
                  </w:r>
                </w:p>
              </w:tc>
              <w:tc>
                <w:tcPr>
                  <w:tcW w:w="911" w:type="pct"/>
                  <w:tcBorders>
                    <w:top w:val="single" w:color="auto" w:sz="4" w:space="0"/>
                    <w:left w:val="single" w:color="auto" w:sz="4" w:space="0"/>
                    <w:bottom w:val="single" w:color="auto" w:sz="4" w:space="0"/>
                    <w:right w:val="single" w:color="auto" w:sz="4" w:space="0"/>
                    <w:tl2br w:val="nil"/>
                    <w:tr2bl w:val="nil"/>
                  </w:tcBorders>
                  <w:noWrap w:val="0"/>
                  <w:vAlign w:val="center"/>
                </w:tcPr>
                <w:p w14:paraId="1D46C198">
                  <w:pPr>
                    <w:keepNext w:val="0"/>
                    <w:keepLines w:val="0"/>
                    <w:widowControl/>
                    <w:suppressLineNumbers w:val="0"/>
                    <w:jc w:val="center"/>
                    <w:textAlignment w:val="center"/>
                    <w:rPr>
                      <w:rFonts w:hint="eastAsia" w:ascii="Times New Roman" w:hAnsi="Times New Roman" w:eastAsia="宋体" w:cs="Times New Roman"/>
                      <w:b w:val="0"/>
                      <w:bCs w:val="0"/>
                      <w:color w:val="auto"/>
                      <w:kern w:val="0"/>
                      <w:sz w:val="21"/>
                      <w:szCs w:val="21"/>
                      <w:highlight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50</w:t>
                  </w:r>
                </w:p>
              </w:tc>
              <w:tc>
                <w:tcPr>
                  <w:tcW w:w="644" w:type="pct"/>
                  <w:tcBorders>
                    <w:top w:val="single" w:color="auto" w:sz="4" w:space="0"/>
                    <w:left w:val="single" w:color="auto" w:sz="4" w:space="0"/>
                    <w:bottom w:val="single" w:color="auto" w:sz="4" w:space="0"/>
                    <w:right w:val="single" w:color="auto" w:sz="4" w:space="0"/>
                    <w:tl2br w:val="nil"/>
                    <w:tr2bl w:val="nil"/>
                  </w:tcBorders>
                  <w:noWrap w:val="0"/>
                  <w:vAlign w:val="center"/>
                </w:tcPr>
                <w:p w14:paraId="113D554F">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0.0001</w:t>
                  </w:r>
                </w:p>
              </w:tc>
              <w:tc>
                <w:tcPr>
                  <w:tcW w:w="691" w:type="pct"/>
                  <w:tcBorders>
                    <w:top w:val="single" w:color="auto" w:sz="4" w:space="0"/>
                    <w:left w:val="single" w:color="auto" w:sz="4" w:space="0"/>
                    <w:bottom w:val="single" w:color="auto" w:sz="4" w:space="0"/>
                    <w:right w:val="single" w:color="auto" w:sz="4" w:space="0"/>
                    <w:tl2br w:val="nil"/>
                    <w:tr2bl w:val="nil"/>
                  </w:tcBorders>
                  <w:noWrap w:val="0"/>
                  <w:vAlign w:val="center"/>
                </w:tcPr>
                <w:p w14:paraId="1499A1B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0.000002</w:t>
                  </w:r>
                </w:p>
              </w:tc>
            </w:tr>
            <w:tr w14:paraId="34D34D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blHeader/>
                <w:jc w:val="center"/>
              </w:trPr>
              <w:tc>
                <w:tcPr>
                  <w:tcW w:w="4308" w:type="pct"/>
                  <w:gridSpan w:val="5"/>
                  <w:tcBorders>
                    <w:top w:val="single" w:color="auto" w:sz="4" w:space="0"/>
                    <w:left w:val="single" w:color="auto" w:sz="4" w:space="0"/>
                    <w:bottom w:val="single" w:color="auto" w:sz="4" w:space="0"/>
                    <w:right w:val="single" w:color="auto" w:sz="4" w:space="0"/>
                    <w:tl2br w:val="nil"/>
                    <w:tr2bl w:val="nil"/>
                  </w:tcBorders>
                  <w:noWrap w:val="0"/>
                  <w:vAlign w:val="center"/>
                </w:tcPr>
                <w:p w14:paraId="1DDCD32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合计</w:t>
                  </w:r>
                </w:p>
              </w:tc>
              <w:tc>
                <w:tcPr>
                  <w:tcW w:w="691" w:type="pct"/>
                  <w:tcBorders>
                    <w:top w:val="single" w:color="auto" w:sz="4" w:space="0"/>
                    <w:left w:val="single" w:color="auto" w:sz="4" w:space="0"/>
                    <w:bottom w:val="single" w:color="auto" w:sz="4" w:space="0"/>
                    <w:right w:val="single" w:color="auto" w:sz="4" w:space="0"/>
                    <w:tl2br w:val="nil"/>
                    <w:tr2bl w:val="nil"/>
                  </w:tcBorders>
                  <w:noWrap w:val="0"/>
                  <w:vAlign w:val="center"/>
                </w:tcPr>
                <w:p w14:paraId="22BC2F0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0.0147</w:t>
                  </w:r>
                </w:p>
              </w:tc>
            </w:tr>
          </w:tbl>
          <w:p w14:paraId="54B63638">
            <w:pPr>
              <w:adjustRightInd w:val="0"/>
              <w:snapToGrid w:val="0"/>
              <w:spacing w:line="360" w:lineRule="auto"/>
              <w:ind w:firstLine="480" w:firstLineChars="200"/>
              <w:rPr>
                <w:rFonts w:hint="default" w:ascii="Times New Roman" w:hAnsi="Times New Roman" w:eastAsia="宋体" w:cs="Times New Roman"/>
                <w:b w:val="0"/>
                <w:bCs/>
                <w:color w:val="auto"/>
                <w:kern w:val="0"/>
                <w:sz w:val="24"/>
                <w:highlight w:val="none"/>
                <w:lang w:bidi="ar"/>
              </w:rPr>
            </w:pPr>
            <w:r>
              <w:rPr>
                <w:rFonts w:hint="default" w:ascii="Times New Roman" w:hAnsi="Times New Roman" w:eastAsia="宋体" w:cs="Times New Roman"/>
                <w:b w:val="0"/>
                <w:bCs/>
                <w:color w:val="auto"/>
                <w:kern w:val="0"/>
                <w:sz w:val="24"/>
                <w:highlight w:val="none"/>
                <w:lang w:bidi="ar"/>
              </w:rPr>
              <w:t>根据《建设项目环境风险评价技术导则》（HJ169-2018）要求，当Q＜1时，该项目环境风险潜势为</w:t>
            </w:r>
            <w:r>
              <w:rPr>
                <w:rFonts w:hint="eastAsia" w:ascii="Times New Roman" w:hAnsi="Times New Roman" w:eastAsia="宋体" w:cs="Times New Roman"/>
                <w:b w:val="0"/>
                <w:bCs/>
                <w:color w:val="auto"/>
                <w:kern w:val="0"/>
                <w:sz w:val="24"/>
                <w:highlight w:val="none"/>
                <w:lang w:val="en-US" w:eastAsia="zh-CN" w:bidi="ar"/>
              </w:rPr>
              <w:t>I</w:t>
            </w:r>
            <w:r>
              <w:rPr>
                <w:rFonts w:hint="default" w:ascii="Times New Roman" w:hAnsi="Times New Roman" w:eastAsia="宋体" w:cs="Times New Roman"/>
                <w:b w:val="0"/>
                <w:bCs/>
                <w:color w:val="auto"/>
                <w:kern w:val="0"/>
                <w:sz w:val="24"/>
                <w:highlight w:val="none"/>
                <w:lang w:bidi="ar"/>
              </w:rPr>
              <w:t>，</w:t>
            </w:r>
            <w:r>
              <w:rPr>
                <w:rFonts w:hint="default" w:ascii="Times New Roman" w:hAnsi="Times New Roman" w:eastAsia="宋体" w:cs="Times New Roman"/>
                <w:b w:val="0"/>
                <w:bCs/>
                <w:color w:val="auto"/>
                <w:kern w:val="0"/>
                <w:sz w:val="24"/>
                <w:highlight w:val="none"/>
                <w:lang w:eastAsia="zh-CN" w:bidi="ar"/>
              </w:rPr>
              <w:t>本项目</w:t>
            </w:r>
            <w:r>
              <w:rPr>
                <w:rFonts w:hint="default" w:ascii="Times New Roman" w:hAnsi="Times New Roman" w:eastAsia="宋体" w:cs="Times New Roman"/>
                <w:b w:val="0"/>
                <w:bCs/>
                <w:color w:val="auto"/>
                <w:kern w:val="0"/>
                <w:sz w:val="24"/>
                <w:highlight w:val="none"/>
                <w:lang w:bidi="ar"/>
              </w:rPr>
              <w:t>危险物质数量与临界量比值（Q）计算结果可知，本项目Q＜1，则该项目环境风险潜势为</w:t>
            </w:r>
            <w:r>
              <w:rPr>
                <w:rFonts w:hint="eastAsia" w:ascii="Times New Roman" w:hAnsi="Times New Roman" w:eastAsia="宋体" w:cs="Times New Roman"/>
                <w:b w:val="0"/>
                <w:bCs/>
                <w:color w:val="auto"/>
                <w:kern w:val="0"/>
                <w:sz w:val="24"/>
                <w:highlight w:val="none"/>
                <w:lang w:val="en-US" w:eastAsia="zh-CN" w:bidi="ar"/>
              </w:rPr>
              <w:t>I</w:t>
            </w:r>
            <w:r>
              <w:rPr>
                <w:rFonts w:hint="default" w:ascii="Times New Roman" w:hAnsi="Times New Roman" w:eastAsia="宋体" w:cs="Times New Roman"/>
                <w:b w:val="0"/>
                <w:bCs/>
                <w:color w:val="auto"/>
                <w:kern w:val="0"/>
                <w:sz w:val="24"/>
                <w:highlight w:val="none"/>
                <w:lang w:bidi="ar"/>
              </w:rPr>
              <w:t>；根据</w:t>
            </w:r>
            <w:r>
              <w:rPr>
                <w:rFonts w:hint="default" w:ascii="Times New Roman" w:hAnsi="Times New Roman" w:eastAsia="宋体" w:cs="Times New Roman"/>
                <w:b w:val="0"/>
                <w:bCs/>
                <w:color w:val="auto"/>
                <w:spacing w:val="-4"/>
                <w:kern w:val="0"/>
                <w:sz w:val="24"/>
                <w:highlight w:val="none"/>
                <w:lang w:bidi="ar"/>
              </w:rPr>
              <w:t>环境风险评价工作等级划分依据得出，本项目环境风险评价工作等级为简单分析</w:t>
            </w:r>
            <w:r>
              <w:rPr>
                <w:rFonts w:hint="default" w:ascii="Times New Roman" w:hAnsi="Times New Roman" w:eastAsia="宋体" w:cs="Times New Roman"/>
                <w:b w:val="0"/>
                <w:bCs/>
                <w:color w:val="auto"/>
                <w:kern w:val="0"/>
                <w:sz w:val="24"/>
                <w:highlight w:val="none"/>
                <w:lang w:bidi="ar"/>
              </w:rPr>
              <w:t>。</w:t>
            </w:r>
          </w:p>
          <w:p w14:paraId="45ED1809">
            <w:pPr>
              <w:pStyle w:val="75"/>
              <w:spacing w:line="360" w:lineRule="auto"/>
              <w:ind w:firstLine="480" w:firstLineChars="200"/>
              <w:jc w:val="both"/>
              <w:rPr>
                <w:rFonts w:hint="default" w:ascii="Times New Roman" w:hAnsi="Times New Roman" w:eastAsia="宋体" w:cs="Times New Roman"/>
                <w:b w:val="0"/>
                <w:bCs w:val="0"/>
                <w:color w:val="auto"/>
                <w:sz w:val="24"/>
                <w:szCs w:val="24"/>
                <w:lang w:val="en-US" w:eastAsia="zh-CN"/>
              </w:rPr>
            </w:pPr>
            <w:r>
              <w:rPr>
                <w:rFonts w:hint="eastAsia" w:cs="Times New Roman"/>
                <w:b w:val="0"/>
                <w:bCs w:val="0"/>
                <w:color w:val="auto"/>
                <w:sz w:val="24"/>
                <w:szCs w:val="24"/>
                <w:lang w:val="en-US" w:eastAsia="zh-CN"/>
              </w:rPr>
              <w:t>（4）化学试剂泄漏环境风险分析</w:t>
            </w:r>
          </w:p>
          <w:p w14:paraId="0EDD71EE">
            <w:pPr>
              <w:spacing w:line="360" w:lineRule="auto"/>
              <w:ind w:firstLine="480" w:firstLineChars="200"/>
              <w:rPr>
                <w:rFonts w:hint="default" w:ascii="Times New Roman" w:hAnsi="Times New Roman" w:eastAsia="宋体" w:cs="Times New Roman"/>
                <w:color w:val="auto"/>
                <w:sz w:val="24"/>
                <w:szCs w:val="24"/>
                <w:lang w:val="en-US" w:eastAsia="zh-CN"/>
              </w:rPr>
            </w:pPr>
            <w:r>
              <w:rPr>
                <w:rFonts w:hint="eastAsia" w:ascii="Times New Roman" w:hAnsi="Times New Roman" w:cs="Times New Roman"/>
                <w:color w:val="auto"/>
                <w:sz w:val="24"/>
                <w:szCs w:val="24"/>
                <w:lang w:val="en-US" w:eastAsia="zh-CN"/>
              </w:rPr>
              <w:t>项目实验室使用的</w:t>
            </w:r>
            <w:r>
              <w:rPr>
                <w:rFonts w:hint="eastAsia" w:ascii="Times New Roman" w:hAnsi="Times New Roman" w:eastAsia="宋体" w:cs="Times New Roman"/>
                <w:color w:val="auto"/>
                <w:sz w:val="24"/>
                <w:szCs w:val="24"/>
              </w:rPr>
              <w:t>盐酸</w:t>
            </w:r>
            <w:r>
              <w:rPr>
                <w:rFonts w:hint="eastAsia" w:ascii="Times New Roman" w:hAnsi="Times New Roman" w:cs="Times New Roman"/>
                <w:color w:val="auto"/>
                <w:sz w:val="24"/>
                <w:szCs w:val="24"/>
                <w:lang w:eastAsia="zh-CN"/>
              </w:rPr>
              <w:t>、</w:t>
            </w:r>
            <w:r>
              <w:rPr>
                <w:rFonts w:hint="eastAsia" w:ascii="Times New Roman" w:hAnsi="Times New Roman" w:cs="Times New Roman"/>
                <w:color w:val="auto"/>
                <w:sz w:val="24"/>
                <w:szCs w:val="24"/>
                <w:lang w:val="en-US" w:eastAsia="zh-CN"/>
              </w:rPr>
              <w:t>硝酸、硫酸等化学试剂</w:t>
            </w:r>
            <w:r>
              <w:rPr>
                <w:rFonts w:hint="eastAsia" w:ascii="Times New Roman" w:hAnsi="Times New Roman" w:eastAsia="宋体" w:cs="Times New Roman"/>
                <w:color w:val="auto"/>
                <w:sz w:val="24"/>
                <w:szCs w:val="24"/>
              </w:rPr>
              <w:t>具有挥发性和强腐蚀性，当发生</w:t>
            </w:r>
            <w:r>
              <w:rPr>
                <w:rFonts w:hint="eastAsia" w:ascii="Times New Roman" w:hAnsi="Times New Roman" w:cs="Times New Roman"/>
                <w:color w:val="auto"/>
                <w:sz w:val="24"/>
                <w:szCs w:val="24"/>
                <w:lang w:val="en-US" w:eastAsia="zh-CN"/>
              </w:rPr>
              <w:t>试剂</w:t>
            </w:r>
            <w:r>
              <w:rPr>
                <w:rFonts w:hint="eastAsia" w:ascii="Times New Roman" w:hAnsi="Times New Roman" w:eastAsia="宋体" w:cs="Times New Roman"/>
                <w:color w:val="auto"/>
                <w:sz w:val="24"/>
                <w:szCs w:val="24"/>
              </w:rPr>
              <w:t>泄漏时，迅速挥发进入空气，对</w:t>
            </w:r>
            <w:r>
              <w:rPr>
                <w:rFonts w:hint="eastAsia" w:ascii="Times New Roman" w:hAnsi="Times New Roman" w:cs="Times New Roman"/>
                <w:color w:val="auto"/>
                <w:sz w:val="24"/>
                <w:szCs w:val="24"/>
                <w:lang w:val="en-US" w:eastAsia="zh-CN"/>
              </w:rPr>
              <w:t>实验室工作</w:t>
            </w:r>
            <w:r>
              <w:rPr>
                <w:rFonts w:hint="eastAsia" w:ascii="Times New Roman" w:hAnsi="Times New Roman" w:eastAsia="宋体" w:cs="Times New Roman"/>
                <w:color w:val="auto"/>
                <w:sz w:val="24"/>
                <w:szCs w:val="24"/>
              </w:rPr>
              <w:t>人员造成伤害</w:t>
            </w:r>
            <w:r>
              <w:rPr>
                <w:rFonts w:hint="eastAsia" w:ascii="Times New Roman" w:hAnsi="Times New Roman" w:cs="Times New Roman"/>
                <w:color w:val="auto"/>
                <w:sz w:val="24"/>
                <w:szCs w:val="24"/>
                <w:lang w:eastAsia="zh-CN"/>
              </w:rPr>
              <w:t>。</w:t>
            </w:r>
            <w:r>
              <w:rPr>
                <w:rFonts w:hint="eastAsia" w:ascii="Times New Roman" w:hAnsi="Times New Roman" w:cs="Times New Roman"/>
                <w:color w:val="auto"/>
                <w:sz w:val="24"/>
                <w:szCs w:val="24"/>
                <w:lang w:val="en-US" w:eastAsia="zh-CN"/>
              </w:rPr>
              <w:t>项目使用各类试剂均为外购瓶装，所有试剂同时泄漏发生概率较小，单独每瓶试剂量泄漏量较低，项目</w:t>
            </w:r>
            <w:r>
              <w:rPr>
                <w:rFonts w:hint="eastAsia" w:ascii="Times New Roman" w:hAnsi="Times New Roman" w:eastAsia="宋体" w:cs="Times New Roman"/>
                <w:color w:val="auto"/>
                <w:sz w:val="24"/>
                <w:szCs w:val="24"/>
              </w:rPr>
              <w:t>对</w:t>
            </w:r>
            <w:r>
              <w:rPr>
                <w:rFonts w:hint="eastAsia" w:ascii="Times New Roman" w:hAnsi="Times New Roman" w:cs="Times New Roman"/>
                <w:color w:val="auto"/>
                <w:sz w:val="24"/>
                <w:szCs w:val="24"/>
                <w:lang w:val="en-US" w:eastAsia="zh-CN"/>
              </w:rPr>
              <w:t>危化品库和试剂库</w:t>
            </w:r>
            <w:r>
              <w:rPr>
                <w:rFonts w:hint="eastAsia" w:ascii="Times New Roman" w:hAnsi="Times New Roman" w:eastAsia="宋体" w:cs="Times New Roman"/>
                <w:color w:val="auto"/>
                <w:sz w:val="24"/>
                <w:szCs w:val="24"/>
              </w:rPr>
              <w:t>重点防渗</w:t>
            </w:r>
            <w:r>
              <w:rPr>
                <w:rFonts w:hint="eastAsia" w:ascii="Times New Roman" w:hAnsi="Times New Roman" w:cs="Times New Roman"/>
                <w:color w:val="auto"/>
                <w:sz w:val="24"/>
                <w:szCs w:val="24"/>
                <w:lang w:val="en-US" w:eastAsia="zh-CN"/>
              </w:rPr>
              <w:t>防腐</w:t>
            </w:r>
            <w:r>
              <w:rPr>
                <w:rFonts w:hint="eastAsia" w:ascii="Times New Roman" w:hAnsi="Times New Roman" w:eastAsia="宋体" w:cs="Times New Roman"/>
                <w:color w:val="auto"/>
                <w:sz w:val="24"/>
                <w:szCs w:val="24"/>
              </w:rPr>
              <w:t>，同时</w:t>
            </w:r>
            <w:r>
              <w:rPr>
                <w:rFonts w:hint="eastAsia" w:ascii="Times New Roman" w:hAnsi="Times New Roman" w:cs="Times New Roman"/>
                <w:color w:val="auto"/>
                <w:sz w:val="24"/>
                <w:szCs w:val="24"/>
                <w:lang w:val="en-US" w:eastAsia="zh-CN"/>
              </w:rPr>
              <w:t>安排检查工作人员，每日对试剂用量、剩余试剂及试剂包装进行核对清点，</w:t>
            </w:r>
            <w:r>
              <w:rPr>
                <w:rFonts w:hint="eastAsia" w:ascii="Times New Roman" w:hAnsi="Times New Roman" w:eastAsia="宋体" w:cs="Times New Roman"/>
                <w:color w:val="auto"/>
                <w:sz w:val="24"/>
                <w:szCs w:val="24"/>
              </w:rPr>
              <w:t>当</w:t>
            </w:r>
            <w:r>
              <w:rPr>
                <w:rFonts w:hint="eastAsia" w:ascii="Times New Roman" w:hAnsi="Times New Roman" w:cs="Times New Roman"/>
                <w:color w:val="auto"/>
                <w:sz w:val="24"/>
                <w:szCs w:val="24"/>
                <w:lang w:val="en-US" w:eastAsia="zh-CN"/>
              </w:rPr>
              <w:t>发现试剂瓶有破损</w:t>
            </w:r>
            <w:r>
              <w:rPr>
                <w:rFonts w:hint="eastAsia" w:ascii="Times New Roman" w:hAnsi="Times New Roman" w:eastAsia="宋体" w:cs="Times New Roman"/>
                <w:color w:val="auto"/>
                <w:sz w:val="24"/>
                <w:szCs w:val="24"/>
              </w:rPr>
              <w:t>泄漏时，应立即采取措施，在保证安全的前提下，对泄漏处进行清理和</w:t>
            </w:r>
            <w:r>
              <w:rPr>
                <w:rFonts w:hint="eastAsia" w:ascii="Times New Roman" w:hAnsi="Times New Roman" w:cs="Times New Roman"/>
                <w:color w:val="auto"/>
                <w:sz w:val="24"/>
                <w:szCs w:val="24"/>
                <w:lang w:val="en-US" w:eastAsia="zh-CN"/>
              </w:rPr>
              <w:t>更换试剂包装。在实验室地面防渗防腐后，泄漏量较小的试剂难以进入外环境，对环境影响较小。</w:t>
            </w:r>
          </w:p>
          <w:p w14:paraId="0FB9B6F2">
            <w:pPr>
              <w:pStyle w:val="75"/>
              <w:spacing w:line="360" w:lineRule="auto"/>
              <w:ind w:firstLine="480" w:firstLineChars="200"/>
              <w:jc w:val="both"/>
              <w:rPr>
                <w:rFonts w:hint="eastAsia" w:ascii="Times New Roman" w:hAnsi="Times New Roman" w:eastAsia="宋体" w:cs="Times New Roman"/>
                <w:b w:val="0"/>
                <w:bCs w:val="0"/>
                <w:color w:val="auto"/>
                <w:sz w:val="24"/>
                <w:szCs w:val="24"/>
                <w:lang w:val="en-US" w:eastAsia="zh-CN"/>
              </w:rPr>
            </w:pPr>
            <w:r>
              <w:rPr>
                <w:rFonts w:hint="eastAsia" w:ascii="Times New Roman" w:hAnsi="Times New Roman" w:eastAsia="宋体" w:cs="Times New Roman"/>
                <w:b w:val="0"/>
                <w:bCs w:val="0"/>
                <w:color w:val="auto"/>
                <w:sz w:val="24"/>
                <w:szCs w:val="24"/>
                <w:lang w:val="en-US" w:eastAsia="zh-CN"/>
              </w:rPr>
              <w:t>（</w:t>
            </w:r>
            <w:r>
              <w:rPr>
                <w:rFonts w:hint="eastAsia" w:cs="Times New Roman"/>
                <w:b w:val="0"/>
                <w:bCs w:val="0"/>
                <w:color w:val="auto"/>
                <w:sz w:val="24"/>
                <w:szCs w:val="24"/>
                <w:lang w:val="en-US" w:eastAsia="zh-CN"/>
              </w:rPr>
              <w:t>5</w:t>
            </w:r>
            <w:r>
              <w:rPr>
                <w:rFonts w:hint="eastAsia" w:ascii="Times New Roman" w:hAnsi="Times New Roman" w:eastAsia="宋体" w:cs="Times New Roman"/>
                <w:b w:val="0"/>
                <w:bCs w:val="0"/>
                <w:color w:val="auto"/>
                <w:sz w:val="24"/>
                <w:szCs w:val="24"/>
                <w:lang w:val="en-US" w:eastAsia="zh-CN"/>
              </w:rPr>
              <w:t>）</w:t>
            </w:r>
            <w:r>
              <w:rPr>
                <w:rFonts w:hint="eastAsia" w:ascii="Times New Roman" w:hAnsi="Times New Roman" w:cs="Times New Roman"/>
                <w:b w:val="0"/>
                <w:bCs w:val="0"/>
                <w:color w:val="auto"/>
                <w:sz w:val="24"/>
                <w:szCs w:val="24"/>
                <w:lang w:val="en-US" w:eastAsia="zh-CN"/>
              </w:rPr>
              <w:t>生产管理</w:t>
            </w:r>
            <w:r>
              <w:rPr>
                <w:rFonts w:hint="eastAsia" w:ascii="Times New Roman" w:hAnsi="Times New Roman" w:eastAsia="宋体" w:cs="Times New Roman"/>
                <w:b w:val="0"/>
                <w:bCs w:val="0"/>
                <w:color w:val="auto"/>
                <w:sz w:val="24"/>
                <w:szCs w:val="24"/>
                <w:lang w:val="en-US" w:eastAsia="zh-CN"/>
              </w:rPr>
              <w:t>风险防范和减缓措施</w:t>
            </w:r>
          </w:p>
          <w:p w14:paraId="72C26075">
            <w:pPr>
              <w:pStyle w:val="75"/>
              <w:spacing w:line="360" w:lineRule="auto"/>
              <w:ind w:firstLine="480" w:firstLineChars="200"/>
              <w:jc w:val="both"/>
              <w:rPr>
                <w:rFonts w:hint="eastAsia" w:ascii="Times New Roman" w:hAnsi="Times New Roman" w:eastAsia="宋体" w:cs="Times New Roman"/>
                <w:b w:val="0"/>
                <w:bCs w:val="0"/>
                <w:color w:val="auto"/>
                <w:sz w:val="24"/>
                <w:szCs w:val="24"/>
                <w:lang w:val="en-US" w:eastAsia="zh-CN"/>
              </w:rPr>
            </w:pPr>
            <w:r>
              <w:rPr>
                <w:rFonts w:hint="eastAsia" w:ascii="Times New Roman" w:hAnsi="Times New Roman" w:eastAsia="宋体" w:cs="Times New Roman"/>
                <w:b w:val="0"/>
                <w:bCs w:val="0"/>
                <w:color w:val="auto"/>
                <w:sz w:val="24"/>
                <w:szCs w:val="24"/>
                <w:lang w:val="en-US" w:eastAsia="zh-CN"/>
              </w:rPr>
              <w:t>①实验室应安排专人负责，对试剂库及危险品库进行每日巡检，检查容器有无渗漏、腐蚀痕迹，记录存储状态，加强试剂库存清点工作，并做好记录；</w:t>
            </w:r>
          </w:p>
          <w:p w14:paraId="5F500CF2">
            <w:pPr>
              <w:pStyle w:val="75"/>
              <w:spacing w:line="360" w:lineRule="auto"/>
              <w:ind w:firstLine="480" w:firstLineChars="200"/>
              <w:jc w:val="both"/>
              <w:rPr>
                <w:rFonts w:hint="eastAsia" w:ascii="Times New Roman" w:hAnsi="Times New Roman" w:eastAsia="宋体" w:cs="Times New Roman"/>
                <w:b w:val="0"/>
                <w:bCs w:val="0"/>
                <w:color w:val="auto"/>
                <w:sz w:val="24"/>
                <w:szCs w:val="24"/>
                <w:lang w:val="en-US" w:eastAsia="zh-CN"/>
              </w:rPr>
            </w:pPr>
            <w:r>
              <w:rPr>
                <w:rFonts w:hint="eastAsia" w:ascii="Times New Roman" w:hAnsi="Times New Roman" w:eastAsia="宋体" w:cs="Times New Roman"/>
                <w:b w:val="0"/>
                <w:bCs w:val="0"/>
                <w:color w:val="auto"/>
                <w:sz w:val="24"/>
                <w:szCs w:val="24"/>
                <w:lang w:val="en-US" w:eastAsia="zh-CN"/>
              </w:rPr>
              <w:t>②在实验室各处悬挂禁止火种带入、禁止吸烟等警示牌；</w:t>
            </w:r>
          </w:p>
          <w:p w14:paraId="7C3060DD">
            <w:pPr>
              <w:pStyle w:val="75"/>
              <w:spacing w:line="360" w:lineRule="auto"/>
              <w:ind w:firstLine="480" w:firstLineChars="200"/>
              <w:jc w:val="both"/>
              <w:rPr>
                <w:rFonts w:hint="eastAsia" w:ascii="Times New Roman" w:hAnsi="Times New Roman" w:eastAsia="宋体" w:cs="Times New Roman"/>
                <w:b w:val="0"/>
                <w:bCs w:val="0"/>
                <w:color w:val="auto"/>
                <w:sz w:val="24"/>
                <w:szCs w:val="24"/>
                <w:lang w:val="en-US" w:eastAsia="zh-CN"/>
              </w:rPr>
            </w:pPr>
            <w:r>
              <w:rPr>
                <w:rFonts w:hint="eastAsia" w:ascii="Times New Roman" w:hAnsi="Times New Roman" w:eastAsia="宋体" w:cs="Times New Roman"/>
                <w:b w:val="0"/>
                <w:bCs w:val="0"/>
                <w:color w:val="auto"/>
                <w:sz w:val="24"/>
                <w:szCs w:val="24"/>
                <w:lang w:val="en-US" w:eastAsia="zh-CN"/>
              </w:rPr>
              <w:t>③在办公室等处配备不同类型的灭火器具，以便在发生火灾时用于防灭火工作；</w:t>
            </w:r>
          </w:p>
          <w:p w14:paraId="79A286C6">
            <w:pPr>
              <w:pStyle w:val="75"/>
              <w:spacing w:line="360" w:lineRule="auto"/>
              <w:ind w:firstLine="480" w:firstLineChars="200"/>
              <w:jc w:val="both"/>
              <w:rPr>
                <w:rFonts w:hint="eastAsia" w:ascii="Times New Roman" w:hAnsi="Times New Roman" w:eastAsia="宋体" w:cs="Times New Roman"/>
                <w:b w:val="0"/>
                <w:bCs w:val="0"/>
                <w:color w:val="auto"/>
                <w:sz w:val="24"/>
                <w:szCs w:val="24"/>
                <w:lang w:val="en-US" w:eastAsia="zh-CN"/>
              </w:rPr>
            </w:pPr>
            <w:r>
              <w:rPr>
                <w:rFonts w:hint="eastAsia" w:ascii="Times New Roman" w:hAnsi="Times New Roman" w:eastAsia="宋体" w:cs="Times New Roman"/>
                <w:b w:val="0"/>
                <w:bCs w:val="0"/>
                <w:color w:val="auto"/>
                <w:sz w:val="24"/>
                <w:szCs w:val="24"/>
                <w:lang w:val="en-US" w:eastAsia="zh-CN"/>
              </w:rPr>
              <w:t>④</w:t>
            </w:r>
            <w:r>
              <w:rPr>
                <w:rFonts w:hint="eastAsia" w:ascii="Times New Roman" w:hAnsi="Times New Roman" w:cs="Times New Roman"/>
                <w:b w:val="0"/>
                <w:bCs w:val="0"/>
                <w:color w:val="auto"/>
                <w:sz w:val="24"/>
                <w:szCs w:val="24"/>
                <w:lang w:val="en-US" w:eastAsia="zh-CN"/>
              </w:rPr>
              <w:t>项目</w:t>
            </w:r>
            <w:r>
              <w:rPr>
                <w:rFonts w:hint="eastAsia" w:ascii="Times New Roman" w:hAnsi="Times New Roman" w:eastAsia="宋体" w:cs="Times New Roman"/>
                <w:b w:val="0"/>
                <w:bCs w:val="0"/>
                <w:color w:val="auto"/>
                <w:sz w:val="24"/>
                <w:szCs w:val="24"/>
                <w:lang w:val="en-US" w:eastAsia="zh-CN"/>
              </w:rPr>
              <w:t>电气设备均按《安全规程》的要求选取，加强对其管理与维护，避免因发生短路和绝缘材料破坏漏电而引起的火灾事故。</w:t>
            </w:r>
          </w:p>
          <w:p w14:paraId="1AF2E7F3">
            <w:pPr>
              <w:keepNext w:val="0"/>
              <w:keepLines w:val="0"/>
              <w:pageBreakBefore w:val="0"/>
              <w:numPr>
                <w:ilvl w:val="0"/>
                <w:numId w:val="0"/>
              </w:numPr>
              <w:kinsoku/>
              <w:wordWrap/>
              <w:overflowPunct/>
              <w:topLinePunct w:val="0"/>
              <w:autoSpaceDE/>
              <w:autoSpaceDN/>
              <w:bidi w:val="0"/>
              <w:adjustRightInd/>
              <w:spacing w:line="360" w:lineRule="auto"/>
              <w:ind w:leftChars="0" w:right="0" w:firstLine="480" w:firstLineChars="200"/>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（5）危险废物</w:t>
            </w:r>
            <w:r>
              <w:rPr>
                <w:rFonts w:hint="eastAsia" w:ascii="Times New Roman" w:hAnsi="Times New Roman" w:eastAsia="宋体" w:cs="Times New Roman"/>
                <w:b w:val="0"/>
                <w:bCs w:val="0"/>
                <w:color w:val="auto"/>
                <w:sz w:val="24"/>
                <w:szCs w:val="24"/>
                <w:highlight w:val="none"/>
                <w:lang w:val="en-US" w:eastAsia="zh-CN"/>
              </w:rPr>
              <w:t>、试剂</w:t>
            </w:r>
            <w:r>
              <w:rPr>
                <w:rFonts w:hint="default" w:ascii="Times New Roman" w:hAnsi="Times New Roman" w:eastAsia="宋体" w:cs="Times New Roman"/>
                <w:b w:val="0"/>
                <w:bCs w:val="0"/>
                <w:color w:val="auto"/>
                <w:sz w:val="24"/>
                <w:szCs w:val="24"/>
                <w:highlight w:val="none"/>
                <w:lang w:val="en-US" w:eastAsia="zh-CN"/>
              </w:rPr>
              <w:t>泄漏风险防范措施</w:t>
            </w:r>
          </w:p>
          <w:p w14:paraId="10EF4830">
            <w:pPr>
              <w:keepNext w:val="0"/>
              <w:keepLines w:val="0"/>
              <w:pageBreakBefore w:val="0"/>
              <w:widowControl/>
              <w:numPr>
                <w:ilvl w:val="0"/>
                <w:numId w:val="0"/>
              </w:numPr>
              <w:kinsoku/>
              <w:wordWrap/>
              <w:overflowPunct/>
              <w:topLinePunct w:val="0"/>
              <w:autoSpaceDE/>
              <w:autoSpaceDN/>
              <w:bidi w:val="0"/>
              <w:adjustRightInd/>
              <w:snapToGrid w:val="0"/>
              <w:spacing w:line="360" w:lineRule="auto"/>
              <w:ind w:leftChars="0" w:right="0" w:firstLine="480" w:firstLineChars="200"/>
              <w:jc w:val="left"/>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①事故报警：在岗人员发现</w:t>
            </w:r>
            <w:r>
              <w:rPr>
                <w:rFonts w:hint="eastAsia" w:ascii="Times New Roman" w:hAnsi="Times New Roman" w:eastAsia="宋体" w:cs="Times New Roman"/>
                <w:color w:val="auto"/>
                <w:sz w:val="24"/>
                <w:szCs w:val="24"/>
                <w:highlight w:val="none"/>
                <w:lang w:val="en-US" w:eastAsia="zh-CN"/>
              </w:rPr>
              <w:t>危险暂存间、试剂库存放</w:t>
            </w:r>
            <w:r>
              <w:rPr>
                <w:rFonts w:hint="default" w:ascii="Times New Roman" w:hAnsi="Times New Roman" w:eastAsia="宋体" w:cs="Times New Roman"/>
                <w:color w:val="auto"/>
                <w:sz w:val="24"/>
                <w:szCs w:val="24"/>
                <w:highlight w:val="none"/>
                <w:lang w:val="en-US" w:eastAsia="zh-CN"/>
              </w:rPr>
              <w:t>场所异常，应立刻向负责人报告，负责人对事故作出判断，进行应急处置。</w:t>
            </w:r>
          </w:p>
          <w:p w14:paraId="52CA9336">
            <w:pPr>
              <w:keepNext w:val="0"/>
              <w:keepLines w:val="0"/>
              <w:pageBreakBefore w:val="0"/>
              <w:widowControl/>
              <w:numPr>
                <w:ilvl w:val="0"/>
                <w:numId w:val="0"/>
              </w:numPr>
              <w:kinsoku/>
              <w:wordWrap/>
              <w:overflowPunct/>
              <w:topLinePunct w:val="0"/>
              <w:autoSpaceDE/>
              <w:autoSpaceDN/>
              <w:bidi w:val="0"/>
              <w:adjustRightInd/>
              <w:snapToGrid w:val="0"/>
              <w:spacing w:line="360" w:lineRule="auto"/>
              <w:ind w:leftChars="0" w:right="0" w:firstLine="480" w:firstLineChars="200"/>
              <w:jc w:val="left"/>
              <w:textAlignment w:val="auto"/>
              <w:rPr>
                <w:rFonts w:hint="default" w:ascii="Times New Roman" w:hAnsi="Times New Roman" w:cs="Times New Roman"/>
                <w:color w:val="auto"/>
                <w:sz w:val="24"/>
                <w:szCs w:val="24"/>
                <w:lang w:val="en-US" w:eastAsia="zh-CN"/>
              </w:rPr>
            </w:pPr>
            <w:r>
              <w:rPr>
                <w:rFonts w:hint="default" w:ascii="Times New Roman" w:hAnsi="Times New Roman" w:eastAsia="宋体" w:cs="Times New Roman"/>
                <w:color w:val="auto"/>
                <w:sz w:val="24"/>
                <w:szCs w:val="24"/>
                <w:highlight w:val="none"/>
                <w:lang w:val="en-US" w:eastAsia="zh-CN"/>
              </w:rPr>
              <w:t>②现场应急处置：负责人迅速组织事故区人员撤离，设置警戒。通知相邻作业停止，及时组织在岗人员穿戴好个人防护用品，进行抢险救援。</w:t>
            </w:r>
          </w:p>
          <w:p w14:paraId="5DE64DBB">
            <w:pPr>
              <w:keepNext w:val="0"/>
              <w:keepLines w:val="0"/>
              <w:pageBreakBefore w:val="0"/>
              <w:widowControl/>
              <w:numPr>
                <w:ilvl w:val="0"/>
                <w:numId w:val="0"/>
              </w:numPr>
              <w:kinsoku/>
              <w:wordWrap/>
              <w:overflowPunct/>
              <w:topLinePunct w:val="0"/>
              <w:autoSpaceDE/>
              <w:autoSpaceDN/>
              <w:bidi w:val="0"/>
              <w:adjustRightInd/>
              <w:snapToGrid w:val="0"/>
              <w:spacing w:line="360" w:lineRule="auto"/>
              <w:ind w:leftChars="0" w:right="0" w:firstLine="480" w:firstLineChars="200"/>
              <w:jc w:val="left"/>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③酸类（盐酸、硝酸、氢氟酸）泄漏：用碳酸钙粉末或小苏打（NaHCO₃）覆盖中和，反应完全后收集至含氟危废专用容器；氢氟酸泄漏需额外喷洒含钙盐的应急吸附棉，防止氟离子扩散。易燃液体（无水乙醇、冰乙酸）泄漏：立即切断火源，用防爆型吸附棉覆盖吸收，收集至易燃危废容器，存储区加强通风。</w:t>
            </w:r>
          </w:p>
          <w:p w14:paraId="63CDF738">
            <w:pPr>
              <w:keepNext w:val="0"/>
              <w:keepLines w:val="0"/>
              <w:pageBreakBefore w:val="0"/>
              <w:widowControl/>
              <w:numPr>
                <w:ilvl w:val="0"/>
                <w:numId w:val="0"/>
              </w:numPr>
              <w:kinsoku/>
              <w:wordWrap/>
              <w:overflowPunct/>
              <w:topLinePunct w:val="0"/>
              <w:autoSpaceDE/>
              <w:autoSpaceDN/>
              <w:bidi w:val="0"/>
              <w:adjustRightInd/>
              <w:snapToGrid w:val="0"/>
              <w:spacing w:line="360" w:lineRule="auto"/>
              <w:ind w:leftChars="0" w:right="0" w:firstLine="480" w:firstLineChars="200"/>
              <w:jc w:val="left"/>
              <w:textAlignment w:val="auto"/>
              <w:rPr>
                <w:rFonts w:hint="default" w:ascii="Times New Roman" w:hAnsi="Times New Roman" w:cs="Times New Roman"/>
                <w:color w:val="auto"/>
                <w:sz w:val="24"/>
                <w:szCs w:val="24"/>
                <w:lang w:val="en-US" w:eastAsia="zh-CN"/>
              </w:rPr>
            </w:pPr>
            <w:r>
              <w:rPr>
                <w:rFonts w:hint="default" w:ascii="Times New Roman" w:hAnsi="Times New Roman" w:eastAsia="宋体" w:cs="Times New Roman"/>
                <w:color w:val="auto"/>
                <w:sz w:val="24"/>
                <w:szCs w:val="24"/>
                <w:highlight w:val="none"/>
                <w:lang w:val="en-US" w:eastAsia="zh-CN"/>
              </w:rPr>
              <w:t>④善后处理：吸附废物统一集中，并委托有资质的单位进行处置转移。</w:t>
            </w:r>
          </w:p>
          <w:p w14:paraId="1165A3B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 w:val="0"/>
                <w:bCs/>
                <w:color w:val="auto"/>
                <w:sz w:val="24"/>
                <w:szCs w:val="24"/>
                <w:lang w:val="en-US" w:eastAsia="zh-CN"/>
              </w:rPr>
            </w:pPr>
            <w:r>
              <w:rPr>
                <w:rFonts w:hint="default" w:ascii="Times New Roman" w:hAnsi="Times New Roman" w:eastAsia="宋体" w:cs="Times New Roman"/>
                <w:b w:val="0"/>
                <w:bCs/>
                <w:color w:val="auto"/>
                <w:sz w:val="24"/>
                <w:szCs w:val="24"/>
                <w:lang w:val="en-US" w:eastAsia="zh-CN"/>
              </w:rPr>
              <w:t>⑤</w:t>
            </w:r>
            <w:r>
              <w:rPr>
                <w:rFonts w:hint="default" w:ascii="Times New Roman" w:hAnsi="Times New Roman" w:cs="Times New Roman"/>
                <w:b w:val="0"/>
                <w:bCs/>
                <w:color w:val="auto"/>
                <w:sz w:val="24"/>
                <w:szCs w:val="24"/>
                <w:lang w:val="en-US" w:eastAsia="zh-CN"/>
              </w:rPr>
              <w:t>恢复生产：调查处理完毕后，负责人立即组织人员进行现场整理，尽快恢复相关生产活动。</w:t>
            </w:r>
          </w:p>
          <w:p w14:paraId="06614A85">
            <w:pPr>
              <w:adjustRightInd w:val="0"/>
              <w:snapToGrid w:val="0"/>
              <w:spacing w:line="360" w:lineRule="auto"/>
              <w:ind w:firstLine="480" w:firstLineChars="200"/>
              <w:rPr>
                <w:color w:val="auto"/>
                <w:sz w:val="24"/>
              </w:rPr>
            </w:pPr>
            <w:r>
              <w:rPr>
                <w:rFonts w:hint="eastAsia" w:ascii="Times New Roman" w:hAnsi="Times New Roman" w:cs="Times New Roman"/>
                <w:b w:val="0"/>
                <w:bCs/>
                <w:color w:val="auto"/>
                <w:sz w:val="24"/>
                <w:szCs w:val="24"/>
                <w:lang w:val="en-US" w:eastAsia="zh-CN"/>
              </w:rPr>
              <w:t>本次环评要求建设单位根据本扩建项目建设情况进行突发环境事件应急预案修订，根据本项目风险情况制定风险防范及应急处置措施，并更新相应应急物资</w:t>
            </w:r>
            <w:r>
              <w:rPr>
                <w:rFonts w:hint="eastAsia"/>
                <w:color w:val="auto"/>
                <w:sz w:val="24"/>
              </w:rPr>
              <w:t>。</w:t>
            </w:r>
          </w:p>
          <w:p w14:paraId="501FF412">
            <w:pPr>
              <w:pStyle w:val="66"/>
              <w:keepNext w:val="0"/>
              <w:keepLines w:val="0"/>
              <w:pageBreakBefore w:val="0"/>
              <w:widowControl/>
              <w:kinsoku/>
              <w:wordWrap/>
              <w:overflowPunct/>
              <w:topLinePunct w:val="0"/>
              <w:autoSpaceDE/>
              <w:autoSpaceDN/>
              <w:bidi w:val="0"/>
              <w:adjustRightInd/>
              <w:snapToGrid/>
              <w:spacing w:before="0" w:beforeLines="0"/>
              <w:textAlignment w:val="auto"/>
              <w:rPr>
                <w:rFonts w:hint="default" w:ascii="Times New Roman" w:hAnsi="Times New Roman" w:eastAsia="宋体" w:cs="Times New Roman"/>
                <w:b/>
                <w:bCs w:val="0"/>
                <w:color w:val="auto"/>
                <w:highlight w:val="none"/>
              </w:rPr>
            </w:pPr>
            <w:r>
              <w:rPr>
                <w:rFonts w:hint="default" w:ascii="Times New Roman" w:hAnsi="Times New Roman" w:eastAsia="宋体" w:cs="Times New Roman"/>
                <w:b/>
                <w:bCs w:val="0"/>
                <w:color w:val="auto"/>
                <w:highlight w:val="none"/>
              </w:rPr>
              <w:t>表</w:t>
            </w:r>
            <w:r>
              <w:rPr>
                <w:rFonts w:hint="eastAsia" w:ascii="Times New Roman" w:hAnsi="Times New Roman" w:eastAsia="宋体" w:cs="Times New Roman"/>
                <w:b/>
                <w:bCs w:val="0"/>
                <w:color w:val="auto"/>
                <w:highlight w:val="none"/>
                <w:lang w:val="en-US" w:eastAsia="zh-CN"/>
              </w:rPr>
              <w:t>4-18</w:t>
            </w:r>
            <w:r>
              <w:rPr>
                <w:rFonts w:hint="default" w:ascii="Times New Roman" w:hAnsi="Times New Roman" w:eastAsia="宋体" w:cs="Times New Roman"/>
                <w:b/>
                <w:bCs w:val="0"/>
                <w:color w:val="auto"/>
                <w:highlight w:val="none"/>
              </w:rPr>
              <w:t xml:space="preserve">  建设项目环境风险简单分析表</w:t>
            </w:r>
          </w:p>
          <w:tbl>
            <w:tblPr>
              <w:tblStyle w:val="28"/>
              <w:tblW w:w="4892"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20"/>
              <w:gridCol w:w="1158"/>
              <w:gridCol w:w="1836"/>
              <w:gridCol w:w="1203"/>
              <w:gridCol w:w="2074"/>
            </w:tblGrid>
            <w:tr w14:paraId="711760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 w:hRule="atLeast"/>
                <w:tblHeader/>
              </w:trPr>
              <w:tc>
                <w:tcPr>
                  <w:tcW w:w="1307" w:type="pct"/>
                  <w:vAlign w:val="center"/>
                </w:tcPr>
                <w:p w14:paraId="6F6CF847">
                  <w:pPr>
                    <w:pStyle w:val="54"/>
                    <w:keepNext w:val="0"/>
                    <w:keepLines w:val="0"/>
                    <w:pageBreakBefore w:val="0"/>
                    <w:widowControl w:val="0"/>
                    <w:kinsoku/>
                    <w:wordWrap/>
                    <w:overflowPunct/>
                    <w:topLinePunct w:val="0"/>
                    <w:autoSpaceDE/>
                    <w:autoSpaceDN/>
                    <w:bidi w:val="0"/>
                    <w:adjustRightInd/>
                    <w:snapToGrid/>
                    <w:ind w:left="0" w:leftChars="0" w:right="0" w:rightChars="0" w:firstLine="0" w:firstLineChars="0"/>
                    <w:textAlignment w:val="auto"/>
                    <w:rPr>
                      <w:color w:val="auto"/>
                      <w:sz w:val="21"/>
                      <w:szCs w:val="21"/>
                      <w:highlight w:val="none"/>
                    </w:rPr>
                  </w:pPr>
                  <w:bookmarkStart w:id="4" w:name="_Toc25438"/>
                  <w:r>
                    <w:rPr>
                      <w:color w:val="auto"/>
                      <w:sz w:val="21"/>
                      <w:szCs w:val="21"/>
                      <w:highlight w:val="none"/>
                    </w:rPr>
                    <w:t>建设项目名称</w:t>
                  </w:r>
                </w:p>
              </w:tc>
              <w:tc>
                <w:tcPr>
                  <w:tcW w:w="3692" w:type="pct"/>
                  <w:gridSpan w:val="4"/>
                  <w:vAlign w:val="center"/>
                </w:tcPr>
                <w:p w14:paraId="3E3072CA">
                  <w:pPr>
                    <w:keepNext w:val="0"/>
                    <w:keepLines w:val="0"/>
                    <w:pageBreakBefore w:val="0"/>
                    <w:widowControl/>
                    <w:kinsoku/>
                    <w:wordWrap/>
                    <w:overflowPunct/>
                    <w:topLinePunct w:val="0"/>
                    <w:autoSpaceDE/>
                    <w:autoSpaceDN/>
                    <w:bidi w:val="0"/>
                    <w:adjustRightInd/>
                    <w:snapToGrid/>
                    <w:ind w:left="0" w:leftChars="0" w:right="0" w:rightChars="0" w:firstLine="0" w:firstLineChars="0"/>
                    <w:jc w:val="left"/>
                    <w:textAlignment w:val="auto"/>
                    <w:rPr>
                      <w:color w:val="auto"/>
                      <w:sz w:val="21"/>
                      <w:szCs w:val="21"/>
                      <w:highlight w:val="none"/>
                    </w:rPr>
                  </w:pPr>
                  <w:r>
                    <w:rPr>
                      <w:rFonts w:hint="eastAsia"/>
                      <w:color w:val="auto"/>
                      <w:sz w:val="21"/>
                      <w:szCs w:val="21"/>
                      <w:highlight w:val="none"/>
                      <w:lang w:val="en-US" w:eastAsia="zh-CN"/>
                    </w:rPr>
                    <w:t>新疆鑫地检测技术服务有限公司地质矿产分析实验室</w:t>
                  </w:r>
                </w:p>
              </w:tc>
            </w:tr>
            <w:tr w14:paraId="380816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7" w:hRule="atLeast"/>
                <w:tblHeader/>
              </w:trPr>
              <w:tc>
                <w:tcPr>
                  <w:tcW w:w="1307" w:type="pct"/>
                  <w:vAlign w:val="center"/>
                </w:tcPr>
                <w:p w14:paraId="44E9366D">
                  <w:pPr>
                    <w:pStyle w:val="54"/>
                    <w:keepNext w:val="0"/>
                    <w:keepLines w:val="0"/>
                    <w:pageBreakBefore w:val="0"/>
                    <w:widowControl w:val="0"/>
                    <w:kinsoku/>
                    <w:wordWrap/>
                    <w:overflowPunct/>
                    <w:topLinePunct w:val="0"/>
                    <w:autoSpaceDE/>
                    <w:autoSpaceDN/>
                    <w:bidi w:val="0"/>
                    <w:adjustRightInd/>
                    <w:snapToGrid/>
                    <w:ind w:left="0" w:leftChars="0" w:right="0" w:rightChars="0" w:firstLine="0" w:firstLineChars="0"/>
                    <w:textAlignment w:val="auto"/>
                    <w:rPr>
                      <w:color w:val="auto"/>
                      <w:sz w:val="21"/>
                      <w:szCs w:val="21"/>
                      <w:highlight w:val="none"/>
                    </w:rPr>
                  </w:pPr>
                  <w:r>
                    <w:rPr>
                      <w:color w:val="auto"/>
                      <w:sz w:val="21"/>
                      <w:szCs w:val="21"/>
                      <w:highlight w:val="none"/>
                    </w:rPr>
                    <w:t>建设地点</w:t>
                  </w:r>
                </w:p>
              </w:tc>
              <w:tc>
                <w:tcPr>
                  <w:tcW w:w="3692" w:type="pct"/>
                  <w:gridSpan w:val="4"/>
                  <w:vAlign w:val="center"/>
                </w:tcPr>
                <w:p w14:paraId="3C057867">
                  <w:pPr>
                    <w:pStyle w:val="54"/>
                    <w:keepNext w:val="0"/>
                    <w:keepLines w:val="0"/>
                    <w:pageBreakBefore w:val="0"/>
                    <w:kinsoku/>
                    <w:wordWrap/>
                    <w:overflowPunct/>
                    <w:topLinePunct w:val="0"/>
                    <w:autoSpaceDE/>
                    <w:autoSpaceDN/>
                    <w:bidi w:val="0"/>
                    <w:adjustRightInd/>
                    <w:snapToGrid/>
                    <w:ind w:left="0" w:leftChars="0" w:right="0" w:rightChars="0" w:firstLine="0" w:firstLineChars="0"/>
                    <w:textAlignment w:val="auto"/>
                    <w:rPr>
                      <w:color w:val="auto"/>
                      <w:sz w:val="21"/>
                      <w:szCs w:val="21"/>
                      <w:highlight w:val="none"/>
                    </w:rPr>
                  </w:pPr>
                  <w:r>
                    <w:rPr>
                      <w:color w:val="auto"/>
                      <w:sz w:val="21"/>
                      <w:szCs w:val="21"/>
                      <w:highlight w:val="none"/>
                    </w:rPr>
                    <w:t>新疆</w:t>
                  </w:r>
                  <w:r>
                    <w:rPr>
                      <w:rFonts w:hint="eastAsia"/>
                      <w:color w:val="auto"/>
                      <w:sz w:val="21"/>
                      <w:szCs w:val="21"/>
                      <w:highlight w:val="none"/>
                      <w:lang w:val="en-US" w:eastAsia="zh-CN"/>
                    </w:rPr>
                    <w:t>维吾尔自治区昌吉回族自治州国家高新产业园区</w:t>
                  </w:r>
                </w:p>
              </w:tc>
            </w:tr>
            <w:tr w14:paraId="6ABA28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 w:hRule="atLeast"/>
                <w:tblHeader/>
              </w:trPr>
              <w:tc>
                <w:tcPr>
                  <w:tcW w:w="1307" w:type="pct"/>
                  <w:vAlign w:val="center"/>
                </w:tcPr>
                <w:p w14:paraId="023E9717">
                  <w:pPr>
                    <w:pStyle w:val="54"/>
                    <w:keepNext w:val="0"/>
                    <w:keepLines w:val="0"/>
                    <w:pageBreakBefore w:val="0"/>
                    <w:widowControl w:val="0"/>
                    <w:kinsoku/>
                    <w:wordWrap/>
                    <w:overflowPunct/>
                    <w:topLinePunct w:val="0"/>
                    <w:autoSpaceDE/>
                    <w:autoSpaceDN/>
                    <w:bidi w:val="0"/>
                    <w:adjustRightInd/>
                    <w:snapToGrid/>
                    <w:ind w:left="0" w:leftChars="0" w:right="0" w:rightChars="0" w:firstLine="0" w:firstLineChars="0"/>
                    <w:textAlignment w:val="auto"/>
                    <w:rPr>
                      <w:color w:val="auto"/>
                      <w:sz w:val="21"/>
                      <w:szCs w:val="21"/>
                      <w:highlight w:val="none"/>
                    </w:rPr>
                  </w:pPr>
                  <w:r>
                    <w:rPr>
                      <w:color w:val="auto"/>
                      <w:sz w:val="21"/>
                      <w:szCs w:val="21"/>
                      <w:highlight w:val="none"/>
                    </w:rPr>
                    <w:t>地理坐标</w:t>
                  </w:r>
                </w:p>
              </w:tc>
              <w:tc>
                <w:tcPr>
                  <w:tcW w:w="682" w:type="pct"/>
                  <w:vAlign w:val="center"/>
                </w:tcPr>
                <w:p w14:paraId="3D7415F6">
                  <w:pPr>
                    <w:pStyle w:val="54"/>
                    <w:keepNext w:val="0"/>
                    <w:keepLines w:val="0"/>
                    <w:pageBreakBefore w:val="0"/>
                    <w:kinsoku/>
                    <w:wordWrap/>
                    <w:overflowPunct/>
                    <w:topLinePunct w:val="0"/>
                    <w:autoSpaceDE/>
                    <w:autoSpaceDN/>
                    <w:bidi w:val="0"/>
                    <w:adjustRightInd/>
                    <w:snapToGrid/>
                    <w:ind w:left="0" w:leftChars="0" w:right="0" w:rightChars="0" w:firstLine="0" w:firstLineChars="0"/>
                    <w:textAlignment w:val="auto"/>
                    <w:rPr>
                      <w:color w:val="auto"/>
                      <w:sz w:val="21"/>
                      <w:szCs w:val="21"/>
                      <w:highlight w:val="none"/>
                    </w:rPr>
                  </w:pPr>
                  <w:r>
                    <w:rPr>
                      <w:color w:val="auto"/>
                      <w:sz w:val="21"/>
                      <w:szCs w:val="21"/>
                      <w:highlight w:val="none"/>
                    </w:rPr>
                    <w:t>北纬</w:t>
                  </w:r>
                </w:p>
              </w:tc>
              <w:tc>
                <w:tcPr>
                  <w:tcW w:w="1081" w:type="pct"/>
                  <w:vAlign w:val="center"/>
                </w:tcPr>
                <w:p w14:paraId="5E4FADDE">
                  <w:pPr>
                    <w:pStyle w:val="54"/>
                    <w:keepNext w:val="0"/>
                    <w:keepLines w:val="0"/>
                    <w:pageBreakBefore w:val="0"/>
                    <w:kinsoku/>
                    <w:wordWrap/>
                    <w:overflowPunct/>
                    <w:topLinePunct w:val="0"/>
                    <w:autoSpaceDE/>
                    <w:autoSpaceDN/>
                    <w:bidi w:val="0"/>
                    <w:adjustRightInd/>
                    <w:snapToGrid/>
                    <w:ind w:left="0" w:leftChars="0" w:right="0" w:rightChars="0"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snapToGrid w:val="0"/>
                      <w:color w:val="auto"/>
                      <w:kern w:val="0"/>
                      <w:sz w:val="21"/>
                      <w:szCs w:val="21"/>
                      <w:highlight w:val="none"/>
                    </w:rPr>
                    <w:t>N</w:t>
                  </w:r>
                  <w:r>
                    <w:rPr>
                      <w:rFonts w:hint="eastAsia" w:ascii="Times New Roman" w:hAnsi="Times New Roman" w:cs="Times New Roman"/>
                      <w:snapToGrid w:val="0"/>
                      <w:color w:val="auto"/>
                      <w:kern w:val="0"/>
                      <w:sz w:val="21"/>
                      <w:szCs w:val="21"/>
                      <w:highlight w:val="none"/>
                      <w:lang w:val="en-US" w:eastAsia="zh-CN"/>
                    </w:rPr>
                    <w:t>44</w:t>
                  </w:r>
                  <w:r>
                    <w:rPr>
                      <w:rFonts w:hint="default" w:ascii="Times New Roman" w:hAnsi="Times New Roman" w:cs="Times New Roman"/>
                      <w:snapToGrid w:val="0"/>
                      <w:color w:val="auto"/>
                      <w:kern w:val="0"/>
                      <w:sz w:val="21"/>
                      <w:szCs w:val="21"/>
                      <w:highlight w:val="none"/>
                    </w:rPr>
                    <w:t>°</w:t>
                  </w:r>
                  <w:r>
                    <w:rPr>
                      <w:rFonts w:hint="default" w:ascii="Times New Roman" w:hAnsi="Times New Roman" w:cs="Times New Roman"/>
                      <w:snapToGrid w:val="0"/>
                      <w:color w:val="auto"/>
                      <w:kern w:val="0"/>
                      <w:sz w:val="21"/>
                      <w:szCs w:val="21"/>
                      <w:highlight w:val="none"/>
                      <w:lang w:val="en-US" w:eastAsia="zh-CN"/>
                    </w:rPr>
                    <w:t>6′</w:t>
                  </w:r>
                  <w:r>
                    <w:rPr>
                      <w:rFonts w:hint="eastAsia" w:ascii="Times New Roman" w:hAnsi="Times New Roman" w:cs="Times New Roman"/>
                      <w:snapToGrid w:val="0"/>
                      <w:color w:val="auto"/>
                      <w:kern w:val="0"/>
                      <w:sz w:val="21"/>
                      <w:szCs w:val="21"/>
                      <w:highlight w:val="none"/>
                      <w:lang w:val="en-US" w:eastAsia="zh-CN"/>
                    </w:rPr>
                    <w:t>26.59</w:t>
                  </w:r>
                  <w:r>
                    <w:rPr>
                      <w:rFonts w:hint="default" w:ascii="Times New Roman" w:hAnsi="Times New Roman" w:cs="Times New Roman"/>
                      <w:snapToGrid w:val="0"/>
                      <w:color w:val="auto"/>
                      <w:kern w:val="0"/>
                      <w:sz w:val="21"/>
                      <w:szCs w:val="21"/>
                      <w:highlight w:val="none"/>
                      <w:lang w:val="en-US" w:eastAsia="zh-CN"/>
                    </w:rPr>
                    <w:t>6</w:t>
                  </w:r>
                  <w:r>
                    <w:rPr>
                      <w:rFonts w:hint="default" w:ascii="Times New Roman" w:hAnsi="Times New Roman" w:cs="Times New Roman"/>
                      <w:snapToGrid w:val="0"/>
                      <w:color w:val="auto"/>
                      <w:kern w:val="0"/>
                      <w:sz w:val="21"/>
                      <w:szCs w:val="21"/>
                      <w:highlight w:val="none"/>
                    </w:rPr>
                    <w:t>"，</w:t>
                  </w:r>
                </w:p>
              </w:tc>
              <w:tc>
                <w:tcPr>
                  <w:tcW w:w="708" w:type="pct"/>
                  <w:vAlign w:val="center"/>
                </w:tcPr>
                <w:p w14:paraId="085EC493">
                  <w:pPr>
                    <w:pStyle w:val="54"/>
                    <w:keepNext w:val="0"/>
                    <w:keepLines w:val="0"/>
                    <w:pageBreakBefore w:val="0"/>
                    <w:kinsoku/>
                    <w:wordWrap/>
                    <w:overflowPunct/>
                    <w:topLinePunct w:val="0"/>
                    <w:autoSpaceDE/>
                    <w:autoSpaceDN/>
                    <w:bidi w:val="0"/>
                    <w:adjustRightInd/>
                    <w:snapToGrid/>
                    <w:ind w:left="0" w:leftChars="0" w:right="0" w:rightChars="0"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东经</w:t>
                  </w:r>
                </w:p>
              </w:tc>
              <w:tc>
                <w:tcPr>
                  <w:tcW w:w="1219" w:type="pct"/>
                  <w:vAlign w:val="center"/>
                </w:tcPr>
                <w:p w14:paraId="1D272520">
                  <w:pPr>
                    <w:pStyle w:val="54"/>
                    <w:keepNext w:val="0"/>
                    <w:keepLines w:val="0"/>
                    <w:pageBreakBefore w:val="0"/>
                    <w:kinsoku/>
                    <w:wordWrap/>
                    <w:overflowPunct/>
                    <w:topLinePunct w:val="0"/>
                    <w:autoSpaceDE/>
                    <w:autoSpaceDN/>
                    <w:bidi w:val="0"/>
                    <w:adjustRightInd/>
                    <w:snapToGrid/>
                    <w:ind w:left="0" w:leftChars="0" w:right="0" w:rightChars="0"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snapToGrid w:val="0"/>
                      <w:color w:val="auto"/>
                      <w:kern w:val="0"/>
                      <w:sz w:val="21"/>
                      <w:szCs w:val="21"/>
                      <w:highlight w:val="none"/>
                    </w:rPr>
                    <w:t>E</w:t>
                  </w:r>
                  <w:r>
                    <w:rPr>
                      <w:rFonts w:hint="eastAsia" w:ascii="Times New Roman" w:hAnsi="Times New Roman" w:cs="Times New Roman"/>
                      <w:snapToGrid w:val="0"/>
                      <w:color w:val="auto"/>
                      <w:kern w:val="0"/>
                      <w:sz w:val="21"/>
                      <w:szCs w:val="21"/>
                      <w:highlight w:val="none"/>
                      <w:lang w:val="en-US" w:eastAsia="zh-CN"/>
                    </w:rPr>
                    <w:t>87</w:t>
                  </w:r>
                  <w:r>
                    <w:rPr>
                      <w:rFonts w:hint="default" w:ascii="Times New Roman" w:hAnsi="Times New Roman" w:cs="Times New Roman"/>
                      <w:snapToGrid w:val="0"/>
                      <w:color w:val="auto"/>
                      <w:kern w:val="0"/>
                      <w:sz w:val="21"/>
                      <w:szCs w:val="21"/>
                      <w:highlight w:val="none"/>
                    </w:rPr>
                    <w:t>°</w:t>
                  </w:r>
                  <w:r>
                    <w:rPr>
                      <w:rFonts w:hint="eastAsia" w:ascii="Times New Roman" w:hAnsi="Times New Roman" w:cs="Times New Roman"/>
                      <w:snapToGrid w:val="0"/>
                      <w:color w:val="auto"/>
                      <w:kern w:val="0"/>
                      <w:sz w:val="21"/>
                      <w:szCs w:val="21"/>
                      <w:highlight w:val="none"/>
                      <w:lang w:val="en-US" w:eastAsia="zh-CN"/>
                    </w:rPr>
                    <w:t>0</w:t>
                  </w:r>
                  <w:r>
                    <w:rPr>
                      <w:rFonts w:hint="default" w:ascii="Times New Roman" w:hAnsi="Times New Roman" w:cs="Times New Roman"/>
                      <w:snapToGrid w:val="0"/>
                      <w:color w:val="auto"/>
                      <w:kern w:val="0"/>
                      <w:sz w:val="21"/>
                      <w:szCs w:val="21"/>
                      <w:highlight w:val="none"/>
                      <w:lang w:val="en-US" w:eastAsia="zh-CN"/>
                    </w:rPr>
                    <w:t>′</w:t>
                  </w:r>
                  <w:r>
                    <w:rPr>
                      <w:rFonts w:hint="eastAsia" w:ascii="Times New Roman" w:hAnsi="Times New Roman" w:cs="Times New Roman"/>
                      <w:snapToGrid w:val="0"/>
                      <w:color w:val="auto"/>
                      <w:kern w:val="0"/>
                      <w:sz w:val="21"/>
                      <w:szCs w:val="21"/>
                      <w:highlight w:val="none"/>
                      <w:lang w:val="en-US" w:eastAsia="zh-CN"/>
                    </w:rPr>
                    <w:t>8.247</w:t>
                  </w:r>
                  <w:r>
                    <w:rPr>
                      <w:rFonts w:hint="default" w:ascii="Times New Roman" w:hAnsi="Times New Roman" w:cs="Times New Roman"/>
                      <w:snapToGrid w:val="0"/>
                      <w:color w:val="auto"/>
                      <w:kern w:val="0"/>
                      <w:sz w:val="21"/>
                      <w:szCs w:val="21"/>
                      <w:highlight w:val="none"/>
                    </w:rPr>
                    <w:t>”</w:t>
                  </w:r>
                </w:p>
              </w:tc>
            </w:tr>
            <w:tr w14:paraId="7E58C2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 w:hRule="atLeast"/>
                <w:tblHeader/>
              </w:trPr>
              <w:tc>
                <w:tcPr>
                  <w:tcW w:w="1307" w:type="pct"/>
                  <w:vAlign w:val="center"/>
                </w:tcPr>
                <w:p w14:paraId="766AB516">
                  <w:pPr>
                    <w:pStyle w:val="54"/>
                    <w:keepNext w:val="0"/>
                    <w:keepLines w:val="0"/>
                    <w:pageBreakBefore w:val="0"/>
                    <w:widowControl w:val="0"/>
                    <w:kinsoku/>
                    <w:wordWrap/>
                    <w:overflowPunct/>
                    <w:topLinePunct w:val="0"/>
                    <w:autoSpaceDE/>
                    <w:autoSpaceDN/>
                    <w:bidi w:val="0"/>
                    <w:adjustRightInd/>
                    <w:snapToGrid/>
                    <w:ind w:left="0" w:leftChars="0" w:right="0" w:rightChars="0" w:firstLine="0" w:firstLineChars="0"/>
                    <w:textAlignment w:val="auto"/>
                    <w:rPr>
                      <w:color w:val="auto"/>
                      <w:sz w:val="21"/>
                      <w:szCs w:val="21"/>
                      <w:highlight w:val="none"/>
                    </w:rPr>
                  </w:pPr>
                  <w:r>
                    <w:rPr>
                      <w:color w:val="auto"/>
                      <w:sz w:val="21"/>
                      <w:szCs w:val="21"/>
                      <w:highlight w:val="none"/>
                    </w:rPr>
                    <w:t>主要危险物质及分布</w:t>
                  </w:r>
                </w:p>
              </w:tc>
              <w:tc>
                <w:tcPr>
                  <w:tcW w:w="3692" w:type="pct"/>
                  <w:gridSpan w:val="4"/>
                  <w:vAlign w:val="center"/>
                </w:tcPr>
                <w:p w14:paraId="358C87E3">
                  <w:pPr>
                    <w:pStyle w:val="54"/>
                    <w:keepNext w:val="0"/>
                    <w:keepLines w:val="0"/>
                    <w:pageBreakBefore w:val="0"/>
                    <w:kinsoku/>
                    <w:wordWrap/>
                    <w:overflowPunct/>
                    <w:topLinePunct w:val="0"/>
                    <w:autoSpaceDE/>
                    <w:autoSpaceDN/>
                    <w:bidi w:val="0"/>
                    <w:adjustRightInd/>
                    <w:snapToGrid/>
                    <w:ind w:left="0" w:leftChars="0" w:right="0" w:rightChars="0"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本项目涉及的危险物质主要为</w:t>
                  </w:r>
                  <w:r>
                    <w:rPr>
                      <w:rFonts w:hint="default" w:ascii="Times New Roman" w:hAnsi="Times New Roman" w:cs="Times New Roman"/>
                      <w:color w:val="auto"/>
                      <w:sz w:val="21"/>
                      <w:szCs w:val="21"/>
                      <w:highlight w:val="none"/>
                      <w:lang w:val="en-US" w:eastAsia="zh-CN"/>
                    </w:rPr>
                    <w:t>盐酸</w:t>
                  </w:r>
                  <w:r>
                    <w:rPr>
                      <w:rFonts w:hint="default" w:ascii="Times New Roman" w:hAnsi="Times New Roman" w:cs="Times New Roman"/>
                      <w:color w:val="auto"/>
                      <w:sz w:val="21"/>
                      <w:szCs w:val="21"/>
                      <w:highlight w:val="none"/>
                      <w:lang w:eastAsia="zh-CN"/>
                    </w:rPr>
                    <w:t>、硝酸、</w:t>
                  </w:r>
                  <w:r>
                    <w:rPr>
                      <w:rFonts w:hint="default" w:ascii="Times New Roman" w:hAnsi="Times New Roman" w:cs="Times New Roman"/>
                      <w:color w:val="auto"/>
                      <w:sz w:val="21"/>
                      <w:szCs w:val="21"/>
                      <w:highlight w:val="none"/>
                      <w:lang w:val="en-US" w:eastAsia="zh-CN"/>
                    </w:rPr>
                    <w:t>硫酸</w:t>
                  </w:r>
                  <w:r>
                    <w:rPr>
                      <w:rFonts w:hint="default" w:ascii="Times New Roman" w:hAnsi="Times New Roman" w:cs="Times New Roman"/>
                      <w:color w:val="auto"/>
                      <w:sz w:val="21"/>
                      <w:szCs w:val="21"/>
                      <w:highlight w:val="none"/>
                      <w:lang w:eastAsia="zh-CN"/>
                    </w:rPr>
                    <w:t>等</w:t>
                  </w:r>
                  <w:r>
                    <w:rPr>
                      <w:rFonts w:hint="default" w:ascii="Times New Roman" w:hAnsi="Times New Roman" w:cs="Times New Roman"/>
                      <w:color w:val="auto"/>
                      <w:sz w:val="21"/>
                      <w:szCs w:val="21"/>
                      <w:highlight w:val="none"/>
                      <w:lang w:val="en-US" w:eastAsia="zh-CN"/>
                    </w:rPr>
                    <w:t>化学品试剂</w:t>
                  </w:r>
                  <w:r>
                    <w:rPr>
                      <w:rFonts w:hint="default" w:ascii="Times New Roman" w:hAnsi="Times New Roman" w:cs="Times New Roman"/>
                      <w:color w:val="auto"/>
                      <w:sz w:val="21"/>
                      <w:szCs w:val="21"/>
                      <w:highlight w:val="none"/>
                    </w:rPr>
                    <w:t>，危险物质及临界量的比值Q＜1，不涉及重大危险源。</w:t>
                  </w:r>
                </w:p>
              </w:tc>
            </w:tr>
            <w:tr w14:paraId="7EAB7F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 w:hRule="atLeast"/>
                <w:tblHeader/>
              </w:trPr>
              <w:tc>
                <w:tcPr>
                  <w:tcW w:w="1307" w:type="pct"/>
                  <w:vAlign w:val="center"/>
                </w:tcPr>
                <w:p w14:paraId="1D6A7925">
                  <w:pPr>
                    <w:pStyle w:val="54"/>
                    <w:keepNext w:val="0"/>
                    <w:keepLines w:val="0"/>
                    <w:pageBreakBefore w:val="0"/>
                    <w:widowControl w:val="0"/>
                    <w:kinsoku/>
                    <w:wordWrap/>
                    <w:overflowPunct/>
                    <w:topLinePunct w:val="0"/>
                    <w:autoSpaceDE/>
                    <w:autoSpaceDN/>
                    <w:bidi w:val="0"/>
                    <w:adjustRightInd/>
                    <w:snapToGrid/>
                    <w:ind w:left="0" w:leftChars="0" w:right="0" w:rightChars="0" w:firstLine="0" w:firstLineChars="0"/>
                    <w:textAlignment w:val="auto"/>
                    <w:rPr>
                      <w:color w:val="auto"/>
                      <w:sz w:val="21"/>
                      <w:szCs w:val="21"/>
                      <w:highlight w:val="none"/>
                    </w:rPr>
                  </w:pPr>
                  <w:r>
                    <w:rPr>
                      <w:color w:val="auto"/>
                      <w:sz w:val="21"/>
                      <w:szCs w:val="21"/>
                      <w:highlight w:val="none"/>
                    </w:rPr>
                    <w:t>环境影响途径及危害后果（大气、地表水、地下水等）</w:t>
                  </w:r>
                </w:p>
              </w:tc>
              <w:tc>
                <w:tcPr>
                  <w:tcW w:w="3692" w:type="pct"/>
                  <w:gridSpan w:val="4"/>
                  <w:vAlign w:val="center"/>
                </w:tcPr>
                <w:p w14:paraId="1C4414FF">
                  <w:pPr>
                    <w:pStyle w:val="54"/>
                    <w:keepNext w:val="0"/>
                    <w:keepLines w:val="0"/>
                    <w:pageBreakBefore w:val="0"/>
                    <w:kinsoku/>
                    <w:wordWrap/>
                    <w:overflowPunct/>
                    <w:topLinePunct w:val="0"/>
                    <w:autoSpaceDE/>
                    <w:autoSpaceDN/>
                    <w:bidi w:val="0"/>
                    <w:adjustRightInd/>
                    <w:snapToGrid/>
                    <w:ind w:left="0" w:leftChars="0" w:right="0" w:rightChars="0"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本项目主要为事故状态下大气污染风险，即过量的</w:t>
                  </w:r>
                  <w:r>
                    <w:rPr>
                      <w:rFonts w:hint="default" w:ascii="Times New Roman" w:hAnsi="Times New Roman" w:cs="Times New Roman"/>
                      <w:color w:val="auto"/>
                      <w:sz w:val="21"/>
                      <w:szCs w:val="21"/>
                      <w:highlight w:val="none"/>
                      <w:lang w:val="en-US" w:eastAsia="zh-CN"/>
                    </w:rPr>
                    <w:t>盐酸</w:t>
                  </w:r>
                  <w:r>
                    <w:rPr>
                      <w:rFonts w:hint="default" w:ascii="Times New Roman" w:hAnsi="Times New Roman" w:cs="Times New Roman"/>
                      <w:color w:val="auto"/>
                      <w:sz w:val="21"/>
                      <w:szCs w:val="21"/>
                      <w:highlight w:val="none"/>
                      <w:lang w:eastAsia="zh-CN"/>
                    </w:rPr>
                    <w:t>、硝酸、</w:t>
                  </w:r>
                  <w:r>
                    <w:rPr>
                      <w:rFonts w:hint="default" w:ascii="Times New Roman" w:hAnsi="Times New Roman" w:cs="Times New Roman"/>
                      <w:color w:val="auto"/>
                      <w:sz w:val="21"/>
                      <w:szCs w:val="21"/>
                      <w:highlight w:val="none"/>
                      <w:lang w:val="en-US" w:eastAsia="zh-CN"/>
                    </w:rPr>
                    <w:t>硫酸</w:t>
                  </w:r>
                  <w:r>
                    <w:rPr>
                      <w:rFonts w:hint="default" w:ascii="Times New Roman" w:hAnsi="Times New Roman" w:cs="Times New Roman"/>
                      <w:color w:val="auto"/>
                      <w:sz w:val="21"/>
                      <w:szCs w:val="21"/>
                      <w:highlight w:val="none"/>
                    </w:rPr>
                    <w:t>泄露，导致有毒物质扩散至大气环境，造成大气环境污染。</w:t>
                  </w:r>
                </w:p>
              </w:tc>
            </w:tr>
            <w:tr w14:paraId="281F39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 w:hRule="atLeast"/>
                <w:tblHeader/>
              </w:trPr>
              <w:tc>
                <w:tcPr>
                  <w:tcW w:w="1307" w:type="pct"/>
                  <w:vAlign w:val="center"/>
                </w:tcPr>
                <w:p w14:paraId="3BCB37EA">
                  <w:pPr>
                    <w:pStyle w:val="54"/>
                    <w:keepNext w:val="0"/>
                    <w:keepLines w:val="0"/>
                    <w:pageBreakBefore w:val="0"/>
                    <w:widowControl w:val="0"/>
                    <w:kinsoku/>
                    <w:wordWrap/>
                    <w:overflowPunct/>
                    <w:topLinePunct w:val="0"/>
                    <w:autoSpaceDE/>
                    <w:autoSpaceDN/>
                    <w:bidi w:val="0"/>
                    <w:adjustRightInd/>
                    <w:snapToGrid/>
                    <w:ind w:left="0" w:leftChars="0" w:right="0" w:rightChars="0" w:firstLine="0" w:firstLineChars="0"/>
                    <w:textAlignment w:val="auto"/>
                    <w:rPr>
                      <w:color w:val="auto"/>
                      <w:sz w:val="21"/>
                      <w:szCs w:val="21"/>
                      <w:highlight w:val="none"/>
                    </w:rPr>
                  </w:pPr>
                  <w:r>
                    <w:rPr>
                      <w:color w:val="auto"/>
                      <w:sz w:val="21"/>
                      <w:szCs w:val="21"/>
                      <w:highlight w:val="none"/>
                    </w:rPr>
                    <w:t>风险防范措施要求</w:t>
                  </w:r>
                </w:p>
              </w:tc>
              <w:tc>
                <w:tcPr>
                  <w:tcW w:w="3692" w:type="pct"/>
                  <w:gridSpan w:val="4"/>
                  <w:vAlign w:val="center"/>
                </w:tcPr>
                <w:p w14:paraId="50451B2D">
                  <w:pPr>
                    <w:pStyle w:val="54"/>
                    <w:keepNext w:val="0"/>
                    <w:keepLines w:val="0"/>
                    <w:pageBreakBefore w:val="0"/>
                    <w:kinsoku/>
                    <w:wordWrap/>
                    <w:overflowPunct/>
                    <w:topLinePunct w:val="0"/>
                    <w:autoSpaceDE/>
                    <w:autoSpaceDN/>
                    <w:bidi w:val="0"/>
                    <w:adjustRightInd/>
                    <w:snapToGrid/>
                    <w:ind w:left="0" w:leftChars="0" w:right="0" w:rightChars="0"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厂区采取分区防渗、源头控制；</w:t>
                  </w:r>
                  <w:r>
                    <w:rPr>
                      <w:rFonts w:hint="eastAsia" w:ascii="Times New Roman" w:hAnsi="Times New Roman" w:cs="Times New Roman"/>
                      <w:color w:val="auto"/>
                      <w:sz w:val="21"/>
                      <w:szCs w:val="21"/>
                      <w:highlight w:val="none"/>
                      <w:lang w:val="en-US" w:eastAsia="zh-CN"/>
                    </w:rPr>
                    <w:t>实验室设置通风橱</w:t>
                  </w:r>
                  <w:r>
                    <w:rPr>
                      <w:rFonts w:hint="default" w:ascii="Times New Roman" w:hAnsi="Times New Roman" w:cs="Times New Roman"/>
                      <w:color w:val="auto"/>
                      <w:sz w:val="21"/>
                      <w:szCs w:val="21"/>
                      <w:highlight w:val="none"/>
                    </w:rPr>
                    <w:t>换气设备、喷淋</w:t>
                  </w:r>
                  <w:r>
                    <w:rPr>
                      <w:rFonts w:hint="eastAsia" w:ascii="Times New Roman" w:hAnsi="Times New Roman" w:cs="Times New Roman"/>
                      <w:color w:val="auto"/>
                      <w:sz w:val="21"/>
                      <w:szCs w:val="21"/>
                      <w:highlight w:val="none"/>
                      <w:lang w:val="en-US" w:eastAsia="zh-CN"/>
                    </w:rPr>
                    <w:t>处理</w:t>
                  </w:r>
                  <w:r>
                    <w:rPr>
                      <w:rFonts w:hint="default" w:ascii="Times New Roman" w:hAnsi="Times New Roman" w:cs="Times New Roman"/>
                      <w:color w:val="auto"/>
                      <w:sz w:val="21"/>
                      <w:szCs w:val="21"/>
                      <w:highlight w:val="none"/>
                    </w:rPr>
                    <w:t>设备；加强危险化学使用过程中的风险防范，采取符合规范标准要求的其它措施等。</w:t>
                  </w:r>
                </w:p>
              </w:tc>
            </w:tr>
            <w:tr w14:paraId="3F2BB2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 w:hRule="atLeast"/>
                <w:tblHeader/>
              </w:trPr>
              <w:tc>
                <w:tcPr>
                  <w:tcW w:w="1307" w:type="pct"/>
                  <w:vAlign w:val="center"/>
                </w:tcPr>
                <w:p w14:paraId="331D83D4">
                  <w:pPr>
                    <w:pStyle w:val="54"/>
                    <w:keepNext w:val="0"/>
                    <w:keepLines w:val="0"/>
                    <w:pageBreakBefore w:val="0"/>
                    <w:widowControl w:val="0"/>
                    <w:kinsoku/>
                    <w:wordWrap/>
                    <w:overflowPunct/>
                    <w:topLinePunct w:val="0"/>
                    <w:autoSpaceDE/>
                    <w:autoSpaceDN/>
                    <w:bidi w:val="0"/>
                    <w:adjustRightInd/>
                    <w:snapToGrid/>
                    <w:ind w:left="0" w:leftChars="0" w:right="0" w:rightChars="0" w:firstLine="0" w:firstLineChars="0"/>
                    <w:textAlignment w:val="auto"/>
                    <w:rPr>
                      <w:color w:val="auto"/>
                      <w:sz w:val="21"/>
                      <w:szCs w:val="21"/>
                      <w:highlight w:val="none"/>
                    </w:rPr>
                  </w:pPr>
                  <w:r>
                    <w:rPr>
                      <w:color w:val="auto"/>
                      <w:sz w:val="21"/>
                      <w:szCs w:val="21"/>
                      <w:highlight w:val="none"/>
                    </w:rPr>
                    <w:t>填表说明（列出项目相关信息及评价说明）</w:t>
                  </w:r>
                </w:p>
              </w:tc>
              <w:tc>
                <w:tcPr>
                  <w:tcW w:w="3692" w:type="pct"/>
                  <w:gridSpan w:val="4"/>
                  <w:vAlign w:val="center"/>
                </w:tcPr>
                <w:p w14:paraId="1EA24911">
                  <w:pPr>
                    <w:pStyle w:val="54"/>
                    <w:keepNext w:val="0"/>
                    <w:keepLines w:val="0"/>
                    <w:pageBreakBefore w:val="0"/>
                    <w:kinsoku/>
                    <w:wordWrap/>
                    <w:overflowPunct/>
                    <w:topLinePunct w:val="0"/>
                    <w:autoSpaceDE/>
                    <w:autoSpaceDN/>
                    <w:bidi w:val="0"/>
                    <w:adjustRightInd/>
                    <w:snapToGrid/>
                    <w:ind w:left="0" w:leftChars="0" w:right="0" w:rightChars="0" w:firstLine="0" w:firstLineChars="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本项目不涉及重大风险源，环境风险评价等级低于三级（即简单分析）</w:t>
                  </w:r>
                </w:p>
              </w:tc>
            </w:tr>
            <w:bookmarkEnd w:id="4"/>
          </w:tbl>
          <w:p w14:paraId="44456935">
            <w:pPr>
              <w:adjustRightInd w:val="0"/>
              <w:snapToGrid w:val="0"/>
              <w:spacing w:line="360" w:lineRule="auto"/>
              <w:rPr>
                <w:b/>
                <w:bCs/>
                <w:color w:val="auto"/>
                <w:sz w:val="24"/>
              </w:rPr>
            </w:pPr>
            <w:r>
              <w:rPr>
                <w:rFonts w:hint="eastAsia"/>
                <w:b/>
                <w:bCs/>
                <w:color w:val="auto"/>
                <w:sz w:val="24"/>
              </w:rPr>
              <w:t>7环保投资</w:t>
            </w:r>
          </w:p>
          <w:p w14:paraId="5944D616">
            <w:pPr>
              <w:adjustRightInd w:val="0"/>
              <w:snapToGrid w:val="0"/>
              <w:spacing w:line="360" w:lineRule="auto"/>
              <w:ind w:firstLine="480" w:firstLineChars="200"/>
              <w:rPr>
                <w:color w:val="auto"/>
                <w:sz w:val="24"/>
              </w:rPr>
            </w:pPr>
            <w:r>
              <w:rPr>
                <w:rFonts w:hint="eastAsia"/>
                <w:color w:val="auto"/>
                <w:sz w:val="24"/>
              </w:rPr>
              <w:t>本项目总投资</w:t>
            </w:r>
            <w:r>
              <w:rPr>
                <w:rFonts w:hint="eastAsia"/>
                <w:color w:val="auto"/>
                <w:sz w:val="24"/>
                <w:lang w:val="en-US" w:eastAsia="zh-CN"/>
              </w:rPr>
              <w:t>300</w:t>
            </w:r>
            <w:r>
              <w:rPr>
                <w:rFonts w:hint="eastAsia"/>
                <w:color w:val="auto"/>
                <w:sz w:val="24"/>
              </w:rPr>
              <w:t>万元，环保投资为</w:t>
            </w:r>
            <w:r>
              <w:rPr>
                <w:rFonts w:hint="eastAsia"/>
                <w:color w:val="auto"/>
                <w:sz w:val="24"/>
                <w:lang w:val="en-US" w:eastAsia="zh-CN"/>
              </w:rPr>
              <w:t>30</w:t>
            </w:r>
            <w:r>
              <w:rPr>
                <w:rFonts w:hint="eastAsia"/>
                <w:color w:val="auto"/>
                <w:sz w:val="24"/>
              </w:rPr>
              <w:t>万元，占总投资的</w:t>
            </w:r>
            <w:r>
              <w:rPr>
                <w:rFonts w:hint="eastAsia"/>
                <w:color w:val="auto"/>
                <w:sz w:val="24"/>
                <w:lang w:val="en-US" w:eastAsia="zh-CN"/>
              </w:rPr>
              <w:t>10</w:t>
            </w:r>
            <w:r>
              <w:rPr>
                <w:rFonts w:hint="eastAsia"/>
                <w:color w:val="auto"/>
                <w:sz w:val="24"/>
              </w:rPr>
              <w:t>%，环保投资估算见表4-1</w:t>
            </w:r>
            <w:r>
              <w:rPr>
                <w:rFonts w:hint="eastAsia"/>
                <w:color w:val="auto"/>
                <w:sz w:val="24"/>
                <w:lang w:val="en-US" w:eastAsia="zh-CN"/>
              </w:rPr>
              <w:t>9</w:t>
            </w:r>
            <w:r>
              <w:rPr>
                <w:rFonts w:hint="eastAsia"/>
                <w:color w:val="auto"/>
                <w:sz w:val="24"/>
              </w:rPr>
              <w:t>。</w:t>
            </w:r>
          </w:p>
          <w:p w14:paraId="655666BB">
            <w:pPr>
              <w:tabs>
                <w:tab w:val="left" w:pos="4001"/>
              </w:tabs>
              <w:adjustRightInd w:val="0"/>
              <w:snapToGrid w:val="0"/>
              <w:jc w:val="center"/>
              <w:rPr>
                <w:rFonts w:hint="eastAsia"/>
                <w:b/>
                <w:bCs/>
                <w:color w:val="auto"/>
                <w:szCs w:val="21"/>
              </w:rPr>
            </w:pPr>
            <w:r>
              <w:rPr>
                <w:rFonts w:hint="eastAsia"/>
                <w:b/>
                <w:bCs/>
                <w:color w:val="auto"/>
                <w:szCs w:val="21"/>
              </w:rPr>
              <w:t>表4-1</w:t>
            </w:r>
            <w:r>
              <w:rPr>
                <w:rFonts w:hint="eastAsia"/>
                <w:b/>
                <w:bCs/>
                <w:color w:val="auto"/>
                <w:szCs w:val="21"/>
                <w:lang w:val="en-US" w:eastAsia="zh-CN"/>
              </w:rPr>
              <w:t>9</w:t>
            </w:r>
            <w:r>
              <w:rPr>
                <w:b/>
                <w:bCs/>
                <w:color w:val="auto"/>
                <w:szCs w:val="21"/>
              </w:rPr>
              <w:t xml:space="preserve">   </w:t>
            </w:r>
            <w:r>
              <w:rPr>
                <w:rFonts w:hint="eastAsia"/>
                <w:b/>
                <w:bCs/>
                <w:color w:val="auto"/>
                <w:szCs w:val="21"/>
              </w:rPr>
              <w:t>本项目环保投资估算一览表</w:t>
            </w:r>
          </w:p>
          <w:tbl>
            <w:tblPr>
              <w:tblStyle w:val="2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71"/>
              <w:gridCol w:w="1364"/>
              <w:gridCol w:w="1429"/>
              <w:gridCol w:w="3302"/>
              <w:gridCol w:w="1712"/>
            </w:tblGrid>
            <w:tr w14:paraId="4D57AB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0" w:hRule="atLeast"/>
                <w:jc w:val="center"/>
              </w:trPr>
              <w:tc>
                <w:tcPr>
                  <w:tcW w:w="502" w:type="pct"/>
                  <w:noWrap w:val="0"/>
                  <w:vAlign w:val="center"/>
                </w:tcPr>
                <w:p w14:paraId="0E922F1C">
                  <w:pPr>
                    <w:pStyle w:val="78"/>
                    <w:rPr>
                      <w:color w:val="auto"/>
                      <w:szCs w:val="21"/>
                    </w:rPr>
                  </w:pPr>
                  <w:r>
                    <w:rPr>
                      <w:rFonts w:hint="eastAsia"/>
                      <w:color w:val="auto"/>
                      <w:szCs w:val="21"/>
                    </w:rPr>
                    <w:t>序号</w:t>
                  </w:r>
                </w:p>
              </w:tc>
              <w:tc>
                <w:tcPr>
                  <w:tcW w:w="785" w:type="pct"/>
                  <w:noWrap w:val="0"/>
                  <w:vAlign w:val="center"/>
                </w:tcPr>
                <w:p w14:paraId="7B64FC96">
                  <w:pPr>
                    <w:pStyle w:val="78"/>
                    <w:rPr>
                      <w:color w:val="auto"/>
                      <w:szCs w:val="21"/>
                    </w:rPr>
                  </w:pPr>
                  <w:r>
                    <w:rPr>
                      <w:rFonts w:hint="eastAsia"/>
                      <w:color w:val="auto"/>
                      <w:szCs w:val="21"/>
                    </w:rPr>
                    <w:t>环保设施项目</w:t>
                  </w:r>
                </w:p>
              </w:tc>
              <w:tc>
                <w:tcPr>
                  <w:tcW w:w="2725" w:type="pct"/>
                  <w:gridSpan w:val="2"/>
                  <w:noWrap w:val="0"/>
                  <w:vAlign w:val="center"/>
                </w:tcPr>
                <w:p w14:paraId="0A9F425C">
                  <w:pPr>
                    <w:pStyle w:val="78"/>
                    <w:rPr>
                      <w:color w:val="auto"/>
                      <w:szCs w:val="21"/>
                    </w:rPr>
                  </w:pPr>
                  <w:r>
                    <w:rPr>
                      <w:rFonts w:hint="eastAsia"/>
                      <w:color w:val="auto"/>
                      <w:szCs w:val="21"/>
                    </w:rPr>
                    <w:t>环保设施名称</w:t>
                  </w:r>
                </w:p>
              </w:tc>
              <w:tc>
                <w:tcPr>
                  <w:tcW w:w="986" w:type="pct"/>
                  <w:noWrap w:val="0"/>
                  <w:vAlign w:val="center"/>
                </w:tcPr>
                <w:p w14:paraId="1C2B316B">
                  <w:pPr>
                    <w:pStyle w:val="78"/>
                    <w:rPr>
                      <w:color w:val="auto"/>
                      <w:szCs w:val="21"/>
                    </w:rPr>
                  </w:pPr>
                  <w:r>
                    <w:rPr>
                      <w:color w:val="auto"/>
                      <w:szCs w:val="21"/>
                    </w:rPr>
                    <w:t>投资估算（万元）</w:t>
                  </w:r>
                </w:p>
              </w:tc>
            </w:tr>
            <w:tr w14:paraId="1E374F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0" w:hRule="atLeast"/>
                <w:jc w:val="center"/>
              </w:trPr>
              <w:tc>
                <w:tcPr>
                  <w:tcW w:w="502" w:type="pct"/>
                  <w:vMerge w:val="restart"/>
                  <w:noWrap w:val="0"/>
                  <w:vAlign w:val="center"/>
                </w:tcPr>
                <w:p w14:paraId="35F53BC6">
                  <w:pPr>
                    <w:pStyle w:val="78"/>
                    <w:rPr>
                      <w:color w:val="auto"/>
                      <w:szCs w:val="21"/>
                    </w:rPr>
                  </w:pPr>
                  <w:r>
                    <w:rPr>
                      <w:rFonts w:hint="eastAsia"/>
                      <w:color w:val="auto"/>
                      <w:szCs w:val="21"/>
                    </w:rPr>
                    <w:t>1</w:t>
                  </w:r>
                </w:p>
              </w:tc>
              <w:tc>
                <w:tcPr>
                  <w:tcW w:w="785" w:type="pct"/>
                  <w:vMerge w:val="restart"/>
                  <w:noWrap w:val="0"/>
                  <w:vAlign w:val="center"/>
                </w:tcPr>
                <w:p w14:paraId="2E8B8D64">
                  <w:pPr>
                    <w:pStyle w:val="78"/>
                    <w:rPr>
                      <w:color w:val="auto"/>
                      <w:szCs w:val="21"/>
                    </w:rPr>
                  </w:pPr>
                  <w:r>
                    <w:rPr>
                      <w:rFonts w:hint="eastAsia"/>
                      <w:color w:val="auto"/>
                      <w:szCs w:val="21"/>
                    </w:rPr>
                    <w:t>废气处理项目</w:t>
                  </w:r>
                </w:p>
              </w:tc>
              <w:tc>
                <w:tcPr>
                  <w:tcW w:w="823" w:type="pct"/>
                  <w:noWrap w:val="0"/>
                  <w:vAlign w:val="center"/>
                </w:tcPr>
                <w:p w14:paraId="19F539AF">
                  <w:pPr>
                    <w:pStyle w:val="78"/>
                    <w:rPr>
                      <w:rFonts w:hint="default" w:eastAsia="宋体"/>
                      <w:color w:val="auto"/>
                      <w:szCs w:val="21"/>
                      <w:lang w:val="en-US" w:eastAsia="zh-CN"/>
                    </w:rPr>
                  </w:pPr>
                  <w:r>
                    <w:rPr>
                      <w:rFonts w:hint="eastAsia"/>
                      <w:color w:val="auto"/>
                      <w:szCs w:val="21"/>
                      <w:lang w:val="en-US" w:eastAsia="zh-CN"/>
                    </w:rPr>
                    <w:t>酸性废气</w:t>
                  </w:r>
                </w:p>
              </w:tc>
              <w:tc>
                <w:tcPr>
                  <w:tcW w:w="1901" w:type="pct"/>
                  <w:noWrap w:val="0"/>
                  <w:vAlign w:val="center"/>
                </w:tcPr>
                <w:p w14:paraId="5F3BE29C">
                  <w:pPr>
                    <w:pStyle w:val="78"/>
                    <w:rPr>
                      <w:color w:val="auto"/>
                      <w:szCs w:val="21"/>
                    </w:rPr>
                  </w:pPr>
                  <w:r>
                    <w:rPr>
                      <w:rFonts w:hint="eastAsia"/>
                      <w:color w:val="auto"/>
                      <w:szCs w:val="21"/>
                      <w:lang w:val="en-US" w:eastAsia="zh-CN"/>
                    </w:rPr>
                    <w:t>通风橱</w:t>
                  </w:r>
                  <w:r>
                    <w:rPr>
                      <w:rFonts w:hint="eastAsia"/>
                      <w:color w:val="auto"/>
                      <w:szCs w:val="21"/>
                    </w:rPr>
                    <w:t>收集+经</w:t>
                  </w:r>
                  <w:r>
                    <w:rPr>
                      <w:rFonts w:hint="eastAsia"/>
                      <w:color w:val="auto"/>
                      <w:szCs w:val="21"/>
                      <w:lang w:val="en-US" w:eastAsia="zh-CN"/>
                    </w:rPr>
                    <w:t>碱液喷淋</w:t>
                  </w:r>
                  <w:r>
                    <w:rPr>
                      <w:rFonts w:hint="eastAsia"/>
                      <w:color w:val="auto"/>
                      <w:szCs w:val="21"/>
                    </w:rPr>
                    <w:t>塔，由1</w:t>
                  </w:r>
                  <w:r>
                    <w:rPr>
                      <w:color w:val="auto"/>
                      <w:szCs w:val="21"/>
                    </w:rPr>
                    <w:t>5</w:t>
                  </w:r>
                  <w:r>
                    <w:rPr>
                      <w:rFonts w:hint="eastAsia"/>
                      <w:color w:val="auto"/>
                      <w:szCs w:val="21"/>
                    </w:rPr>
                    <w:t>m排气筒排放</w:t>
                  </w:r>
                </w:p>
              </w:tc>
              <w:tc>
                <w:tcPr>
                  <w:tcW w:w="986" w:type="pct"/>
                  <w:noWrap w:val="0"/>
                  <w:vAlign w:val="center"/>
                </w:tcPr>
                <w:p w14:paraId="669C85CE">
                  <w:pPr>
                    <w:pStyle w:val="78"/>
                    <w:rPr>
                      <w:rFonts w:hint="eastAsia" w:eastAsia="宋体"/>
                      <w:color w:val="auto"/>
                      <w:szCs w:val="21"/>
                      <w:lang w:val="en-US" w:eastAsia="zh-CN"/>
                    </w:rPr>
                  </w:pPr>
                  <w:r>
                    <w:rPr>
                      <w:rFonts w:hint="eastAsia"/>
                      <w:color w:val="auto"/>
                      <w:szCs w:val="21"/>
                      <w:lang w:val="en-US" w:eastAsia="zh-CN"/>
                    </w:rPr>
                    <w:t>2</w:t>
                  </w:r>
                </w:p>
              </w:tc>
            </w:tr>
            <w:tr w14:paraId="6B9FCE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0" w:hRule="atLeast"/>
                <w:jc w:val="center"/>
              </w:trPr>
              <w:tc>
                <w:tcPr>
                  <w:tcW w:w="502" w:type="pct"/>
                  <w:vMerge w:val="continue"/>
                  <w:noWrap w:val="0"/>
                  <w:vAlign w:val="center"/>
                </w:tcPr>
                <w:p w14:paraId="44B1958F">
                  <w:pPr>
                    <w:pStyle w:val="78"/>
                    <w:rPr>
                      <w:rFonts w:hint="eastAsia"/>
                      <w:color w:val="auto"/>
                      <w:szCs w:val="21"/>
                    </w:rPr>
                  </w:pPr>
                </w:p>
              </w:tc>
              <w:tc>
                <w:tcPr>
                  <w:tcW w:w="785" w:type="pct"/>
                  <w:vMerge w:val="continue"/>
                  <w:noWrap w:val="0"/>
                  <w:vAlign w:val="center"/>
                </w:tcPr>
                <w:p w14:paraId="08FB01AC">
                  <w:pPr>
                    <w:pStyle w:val="78"/>
                    <w:rPr>
                      <w:rFonts w:hint="eastAsia"/>
                      <w:color w:val="auto"/>
                      <w:szCs w:val="21"/>
                    </w:rPr>
                  </w:pPr>
                </w:p>
              </w:tc>
              <w:tc>
                <w:tcPr>
                  <w:tcW w:w="823" w:type="pct"/>
                  <w:noWrap w:val="0"/>
                  <w:vAlign w:val="center"/>
                </w:tcPr>
                <w:p w14:paraId="5F53DAEA">
                  <w:pPr>
                    <w:pStyle w:val="78"/>
                    <w:rPr>
                      <w:color w:val="auto"/>
                      <w:szCs w:val="21"/>
                    </w:rPr>
                  </w:pPr>
                  <w:r>
                    <w:rPr>
                      <w:rFonts w:hint="eastAsia"/>
                      <w:color w:val="auto"/>
                      <w:szCs w:val="21"/>
                      <w:lang w:val="en-US" w:eastAsia="zh-CN"/>
                    </w:rPr>
                    <w:t>样品加工</w:t>
                  </w:r>
                  <w:r>
                    <w:rPr>
                      <w:rFonts w:hint="eastAsia"/>
                      <w:color w:val="auto"/>
                      <w:szCs w:val="21"/>
                    </w:rPr>
                    <w:t>废气</w:t>
                  </w:r>
                </w:p>
              </w:tc>
              <w:tc>
                <w:tcPr>
                  <w:tcW w:w="1901" w:type="pct"/>
                  <w:noWrap w:val="0"/>
                  <w:vAlign w:val="center"/>
                </w:tcPr>
                <w:p w14:paraId="1DC2AAA8">
                  <w:pPr>
                    <w:pStyle w:val="78"/>
                    <w:rPr>
                      <w:rFonts w:hint="default" w:eastAsia="宋体"/>
                      <w:color w:val="auto"/>
                      <w:szCs w:val="21"/>
                      <w:lang w:val="en-US" w:eastAsia="zh-CN"/>
                    </w:rPr>
                  </w:pPr>
                  <w:r>
                    <w:rPr>
                      <w:rFonts w:hint="eastAsia"/>
                      <w:color w:val="auto"/>
                      <w:szCs w:val="21"/>
                      <w:lang w:val="en-US" w:eastAsia="zh-CN"/>
                    </w:rPr>
                    <w:t>通风橱</w:t>
                  </w:r>
                  <w:r>
                    <w:rPr>
                      <w:rFonts w:hint="eastAsia"/>
                      <w:color w:val="auto"/>
                      <w:szCs w:val="21"/>
                    </w:rPr>
                    <w:t>收集+布袋除尘器处理</w:t>
                  </w:r>
                  <w:r>
                    <w:rPr>
                      <w:rFonts w:hint="eastAsia"/>
                      <w:color w:val="auto"/>
                      <w:szCs w:val="21"/>
                      <w:lang w:eastAsia="zh-CN"/>
                    </w:rPr>
                    <w:t>，</w:t>
                  </w:r>
                  <w:r>
                    <w:rPr>
                      <w:rFonts w:hint="eastAsia"/>
                      <w:color w:val="FF0000"/>
                      <w:szCs w:val="21"/>
                      <w:lang w:val="en-US" w:eastAsia="zh-CN"/>
                    </w:rPr>
                    <w:t>通过回风管路回流至吹气系统，再次作为棒磨筒清理的吹气气源</w:t>
                  </w:r>
                </w:p>
              </w:tc>
              <w:tc>
                <w:tcPr>
                  <w:tcW w:w="986" w:type="pct"/>
                  <w:noWrap w:val="0"/>
                  <w:vAlign w:val="center"/>
                </w:tcPr>
                <w:p w14:paraId="16ABF04C">
                  <w:pPr>
                    <w:pStyle w:val="78"/>
                    <w:rPr>
                      <w:rFonts w:hint="eastAsia" w:eastAsia="宋体"/>
                      <w:color w:val="auto"/>
                      <w:szCs w:val="21"/>
                      <w:lang w:val="en-US" w:eastAsia="zh-CN"/>
                    </w:rPr>
                  </w:pPr>
                  <w:r>
                    <w:rPr>
                      <w:color w:val="auto"/>
                      <w:szCs w:val="21"/>
                    </w:rPr>
                    <w:t>1</w:t>
                  </w:r>
                  <w:r>
                    <w:rPr>
                      <w:rFonts w:hint="eastAsia"/>
                      <w:color w:val="auto"/>
                      <w:szCs w:val="21"/>
                      <w:lang w:val="en-US" w:eastAsia="zh-CN"/>
                    </w:rPr>
                    <w:t>0</w:t>
                  </w:r>
                </w:p>
              </w:tc>
            </w:tr>
            <w:tr w14:paraId="709291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0" w:hRule="atLeast"/>
                <w:jc w:val="center"/>
              </w:trPr>
              <w:tc>
                <w:tcPr>
                  <w:tcW w:w="502" w:type="pct"/>
                  <w:noWrap w:val="0"/>
                  <w:vAlign w:val="center"/>
                </w:tcPr>
                <w:p w14:paraId="09B44ED6">
                  <w:pPr>
                    <w:pStyle w:val="78"/>
                    <w:rPr>
                      <w:color w:val="auto"/>
                      <w:szCs w:val="21"/>
                    </w:rPr>
                  </w:pPr>
                  <w:r>
                    <w:rPr>
                      <w:rFonts w:hint="eastAsia"/>
                      <w:color w:val="auto"/>
                      <w:szCs w:val="21"/>
                    </w:rPr>
                    <w:t>2</w:t>
                  </w:r>
                </w:p>
              </w:tc>
              <w:tc>
                <w:tcPr>
                  <w:tcW w:w="785" w:type="pct"/>
                  <w:noWrap w:val="0"/>
                  <w:vAlign w:val="center"/>
                </w:tcPr>
                <w:p w14:paraId="431B20D1">
                  <w:pPr>
                    <w:pStyle w:val="78"/>
                    <w:rPr>
                      <w:color w:val="auto"/>
                      <w:szCs w:val="21"/>
                    </w:rPr>
                  </w:pPr>
                  <w:r>
                    <w:rPr>
                      <w:rFonts w:hint="eastAsia"/>
                      <w:color w:val="auto"/>
                      <w:szCs w:val="21"/>
                    </w:rPr>
                    <w:t>废水处理项目</w:t>
                  </w:r>
                </w:p>
              </w:tc>
              <w:tc>
                <w:tcPr>
                  <w:tcW w:w="823" w:type="pct"/>
                  <w:noWrap w:val="0"/>
                  <w:vAlign w:val="center"/>
                </w:tcPr>
                <w:p w14:paraId="5300E176">
                  <w:pPr>
                    <w:pStyle w:val="78"/>
                    <w:rPr>
                      <w:color w:val="auto"/>
                      <w:szCs w:val="21"/>
                    </w:rPr>
                  </w:pPr>
                  <w:r>
                    <w:rPr>
                      <w:rFonts w:hint="eastAsia"/>
                      <w:color w:val="auto"/>
                      <w:szCs w:val="21"/>
                      <w:lang w:val="en-US" w:eastAsia="zh-CN"/>
                    </w:rPr>
                    <w:t>碱液喷淋塔废水</w:t>
                  </w:r>
                  <w:r>
                    <w:rPr>
                      <w:rFonts w:hint="eastAsia"/>
                      <w:color w:val="auto"/>
                      <w:szCs w:val="21"/>
                    </w:rPr>
                    <w:t>、</w:t>
                  </w:r>
                  <w:r>
                    <w:rPr>
                      <w:rFonts w:hint="eastAsia"/>
                      <w:color w:val="auto"/>
                      <w:szCs w:val="21"/>
                      <w:lang w:val="en-US" w:eastAsia="zh-CN"/>
                    </w:rPr>
                    <w:t>实验器具清洗</w:t>
                  </w:r>
                  <w:r>
                    <w:rPr>
                      <w:rFonts w:hint="eastAsia"/>
                      <w:color w:val="auto"/>
                      <w:szCs w:val="21"/>
                    </w:rPr>
                    <w:t>废水</w:t>
                  </w:r>
                </w:p>
              </w:tc>
              <w:tc>
                <w:tcPr>
                  <w:tcW w:w="1901" w:type="pct"/>
                  <w:noWrap w:val="0"/>
                  <w:vAlign w:val="center"/>
                </w:tcPr>
                <w:p w14:paraId="7CBC5E19">
                  <w:pPr>
                    <w:pStyle w:val="78"/>
                    <w:rPr>
                      <w:rFonts w:hint="default" w:eastAsia="宋体"/>
                      <w:color w:val="auto"/>
                      <w:szCs w:val="21"/>
                      <w:lang w:val="en-US" w:eastAsia="zh-CN"/>
                    </w:rPr>
                  </w:pPr>
                  <w:r>
                    <w:rPr>
                      <w:rFonts w:hint="eastAsia"/>
                      <w:color w:val="auto"/>
                      <w:szCs w:val="21"/>
                      <w:lang w:val="en-US" w:eastAsia="zh-CN"/>
                    </w:rPr>
                    <w:t>废水贮存池+一体化污水处理设备，2t/d</w:t>
                  </w:r>
                </w:p>
              </w:tc>
              <w:tc>
                <w:tcPr>
                  <w:tcW w:w="986" w:type="pct"/>
                  <w:noWrap w:val="0"/>
                  <w:vAlign w:val="center"/>
                </w:tcPr>
                <w:p w14:paraId="0F18F876">
                  <w:pPr>
                    <w:pStyle w:val="78"/>
                    <w:rPr>
                      <w:rFonts w:hint="eastAsia" w:eastAsia="宋体"/>
                      <w:color w:val="auto"/>
                      <w:szCs w:val="21"/>
                      <w:lang w:eastAsia="zh-CN"/>
                    </w:rPr>
                  </w:pPr>
                  <w:r>
                    <w:rPr>
                      <w:rFonts w:hint="eastAsia"/>
                      <w:color w:val="auto"/>
                      <w:szCs w:val="21"/>
                      <w:lang w:val="en-US" w:eastAsia="zh-CN"/>
                    </w:rPr>
                    <w:t>5</w:t>
                  </w:r>
                </w:p>
              </w:tc>
            </w:tr>
            <w:tr w14:paraId="146E06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0" w:hRule="atLeast"/>
                <w:jc w:val="center"/>
              </w:trPr>
              <w:tc>
                <w:tcPr>
                  <w:tcW w:w="502" w:type="pct"/>
                  <w:vMerge w:val="restart"/>
                  <w:noWrap w:val="0"/>
                  <w:vAlign w:val="center"/>
                </w:tcPr>
                <w:p w14:paraId="5E16E7FE">
                  <w:pPr>
                    <w:pStyle w:val="78"/>
                    <w:rPr>
                      <w:color w:val="auto"/>
                      <w:szCs w:val="21"/>
                    </w:rPr>
                  </w:pPr>
                  <w:r>
                    <w:rPr>
                      <w:rFonts w:hint="eastAsia"/>
                      <w:color w:val="auto"/>
                      <w:szCs w:val="21"/>
                    </w:rPr>
                    <w:t>3</w:t>
                  </w:r>
                </w:p>
              </w:tc>
              <w:tc>
                <w:tcPr>
                  <w:tcW w:w="785" w:type="pct"/>
                  <w:vMerge w:val="restart"/>
                  <w:noWrap w:val="0"/>
                  <w:vAlign w:val="center"/>
                </w:tcPr>
                <w:p w14:paraId="672AA487">
                  <w:pPr>
                    <w:pStyle w:val="78"/>
                    <w:rPr>
                      <w:color w:val="auto"/>
                      <w:szCs w:val="21"/>
                    </w:rPr>
                  </w:pPr>
                  <w:r>
                    <w:rPr>
                      <w:rFonts w:hint="eastAsia"/>
                      <w:color w:val="auto"/>
                      <w:szCs w:val="21"/>
                    </w:rPr>
                    <w:t>固体废物储存与处置</w:t>
                  </w:r>
                </w:p>
              </w:tc>
              <w:tc>
                <w:tcPr>
                  <w:tcW w:w="2725" w:type="pct"/>
                  <w:gridSpan w:val="2"/>
                  <w:noWrap w:val="0"/>
                  <w:vAlign w:val="center"/>
                </w:tcPr>
                <w:p w14:paraId="35CD82B0">
                  <w:pPr>
                    <w:pStyle w:val="78"/>
                    <w:rPr>
                      <w:color w:val="auto"/>
                      <w:szCs w:val="21"/>
                    </w:rPr>
                  </w:pPr>
                  <w:r>
                    <w:rPr>
                      <w:rFonts w:hint="eastAsia"/>
                      <w:color w:val="auto"/>
                      <w:szCs w:val="21"/>
                    </w:rPr>
                    <w:t>垃圾箱，收集桶。</w:t>
                  </w:r>
                </w:p>
              </w:tc>
              <w:tc>
                <w:tcPr>
                  <w:tcW w:w="986" w:type="pct"/>
                  <w:noWrap w:val="0"/>
                  <w:vAlign w:val="center"/>
                </w:tcPr>
                <w:p w14:paraId="5498475A">
                  <w:pPr>
                    <w:pStyle w:val="78"/>
                    <w:rPr>
                      <w:rFonts w:hint="eastAsia" w:eastAsia="宋体"/>
                      <w:color w:val="auto"/>
                      <w:szCs w:val="21"/>
                      <w:lang w:eastAsia="zh-CN"/>
                    </w:rPr>
                  </w:pPr>
                  <w:r>
                    <w:rPr>
                      <w:rFonts w:hint="eastAsia"/>
                      <w:color w:val="auto"/>
                      <w:szCs w:val="21"/>
                      <w:lang w:val="en-US" w:eastAsia="zh-CN"/>
                    </w:rPr>
                    <w:t>1</w:t>
                  </w:r>
                </w:p>
              </w:tc>
            </w:tr>
            <w:tr w14:paraId="54C024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0" w:hRule="atLeast"/>
                <w:jc w:val="center"/>
              </w:trPr>
              <w:tc>
                <w:tcPr>
                  <w:tcW w:w="502" w:type="pct"/>
                  <w:vMerge w:val="continue"/>
                  <w:noWrap w:val="0"/>
                  <w:vAlign w:val="center"/>
                </w:tcPr>
                <w:p w14:paraId="1A89CD21">
                  <w:pPr>
                    <w:pStyle w:val="78"/>
                    <w:rPr>
                      <w:rFonts w:hint="eastAsia"/>
                      <w:color w:val="auto"/>
                      <w:szCs w:val="21"/>
                    </w:rPr>
                  </w:pPr>
                </w:p>
              </w:tc>
              <w:tc>
                <w:tcPr>
                  <w:tcW w:w="785" w:type="pct"/>
                  <w:vMerge w:val="continue"/>
                  <w:noWrap w:val="0"/>
                  <w:vAlign w:val="center"/>
                </w:tcPr>
                <w:p w14:paraId="42D83DE4">
                  <w:pPr>
                    <w:pStyle w:val="78"/>
                    <w:rPr>
                      <w:rFonts w:hint="eastAsia"/>
                      <w:color w:val="auto"/>
                      <w:szCs w:val="21"/>
                    </w:rPr>
                  </w:pPr>
                </w:p>
              </w:tc>
              <w:tc>
                <w:tcPr>
                  <w:tcW w:w="2725" w:type="pct"/>
                  <w:gridSpan w:val="2"/>
                  <w:noWrap w:val="0"/>
                  <w:vAlign w:val="center"/>
                </w:tcPr>
                <w:p w14:paraId="59561293">
                  <w:pPr>
                    <w:pStyle w:val="78"/>
                    <w:rPr>
                      <w:rFonts w:hint="eastAsia"/>
                      <w:color w:val="auto"/>
                      <w:szCs w:val="21"/>
                    </w:rPr>
                  </w:pPr>
                  <w:r>
                    <w:rPr>
                      <w:rFonts w:hint="eastAsia"/>
                      <w:color w:val="auto"/>
                      <w:szCs w:val="21"/>
                    </w:rPr>
                    <w:t>一般固体废物收集装置</w:t>
                  </w:r>
                </w:p>
              </w:tc>
              <w:tc>
                <w:tcPr>
                  <w:tcW w:w="986" w:type="pct"/>
                  <w:noWrap w:val="0"/>
                  <w:vAlign w:val="center"/>
                </w:tcPr>
                <w:p w14:paraId="7610F36A">
                  <w:pPr>
                    <w:pStyle w:val="78"/>
                    <w:rPr>
                      <w:rFonts w:hint="eastAsia" w:eastAsia="宋体"/>
                      <w:color w:val="auto"/>
                      <w:szCs w:val="21"/>
                      <w:lang w:eastAsia="zh-CN"/>
                    </w:rPr>
                  </w:pPr>
                  <w:r>
                    <w:rPr>
                      <w:rFonts w:hint="eastAsia"/>
                      <w:color w:val="auto"/>
                      <w:szCs w:val="21"/>
                      <w:lang w:val="en-US" w:eastAsia="zh-CN"/>
                    </w:rPr>
                    <w:t>1</w:t>
                  </w:r>
                </w:p>
              </w:tc>
            </w:tr>
            <w:tr w14:paraId="652EA0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0" w:hRule="atLeast"/>
                <w:jc w:val="center"/>
              </w:trPr>
              <w:tc>
                <w:tcPr>
                  <w:tcW w:w="502" w:type="pct"/>
                  <w:vMerge w:val="continue"/>
                  <w:noWrap w:val="0"/>
                  <w:vAlign w:val="center"/>
                </w:tcPr>
                <w:p w14:paraId="1A7458CD">
                  <w:pPr>
                    <w:pStyle w:val="78"/>
                    <w:rPr>
                      <w:rFonts w:hint="eastAsia"/>
                      <w:color w:val="auto"/>
                      <w:szCs w:val="21"/>
                    </w:rPr>
                  </w:pPr>
                </w:p>
              </w:tc>
              <w:tc>
                <w:tcPr>
                  <w:tcW w:w="785" w:type="pct"/>
                  <w:vMerge w:val="continue"/>
                  <w:noWrap w:val="0"/>
                  <w:vAlign w:val="center"/>
                </w:tcPr>
                <w:p w14:paraId="67742C20">
                  <w:pPr>
                    <w:pStyle w:val="78"/>
                    <w:rPr>
                      <w:rFonts w:hint="eastAsia"/>
                      <w:color w:val="auto"/>
                      <w:szCs w:val="21"/>
                    </w:rPr>
                  </w:pPr>
                </w:p>
              </w:tc>
              <w:tc>
                <w:tcPr>
                  <w:tcW w:w="2725" w:type="pct"/>
                  <w:gridSpan w:val="2"/>
                  <w:noWrap w:val="0"/>
                  <w:vAlign w:val="center"/>
                </w:tcPr>
                <w:p w14:paraId="5C9A0228">
                  <w:pPr>
                    <w:pStyle w:val="78"/>
                    <w:rPr>
                      <w:rFonts w:hint="eastAsia" w:eastAsia="宋体"/>
                      <w:color w:val="auto"/>
                      <w:szCs w:val="21"/>
                      <w:lang w:eastAsia="zh-CN"/>
                    </w:rPr>
                  </w:pPr>
                  <w:r>
                    <w:rPr>
                      <w:rFonts w:hint="eastAsia"/>
                      <w:color w:val="auto"/>
                      <w:szCs w:val="21"/>
                      <w:lang w:eastAsia="zh-CN"/>
                    </w:rPr>
                    <w:t>危废库</w:t>
                  </w:r>
                </w:p>
              </w:tc>
              <w:tc>
                <w:tcPr>
                  <w:tcW w:w="986" w:type="pct"/>
                  <w:noWrap w:val="0"/>
                  <w:vAlign w:val="center"/>
                </w:tcPr>
                <w:p w14:paraId="219666EE">
                  <w:pPr>
                    <w:pStyle w:val="78"/>
                    <w:rPr>
                      <w:rFonts w:hint="eastAsia" w:eastAsia="宋体"/>
                      <w:color w:val="auto"/>
                      <w:szCs w:val="21"/>
                      <w:lang w:eastAsia="zh-CN"/>
                    </w:rPr>
                  </w:pPr>
                  <w:r>
                    <w:rPr>
                      <w:rFonts w:hint="eastAsia"/>
                      <w:color w:val="auto"/>
                      <w:szCs w:val="21"/>
                      <w:lang w:val="en-US" w:eastAsia="zh-CN"/>
                    </w:rPr>
                    <w:t>5</w:t>
                  </w:r>
                </w:p>
              </w:tc>
            </w:tr>
            <w:tr w14:paraId="2683A6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0" w:hRule="atLeast"/>
                <w:jc w:val="center"/>
              </w:trPr>
              <w:tc>
                <w:tcPr>
                  <w:tcW w:w="502" w:type="pct"/>
                  <w:noWrap w:val="0"/>
                  <w:vAlign w:val="center"/>
                </w:tcPr>
                <w:p w14:paraId="5B95A562">
                  <w:pPr>
                    <w:pStyle w:val="78"/>
                    <w:rPr>
                      <w:color w:val="auto"/>
                      <w:szCs w:val="21"/>
                    </w:rPr>
                  </w:pPr>
                  <w:r>
                    <w:rPr>
                      <w:rFonts w:hint="eastAsia"/>
                      <w:color w:val="auto"/>
                      <w:szCs w:val="21"/>
                    </w:rPr>
                    <w:t>4</w:t>
                  </w:r>
                </w:p>
              </w:tc>
              <w:tc>
                <w:tcPr>
                  <w:tcW w:w="785" w:type="pct"/>
                  <w:noWrap w:val="0"/>
                  <w:vAlign w:val="center"/>
                </w:tcPr>
                <w:p w14:paraId="4F5D06E0">
                  <w:pPr>
                    <w:pStyle w:val="78"/>
                    <w:rPr>
                      <w:color w:val="auto"/>
                      <w:szCs w:val="21"/>
                    </w:rPr>
                  </w:pPr>
                  <w:r>
                    <w:rPr>
                      <w:rFonts w:hint="eastAsia"/>
                      <w:color w:val="auto"/>
                      <w:szCs w:val="21"/>
                    </w:rPr>
                    <w:t>噪声污染防治</w:t>
                  </w:r>
                </w:p>
              </w:tc>
              <w:tc>
                <w:tcPr>
                  <w:tcW w:w="2725" w:type="pct"/>
                  <w:gridSpan w:val="2"/>
                  <w:noWrap w:val="0"/>
                  <w:vAlign w:val="center"/>
                </w:tcPr>
                <w:p w14:paraId="26F0DEB2">
                  <w:pPr>
                    <w:pStyle w:val="78"/>
                    <w:rPr>
                      <w:color w:val="auto"/>
                      <w:szCs w:val="21"/>
                    </w:rPr>
                  </w:pPr>
                  <w:r>
                    <w:rPr>
                      <w:color w:val="auto"/>
                      <w:szCs w:val="21"/>
                    </w:rPr>
                    <w:t>采用低噪声设备</w:t>
                  </w:r>
                  <w:r>
                    <w:rPr>
                      <w:rFonts w:hint="eastAsia"/>
                      <w:color w:val="auto"/>
                      <w:szCs w:val="21"/>
                    </w:rPr>
                    <w:t>，隔声罩、底座减震</w:t>
                  </w:r>
                </w:p>
              </w:tc>
              <w:tc>
                <w:tcPr>
                  <w:tcW w:w="986" w:type="pct"/>
                  <w:noWrap w:val="0"/>
                  <w:vAlign w:val="center"/>
                </w:tcPr>
                <w:p w14:paraId="1572ACFF">
                  <w:pPr>
                    <w:pStyle w:val="78"/>
                    <w:rPr>
                      <w:color w:val="auto"/>
                      <w:szCs w:val="21"/>
                    </w:rPr>
                  </w:pPr>
                  <w:r>
                    <w:rPr>
                      <w:color w:val="auto"/>
                      <w:szCs w:val="21"/>
                    </w:rPr>
                    <w:t>2</w:t>
                  </w:r>
                </w:p>
              </w:tc>
            </w:tr>
            <w:tr w14:paraId="0F667C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0" w:hRule="atLeast"/>
                <w:jc w:val="center"/>
              </w:trPr>
              <w:tc>
                <w:tcPr>
                  <w:tcW w:w="502" w:type="pct"/>
                  <w:noWrap w:val="0"/>
                  <w:vAlign w:val="center"/>
                </w:tcPr>
                <w:p w14:paraId="15B5BA3C">
                  <w:pPr>
                    <w:pStyle w:val="78"/>
                    <w:rPr>
                      <w:color w:val="auto"/>
                      <w:szCs w:val="21"/>
                    </w:rPr>
                  </w:pPr>
                  <w:r>
                    <w:rPr>
                      <w:rFonts w:hint="eastAsia"/>
                      <w:color w:val="auto"/>
                      <w:szCs w:val="21"/>
                    </w:rPr>
                    <w:t>5</w:t>
                  </w:r>
                </w:p>
              </w:tc>
              <w:tc>
                <w:tcPr>
                  <w:tcW w:w="785" w:type="pct"/>
                  <w:noWrap w:val="0"/>
                  <w:vAlign w:val="center"/>
                </w:tcPr>
                <w:p w14:paraId="7ED064DF">
                  <w:pPr>
                    <w:pStyle w:val="78"/>
                    <w:rPr>
                      <w:color w:val="auto"/>
                      <w:szCs w:val="21"/>
                    </w:rPr>
                  </w:pPr>
                  <w:r>
                    <w:rPr>
                      <w:rFonts w:hint="eastAsia"/>
                      <w:color w:val="auto"/>
                      <w:szCs w:val="21"/>
                    </w:rPr>
                    <w:t>环境风险防范设施</w:t>
                  </w:r>
                </w:p>
              </w:tc>
              <w:tc>
                <w:tcPr>
                  <w:tcW w:w="2725" w:type="pct"/>
                  <w:gridSpan w:val="2"/>
                  <w:noWrap w:val="0"/>
                  <w:vAlign w:val="center"/>
                </w:tcPr>
                <w:p w14:paraId="612F19DD">
                  <w:pPr>
                    <w:pStyle w:val="78"/>
                    <w:rPr>
                      <w:rFonts w:hint="eastAsia"/>
                      <w:color w:val="auto"/>
                      <w:szCs w:val="21"/>
                    </w:rPr>
                  </w:pPr>
                  <w:r>
                    <w:rPr>
                      <w:rFonts w:hint="eastAsia"/>
                      <w:color w:val="auto"/>
                      <w:szCs w:val="21"/>
                    </w:rPr>
                    <w:t>分区防渗、灭火器、沙箱</w:t>
                  </w:r>
                </w:p>
              </w:tc>
              <w:tc>
                <w:tcPr>
                  <w:tcW w:w="986" w:type="pct"/>
                  <w:noWrap w:val="0"/>
                  <w:vAlign w:val="center"/>
                </w:tcPr>
                <w:p w14:paraId="5FB17CAD">
                  <w:pPr>
                    <w:pStyle w:val="78"/>
                    <w:rPr>
                      <w:rFonts w:hint="eastAsia" w:eastAsia="宋体"/>
                      <w:color w:val="auto"/>
                      <w:szCs w:val="21"/>
                      <w:lang w:eastAsia="zh-CN"/>
                    </w:rPr>
                  </w:pPr>
                  <w:r>
                    <w:rPr>
                      <w:rFonts w:hint="eastAsia"/>
                      <w:color w:val="auto"/>
                      <w:szCs w:val="21"/>
                      <w:lang w:val="en-US" w:eastAsia="zh-CN"/>
                    </w:rPr>
                    <w:t>1</w:t>
                  </w:r>
                </w:p>
              </w:tc>
            </w:tr>
            <w:tr w14:paraId="42C5E6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0" w:hRule="atLeast"/>
                <w:jc w:val="center"/>
              </w:trPr>
              <w:tc>
                <w:tcPr>
                  <w:tcW w:w="502" w:type="pct"/>
                  <w:noWrap w:val="0"/>
                  <w:vAlign w:val="center"/>
                </w:tcPr>
                <w:p w14:paraId="55E252F3">
                  <w:pPr>
                    <w:pStyle w:val="78"/>
                    <w:rPr>
                      <w:rFonts w:hint="eastAsia" w:eastAsia="宋体"/>
                      <w:color w:val="auto"/>
                      <w:szCs w:val="21"/>
                      <w:lang w:val="en-US" w:eastAsia="zh-CN"/>
                    </w:rPr>
                  </w:pPr>
                  <w:r>
                    <w:rPr>
                      <w:rFonts w:hint="eastAsia"/>
                      <w:color w:val="auto"/>
                      <w:szCs w:val="21"/>
                      <w:lang w:val="en-US" w:eastAsia="zh-CN"/>
                    </w:rPr>
                    <w:t>6</w:t>
                  </w:r>
                </w:p>
              </w:tc>
              <w:tc>
                <w:tcPr>
                  <w:tcW w:w="785" w:type="pct"/>
                  <w:noWrap w:val="0"/>
                  <w:vAlign w:val="center"/>
                </w:tcPr>
                <w:p w14:paraId="517476D6">
                  <w:pPr>
                    <w:pStyle w:val="78"/>
                    <w:rPr>
                      <w:rFonts w:hint="eastAsia"/>
                      <w:color w:val="auto"/>
                      <w:szCs w:val="21"/>
                    </w:rPr>
                  </w:pPr>
                  <w:r>
                    <w:rPr>
                      <w:rFonts w:hint="eastAsia"/>
                      <w:color w:val="auto"/>
                      <w:szCs w:val="21"/>
                      <w:lang w:eastAsia="zh-CN"/>
                    </w:rPr>
                    <w:t>环境监测</w:t>
                  </w:r>
                </w:p>
              </w:tc>
              <w:tc>
                <w:tcPr>
                  <w:tcW w:w="2725" w:type="pct"/>
                  <w:gridSpan w:val="2"/>
                  <w:noWrap w:val="0"/>
                  <w:vAlign w:val="center"/>
                </w:tcPr>
                <w:p w14:paraId="20E57357">
                  <w:pPr>
                    <w:pStyle w:val="78"/>
                    <w:rPr>
                      <w:rFonts w:hint="eastAsia"/>
                      <w:color w:val="auto"/>
                      <w:szCs w:val="21"/>
                    </w:rPr>
                  </w:pPr>
                  <w:r>
                    <w:rPr>
                      <w:rFonts w:hint="eastAsia" w:ascii="Times New Roman" w:hAnsi="Times New Roman" w:eastAsia="宋体" w:cs="Times New Roman"/>
                      <w:color w:val="auto"/>
                      <w:spacing w:val="0"/>
                      <w:sz w:val="21"/>
                      <w:szCs w:val="21"/>
                      <w:highlight w:val="none"/>
                      <w:lang w:val="en-US" w:eastAsia="zh-CN"/>
                    </w:rPr>
                    <w:t>废气、废水、</w:t>
                  </w:r>
                  <w:r>
                    <w:rPr>
                      <w:rFonts w:hint="default" w:ascii="Times New Roman" w:hAnsi="Times New Roman" w:eastAsia="宋体" w:cs="Times New Roman"/>
                      <w:color w:val="auto"/>
                      <w:spacing w:val="0"/>
                      <w:sz w:val="21"/>
                      <w:szCs w:val="21"/>
                      <w:highlight w:val="none"/>
                      <w:lang w:eastAsia="zh-CN"/>
                    </w:rPr>
                    <w:t>噪声定期监测</w:t>
                  </w:r>
                </w:p>
              </w:tc>
              <w:tc>
                <w:tcPr>
                  <w:tcW w:w="986" w:type="pct"/>
                  <w:noWrap w:val="0"/>
                  <w:vAlign w:val="center"/>
                </w:tcPr>
                <w:p w14:paraId="095DC065">
                  <w:pPr>
                    <w:pStyle w:val="78"/>
                    <w:rPr>
                      <w:rFonts w:hint="eastAsia" w:eastAsia="宋体"/>
                      <w:color w:val="auto"/>
                      <w:szCs w:val="21"/>
                      <w:lang w:val="en-US" w:eastAsia="zh-CN"/>
                    </w:rPr>
                  </w:pPr>
                  <w:r>
                    <w:rPr>
                      <w:rFonts w:hint="eastAsia"/>
                      <w:color w:val="auto"/>
                      <w:szCs w:val="21"/>
                      <w:lang w:val="en-US" w:eastAsia="zh-CN"/>
                    </w:rPr>
                    <w:t>1</w:t>
                  </w:r>
                </w:p>
              </w:tc>
            </w:tr>
            <w:tr w14:paraId="01333E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0" w:hRule="atLeast"/>
                <w:jc w:val="center"/>
              </w:trPr>
              <w:tc>
                <w:tcPr>
                  <w:tcW w:w="502" w:type="pct"/>
                  <w:noWrap w:val="0"/>
                  <w:vAlign w:val="center"/>
                </w:tcPr>
                <w:p w14:paraId="16D93573">
                  <w:pPr>
                    <w:pStyle w:val="78"/>
                    <w:rPr>
                      <w:rFonts w:hint="default"/>
                      <w:color w:val="auto"/>
                      <w:szCs w:val="21"/>
                      <w:lang w:val="en-US" w:eastAsia="zh-CN"/>
                    </w:rPr>
                  </w:pPr>
                  <w:r>
                    <w:rPr>
                      <w:rFonts w:hint="eastAsia"/>
                      <w:color w:val="auto"/>
                      <w:szCs w:val="21"/>
                      <w:lang w:val="en-US" w:eastAsia="zh-CN"/>
                    </w:rPr>
                    <w:t>7</w:t>
                  </w:r>
                </w:p>
              </w:tc>
              <w:tc>
                <w:tcPr>
                  <w:tcW w:w="785" w:type="pct"/>
                  <w:noWrap w:val="0"/>
                  <w:vAlign w:val="center"/>
                </w:tcPr>
                <w:p w14:paraId="00388AB4">
                  <w:pPr>
                    <w:pStyle w:val="78"/>
                    <w:rPr>
                      <w:rFonts w:hint="default"/>
                      <w:color w:val="auto"/>
                      <w:szCs w:val="21"/>
                      <w:lang w:val="en-US" w:eastAsia="zh-CN"/>
                    </w:rPr>
                  </w:pPr>
                  <w:r>
                    <w:rPr>
                      <w:rFonts w:hint="eastAsia"/>
                      <w:color w:val="auto"/>
                      <w:szCs w:val="21"/>
                      <w:lang w:val="en-US" w:eastAsia="zh-CN"/>
                    </w:rPr>
                    <w:t>竣工验收</w:t>
                  </w:r>
                </w:p>
              </w:tc>
              <w:tc>
                <w:tcPr>
                  <w:tcW w:w="2725" w:type="pct"/>
                  <w:gridSpan w:val="2"/>
                  <w:noWrap w:val="0"/>
                  <w:vAlign w:val="center"/>
                </w:tcPr>
                <w:p w14:paraId="634FC914">
                  <w:pPr>
                    <w:pStyle w:val="78"/>
                    <w:rPr>
                      <w:rFonts w:hint="eastAsia" w:ascii="Times New Roman" w:hAnsi="Times New Roman" w:eastAsia="宋体" w:cs="Times New Roman"/>
                      <w:color w:val="auto"/>
                      <w:spacing w:val="0"/>
                      <w:sz w:val="21"/>
                      <w:szCs w:val="21"/>
                      <w:highlight w:val="none"/>
                      <w:lang w:val="en-US" w:eastAsia="zh-CN"/>
                    </w:rPr>
                  </w:pPr>
                  <w:r>
                    <w:rPr>
                      <w:rFonts w:hint="eastAsia" w:ascii="Times New Roman" w:hAnsi="Times New Roman" w:eastAsia="宋体" w:cs="Times New Roman"/>
                      <w:color w:val="auto"/>
                      <w:spacing w:val="0"/>
                      <w:sz w:val="21"/>
                      <w:szCs w:val="21"/>
                      <w:highlight w:val="none"/>
                      <w:lang w:val="en-US" w:eastAsia="zh-CN"/>
                    </w:rPr>
                    <w:fldChar w:fldCharType="begin"/>
                  </w:r>
                  <w:r>
                    <w:rPr>
                      <w:rFonts w:hint="eastAsia" w:ascii="Times New Roman" w:hAnsi="Times New Roman" w:eastAsia="宋体" w:cs="Times New Roman"/>
                      <w:color w:val="auto"/>
                      <w:spacing w:val="0"/>
                      <w:sz w:val="21"/>
                      <w:szCs w:val="21"/>
                      <w:highlight w:val="none"/>
                      <w:lang w:val="en-US" w:eastAsia="zh-CN"/>
                    </w:rPr>
                    <w:instrText xml:space="preserve"> HYPERLINK "http://www.baidu.com/link?url=iMMXQwyJralRyGL43o4KpYf_ryhcL67SrrCOkM_okFlH-k9fkByIBuzffClTi0BNezhLDmYVHTXl5TdGjEhlM0wnFohLjLSa0Kig65UoluurJiOyijRv1neJI6fJbGMgGB4Zyh9fQrwjrGUo7_9KY3conmWf2R18VLKWV4E5rMihCTauSBFBoi0nPefsHLZl6TljGdd8ejzj7AtZ4_Sxl7TmwTxSQtlssPxXh_GwGi5nbb55TbxICd_u7VXVhathlOgJ631gORTdu8oWTrSTEK" \t "https://www.baidu.com/_blank" </w:instrText>
                  </w:r>
                  <w:r>
                    <w:rPr>
                      <w:rFonts w:hint="eastAsia" w:ascii="Times New Roman" w:hAnsi="Times New Roman" w:eastAsia="宋体" w:cs="Times New Roman"/>
                      <w:color w:val="auto"/>
                      <w:spacing w:val="0"/>
                      <w:sz w:val="21"/>
                      <w:szCs w:val="21"/>
                      <w:highlight w:val="none"/>
                      <w:lang w:val="en-US" w:eastAsia="zh-CN"/>
                    </w:rPr>
                    <w:fldChar w:fldCharType="separate"/>
                  </w:r>
                  <w:r>
                    <w:rPr>
                      <w:rFonts w:hint="eastAsia" w:ascii="Times New Roman" w:hAnsi="Times New Roman" w:eastAsia="宋体" w:cs="Times New Roman"/>
                      <w:color w:val="auto"/>
                      <w:spacing w:val="0"/>
                      <w:sz w:val="21"/>
                      <w:szCs w:val="21"/>
                      <w:highlight w:val="none"/>
                      <w:lang w:val="en-US" w:eastAsia="zh-CN"/>
                    </w:rPr>
                    <w:t>建设项目竣工环保验收</w:t>
                  </w:r>
                  <w:r>
                    <w:rPr>
                      <w:rFonts w:hint="eastAsia" w:ascii="Times New Roman" w:hAnsi="Times New Roman" w:eastAsia="宋体" w:cs="Times New Roman"/>
                      <w:color w:val="auto"/>
                      <w:spacing w:val="0"/>
                      <w:sz w:val="21"/>
                      <w:szCs w:val="21"/>
                      <w:highlight w:val="none"/>
                      <w:lang w:val="en-US" w:eastAsia="zh-CN"/>
                    </w:rPr>
                    <w:fldChar w:fldCharType="end"/>
                  </w:r>
                </w:p>
              </w:tc>
              <w:tc>
                <w:tcPr>
                  <w:tcW w:w="986" w:type="pct"/>
                  <w:noWrap w:val="0"/>
                  <w:vAlign w:val="center"/>
                </w:tcPr>
                <w:p w14:paraId="2A13CF86">
                  <w:pPr>
                    <w:pStyle w:val="78"/>
                    <w:rPr>
                      <w:rFonts w:hint="default"/>
                      <w:color w:val="auto"/>
                      <w:szCs w:val="21"/>
                      <w:lang w:val="en-US" w:eastAsia="zh-CN"/>
                    </w:rPr>
                  </w:pPr>
                  <w:r>
                    <w:rPr>
                      <w:rFonts w:hint="eastAsia"/>
                      <w:color w:val="auto"/>
                      <w:szCs w:val="21"/>
                      <w:lang w:val="en-US" w:eastAsia="zh-CN"/>
                    </w:rPr>
                    <w:t>2</w:t>
                  </w:r>
                </w:p>
              </w:tc>
            </w:tr>
            <w:tr w14:paraId="7507A1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70" w:hRule="atLeast"/>
                <w:jc w:val="center"/>
              </w:trPr>
              <w:tc>
                <w:tcPr>
                  <w:tcW w:w="1288" w:type="pct"/>
                  <w:gridSpan w:val="2"/>
                  <w:noWrap w:val="0"/>
                  <w:vAlign w:val="center"/>
                </w:tcPr>
                <w:p w14:paraId="66AB67AB">
                  <w:pPr>
                    <w:pStyle w:val="78"/>
                    <w:rPr>
                      <w:color w:val="auto"/>
                      <w:szCs w:val="21"/>
                    </w:rPr>
                  </w:pPr>
                  <w:r>
                    <w:rPr>
                      <w:rFonts w:hint="eastAsia"/>
                      <w:color w:val="auto"/>
                      <w:szCs w:val="21"/>
                    </w:rPr>
                    <w:t>合计</w:t>
                  </w:r>
                </w:p>
              </w:tc>
              <w:tc>
                <w:tcPr>
                  <w:tcW w:w="2725" w:type="pct"/>
                  <w:gridSpan w:val="2"/>
                  <w:noWrap w:val="0"/>
                  <w:vAlign w:val="center"/>
                </w:tcPr>
                <w:p w14:paraId="7A12271B">
                  <w:pPr>
                    <w:pStyle w:val="78"/>
                    <w:rPr>
                      <w:color w:val="auto"/>
                      <w:szCs w:val="21"/>
                    </w:rPr>
                  </w:pPr>
                  <w:r>
                    <w:rPr>
                      <w:rFonts w:hint="eastAsia"/>
                      <w:color w:val="auto"/>
                      <w:szCs w:val="21"/>
                    </w:rPr>
                    <w:t>/</w:t>
                  </w:r>
                </w:p>
              </w:tc>
              <w:tc>
                <w:tcPr>
                  <w:tcW w:w="986" w:type="pct"/>
                  <w:noWrap w:val="0"/>
                  <w:vAlign w:val="center"/>
                </w:tcPr>
                <w:p w14:paraId="0F6D65A5">
                  <w:pPr>
                    <w:pStyle w:val="78"/>
                    <w:rPr>
                      <w:rFonts w:hint="default" w:eastAsia="宋体"/>
                      <w:color w:val="auto"/>
                      <w:szCs w:val="21"/>
                      <w:lang w:val="en-US" w:eastAsia="zh-CN"/>
                    </w:rPr>
                  </w:pPr>
                  <w:r>
                    <w:rPr>
                      <w:rFonts w:hint="eastAsia"/>
                      <w:color w:val="auto"/>
                      <w:szCs w:val="21"/>
                      <w:lang w:val="en-US" w:eastAsia="zh-CN"/>
                    </w:rPr>
                    <w:t>30</w:t>
                  </w:r>
                </w:p>
              </w:tc>
            </w:tr>
          </w:tbl>
          <w:p w14:paraId="3240715A">
            <w:pPr>
              <w:adjustRightInd w:val="0"/>
              <w:snapToGrid w:val="0"/>
              <w:spacing w:line="360" w:lineRule="auto"/>
              <w:rPr>
                <w:rFonts w:hint="eastAsia"/>
                <w:color w:val="auto"/>
              </w:rPr>
            </w:pPr>
          </w:p>
        </w:tc>
      </w:tr>
    </w:tbl>
    <w:p w14:paraId="62C6306B">
      <w:pPr>
        <w:rPr>
          <w:color w:val="auto"/>
        </w:rPr>
        <w:sectPr>
          <w:pgSz w:w="11907" w:h="16840"/>
          <w:pgMar w:top="1418" w:right="1418" w:bottom="1418" w:left="1418" w:header="851" w:footer="851" w:gutter="0"/>
          <w:pgBorders>
            <w:top w:val="none" w:sz="0" w:space="0"/>
            <w:left w:val="none" w:sz="0" w:space="0"/>
            <w:bottom w:val="none" w:sz="0" w:space="0"/>
            <w:right w:val="none" w:sz="0" w:space="0"/>
          </w:pgBorders>
          <w:cols w:space="720" w:num="1"/>
          <w:docGrid w:linePitch="312" w:charSpace="0"/>
        </w:sectPr>
      </w:pPr>
    </w:p>
    <w:p w14:paraId="4F972FFA">
      <w:pPr>
        <w:pStyle w:val="23"/>
        <w:jc w:val="center"/>
        <w:outlineLvl w:val="0"/>
        <w:rPr>
          <w:rFonts w:ascii="黑体" w:hAnsi="黑体" w:eastAsia="黑体"/>
          <w:snapToGrid w:val="0"/>
          <w:color w:val="auto"/>
          <w:sz w:val="30"/>
          <w:szCs w:val="30"/>
        </w:rPr>
      </w:pPr>
      <w:r>
        <w:rPr>
          <w:rFonts w:hint="eastAsia" w:ascii="黑体" w:hAnsi="黑体" w:eastAsia="黑体"/>
          <w:snapToGrid w:val="0"/>
          <w:color w:val="auto"/>
          <w:sz w:val="30"/>
          <w:szCs w:val="30"/>
        </w:rPr>
        <w:t>五、</w:t>
      </w:r>
      <w:bookmarkStart w:id="5" w:name="_Hlk54167917"/>
      <w:r>
        <w:rPr>
          <w:rFonts w:hint="eastAsia" w:ascii="黑体" w:hAnsi="黑体" w:eastAsia="黑体"/>
          <w:snapToGrid w:val="0"/>
          <w:color w:val="auto"/>
          <w:sz w:val="30"/>
          <w:szCs w:val="30"/>
        </w:rPr>
        <w:t>环境保护措施监督检查清单</w:t>
      </w:r>
      <w:bookmarkEnd w:id="5"/>
    </w:p>
    <w:tbl>
      <w:tblPr>
        <w:tblStyle w:val="28"/>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413"/>
        <w:gridCol w:w="1295"/>
        <w:gridCol w:w="1455"/>
        <w:gridCol w:w="2495"/>
        <w:gridCol w:w="2402"/>
      </w:tblGrid>
      <w:tr w14:paraId="3245404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413" w:type="dxa"/>
            <w:tcBorders>
              <w:top w:val="single" w:color="auto" w:sz="2" w:space="0"/>
              <w:left w:val="single" w:color="auto" w:sz="2" w:space="0"/>
              <w:tl2br w:val="single" w:color="auto" w:sz="4" w:space="0"/>
            </w:tcBorders>
            <w:noWrap w:val="0"/>
            <w:vAlign w:val="top"/>
          </w:tcPr>
          <w:p w14:paraId="7FA1AC51">
            <w:pPr>
              <w:adjustRightInd w:val="0"/>
              <w:snapToGrid w:val="0"/>
              <w:jc w:val="right"/>
              <w:rPr>
                <w:rFonts w:ascii="宋体" w:hAnsi="宋体" w:cs="宋体"/>
                <w:color w:val="auto"/>
                <w:szCs w:val="21"/>
              </w:rPr>
            </w:pPr>
            <w:r>
              <w:rPr>
                <w:rFonts w:hint="eastAsia" w:ascii="宋体" w:hAnsi="宋体" w:cs="宋体"/>
                <w:color w:val="auto"/>
                <w:szCs w:val="21"/>
              </w:rPr>
              <w:t>内容</w:t>
            </w:r>
          </w:p>
          <w:p w14:paraId="3C1FCD36">
            <w:pPr>
              <w:adjustRightInd w:val="0"/>
              <w:snapToGrid w:val="0"/>
              <w:jc w:val="left"/>
              <w:rPr>
                <w:rFonts w:hint="eastAsia" w:ascii="宋体" w:hAnsi="宋体" w:cs="宋体"/>
                <w:color w:val="auto"/>
                <w:szCs w:val="21"/>
              </w:rPr>
            </w:pPr>
            <w:r>
              <w:rPr>
                <w:rFonts w:hint="eastAsia" w:ascii="宋体" w:hAnsi="宋体" w:cs="宋体"/>
                <w:color w:val="auto"/>
                <w:szCs w:val="21"/>
              </w:rPr>
              <w:t>要素</w:t>
            </w:r>
          </w:p>
        </w:tc>
        <w:tc>
          <w:tcPr>
            <w:tcW w:w="1295" w:type="dxa"/>
            <w:tcBorders>
              <w:top w:val="single" w:color="auto" w:sz="2" w:space="0"/>
            </w:tcBorders>
            <w:noWrap w:val="0"/>
            <w:vAlign w:val="center"/>
          </w:tcPr>
          <w:p w14:paraId="77706F39">
            <w:pPr>
              <w:adjustRightInd w:val="0"/>
              <w:snapToGrid w:val="0"/>
              <w:jc w:val="center"/>
              <w:rPr>
                <w:rFonts w:hint="eastAsia" w:ascii="宋体" w:hAnsi="宋体" w:cs="宋体"/>
                <w:color w:val="auto"/>
                <w:szCs w:val="21"/>
              </w:rPr>
            </w:pPr>
            <w:r>
              <w:rPr>
                <w:rFonts w:hint="eastAsia" w:ascii="宋体" w:hAnsi="宋体" w:cs="宋体"/>
                <w:color w:val="auto"/>
                <w:szCs w:val="21"/>
              </w:rPr>
              <w:t>排放口(编号、名称)/污染源</w:t>
            </w:r>
          </w:p>
        </w:tc>
        <w:tc>
          <w:tcPr>
            <w:tcW w:w="1455" w:type="dxa"/>
            <w:tcBorders>
              <w:top w:val="single" w:color="auto" w:sz="2" w:space="0"/>
            </w:tcBorders>
            <w:noWrap w:val="0"/>
            <w:vAlign w:val="center"/>
          </w:tcPr>
          <w:p w14:paraId="2D8528CD">
            <w:pPr>
              <w:adjustRightInd w:val="0"/>
              <w:snapToGrid w:val="0"/>
              <w:jc w:val="center"/>
              <w:rPr>
                <w:rFonts w:hint="eastAsia" w:ascii="宋体" w:hAnsi="宋体" w:cs="宋体"/>
                <w:color w:val="auto"/>
                <w:szCs w:val="21"/>
              </w:rPr>
            </w:pPr>
            <w:r>
              <w:rPr>
                <w:rFonts w:hint="eastAsia" w:ascii="宋体" w:hAnsi="宋体" w:cs="宋体"/>
                <w:color w:val="auto"/>
                <w:szCs w:val="21"/>
              </w:rPr>
              <w:t>污染物项目</w:t>
            </w:r>
          </w:p>
        </w:tc>
        <w:tc>
          <w:tcPr>
            <w:tcW w:w="2495" w:type="dxa"/>
            <w:tcBorders>
              <w:top w:val="single" w:color="auto" w:sz="2" w:space="0"/>
            </w:tcBorders>
            <w:noWrap w:val="0"/>
            <w:vAlign w:val="center"/>
          </w:tcPr>
          <w:p w14:paraId="2E749D39">
            <w:pPr>
              <w:adjustRightInd w:val="0"/>
              <w:snapToGrid w:val="0"/>
              <w:jc w:val="center"/>
              <w:rPr>
                <w:rFonts w:hint="eastAsia" w:ascii="宋体" w:hAnsi="宋体" w:cs="宋体"/>
                <w:color w:val="auto"/>
                <w:szCs w:val="21"/>
              </w:rPr>
            </w:pPr>
            <w:r>
              <w:rPr>
                <w:rFonts w:hint="eastAsia" w:ascii="宋体" w:hAnsi="宋体" w:cs="宋体"/>
                <w:color w:val="auto"/>
                <w:szCs w:val="21"/>
              </w:rPr>
              <w:t>环境保护措施</w:t>
            </w:r>
          </w:p>
        </w:tc>
        <w:tc>
          <w:tcPr>
            <w:tcW w:w="2402" w:type="dxa"/>
            <w:tcBorders>
              <w:top w:val="single" w:color="auto" w:sz="2" w:space="0"/>
              <w:right w:val="single" w:color="auto" w:sz="2" w:space="0"/>
            </w:tcBorders>
            <w:noWrap w:val="0"/>
            <w:vAlign w:val="center"/>
          </w:tcPr>
          <w:p w14:paraId="71167506">
            <w:pPr>
              <w:adjustRightInd w:val="0"/>
              <w:snapToGrid w:val="0"/>
              <w:jc w:val="center"/>
              <w:rPr>
                <w:rFonts w:hint="eastAsia" w:ascii="宋体" w:hAnsi="宋体" w:cs="宋体"/>
                <w:color w:val="auto"/>
                <w:szCs w:val="21"/>
              </w:rPr>
            </w:pPr>
            <w:r>
              <w:rPr>
                <w:rFonts w:hint="eastAsia" w:ascii="宋体" w:hAnsi="宋体" w:cs="宋体"/>
                <w:color w:val="auto"/>
                <w:szCs w:val="21"/>
              </w:rPr>
              <w:t>执行标准</w:t>
            </w:r>
          </w:p>
        </w:tc>
      </w:tr>
      <w:tr w14:paraId="68654C2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413" w:type="dxa"/>
            <w:vMerge w:val="restart"/>
            <w:tcBorders>
              <w:left w:val="single" w:color="auto" w:sz="2" w:space="0"/>
            </w:tcBorders>
            <w:noWrap w:val="0"/>
            <w:vAlign w:val="center"/>
          </w:tcPr>
          <w:p w14:paraId="2260A7A0">
            <w:pPr>
              <w:adjustRightInd w:val="0"/>
              <w:snapToGrid w:val="0"/>
              <w:jc w:val="center"/>
              <w:rPr>
                <w:rFonts w:hint="eastAsia" w:ascii="宋体" w:hAnsi="宋体" w:cs="宋体"/>
                <w:color w:val="auto"/>
                <w:szCs w:val="21"/>
              </w:rPr>
            </w:pPr>
            <w:r>
              <w:rPr>
                <w:rFonts w:hint="eastAsia" w:ascii="宋体" w:hAnsi="宋体" w:cs="宋体"/>
                <w:color w:val="auto"/>
                <w:szCs w:val="21"/>
              </w:rPr>
              <w:t>大气环境</w:t>
            </w:r>
          </w:p>
        </w:tc>
        <w:tc>
          <w:tcPr>
            <w:tcW w:w="1295" w:type="dxa"/>
            <w:vMerge w:val="restart"/>
            <w:noWrap w:val="0"/>
            <w:vAlign w:val="center"/>
          </w:tcPr>
          <w:p w14:paraId="6A4A6CC9">
            <w:pPr>
              <w:adjustRightInd w:val="0"/>
              <w:snapToGrid w:val="0"/>
              <w:jc w:val="center"/>
              <w:rPr>
                <w:rFonts w:hint="eastAsia" w:eastAsia="宋体"/>
                <w:color w:val="auto"/>
                <w:szCs w:val="21"/>
                <w:lang w:eastAsia="zh-CN"/>
              </w:rPr>
            </w:pPr>
            <w:r>
              <w:rPr>
                <w:rFonts w:hint="eastAsia"/>
                <w:color w:val="auto"/>
                <w:szCs w:val="21"/>
              </w:rPr>
              <w:t>DA</w:t>
            </w:r>
            <w:r>
              <w:rPr>
                <w:color w:val="auto"/>
                <w:szCs w:val="21"/>
              </w:rPr>
              <w:t>00</w:t>
            </w:r>
            <w:r>
              <w:rPr>
                <w:rFonts w:hint="eastAsia"/>
                <w:color w:val="auto"/>
                <w:szCs w:val="21"/>
                <w:lang w:val="en-US" w:eastAsia="zh-CN"/>
              </w:rPr>
              <w:t>1</w:t>
            </w:r>
          </w:p>
        </w:tc>
        <w:tc>
          <w:tcPr>
            <w:tcW w:w="1455" w:type="dxa"/>
            <w:noWrap w:val="0"/>
            <w:vAlign w:val="center"/>
          </w:tcPr>
          <w:p w14:paraId="74CACDDC">
            <w:pPr>
              <w:adjustRightInd w:val="0"/>
              <w:snapToGrid w:val="0"/>
              <w:spacing w:line="380" w:lineRule="exact"/>
              <w:jc w:val="center"/>
              <w:rPr>
                <w:rFonts w:hint="eastAsia"/>
                <w:color w:val="auto"/>
                <w:szCs w:val="21"/>
              </w:rPr>
            </w:pPr>
            <w:r>
              <w:rPr>
                <w:rFonts w:hint="eastAsia"/>
                <w:color w:val="auto"/>
                <w:szCs w:val="21"/>
              </w:rPr>
              <w:t>HCl</w:t>
            </w:r>
          </w:p>
        </w:tc>
        <w:tc>
          <w:tcPr>
            <w:tcW w:w="2495" w:type="dxa"/>
            <w:vMerge w:val="restart"/>
            <w:noWrap w:val="0"/>
            <w:vAlign w:val="center"/>
          </w:tcPr>
          <w:p w14:paraId="35EA43E9">
            <w:pPr>
              <w:adjustRightInd w:val="0"/>
              <w:snapToGrid w:val="0"/>
              <w:jc w:val="center"/>
              <w:rPr>
                <w:rFonts w:hint="eastAsia"/>
                <w:color w:val="auto"/>
                <w:szCs w:val="21"/>
              </w:rPr>
            </w:pPr>
            <w:r>
              <w:rPr>
                <w:rFonts w:hint="eastAsia"/>
                <w:color w:val="auto"/>
                <w:szCs w:val="21"/>
                <w:lang w:val="en-US" w:eastAsia="zh-CN"/>
              </w:rPr>
              <w:t>通风橱</w:t>
            </w:r>
            <w:r>
              <w:rPr>
                <w:rFonts w:hint="eastAsia"/>
                <w:color w:val="auto"/>
                <w:szCs w:val="21"/>
              </w:rPr>
              <w:t>+碱液喷淋</w:t>
            </w:r>
            <w:r>
              <w:rPr>
                <w:rFonts w:hint="eastAsia"/>
                <w:color w:val="auto"/>
                <w:szCs w:val="21"/>
                <w:lang w:val="en-US" w:eastAsia="zh-CN"/>
              </w:rPr>
              <w:t>塔</w:t>
            </w:r>
            <w:r>
              <w:rPr>
                <w:rFonts w:hint="eastAsia"/>
                <w:color w:val="auto"/>
                <w:szCs w:val="21"/>
              </w:rPr>
              <w:t>+</w:t>
            </w:r>
            <w:r>
              <w:rPr>
                <w:color w:val="auto"/>
                <w:szCs w:val="21"/>
              </w:rPr>
              <w:t>15</w:t>
            </w:r>
            <w:r>
              <w:rPr>
                <w:rFonts w:hint="eastAsia"/>
                <w:color w:val="auto"/>
                <w:szCs w:val="21"/>
              </w:rPr>
              <w:t>m排气筒</w:t>
            </w:r>
          </w:p>
        </w:tc>
        <w:tc>
          <w:tcPr>
            <w:tcW w:w="2402" w:type="dxa"/>
            <w:vMerge w:val="restart"/>
            <w:tcBorders>
              <w:right w:val="single" w:color="auto" w:sz="2" w:space="0"/>
            </w:tcBorders>
            <w:shd w:val="clear" w:color="auto" w:fill="auto"/>
            <w:noWrap w:val="0"/>
            <w:vAlign w:val="center"/>
          </w:tcPr>
          <w:p w14:paraId="4A3F0D45">
            <w:pPr>
              <w:pStyle w:val="19"/>
              <w:adjustRightInd w:val="0"/>
              <w:jc w:val="center"/>
              <w:rPr>
                <w:rFonts w:hint="eastAsia" w:ascii="Times New Roman" w:hAnsi="Times New Roman" w:eastAsia="宋体" w:cs="Times New Roman"/>
                <w:color w:val="auto"/>
                <w:kern w:val="0"/>
                <w:sz w:val="21"/>
                <w:szCs w:val="21"/>
                <w:lang w:val="en-US" w:eastAsia="zh-CN" w:bidi="ar-SA"/>
              </w:rPr>
            </w:pPr>
            <w:r>
              <w:rPr>
                <w:rFonts w:hint="eastAsia"/>
                <w:color w:val="auto"/>
                <w:sz w:val="21"/>
                <w:szCs w:val="21"/>
                <w:lang w:val="en-US" w:eastAsia="zh-CN"/>
              </w:rPr>
              <w:t>《大气污染物综合排放标准》（GB16297-1996）中表2新污染源大气污染物排放限值</w:t>
            </w:r>
          </w:p>
        </w:tc>
      </w:tr>
      <w:tr w14:paraId="2631987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413" w:type="dxa"/>
            <w:vMerge w:val="continue"/>
            <w:tcBorders>
              <w:left w:val="single" w:color="auto" w:sz="2" w:space="0"/>
            </w:tcBorders>
            <w:noWrap w:val="0"/>
            <w:vAlign w:val="center"/>
          </w:tcPr>
          <w:p w14:paraId="6B69DAC4">
            <w:pPr>
              <w:adjustRightInd w:val="0"/>
              <w:snapToGrid w:val="0"/>
              <w:jc w:val="center"/>
              <w:rPr>
                <w:rFonts w:hint="eastAsia" w:ascii="宋体" w:hAnsi="宋体" w:cs="宋体"/>
                <w:color w:val="auto"/>
                <w:szCs w:val="21"/>
              </w:rPr>
            </w:pPr>
          </w:p>
        </w:tc>
        <w:tc>
          <w:tcPr>
            <w:tcW w:w="1295" w:type="dxa"/>
            <w:vMerge w:val="continue"/>
            <w:noWrap w:val="0"/>
            <w:vAlign w:val="center"/>
          </w:tcPr>
          <w:p w14:paraId="4C811559">
            <w:pPr>
              <w:adjustRightInd w:val="0"/>
              <w:snapToGrid w:val="0"/>
              <w:spacing w:line="380" w:lineRule="exact"/>
              <w:jc w:val="center"/>
              <w:rPr>
                <w:rFonts w:hint="eastAsia"/>
                <w:color w:val="auto"/>
                <w:szCs w:val="21"/>
              </w:rPr>
            </w:pPr>
          </w:p>
        </w:tc>
        <w:tc>
          <w:tcPr>
            <w:tcW w:w="1455" w:type="dxa"/>
            <w:noWrap w:val="0"/>
            <w:vAlign w:val="center"/>
          </w:tcPr>
          <w:p w14:paraId="5F3A2BDE">
            <w:pPr>
              <w:pStyle w:val="19"/>
              <w:adjustRightInd w:val="0"/>
              <w:jc w:val="center"/>
              <w:rPr>
                <w:rFonts w:hint="default" w:eastAsia="宋体"/>
                <w:color w:val="auto"/>
                <w:szCs w:val="21"/>
                <w:lang w:val="en-US" w:eastAsia="zh-CN"/>
              </w:rPr>
            </w:pPr>
            <w:r>
              <w:rPr>
                <w:rFonts w:hint="eastAsia"/>
                <w:color w:val="auto"/>
                <w:sz w:val="21"/>
                <w:szCs w:val="21"/>
                <w:lang w:val="en-US" w:eastAsia="zh-CN"/>
              </w:rPr>
              <w:t>硝酸雾</w:t>
            </w:r>
          </w:p>
        </w:tc>
        <w:tc>
          <w:tcPr>
            <w:tcW w:w="2495" w:type="dxa"/>
            <w:vMerge w:val="continue"/>
            <w:noWrap w:val="0"/>
            <w:vAlign w:val="center"/>
          </w:tcPr>
          <w:p w14:paraId="483D05D3">
            <w:pPr>
              <w:adjustRightInd w:val="0"/>
              <w:snapToGrid w:val="0"/>
              <w:jc w:val="center"/>
              <w:rPr>
                <w:rFonts w:hint="eastAsia"/>
                <w:color w:val="auto"/>
                <w:szCs w:val="21"/>
              </w:rPr>
            </w:pPr>
          </w:p>
        </w:tc>
        <w:tc>
          <w:tcPr>
            <w:tcW w:w="2402" w:type="dxa"/>
            <w:vMerge w:val="continue"/>
            <w:tcBorders>
              <w:right w:val="single" w:color="auto" w:sz="2" w:space="0"/>
            </w:tcBorders>
            <w:noWrap w:val="0"/>
            <w:vAlign w:val="center"/>
          </w:tcPr>
          <w:p w14:paraId="6840575B">
            <w:pPr>
              <w:keepNext w:val="0"/>
              <w:keepLines w:val="0"/>
              <w:pageBreakBefore w:val="0"/>
              <w:kinsoku/>
              <w:wordWrap w:val="0"/>
              <w:overflowPunct/>
              <w:topLinePunct/>
              <w:autoSpaceDE/>
              <w:autoSpaceDN/>
              <w:bidi w:val="0"/>
              <w:adjustRightInd w:val="0"/>
              <w:snapToGrid w:val="0"/>
              <w:spacing w:line="240" w:lineRule="auto"/>
              <w:jc w:val="center"/>
              <w:textAlignment w:val="auto"/>
              <w:rPr>
                <w:rFonts w:hint="eastAsia"/>
                <w:color w:val="auto"/>
                <w:szCs w:val="21"/>
              </w:rPr>
            </w:pPr>
          </w:p>
        </w:tc>
      </w:tr>
      <w:tr w14:paraId="719F77F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413" w:type="dxa"/>
            <w:vMerge w:val="continue"/>
            <w:tcBorders>
              <w:left w:val="single" w:color="auto" w:sz="2" w:space="0"/>
            </w:tcBorders>
            <w:noWrap w:val="0"/>
            <w:vAlign w:val="center"/>
          </w:tcPr>
          <w:p w14:paraId="429250FA">
            <w:pPr>
              <w:adjustRightInd w:val="0"/>
              <w:snapToGrid w:val="0"/>
              <w:jc w:val="center"/>
              <w:rPr>
                <w:rFonts w:hint="eastAsia" w:ascii="宋体" w:hAnsi="宋体" w:cs="宋体"/>
                <w:color w:val="auto"/>
                <w:szCs w:val="21"/>
              </w:rPr>
            </w:pPr>
          </w:p>
        </w:tc>
        <w:tc>
          <w:tcPr>
            <w:tcW w:w="1295" w:type="dxa"/>
            <w:vMerge w:val="continue"/>
            <w:noWrap w:val="0"/>
            <w:vAlign w:val="center"/>
          </w:tcPr>
          <w:p w14:paraId="0EE06C68">
            <w:pPr>
              <w:adjustRightInd w:val="0"/>
              <w:snapToGrid w:val="0"/>
              <w:spacing w:line="380" w:lineRule="exact"/>
              <w:jc w:val="center"/>
              <w:rPr>
                <w:rFonts w:hint="eastAsia"/>
                <w:color w:val="auto"/>
                <w:szCs w:val="21"/>
              </w:rPr>
            </w:pPr>
          </w:p>
        </w:tc>
        <w:tc>
          <w:tcPr>
            <w:tcW w:w="1455" w:type="dxa"/>
            <w:noWrap w:val="0"/>
            <w:vAlign w:val="center"/>
          </w:tcPr>
          <w:p w14:paraId="48946191">
            <w:pPr>
              <w:pStyle w:val="19"/>
              <w:adjustRightInd w:val="0"/>
              <w:jc w:val="center"/>
              <w:rPr>
                <w:rFonts w:hint="default"/>
                <w:color w:val="auto"/>
                <w:szCs w:val="21"/>
                <w:lang w:val="en-US" w:eastAsia="zh-CN"/>
              </w:rPr>
            </w:pPr>
            <w:r>
              <w:rPr>
                <w:rFonts w:hint="default" w:ascii="Times New Roman" w:hAnsi="Times New Roman" w:eastAsia="宋体" w:cs="Times New Roman"/>
                <w:b w:val="0"/>
                <w:bCs w:val="0"/>
                <w:i w:val="0"/>
                <w:iCs w:val="0"/>
                <w:color w:val="auto"/>
                <w:kern w:val="0"/>
                <w:sz w:val="21"/>
                <w:szCs w:val="21"/>
                <w:u w:val="none"/>
                <w:lang w:val="en-US" w:eastAsia="zh-CN" w:bidi="ar"/>
              </w:rPr>
              <w:t>硫酸雾</w:t>
            </w:r>
          </w:p>
        </w:tc>
        <w:tc>
          <w:tcPr>
            <w:tcW w:w="2495" w:type="dxa"/>
            <w:vMerge w:val="continue"/>
            <w:noWrap w:val="0"/>
            <w:vAlign w:val="center"/>
          </w:tcPr>
          <w:p w14:paraId="34495B03">
            <w:pPr>
              <w:adjustRightInd w:val="0"/>
              <w:snapToGrid w:val="0"/>
              <w:jc w:val="center"/>
              <w:rPr>
                <w:rFonts w:hint="eastAsia"/>
                <w:color w:val="auto"/>
                <w:szCs w:val="21"/>
              </w:rPr>
            </w:pPr>
          </w:p>
        </w:tc>
        <w:tc>
          <w:tcPr>
            <w:tcW w:w="2402" w:type="dxa"/>
            <w:vMerge w:val="continue"/>
            <w:tcBorders>
              <w:right w:val="single" w:color="auto" w:sz="2" w:space="0"/>
            </w:tcBorders>
            <w:noWrap w:val="0"/>
            <w:vAlign w:val="center"/>
          </w:tcPr>
          <w:p w14:paraId="64166210">
            <w:pPr>
              <w:keepNext w:val="0"/>
              <w:keepLines w:val="0"/>
              <w:pageBreakBefore w:val="0"/>
              <w:kinsoku/>
              <w:wordWrap w:val="0"/>
              <w:overflowPunct/>
              <w:topLinePunct/>
              <w:autoSpaceDE/>
              <w:autoSpaceDN/>
              <w:bidi w:val="0"/>
              <w:adjustRightInd w:val="0"/>
              <w:snapToGrid w:val="0"/>
              <w:spacing w:line="240" w:lineRule="auto"/>
              <w:jc w:val="center"/>
              <w:textAlignment w:val="auto"/>
              <w:rPr>
                <w:rFonts w:hint="eastAsia"/>
                <w:color w:val="auto"/>
                <w:kern w:val="0"/>
                <w:sz w:val="21"/>
                <w:szCs w:val="21"/>
              </w:rPr>
            </w:pPr>
          </w:p>
        </w:tc>
      </w:tr>
      <w:tr w14:paraId="6A75563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20" w:hRule="atLeast"/>
          <w:jc w:val="center"/>
        </w:trPr>
        <w:tc>
          <w:tcPr>
            <w:tcW w:w="1413" w:type="dxa"/>
            <w:vMerge w:val="continue"/>
            <w:tcBorders>
              <w:left w:val="single" w:color="auto" w:sz="2" w:space="0"/>
            </w:tcBorders>
            <w:noWrap w:val="0"/>
            <w:vAlign w:val="center"/>
          </w:tcPr>
          <w:p w14:paraId="73DAFD41">
            <w:pPr>
              <w:adjustRightInd w:val="0"/>
              <w:snapToGrid w:val="0"/>
              <w:jc w:val="center"/>
              <w:rPr>
                <w:rFonts w:hint="eastAsia" w:ascii="宋体" w:hAnsi="宋体" w:cs="宋体"/>
                <w:color w:val="auto"/>
                <w:szCs w:val="21"/>
              </w:rPr>
            </w:pPr>
          </w:p>
        </w:tc>
        <w:tc>
          <w:tcPr>
            <w:tcW w:w="1295" w:type="dxa"/>
            <w:vMerge w:val="continue"/>
            <w:noWrap w:val="0"/>
            <w:vAlign w:val="center"/>
          </w:tcPr>
          <w:p w14:paraId="5C19E41A">
            <w:pPr>
              <w:adjustRightInd w:val="0"/>
              <w:snapToGrid w:val="0"/>
              <w:jc w:val="center"/>
              <w:rPr>
                <w:rFonts w:hint="eastAsia"/>
                <w:color w:val="auto"/>
                <w:szCs w:val="21"/>
              </w:rPr>
            </w:pPr>
          </w:p>
        </w:tc>
        <w:tc>
          <w:tcPr>
            <w:tcW w:w="1455" w:type="dxa"/>
            <w:tcBorders>
              <w:bottom w:val="single" w:color="auto" w:sz="8" w:space="0"/>
            </w:tcBorders>
            <w:noWrap w:val="0"/>
            <w:vAlign w:val="center"/>
          </w:tcPr>
          <w:p w14:paraId="6DCE4AA4">
            <w:pPr>
              <w:pStyle w:val="19"/>
              <w:adjustRightInd w:val="0"/>
              <w:jc w:val="center"/>
              <w:rPr>
                <w:rFonts w:hint="eastAsia"/>
                <w:color w:val="auto"/>
                <w:szCs w:val="21"/>
              </w:rPr>
            </w:pPr>
            <w:r>
              <w:rPr>
                <w:rFonts w:hint="eastAsia" w:eastAsia="宋体"/>
                <w:color w:val="auto"/>
                <w:sz w:val="21"/>
                <w:szCs w:val="21"/>
                <w:lang w:val="en-US" w:eastAsia="zh-CN"/>
              </w:rPr>
              <w:t>氨</w:t>
            </w:r>
          </w:p>
        </w:tc>
        <w:tc>
          <w:tcPr>
            <w:tcW w:w="2495" w:type="dxa"/>
            <w:vMerge w:val="continue"/>
            <w:noWrap w:val="0"/>
            <w:vAlign w:val="center"/>
          </w:tcPr>
          <w:p w14:paraId="3150DC97">
            <w:pPr>
              <w:adjustRightInd w:val="0"/>
              <w:snapToGrid w:val="0"/>
              <w:jc w:val="center"/>
              <w:rPr>
                <w:rFonts w:hint="eastAsia"/>
                <w:color w:val="auto"/>
                <w:szCs w:val="21"/>
              </w:rPr>
            </w:pPr>
          </w:p>
        </w:tc>
        <w:tc>
          <w:tcPr>
            <w:tcW w:w="2402" w:type="dxa"/>
            <w:tcBorders>
              <w:right w:val="single" w:color="auto" w:sz="2" w:space="0"/>
            </w:tcBorders>
            <w:noWrap w:val="0"/>
            <w:vAlign w:val="center"/>
          </w:tcPr>
          <w:p w14:paraId="2FB20D83">
            <w:pPr>
              <w:pStyle w:val="78"/>
              <w:keepNext w:val="0"/>
              <w:keepLines w:val="0"/>
              <w:pageBreakBefore w:val="0"/>
              <w:kinsoku/>
              <w:wordWrap w:val="0"/>
              <w:overflowPunct/>
              <w:topLinePunct/>
              <w:autoSpaceDE/>
              <w:autoSpaceDN/>
              <w:bidi w:val="0"/>
              <w:adjustRightInd w:val="0"/>
              <w:snapToGrid w:val="0"/>
              <w:spacing w:line="240" w:lineRule="auto"/>
              <w:textAlignment w:val="auto"/>
              <w:rPr>
                <w:color w:val="auto"/>
                <w:szCs w:val="21"/>
              </w:rPr>
            </w:pPr>
            <w:r>
              <w:rPr>
                <w:rFonts w:hint="default" w:ascii="Times New Roman" w:hAnsi="Times New Roman" w:eastAsia="宋体" w:cs="Times New Roman"/>
                <w:i w:val="0"/>
                <w:iCs w:val="0"/>
                <w:color w:val="auto"/>
                <w:sz w:val="21"/>
                <w:szCs w:val="21"/>
                <w:u w:val="none"/>
                <w:lang w:val="en-US" w:eastAsia="zh-CN"/>
              </w:rPr>
              <w:t>《恶臭污染物排放标准》（GB14554-93</w:t>
            </w:r>
            <w:r>
              <w:rPr>
                <w:rFonts w:hint="eastAsia" w:ascii="Times New Roman" w:hAnsi="Times New Roman" w:eastAsia="宋体" w:cs="Times New Roman"/>
                <w:i w:val="0"/>
                <w:iCs w:val="0"/>
                <w:color w:val="auto"/>
                <w:sz w:val="21"/>
                <w:szCs w:val="21"/>
                <w:u w:val="none"/>
                <w:lang w:val="en-US" w:eastAsia="zh-CN"/>
              </w:rPr>
              <w:t>）</w:t>
            </w:r>
          </w:p>
        </w:tc>
      </w:tr>
      <w:tr w14:paraId="57C6842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413" w:type="dxa"/>
            <w:tcBorders>
              <w:left w:val="single" w:color="auto" w:sz="2" w:space="0"/>
            </w:tcBorders>
            <w:noWrap w:val="0"/>
            <w:vAlign w:val="center"/>
          </w:tcPr>
          <w:p w14:paraId="1B9F3808">
            <w:pPr>
              <w:adjustRightInd w:val="0"/>
              <w:snapToGrid w:val="0"/>
              <w:jc w:val="center"/>
              <w:rPr>
                <w:rFonts w:hint="eastAsia" w:ascii="宋体" w:hAnsi="宋体" w:cs="宋体"/>
                <w:color w:val="auto"/>
                <w:szCs w:val="21"/>
              </w:rPr>
            </w:pPr>
          </w:p>
        </w:tc>
        <w:tc>
          <w:tcPr>
            <w:tcW w:w="1295" w:type="dxa"/>
            <w:noWrap w:val="0"/>
            <w:vAlign w:val="center"/>
          </w:tcPr>
          <w:p w14:paraId="067671F7">
            <w:pPr>
              <w:adjustRightInd w:val="0"/>
              <w:snapToGrid w:val="0"/>
              <w:jc w:val="center"/>
              <w:rPr>
                <w:rFonts w:hint="eastAsia"/>
                <w:color w:val="auto"/>
                <w:szCs w:val="21"/>
              </w:rPr>
            </w:pPr>
            <w:r>
              <w:rPr>
                <w:rFonts w:hint="eastAsia"/>
                <w:color w:val="auto"/>
                <w:szCs w:val="21"/>
              </w:rPr>
              <w:t>无组织</w:t>
            </w:r>
          </w:p>
        </w:tc>
        <w:tc>
          <w:tcPr>
            <w:tcW w:w="1455" w:type="dxa"/>
            <w:tcBorders>
              <w:bottom w:val="single" w:color="auto" w:sz="8" w:space="0"/>
            </w:tcBorders>
            <w:noWrap w:val="0"/>
            <w:vAlign w:val="center"/>
          </w:tcPr>
          <w:p w14:paraId="025D9DE4">
            <w:pPr>
              <w:adjustRightInd w:val="0"/>
              <w:snapToGrid w:val="0"/>
              <w:spacing w:line="380" w:lineRule="exact"/>
              <w:jc w:val="center"/>
              <w:rPr>
                <w:rFonts w:hint="default" w:eastAsia="宋体"/>
                <w:color w:val="auto"/>
                <w:szCs w:val="21"/>
                <w:lang w:val="en-US" w:eastAsia="zh-CN"/>
              </w:rPr>
            </w:pPr>
            <w:r>
              <w:rPr>
                <w:rFonts w:hint="eastAsia"/>
                <w:color w:val="auto"/>
                <w:szCs w:val="21"/>
              </w:rPr>
              <w:t>HCl、</w:t>
            </w:r>
            <w:r>
              <w:rPr>
                <w:rFonts w:hint="eastAsia"/>
                <w:color w:val="auto"/>
                <w:szCs w:val="21"/>
                <w:lang w:val="en-US" w:eastAsia="zh-CN"/>
              </w:rPr>
              <w:t>硝酸雾</w:t>
            </w:r>
            <w:r>
              <w:rPr>
                <w:rFonts w:hint="eastAsia"/>
                <w:color w:val="auto"/>
                <w:szCs w:val="21"/>
                <w:lang w:eastAsia="zh-CN"/>
              </w:rPr>
              <w:t>、</w:t>
            </w:r>
            <w:r>
              <w:rPr>
                <w:rFonts w:hint="eastAsia"/>
                <w:color w:val="auto"/>
                <w:szCs w:val="21"/>
                <w:lang w:val="en-US" w:eastAsia="zh-CN"/>
              </w:rPr>
              <w:t>硫酸雾、</w:t>
            </w:r>
            <w:r>
              <w:rPr>
                <w:rFonts w:hint="eastAsia"/>
                <w:color w:val="auto"/>
                <w:sz w:val="21"/>
                <w:szCs w:val="21"/>
                <w:lang w:val="en-US" w:eastAsia="zh-CN"/>
              </w:rPr>
              <w:t>氨</w:t>
            </w:r>
          </w:p>
        </w:tc>
        <w:tc>
          <w:tcPr>
            <w:tcW w:w="2495" w:type="dxa"/>
            <w:tcBorders>
              <w:bottom w:val="single" w:color="auto" w:sz="8" w:space="0"/>
            </w:tcBorders>
            <w:noWrap w:val="0"/>
            <w:vAlign w:val="center"/>
          </w:tcPr>
          <w:p w14:paraId="7A6EC081">
            <w:pPr>
              <w:pStyle w:val="78"/>
              <w:rPr>
                <w:rFonts w:hint="eastAsia"/>
                <w:color w:val="auto"/>
                <w:szCs w:val="21"/>
              </w:rPr>
            </w:pPr>
            <w:r>
              <w:rPr>
                <w:rFonts w:hint="eastAsia"/>
                <w:color w:val="auto"/>
                <w:szCs w:val="21"/>
                <w:lang w:val="en-US" w:eastAsia="zh-CN"/>
              </w:rPr>
              <w:t>实验室</w:t>
            </w:r>
            <w:r>
              <w:rPr>
                <w:rFonts w:hint="eastAsia"/>
                <w:color w:val="auto"/>
                <w:szCs w:val="21"/>
              </w:rPr>
              <w:t>封闭</w:t>
            </w:r>
          </w:p>
        </w:tc>
        <w:tc>
          <w:tcPr>
            <w:tcW w:w="2402" w:type="dxa"/>
            <w:tcBorders>
              <w:bottom w:val="single" w:color="auto" w:sz="8" w:space="0"/>
              <w:right w:val="single" w:color="auto" w:sz="2" w:space="0"/>
            </w:tcBorders>
            <w:noWrap w:val="0"/>
            <w:vAlign w:val="center"/>
          </w:tcPr>
          <w:p w14:paraId="43221855">
            <w:pPr>
              <w:pStyle w:val="78"/>
              <w:widowControl w:val="0"/>
              <w:wordWrap w:val="0"/>
              <w:spacing w:line="240" w:lineRule="auto"/>
              <w:rPr>
                <w:rFonts w:hint="eastAsia" w:eastAsia="宋体"/>
                <w:color w:val="auto"/>
                <w:szCs w:val="21"/>
                <w:lang w:eastAsia="zh-CN"/>
              </w:rPr>
            </w:pPr>
            <w:r>
              <w:rPr>
                <w:rFonts w:hint="eastAsia"/>
                <w:color w:val="auto"/>
                <w:sz w:val="21"/>
                <w:szCs w:val="21"/>
                <w:lang w:val="en-US" w:eastAsia="zh-CN"/>
              </w:rPr>
              <w:t>《大气污染物综合排放标准》（GB16297-1996）中表2新污染源大气污染物排放限值</w:t>
            </w:r>
            <w:r>
              <w:rPr>
                <w:rFonts w:hint="eastAsia"/>
                <w:color w:val="auto"/>
                <w:szCs w:val="21"/>
                <w:lang w:eastAsia="zh-CN"/>
              </w:rPr>
              <w:t>、</w:t>
            </w:r>
            <w:r>
              <w:rPr>
                <w:rFonts w:hint="eastAsia"/>
                <w:color w:val="auto"/>
                <w:kern w:val="0"/>
                <w:sz w:val="21"/>
                <w:szCs w:val="21"/>
              </w:rPr>
              <w:t>《恶臭污染物排放标准》（GB</w:t>
            </w:r>
            <w:r>
              <w:rPr>
                <w:color w:val="auto"/>
                <w:kern w:val="0"/>
                <w:sz w:val="21"/>
                <w:szCs w:val="21"/>
              </w:rPr>
              <w:t>14554-93</w:t>
            </w:r>
            <w:r>
              <w:rPr>
                <w:rFonts w:hint="eastAsia"/>
                <w:color w:val="auto"/>
                <w:kern w:val="0"/>
                <w:sz w:val="21"/>
                <w:szCs w:val="21"/>
              </w:rPr>
              <w:t>）</w:t>
            </w:r>
          </w:p>
        </w:tc>
      </w:tr>
      <w:tr w14:paraId="17DEE1F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413" w:type="dxa"/>
            <w:vMerge w:val="restart"/>
            <w:tcBorders>
              <w:left w:val="single" w:color="auto" w:sz="2" w:space="0"/>
            </w:tcBorders>
            <w:noWrap w:val="0"/>
            <w:vAlign w:val="center"/>
          </w:tcPr>
          <w:p w14:paraId="7AF86004">
            <w:pPr>
              <w:adjustRightInd w:val="0"/>
              <w:snapToGrid w:val="0"/>
              <w:jc w:val="center"/>
              <w:rPr>
                <w:rFonts w:hint="eastAsia" w:ascii="宋体" w:hAnsi="宋体" w:cs="宋体"/>
                <w:color w:val="auto"/>
                <w:szCs w:val="21"/>
              </w:rPr>
            </w:pPr>
            <w:r>
              <w:rPr>
                <w:rFonts w:hint="eastAsia" w:ascii="宋体" w:hAnsi="宋体" w:cs="宋体"/>
                <w:color w:val="auto"/>
                <w:szCs w:val="21"/>
              </w:rPr>
              <w:t>地表水环境</w:t>
            </w:r>
          </w:p>
        </w:tc>
        <w:tc>
          <w:tcPr>
            <w:tcW w:w="1295" w:type="dxa"/>
            <w:noWrap w:val="0"/>
            <w:vAlign w:val="center"/>
          </w:tcPr>
          <w:p w14:paraId="42523740">
            <w:pPr>
              <w:adjustRightInd w:val="0"/>
              <w:snapToGrid w:val="0"/>
              <w:spacing w:line="240" w:lineRule="auto"/>
              <w:jc w:val="center"/>
              <w:rPr>
                <w:rFonts w:hint="eastAsia" w:eastAsia="宋体"/>
                <w:color w:val="auto"/>
                <w:szCs w:val="21"/>
                <w:lang w:val="en-US" w:eastAsia="zh-CN"/>
              </w:rPr>
            </w:pPr>
            <w:r>
              <w:rPr>
                <w:rFonts w:hint="eastAsia"/>
                <w:color w:val="FF0000"/>
                <w:szCs w:val="21"/>
                <w:lang w:val="en-US" w:eastAsia="zh-CN"/>
              </w:rPr>
              <w:t>碱液喷淋塔</w:t>
            </w:r>
            <w:r>
              <w:rPr>
                <w:rFonts w:hint="eastAsia"/>
                <w:color w:val="FF0000"/>
                <w:szCs w:val="21"/>
              </w:rPr>
              <w:t>废水、</w:t>
            </w:r>
            <w:r>
              <w:rPr>
                <w:rFonts w:hint="eastAsia"/>
                <w:color w:val="FF0000"/>
                <w:szCs w:val="21"/>
                <w:lang w:val="en-US" w:eastAsia="zh-CN"/>
              </w:rPr>
              <w:t>实验器具中段清洗废水、后段清洗废水</w:t>
            </w:r>
          </w:p>
        </w:tc>
        <w:tc>
          <w:tcPr>
            <w:tcW w:w="1455" w:type="dxa"/>
            <w:noWrap w:val="0"/>
            <w:vAlign w:val="center"/>
          </w:tcPr>
          <w:p w14:paraId="60158537">
            <w:pPr>
              <w:adjustRightInd w:val="0"/>
              <w:snapToGrid w:val="0"/>
              <w:spacing w:line="240" w:lineRule="auto"/>
              <w:jc w:val="center"/>
              <w:rPr>
                <w:rFonts w:hint="eastAsia" w:eastAsia="宋体"/>
                <w:color w:val="auto"/>
                <w:szCs w:val="21"/>
                <w:lang w:eastAsia="zh-CN"/>
              </w:rPr>
            </w:pPr>
            <w:r>
              <w:rPr>
                <w:rFonts w:hint="eastAsia"/>
                <w:color w:val="auto"/>
                <w:szCs w:val="21"/>
                <w:lang w:val="en-US" w:eastAsia="zh-CN"/>
              </w:rPr>
              <w:t>pH、</w:t>
            </w:r>
            <w:r>
              <w:rPr>
                <w:rFonts w:hint="eastAsia"/>
                <w:color w:val="auto"/>
                <w:szCs w:val="21"/>
              </w:rPr>
              <w:t>COD、SS</w:t>
            </w:r>
            <w:r>
              <w:rPr>
                <w:rFonts w:hint="eastAsia"/>
                <w:color w:val="auto"/>
                <w:szCs w:val="21"/>
                <w:lang w:eastAsia="zh-CN"/>
              </w:rPr>
              <w:t>、</w:t>
            </w:r>
            <w:r>
              <w:rPr>
                <w:rFonts w:hint="eastAsia"/>
                <w:color w:val="auto"/>
                <w:szCs w:val="21"/>
              </w:rPr>
              <w:t>氨氮</w:t>
            </w:r>
            <w:r>
              <w:rPr>
                <w:rFonts w:hint="eastAsia"/>
                <w:color w:val="auto"/>
                <w:szCs w:val="21"/>
                <w:lang w:eastAsia="zh-CN"/>
              </w:rPr>
              <w:t>、</w:t>
            </w:r>
            <w:r>
              <w:rPr>
                <w:rFonts w:hint="eastAsia"/>
                <w:color w:val="auto"/>
                <w:szCs w:val="21"/>
                <w:lang w:val="en-US" w:eastAsia="zh-CN"/>
              </w:rPr>
              <w:t>总锌、总铜、总铅、总镉、总砷、总汞</w:t>
            </w:r>
          </w:p>
        </w:tc>
        <w:tc>
          <w:tcPr>
            <w:tcW w:w="2495" w:type="dxa"/>
            <w:noWrap w:val="0"/>
            <w:vAlign w:val="center"/>
          </w:tcPr>
          <w:p w14:paraId="5564E019">
            <w:pPr>
              <w:adjustRightInd w:val="0"/>
              <w:snapToGrid w:val="0"/>
              <w:spacing w:line="240" w:lineRule="auto"/>
              <w:jc w:val="center"/>
              <w:rPr>
                <w:rFonts w:hint="eastAsia"/>
                <w:color w:val="0000FF"/>
                <w:szCs w:val="21"/>
              </w:rPr>
            </w:pPr>
            <w:r>
              <w:rPr>
                <w:rFonts w:hint="eastAsia"/>
                <w:color w:val="0000FF"/>
                <w:szCs w:val="21"/>
              </w:rPr>
              <w:t>经厂区污水处理站处理达标后，排入</w:t>
            </w:r>
            <w:r>
              <w:rPr>
                <w:rFonts w:hint="eastAsia"/>
                <w:color w:val="0000FF"/>
                <w:szCs w:val="21"/>
                <w:lang w:val="en-US" w:eastAsia="zh-CN"/>
              </w:rPr>
              <w:t>废水池</w:t>
            </w:r>
            <w:r>
              <w:rPr>
                <w:rFonts w:hint="eastAsia"/>
                <w:color w:val="0000FF"/>
                <w:szCs w:val="21"/>
              </w:rPr>
              <w:t>，</w:t>
            </w:r>
            <w:r>
              <w:rPr>
                <w:rFonts w:hint="eastAsia"/>
                <w:color w:val="0000FF"/>
                <w:szCs w:val="21"/>
                <w:lang w:val="en-US" w:eastAsia="zh-CN"/>
              </w:rPr>
              <w:t>由吸污车拉运至</w:t>
            </w:r>
            <w:r>
              <w:rPr>
                <w:rFonts w:hint="eastAsia"/>
                <w:color w:val="0000FF"/>
                <w:kern w:val="0"/>
                <w:szCs w:val="21"/>
                <w:lang w:val="en-US" w:eastAsia="zh-CN"/>
              </w:rPr>
              <w:t>昌吉高新技术产业开发区污水处理厂处理</w:t>
            </w:r>
          </w:p>
        </w:tc>
        <w:tc>
          <w:tcPr>
            <w:tcW w:w="2402" w:type="dxa"/>
            <w:vMerge w:val="restart"/>
            <w:tcBorders>
              <w:right w:val="single" w:color="auto" w:sz="2" w:space="0"/>
            </w:tcBorders>
            <w:noWrap w:val="0"/>
            <w:vAlign w:val="center"/>
          </w:tcPr>
          <w:p w14:paraId="48B0CCF3">
            <w:pPr>
              <w:adjustRightInd w:val="0"/>
              <w:snapToGrid w:val="0"/>
              <w:spacing w:line="240" w:lineRule="auto"/>
              <w:jc w:val="center"/>
              <w:rPr>
                <w:rFonts w:hint="eastAsia" w:eastAsia="宋体"/>
                <w:color w:val="auto"/>
                <w:szCs w:val="21"/>
                <w:lang w:eastAsia="zh-CN"/>
              </w:rPr>
            </w:pPr>
            <w:r>
              <w:rPr>
                <w:rFonts w:hint="eastAsia"/>
                <w:color w:val="0000FF"/>
                <w:szCs w:val="21"/>
              </w:rPr>
              <w:t>《污水综合排放标准》（GB8978-1996）表4三级标准</w:t>
            </w:r>
            <w:r>
              <w:rPr>
                <w:rFonts w:hint="eastAsia"/>
                <w:color w:val="0000FF"/>
                <w:szCs w:val="21"/>
                <w:lang w:eastAsia="zh-CN"/>
              </w:rPr>
              <w:t>、</w:t>
            </w:r>
            <w:r>
              <w:rPr>
                <w:rFonts w:hint="eastAsia"/>
                <w:color w:val="0000FF"/>
                <w:szCs w:val="21"/>
                <w:lang w:val="en-US" w:eastAsia="zh-CN"/>
              </w:rPr>
              <w:t>《污水排入城镇下水道水质标准》（GB/T31962-2015）B级标准</w:t>
            </w:r>
          </w:p>
        </w:tc>
      </w:tr>
      <w:tr w14:paraId="4B8F46B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413" w:type="dxa"/>
            <w:vMerge w:val="continue"/>
            <w:tcBorders>
              <w:left w:val="single" w:color="auto" w:sz="2" w:space="0"/>
            </w:tcBorders>
            <w:noWrap w:val="0"/>
            <w:vAlign w:val="center"/>
          </w:tcPr>
          <w:p w14:paraId="4EAEA46D">
            <w:pPr>
              <w:adjustRightInd w:val="0"/>
              <w:snapToGrid w:val="0"/>
              <w:jc w:val="center"/>
              <w:rPr>
                <w:rFonts w:hint="eastAsia" w:ascii="宋体" w:hAnsi="宋体" w:cs="宋体"/>
                <w:color w:val="auto"/>
                <w:szCs w:val="21"/>
              </w:rPr>
            </w:pPr>
          </w:p>
        </w:tc>
        <w:tc>
          <w:tcPr>
            <w:tcW w:w="1295" w:type="dxa"/>
            <w:noWrap w:val="0"/>
            <w:vAlign w:val="center"/>
          </w:tcPr>
          <w:p w14:paraId="67A13F1C">
            <w:pPr>
              <w:adjustRightInd w:val="0"/>
              <w:snapToGrid w:val="0"/>
              <w:spacing w:line="240" w:lineRule="auto"/>
              <w:jc w:val="center"/>
              <w:rPr>
                <w:rFonts w:hint="default" w:eastAsia="宋体"/>
                <w:color w:val="auto"/>
                <w:szCs w:val="21"/>
                <w:lang w:val="en-US" w:eastAsia="zh-CN"/>
              </w:rPr>
            </w:pPr>
            <w:r>
              <w:rPr>
                <w:rFonts w:hint="eastAsia"/>
                <w:color w:val="auto"/>
                <w:szCs w:val="21"/>
                <w:lang w:val="en-US" w:eastAsia="zh-CN"/>
              </w:rPr>
              <w:t>纯水制备浓水</w:t>
            </w:r>
          </w:p>
        </w:tc>
        <w:tc>
          <w:tcPr>
            <w:tcW w:w="1455" w:type="dxa"/>
            <w:noWrap w:val="0"/>
            <w:vAlign w:val="center"/>
          </w:tcPr>
          <w:p w14:paraId="0BA06EC3">
            <w:pPr>
              <w:adjustRightInd w:val="0"/>
              <w:snapToGrid w:val="0"/>
              <w:spacing w:line="240" w:lineRule="auto"/>
              <w:jc w:val="center"/>
              <w:rPr>
                <w:rFonts w:hint="default" w:eastAsia="宋体"/>
                <w:color w:val="auto"/>
                <w:szCs w:val="21"/>
                <w:lang w:val="en-US" w:eastAsia="zh-CN"/>
              </w:rPr>
            </w:pPr>
            <w:r>
              <w:rPr>
                <w:rFonts w:hint="eastAsia"/>
                <w:color w:val="auto"/>
                <w:szCs w:val="21"/>
                <w:lang w:val="en-US" w:eastAsia="zh-CN"/>
              </w:rPr>
              <w:t>COD、SS</w:t>
            </w:r>
          </w:p>
        </w:tc>
        <w:tc>
          <w:tcPr>
            <w:tcW w:w="2495" w:type="dxa"/>
            <w:noWrap w:val="0"/>
            <w:vAlign w:val="center"/>
          </w:tcPr>
          <w:p w14:paraId="0CB9C0F6">
            <w:pPr>
              <w:adjustRightInd w:val="0"/>
              <w:snapToGrid w:val="0"/>
              <w:spacing w:line="240" w:lineRule="auto"/>
              <w:jc w:val="center"/>
              <w:rPr>
                <w:rFonts w:hint="default"/>
                <w:color w:val="0000FF"/>
                <w:szCs w:val="21"/>
                <w:lang w:val="en-US"/>
              </w:rPr>
            </w:pPr>
            <w:r>
              <w:rPr>
                <w:rFonts w:hint="eastAsia"/>
                <w:color w:val="0000FF"/>
                <w:szCs w:val="21"/>
              </w:rPr>
              <w:t>排入</w:t>
            </w:r>
            <w:r>
              <w:rPr>
                <w:rFonts w:hint="eastAsia"/>
                <w:color w:val="0000FF"/>
                <w:szCs w:val="21"/>
                <w:lang w:val="en-US" w:eastAsia="zh-CN"/>
              </w:rPr>
              <w:t>废水池，由吸污车拉运至</w:t>
            </w:r>
            <w:r>
              <w:rPr>
                <w:rFonts w:hint="eastAsia"/>
                <w:color w:val="0000FF"/>
                <w:kern w:val="0"/>
                <w:szCs w:val="21"/>
                <w:lang w:val="en-US" w:eastAsia="zh-CN"/>
              </w:rPr>
              <w:t>昌吉高新技术产业开发区污水处理厂处理</w:t>
            </w:r>
          </w:p>
        </w:tc>
        <w:tc>
          <w:tcPr>
            <w:tcW w:w="2402" w:type="dxa"/>
            <w:vMerge w:val="continue"/>
            <w:tcBorders>
              <w:right w:val="single" w:color="auto" w:sz="2" w:space="0"/>
            </w:tcBorders>
            <w:noWrap w:val="0"/>
            <w:vAlign w:val="center"/>
          </w:tcPr>
          <w:p w14:paraId="20F71921">
            <w:pPr>
              <w:adjustRightInd w:val="0"/>
              <w:snapToGrid w:val="0"/>
              <w:spacing w:line="240" w:lineRule="auto"/>
              <w:jc w:val="center"/>
              <w:rPr>
                <w:rFonts w:hint="default" w:eastAsia="宋体"/>
                <w:color w:val="auto"/>
                <w:szCs w:val="21"/>
                <w:lang w:val="en-US" w:eastAsia="zh-CN"/>
              </w:rPr>
            </w:pPr>
          </w:p>
        </w:tc>
      </w:tr>
      <w:tr w14:paraId="0529E3F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20" w:hRule="atLeast"/>
          <w:jc w:val="center"/>
        </w:trPr>
        <w:tc>
          <w:tcPr>
            <w:tcW w:w="1413" w:type="dxa"/>
            <w:vMerge w:val="continue"/>
            <w:tcBorders>
              <w:left w:val="single" w:color="auto" w:sz="2" w:space="0"/>
            </w:tcBorders>
            <w:noWrap w:val="0"/>
            <w:vAlign w:val="center"/>
          </w:tcPr>
          <w:p w14:paraId="1EAA2198">
            <w:pPr>
              <w:adjustRightInd w:val="0"/>
              <w:snapToGrid w:val="0"/>
              <w:jc w:val="center"/>
              <w:rPr>
                <w:rFonts w:hint="eastAsia" w:ascii="宋体" w:hAnsi="宋体" w:cs="宋体"/>
                <w:color w:val="auto"/>
                <w:szCs w:val="21"/>
              </w:rPr>
            </w:pPr>
          </w:p>
        </w:tc>
        <w:tc>
          <w:tcPr>
            <w:tcW w:w="1295" w:type="dxa"/>
            <w:noWrap w:val="0"/>
            <w:vAlign w:val="center"/>
          </w:tcPr>
          <w:p w14:paraId="48839CAC">
            <w:pPr>
              <w:adjustRightInd w:val="0"/>
              <w:snapToGrid w:val="0"/>
              <w:spacing w:line="240" w:lineRule="auto"/>
              <w:jc w:val="center"/>
              <w:rPr>
                <w:rFonts w:hint="eastAsia"/>
                <w:color w:val="auto"/>
                <w:szCs w:val="21"/>
              </w:rPr>
            </w:pPr>
            <w:r>
              <w:rPr>
                <w:rFonts w:hint="eastAsia"/>
                <w:color w:val="auto"/>
                <w:szCs w:val="21"/>
              </w:rPr>
              <w:t>生活污水</w:t>
            </w:r>
          </w:p>
        </w:tc>
        <w:tc>
          <w:tcPr>
            <w:tcW w:w="1455" w:type="dxa"/>
            <w:noWrap w:val="0"/>
            <w:vAlign w:val="center"/>
          </w:tcPr>
          <w:p w14:paraId="48013F93">
            <w:pPr>
              <w:adjustRightInd w:val="0"/>
              <w:snapToGrid w:val="0"/>
              <w:spacing w:line="240" w:lineRule="auto"/>
              <w:jc w:val="center"/>
              <w:rPr>
                <w:rFonts w:hint="eastAsia"/>
                <w:color w:val="auto"/>
                <w:szCs w:val="21"/>
              </w:rPr>
            </w:pPr>
            <w:r>
              <w:rPr>
                <w:rFonts w:hint="eastAsia"/>
                <w:color w:val="auto"/>
                <w:szCs w:val="21"/>
              </w:rPr>
              <w:t>COD、BOD</w:t>
            </w:r>
            <w:r>
              <w:rPr>
                <w:color w:val="auto"/>
                <w:szCs w:val="21"/>
                <w:vertAlign w:val="subscript"/>
              </w:rPr>
              <w:t>5</w:t>
            </w:r>
            <w:r>
              <w:rPr>
                <w:rFonts w:hint="eastAsia"/>
                <w:color w:val="auto"/>
                <w:szCs w:val="21"/>
              </w:rPr>
              <w:t>、氨氮、SS</w:t>
            </w:r>
          </w:p>
        </w:tc>
        <w:tc>
          <w:tcPr>
            <w:tcW w:w="2495" w:type="dxa"/>
            <w:noWrap w:val="0"/>
            <w:vAlign w:val="center"/>
          </w:tcPr>
          <w:p w14:paraId="57C4698A">
            <w:pPr>
              <w:adjustRightInd w:val="0"/>
              <w:snapToGrid w:val="0"/>
              <w:spacing w:line="240" w:lineRule="auto"/>
              <w:jc w:val="center"/>
              <w:rPr>
                <w:rFonts w:hint="default" w:eastAsia="宋体"/>
                <w:color w:val="0000FF"/>
                <w:szCs w:val="21"/>
                <w:lang w:val="en-US" w:eastAsia="zh-CN"/>
              </w:rPr>
            </w:pPr>
            <w:r>
              <w:rPr>
                <w:rFonts w:hint="eastAsia"/>
                <w:color w:val="0000FF"/>
                <w:szCs w:val="21"/>
              </w:rPr>
              <w:t>排入</w:t>
            </w:r>
            <w:r>
              <w:rPr>
                <w:rFonts w:hint="eastAsia"/>
                <w:color w:val="0000FF"/>
                <w:szCs w:val="21"/>
                <w:lang w:val="en-US" w:eastAsia="zh-CN"/>
              </w:rPr>
              <w:t>租用厂房已建化粪池处理</w:t>
            </w:r>
          </w:p>
        </w:tc>
        <w:tc>
          <w:tcPr>
            <w:tcW w:w="2402" w:type="dxa"/>
            <w:vMerge w:val="continue"/>
            <w:tcBorders>
              <w:right w:val="single" w:color="auto" w:sz="2" w:space="0"/>
            </w:tcBorders>
            <w:noWrap w:val="0"/>
            <w:vAlign w:val="center"/>
          </w:tcPr>
          <w:p w14:paraId="064A419B">
            <w:pPr>
              <w:adjustRightInd w:val="0"/>
              <w:snapToGrid w:val="0"/>
              <w:spacing w:line="240" w:lineRule="auto"/>
              <w:jc w:val="center"/>
              <w:rPr>
                <w:rFonts w:hint="eastAsia" w:eastAsia="宋体"/>
                <w:color w:val="auto"/>
                <w:szCs w:val="21"/>
                <w:lang w:val="en-US" w:eastAsia="zh-CN"/>
              </w:rPr>
            </w:pPr>
          </w:p>
        </w:tc>
      </w:tr>
      <w:tr w14:paraId="17AC3C5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413" w:type="dxa"/>
            <w:tcBorders>
              <w:left w:val="single" w:color="auto" w:sz="2" w:space="0"/>
            </w:tcBorders>
            <w:noWrap w:val="0"/>
            <w:vAlign w:val="center"/>
          </w:tcPr>
          <w:p w14:paraId="63BB8EDA">
            <w:pPr>
              <w:adjustRightInd w:val="0"/>
              <w:snapToGrid w:val="0"/>
              <w:jc w:val="center"/>
              <w:rPr>
                <w:rFonts w:hint="eastAsia" w:ascii="宋体" w:hAnsi="宋体" w:cs="宋体"/>
                <w:color w:val="auto"/>
                <w:szCs w:val="21"/>
              </w:rPr>
            </w:pPr>
            <w:r>
              <w:rPr>
                <w:rFonts w:hint="eastAsia" w:ascii="宋体" w:hAnsi="宋体" w:cs="宋体"/>
                <w:color w:val="auto"/>
                <w:szCs w:val="21"/>
              </w:rPr>
              <w:t>声环境</w:t>
            </w:r>
          </w:p>
        </w:tc>
        <w:tc>
          <w:tcPr>
            <w:tcW w:w="7647" w:type="dxa"/>
            <w:gridSpan w:val="4"/>
            <w:tcBorders>
              <w:right w:val="single" w:color="auto" w:sz="2" w:space="0"/>
            </w:tcBorders>
            <w:noWrap w:val="0"/>
            <w:vAlign w:val="center"/>
          </w:tcPr>
          <w:p w14:paraId="03360A69">
            <w:pPr>
              <w:adjustRightInd w:val="0"/>
              <w:snapToGrid w:val="0"/>
              <w:spacing w:line="380" w:lineRule="exact"/>
              <w:jc w:val="left"/>
              <w:rPr>
                <w:rFonts w:hint="eastAsia"/>
                <w:color w:val="auto"/>
                <w:szCs w:val="21"/>
              </w:rPr>
            </w:pPr>
            <w:r>
              <w:rPr>
                <w:color w:val="auto"/>
                <w:szCs w:val="21"/>
              </w:rPr>
              <w:t>项目采用低噪声设备，采用</w:t>
            </w:r>
            <w:r>
              <w:rPr>
                <w:rFonts w:hint="eastAsia"/>
                <w:color w:val="auto"/>
                <w:szCs w:val="21"/>
              </w:rPr>
              <w:t>隔声罩、底座减震</w:t>
            </w:r>
            <w:r>
              <w:rPr>
                <w:rFonts w:hint="eastAsia"/>
                <w:color w:val="auto"/>
                <w:szCs w:val="21"/>
                <w:lang w:val="en-US" w:eastAsia="zh-CN"/>
              </w:rPr>
              <w:t>等降噪措施</w:t>
            </w:r>
            <w:r>
              <w:rPr>
                <w:rFonts w:hint="eastAsia"/>
                <w:color w:val="auto"/>
                <w:szCs w:val="21"/>
              </w:rPr>
              <w:t>，满足</w:t>
            </w:r>
            <w:r>
              <w:rPr>
                <w:color w:val="auto"/>
                <w:szCs w:val="21"/>
              </w:rPr>
              <w:t>《工业企业厂界环境噪声排放标准》（GB12348-2008）中3类</w:t>
            </w:r>
            <w:r>
              <w:rPr>
                <w:rFonts w:hint="eastAsia"/>
                <w:color w:val="auto"/>
                <w:szCs w:val="21"/>
              </w:rPr>
              <w:t>区</w:t>
            </w:r>
            <w:r>
              <w:rPr>
                <w:color w:val="auto"/>
                <w:szCs w:val="21"/>
              </w:rPr>
              <w:t>排放限值</w:t>
            </w:r>
            <w:r>
              <w:rPr>
                <w:rFonts w:hint="eastAsia"/>
                <w:color w:val="auto"/>
                <w:szCs w:val="21"/>
              </w:rPr>
              <w:t>。</w:t>
            </w:r>
          </w:p>
        </w:tc>
      </w:tr>
      <w:tr w14:paraId="55A3926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413" w:type="dxa"/>
            <w:tcBorders>
              <w:left w:val="single" w:color="auto" w:sz="2" w:space="0"/>
            </w:tcBorders>
            <w:noWrap w:val="0"/>
            <w:vAlign w:val="center"/>
          </w:tcPr>
          <w:p w14:paraId="2F37E9BD">
            <w:pPr>
              <w:adjustRightInd w:val="0"/>
              <w:snapToGrid w:val="0"/>
              <w:jc w:val="center"/>
              <w:rPr>
                <w:rFonts w:hint="eastAsia" w:ascii="宋体" w:hAnsi="宋体" w:cs="宋体"/>
                <w:color w:val="auto"/>
                <w:szCs w:val="21"/>
              </w:rPr>
            </w:pPr>
            <w:r>
              <w:rPr>
                <w:rFonts w:hint="eastAsia" w:ascii="宋体" w:hAnsi="宋体" w:cs="宋体"/>
                <w:color w:val="auto"/>
                <w:szCs w:val="21"/>
              </w:rPr>
              <w:t>电磁辐射</w:t>
            </w:r>
          </w:p>
        </w:tc>
        <w:tc>
          <w:tcPr>
            <w:tcW w:w="7647" w:type="dxa"/>
            <w:gridSpan w:val="4"/>
            <w:tcBorders>
              <w:right w:val="single" w:color="auto" w:sz="2" w:space="0"/>
            </w:tcBorders>
            <w:noWrap w:val="0"/>
            <w:vAlign w:val="center"/>
          </w:tcPr>
          <w:p w14:paraId="1D624F9A">
            <w:pPr>
              <w:adjustRightInd w:val="0"/>
              <w:snapToGrid w:val="0"/>
              <w:jc w:val="center"/>
              <w:rPr>
                <w:rFonts w:hint="eastAsia" w:ascii="宋体" w:hAnsi="宋体" w:cs="宋体"/>
                <w:color w:val="auto"/>
                <w:szCs w:val="21"/>
              </w:rPr>
            </w:pPr>
            <w:r>
              <w:rPr>
                <w:rFonts w:hint="eastAsia" w:ascii="宋体" w:hAnsi="宋体" w:cs="宋体"/>
                <w:color w:val="auto"/>
                <w:szCs w:val="21"/>
              </w:rPr>
              <w:t>/</w:t>
            </w:r>
          </w:p>
        </w:tc>
      </w:tr>
      <w:tr w14:paraId="69E61E9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413" w:type="dxa"/>
            <w:vMerge w:val="restart"/>
            <w:tcBorders>
              <w:left w:val="single" w:color="auto" w:sz="2" w:space="0"/>
            </w:tcBorders>
            <w:noWrap w:val="0"/>
            <w:vAlign w:val="center"/>
          </w:tcPr>
          <w:p w14:paraId="082FE258">
            <w:pPr>
              <w:adjustRightInd w:val="0"/>
              <w:snapToGrid w:val="0"/>
              <w:jc w:val="center"/>
              <w:rPr>
                <w:rFonts w:hint="eastAsia" w:ascii="宋体" w:hAnsi="宋体" w:cs="宋体"/>
                <w:color w:val="auto"/>
                <w:szCs w:val="21"/>
              </w:rPr>
            </w:pPr>
            <w:r>
              <w:rPr>
                <w:rFonts w:hint="eastAsia" w:ascii="宋体" w:hAnsi="宋体" w:cs="宋体"/>
                <w:color w:val="auto"/>
                <w:szCs w:val="21"/>
              </w:rPr>
              <w:t>固体废物</w:t>
            </w:r>
          </w:p>
        </w:tc>
        <w:tc>
          <w:tcPr>
            <w:tcW w:w="1295" w:type="dxa"/>
            <w:vMerge w:val="restart"/>
            <w:noWrap w:val="0"/>
            <w:vAlign w:val="center"/>
          </w:tcPr>
          <w:p w14:paraId="04F25E8A">
            <w:pPr>
              <w:adjustRightInd w:val="0"/>
              <w:snapToGrid w:val="0"/>
              <w:jc w:val="center"/>
              <w:rPr>
                <w:color w:val="auto"/>
                <w:szCs w:val="21"/>
              </w:rPr>
            </w:pPr>
            <w:r>
              <w:rPr>
                <w:rFonts w:hint="eastAsia"/>
                <w:color w:val="auto"/>
                <w:szCs w:val="21"/>
              </w:rPr>
              <w:t>一般固废</w:t>
            </w:r>
          </w:p>
        </w:tc>
        <w:tc>
          <w:tcPr>
            <w:tcW w:w="1455" w:type="dxa"/>
            <w:tcBorders>
              <w:bottom w:val="single" w:color="auto" w:sz="4" w:space="0"/>
            </w:tcBorders>
            <w:noWrap w:val="0"/>
            <w:vAlign w:val="center"/>
          </w:tcPr>
          <w:p w14:paraId="201053F5">
            <w:pPr>
              <w:adjustRightInd w:val="0"/>
              <w:snapToGrid w:val="0"/>
              <w:jc w:val="center"/>
              <w:rPr>
                <w:rFonts w:hint="eastAsia"/>
                <w:color w:val="auto"/>
                <w:szCs w:val="21"/>
              </w:rPr>
            </w:pPr>
            <w:r>
              <w:rPr>
                <w:rFonts w:hint="eastAsia"/>
                <w:bCs/>
                <w:color w:val="auto"/>
                <w:szCs w:val="21"/>
              </w:rPr>
              <w:t>生活垃圾</w:t>
            </w:r>
          </w:p>
        </w:tc>
        <w:tc>
          <w:tcPr>
            <w:tcW w:w="2495" w:type="dxa"/>
            <w:tcBorders>
              <w:bottom w:val="single" w:color="auto" w:sz="4" w:space="0"/>
            </w:tcBorders>
            <w:noWrap w:val="0"/>
            <w:vAlign w:val="center"/>
          </w:tcPr>
          <w:p w14:paraId="652B17FC">
            <w:pPr>
              <w:adjustRightInd w:val="0"/>
              <w:snapToGrid w:val="0"/>
              <w:jc w:val="center"/>
              <w:rPr>
                <w:rFonts w:hint="eastAsia"/>
                <w:color w:val="auto"/>
                <w:szCs w:val="21"/>
              </w:rPr>
            </w:pPr>
            <w:r>
              <w:rPr>
                <w:rFonts w:hint="eastAsia"/>
                <w:color w:val="auto"/>
                <w:szCs w:val="21"/>
              </w:rPr>
              <w:t>集中收集由环卫部门清运</w:t>
            </w:r>
          </w:p>
        </w:tc>
        <w:tc>
          <w:tcPr>
            <w:tcW w:w="2402" w:type="dxa"/>
            <w:tcBorders>
              <w:right w:val="single" w:color="auto" w:sz="2" w:space="0"/>
            </w:tcBorders>
            <w:noWrap w:val="0"/>
            <w:vAlign w:val="center"/>
          </w:tcPr>
          <w:p w14:paraId="6D7EACE9">
            <w:pPr>
              <w:adjustRightInd w:val="0"/>
              <w:snapToGrid w:val="0"/>
              <w:jc w:val="center"/>
              <w:rPr>
                <w:rFonts w:hint="eastAsia" w:ascii="宋体" w:hAnsi="宋体" w:cs="宋体"/>
                <w:color w:val="auto"/>
                <w:szCs w:val="21"/>
              </w:rPr>
            </w:pPr>
            <w:r>
              <w:rPr>
                <w:rFonts w:hint="eastAsia"/>
                <w:color w:val="auto"/>
                <w:szCs w:val="21"/>
              </w:rPr>
              <w:t>全部合理</w:t>
            </w:r>
            <w:r>
              <w:rPr>
                <w:color w:val="auto"/>
                <w:szCs w:val="21"/>
              </w:rPr>
              <w:t>处置</w:t>
            </w:r>
            <w:r>
              <w:rPr>
                <w:rFonts w:hint="eastAsia"/>
                <w:color w:val="auto"/>
                <w:szCs w:val="21"/>
              </w:rPr>
              <w:t>，无害化、资源化</w:t>
            </w:r>
          </w:p>
        </w:tc>
      </w:tr>
      <w:tr w14:paraId="6A5E5DD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22" w:hRule="atLeast"/>
          <w:jc w:val="center"/>
        </w:trPr>
        <w:tc>
          <w:tcPr>
            <w:tcW w:w="1413" w:type="dxa"/>
            <w:vMerge w:val="continue"/>
            <w:tcBorders>
              <w:left w:val="single" w:color="auto" w:sz="2" w:space="0"/>
            </w:tcBorders>
            <w:noWrap w:val="0"/>
            <w:vAlign w:val="center"/>
          </w:tcPr>
          <w:p w14:paraId="25AD8FB8">
            <w:pPr>
              <w:adjustRightInd w:val="0"/>
              <w:snapToGrid w:val="0"/>
              <w:jc w:val="center"/>
              <w:rPr>
                <w:color w:val="auto"/>
                <w:szCs w:val="21"/>
              </w:rPr>
            </w:pPr>
          </w:p>
        </w:tc>
        <w:tc>
          <w:tcPr>
            <w:tcW w:w="1295" w:type="dxa"/>
            <w:vMerge w:val="continue"/>
            <w:noWrap w:val="0"/>
            <w:vAlign w:val="center"/>
          </w:tcPr>
          <w:p w14:paraId="6FED6456">
            <w:pPr>
              <w:adjustRightInd w:val="0"/>
              <w:snapToGrid w:val="0"/>
              <w:jc w:val="center"/>
              <w:rPr>
                <w:rFonts w:hint="eastAsia"/>
                <w:color w:val="auto"/>
                <w:szCs w:val="21"/>
              </w:rPr>
            </w:pPr>
          </w:p>
        </w:tc>
        <w:tc>
          <w:tcPr>
            <w:tcW w:w="1455" w:type="dxa"/>
            <w:noWrap w:val="0"/>
            <w:vAlign w:val="center"/>
          </w:tcPr>
          <w:p w14:paraId="0BA1D40E">
            <w:pPr>
              <w:adjustRightInd w:val="0"/>
              <w:snapToGrid w:val="0"/>
              <w:jc w:val="center"/>
              <w:rPr>
                <w:rFonts w:hint="eastAsia"/>
                <w:bCs/>
                <w:color w:val="auto"/>
                <w:szCs w:val="21"/>
              </w:rPr>
            </w:pPr>
            <w:r>
              <w:rPr>
                <w:rFonts w:hint="eastAsia"/>
                <w:color w:val="auto"/>
                <w:szCs w:val="21"/>
                <w:lang w:val="en-US" w:eastAsia="zh-CN"/>
              </w:rPr>
              <w:t>样品边角料</w:t>
            </w:r>
          </w:p>
        </w:tc>
        <w:tc>
          <w:tcPr>
            <w:tcW w:w="2495" w:type="dxa"/>
            <w:noWrap w:val="0"/>
            <w:vAlign w:val="center"/>
          </w:tcPr>
          <w:p w14:paraId="74ED3198">
            <w:pPr>
              <w:adjustRightInd w:val="0"/>
              <w:snapToGrid w:val="0"/>
              <w:jc w:val="center"/>
              <w:rPr>
                <w:color w:val="auto"/>
                <w:szCs w:val="21"/>
              </w:rPr>
            </w:pPr>
            <w:r>
              <w:rPr>
                <w:rFonts w:hint="eastAsia"/>
                <w:color w:val="auto"/>
                <w:szCs w:val="21"/>
              </w:rPr>
              <w:t>收集后外售综合利用</w:t>
            </w:r>
          </w:p>
        </w:tc>
        <w:tc>
          <w:tcPr>
            <w:tcW w:w="2402" w:type="dxa"/>
            <w:vMerge w:val="restart"/>
            <w:tcBorders>
              <w:right w:val="single" w:color="auto" w:sz="2" w:space="0"/>
            </w:tcBorders>
            <w:noWrap w:val="0"/>
            <w:vAlign w:val="center"/>
          </w:tcPr>
          <w:p w14:paraId="5A038482">
            <w:pPr>
              <w:adjustRightInd w:val="0"/>
              <w:snapToGrid w:val="0"/>
              <w:jc w:val="center"/>
              <w:rPr>
                <w:rFonts w:hint="eastAsia" w:ascii="宋体" w:hAnsi="宋体" w:cs="宋体"/>
                <w:color w:val="auto"/>
                <w:szCs w:val="21"/>
              </w:rPr>
            </w:pPr>
            <w:r>
              <w:rPr>
                <w:rFonts w:ascii="宋体" w:hAnsi="宋体" w:cs="宋体"/>
                <w:color w:val="auto"/>
                <w:szCs w:val="21"/>
              </w:rPr>
              <w:t>《</w:t>
            </w:r>
            <w:r>
              <w:rPr>
                <w:rFonts w:hint="eastAsia" w:ascii="宋体" w:hAnsi="宋体" w:cs="宋体"/>
                <w:color w:val="auto"/>
                <w:szCs w:val="21"/>
              </w:rPr>
              <w:t>一般工业固体废物贮存和填埋污染控制标准</w:t>
            </w:r>
            <w:r>
              <w:rPr>
                <w:rFonts w:ascii="宋体" w:hAnsi="宋体" w:cs="宋体"/>
                <w:color w:val="auto"/>
                <w:szCs w:val="21"/>
              </w:rPr>
              <w:t>》（</w:t>
            </w:r>
            <w:r>
              <w:rPr>
                <w:color w:val="auto"/>
                <w:szCs w:val="21"/>
              </w:rPr>
              <w:t>GB18599-2020</w:t>
            </w:r>
            <w:r>
              <w:rPr>
                <w:rFonts w:ascii="宋体" w:hAnsi="宋体" w:cs="宋体"/>
                <w:color w:val="auto"/>
                <w:szCs w:val="21"/>
              </w:rPr>
              <w:t>）</w:t>
            </w:r>
          </w:p>
        </w:tc>
      </w:tr>
      <w:tr w14:paraId="5362D17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22" w:hRule="atLeast"/>
          <w:jc w:val="center"/>
        </w:trPr>
        <w:tc>
          <w:tcPr>
            <w:tcW w:w="1413" w:type="dxa"/>
            <w:vMerge w:val="continue"/>
            <w:tcBorders>
              <w:left w:val="single" w:color="auto" w:sz="2" w:space="0"/>
            </w:tcBorders>
            <w:noWrap w:val="0"/>
            <w:vAlign w:val="center"/>
          </w:tcPr>
          <w:p w14:paraId="1D508633">
            <w:pPr>
              <w:adjustRightInd w:val="0"/>
              <w:snapToGrid w:val="0"/>
              <w:jc w:val="center"/>
              <w:rPr>
                <w:color w:val="auto"/>
                <w:szCs w:val="21"/>
              </w:rPr>
            </w:pPr>
          </w:p>
        </w:tc>
        <w:tc>
          <w:tcPr>
            <w:tcW w:w="1295" w:type="dxa"/>
            <w:vMerge w:val="continue"/>
            <w:noWrap w:val="0"/>
            <w:vAlign w:val="center"/>
          </w:tcPr>
          <w:p w14:paraId="3CE35409">
            <w:pPr>
              <w:adjustRightInd w:val="0"/>
              <w:snapToGrid w:val="0"/>
              <w:jc w:val="center"/>
              <w:rPr>
                <w:rFonts w:hint="eastAsia"/>
                <w:color w:val="auto"/>
                <w:szCs w:val="21"/>
              </w:rPr>
            </w:pPr>
          </w:p>
        </w:tc>
        <w:tc>
          <w:tcPr>
            <w:tcW w:w="1455" w:type="dxa"/>
            <w:noWrap w:val="0"/>
            <w:vAlign w:val="center"/>
          </w:tcPr>
          <w:p w14:paraId="377E4995">
            <w:pPr>
              <w:adjustRightInd w:val="0"/>
              <w:snapToGrid w:val="0"/>
              <w:jc w:val="center"/>
              <w:rPr>
                <w:rFonts w:hint="eastAsia"/>
                <w:bCs/>
                <w:color w:val="auto"/>
                <w:szCs w:val="21"/>
              </w:rPr>
            </w:pPr>
            <w:r>
              <w:rPr>
                <w:rFonts w:hint="eastAsia"/>
                <w:color w:val="auto"/>
                <w:szCs w:val="21"/>
                <w:lang w:val="en-US" w:eastAsia="zh-CN"/>
              </w:rPr>
              <w:t>除尘器收尘灰</w:t>
            </w:r>
          </w:p>
        </w:tc>
        <w:tc>
          <w:tcPr>
            <w:tcW w:w="2495" w:type="dxa"/>
            <w:noWrap w:val="0"/>
            <w:vAlign w:val="center"/>
          </w:tcPr>
          <w:p w14:paraId="36972DF4">
            <w:pPr>
              <w:adjustRightInd w:val="0"/>
              <w:snapToGrid w:val="0"/>
              <w:jc w:val="center"/>
              <w:rPr>
                <w:rFonts w:hint="eastAsia"/>
                <w:color w:val="auto"/>
                <w:szCs w:val="21"/>
              </w:rPr>
            </w:pPr>
            <w:r>
              <w:rPr>
                <w:rFonts w:hint="eastAsia"/>
                <w:color w:val="auto"/>
                <w:szCs w:val="21"/>
              </w:rPr>
              <w:t>收集后外售综合利用</w:t>
            </w:r>
          </w:p>
        </w:tc>
        <w:tc>
          <w:tcPr>
            <w:tcW w:w="2402" w:type="dxa"/>
            <w:vMerge w:val="continue"/>
            <w:tcBorders>
              <w:right w:val="single" w:color="auto" w:sz="2" w:space="0"/>
            </w:tcBorders>
            <w:noWrap w:val="0"/>
            <w:vAlign w:val="center"/>
          </w:tcPr>
          <w:p w14:paraId="6267C021">
            <w:pPr>
              <w:adjustRightInd w:val="0"/>
              <w:snapToGrid w:val="0"/>
              <w:jc w:val="center"/>
              <w:rPr>
                <w:rFonts w:ascii="宋体" w:hAnsi="宋体" w:cs="宋体"/>
                <w:color w:val="auto"/>
                <w:szCs w:val="21"/>
              </w:rPr>
            </w:pPr>
          </w:p>
        </w:tc>
      </w:tr>
      <w:tr w14:paraId="2BEA889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52" w:hRule="atLeast"/>
          <w:jc w:val="center"/>
        </w:trPr>
        <w:tc>
          <w:tcPr>
            <w:tcW w:w="1413" w:type="dxa"/>
            <w:vMerge w:val="continue"/>
            <w:tcBorders>
              <w:left w:val="single" w:color="auto" w:sz="2" w:space="0"/>
            </w:tcBorders>
            <w:noWrap w:val="0"/>
            <w:vAlign w:val="center"/>
          </w:tcPr>
          <w:p w14:paraId="03200694">
            <w:pPr>
              <w:adjustRightInd w:val="0"/>
              <w:snapToGrid w:val="0"/>
              <w:jc w:val="center"/>
              <w:rPr>
                <w:color w:val="auto"/>
                <w:szCs w:val="21"/>
              </w:rPr>
            </w:pPr>
          </w:p>
        </w:tc>
        <w:tc>
          <w:tcPr>
            <w:tcW w:w="1295" w:type="dxa"/>
            <w:vMerge w:val="continue"/>
            <w:noWrap w:val="0"/>
            <w:vAlign w:val="center"/>
          </w:tcPr>
          <w:p w14:paraId="1492A576">
            <w:pPr>
              <w:adjustRightInd w:val="0"/>
              <w:snapToGrid w:val="0"/>
              <w:jc w:val="center"/>
              <w:rPr>
                <w:rFonts w:hint="eastAsia"/>
                <w:color w:val="auto"/>
                <w:szCs w:val="21"/>
              </w:rPr>
            </w:pPr>
          </w:p>
        </w:tc>
        <w:tc>
          <w:tcPr>
            <w:tcW w:w="1455" w:type="dxa"/>
            <w:noWrap w:val="0"/>
            <w:vAlign w:val="center"/>
          </w:tcPr>
          <w:p w14:paraId="7AE9FC83">
            <w:pPr>
              <w:adjustRightInd w:val="0"/>
              <w:snapToGrid w:val="0"/>
              <w:jc w:val="center"/>
              <w:rPr>
                <w:rFonts w:hint="eastAsia"/>
                <w:bCs/>
                <w:color w:val="auto"/>
                <w:szCs w:val="21"/>
              </w:rPr>
            </w:pPr>
            <w:r>
              <w:rPr>
                <w:rFonts w:hint="eastAsia"/>
                <w:color w:val="auto"/>
                <w:szCs w:val="21"/>
                <w:lang w:val="en-US" w:eastAsia="zh-CN"/>
              </w:rPr>
              <w:t>废离子交换树脂</w:t>
            </w:r>
          </w:p>
        </w:tc>
        <w:tc>
          <w:tcPr>
            <w:tcW w:w="2495" w:type="dxa"/>
            <w:noWrap w:val="0"/>
            <w:vAlign w:val="center"/>
          </w:tcPr>
          <w:p w14:paraId="38966DCD">
            <w:pPr>
              <w:adjustRightInd w:val="0"/>
              <w:snapToGrid w:val="0"/>
              <w:jc w:val="center"/>
              <w:rPr>
                <w:rFonts w:hint="default" w:eastAsia="宋体"/>
                <w:color w:val="auto"/>
                <w:szCs w:val="21"/>
                <w:lang w:val="en-US" w:eastAsia="zh-CN"/>
              </w:rPr>
            </w:pPr>
            <w:r>
              <w:rPr>
                <w:rFonts w:hint="eastAsia"/>
                <w:color w:val="auto"/>
                <w:szCs w:val="21"/>
                <w:lang w:val="en-US" w:eastAsia="zh-CN"/>
              </w:rPr>
              <w:t>厂家回收综合利用</w:t>
            </w:r>
          </w:p>
        </w:tc>
        <w:tc>
          <w:tcPr>
            <w:tcW w:w="2402" w:type="dxa"/>
            <w:vMerge w:val="continue"/>
            <w:tcBorders>
              <w:right w:val="single" w:color="auto" w:sz="2" w:space="0"/>
            </w:tcBorders>
            <w:noWrap w:val="0"/>
            <w:vAlign w:val="center"/>
          </w:tcPr>
          <w:p w14:paraId="71BF14A5">
            <w:pPr>
              <w:adjustRightInd w:val="0"/>
              <w:snapToGrid w:val="0"/>
              <w:jc w:val="center"/>
              <w:rPr>
                <w:rFonts w:ascii="宋体" w:hAnsi="宋体" w:cs="宋体"/>
                <w:color w:val="auto"/>
                <w:szCs w:val="21"/>
              </w:rPr>
            </w:pPr>
          </w:p>
        </w:tc>
      </w:tr>
      <w:tr w14:paraId="76083E1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413" w:type="dxa"/>
            <w:vMerge w:val="continue"/>
            <w:tcBorders>
              <w:left w:val="single" w:color="auto" w:sz="2" w:space="0"/>
            </w:tcBorders>
            <w:noWrap w:val="0"/>
            <w:vAlign w:val="center"/>
          </w:tcPr>
          <w:p w14:paraId="1A80414F">
            <w:pPr>
              <w:adjustRightInd w:val="0"/>
              <w:snapToGrid w:val="0"/>
              <w:jc w:val="center"/>
              <w:rPr>
                <w:color w:val="auto"/>
                <w:szCs w:val="21"/>
              </w:rPr>
            </w:pPr>
          </w:p>
        </w:tc>
        <w:tc>
          <w:tcPr>
            <w:tcW w:w="1295" w:type="dxa"/>
            <w:vMerge w:val="continue"/>
            <w:noWrap w:val="0"/>
            <w:vAlign w:val="center"/>
          </w:tcPr>
          <w:p w14:paraId="306DE62F">
            <w:pPr>
              <w:adjustRightInd w:val="0"/>
              <w:snapToGrid w:val="0"/>
              <w:jc w:val="center"/>
              <w:rPr>
                <w:rFonts w:hint="eastAsia"/>
                <w:color w:val="auto"/>
                <w:szCs w:val="21"/>
              </w:rPr>
            </w:pPr>
          </w:p>
        </w:tc>
        <w:tc>
          <w:tcPr>
            <w:tcW w:w="1455" w:type="dxa"/>
            <w:noWrap w:val="0"/>
            <w:vAlign w:val="center"/>
          </w:tcPr>
          <w:p w14:paraId="6980E77C">
            <w:pPr>
              <w:adjustRightInd w:val="0"/>
              <w:snapToGrid w:val="0"/>
              <w:jc w:val="center"/>
              <w:rPr>
                <w:rFonts w:hint="eastAsia"/>
                <w:bCs/>
                <w:color w:val="auto"/>
                <w:szCs w:val="21"/>
              </w:rPr>
            </w:pPr>
            <w:r>
              <w:rPr>
                <w:rFonts w:hint="eastAsia"/>
                <w:color w:val="auto"/>
                <w:szCs w:val="21"/>
                <w:lang w:val="en-US" w:eastAsia="zh-CN"/>
              </w:rPr>
              <w:t>废实验室用品</w:t>
            </w:r>
          </w:p>
        </w:tc>
        <w:tc>
          <w:tcPr>
            <w:tcW w:w="2495" w:type="dxa"/>
            <w:noWrap w:val="0"/>
            <w:vAlign w:val="center"/>
          </w:tcPr>
          <w:p w14:paraId="70C62D89">
            <w:pPr>
              <w:adjustRightInd w:val="0"/>
              <w:snapToGrid w:val="0"/>
              <w:jc w:val="center"/>
              <w:rPr>
                <w:rFonts w:hint="eastAsia"/>
                <w:color w:val="auto"/>
                <w:szCs w:val="21"/>
              </w:rPr>
            </w:pPr>
            <w:r>
              <w:rPr>
                <w:rFonts w:hint="eastAsia"/>
                <w:color w:val="auto"/>
                <w:szCs w:val="21"/>
              </w:rPr>
              <w:t>收集后外售综合利用</w:t>
            </w:r>
          </w:p>
        </w:tc>
        <w:tc>
          <w:tcPr>
            <w:tcW w:w="2402" w:type="dxa"/>
            <w:vMerge w:val="continue"/>
            <w:tcBorders>
              <w:right w:val="single" w:color="auto" w:sz="2" w:space="0"/>
            </w:tcBorders>
            <w:noWrap w:val="0"/>
            <w:vAlign w:val="center"/>
          </w:tcPr>
          <w:p w14:paraId="0346876B">
            <w:pPr>
              <w:adjustRightInd w:val="0"/>
              <w:snapToGrid w:val="0"/>
              <w:jc w:val="center"/>
              <w:rPr>
                <w:rFonts w:ascii="宋体" w:hAnsi="宋体" w:cs="宋体"/>
                <w:color w:val="auto"/>
                <w:szCs w:val="21"/>
              </w:rPr>
            </w:pPr>
          </w:p>
        </w:tc>
      </w:tr>
      <w:tr w14:paraId="1911490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7" w:hRule="atLeast"/>
          <w:jc w:val="center"/>
        </w:trPr>
        <w:tc>
          <w:tcPr>
            <w:tcW w:w="1413" w:type="dxa"/>
            <w:vMerge w:val="continue"/>
            <w:tcBorders>
              <w:left w:val="single" w:color="auto" w:sz="2" w:space="0"/>
            </w:tcBorders>
            <w:noWrap w:val="0"/>
            <w:vAlign w:val="center"/>
          </w:tcPr>
          <w:p w14:paraId="2DFCC943">
            <w:pPr>
              <w:adjustRightInd w:val="0"/>
              <w:snapToGrid w:val="0"/>
              <w:jc w:val="center"/>
              <w:rPr>
                <w:color w:val="auto"/>
                <w:szCs w:val="21"/>
              </w:rPr>
            </w:pPr>
          </w:p>
        </w:tc>
        <w:tc>
          <w:tcPr>
            <w:tcW w:w="1295" w:type="dxa"/>
            <w:vMerge w:val="restart"/>
            <w:noWrap w:val="0"/>
            <w:vAlign w:val="center"/>
          </w:tcPr>
          <w:p w14:paraId="47385527">
            <w:pPr>
              <w:spacing w:line="380" w:lineRule="exact"/>
              <w:jc w:val="center"/>
              <w:rPr>
                <w:rFonts w:hint="eastAsia"/>
                <w:color w:val="auto"/>
                <w:szCs w:val="21"/>
              </w:rPr>
            </w:pPr>
            <w:r>
              <w:rPr>
                <w:rFonts w:hint="eastAsia"/>
                <w:color w:val="auto"/>
                <w:szCs w:val="21"/>
              </w:rPr>
              <w:t>危险废物</w:t>
            </w:r>
          </w:p>
        </w:tc>
        <w:tc>
          <w:tcPr>
            <w:tcW w:w="1455" w:type="dxa"/>
            <w:noWrap w:val="0"/>
            <w:vAlign w:val="center"/>
          </w:tcPr>
          <w:p w14:paraId="2B9D3C15">
            <w:pPr>
              <w:adjustRightInd w:val="0"/>
              <w:snapToGrid w:val="0"/>
              <w:jc w:val="center"/>
              <w:rPr>
                <w:rFonts w:hint="default"/>
                <w:bCs/>
                <w:color w:val="auto"/>
                <w:szCs w:val="21"/>
                <w:lang w:val="en-US"/>
              </w:rPr>
            </w:pPr>
            <w:r>
              <w:rPr>
                <w:rFonts w:hint="eastAsia"/>
                <w:color w:val="FF0000"/>
                <w:szCs w:val="21"/>
                <w:lang w:val="en-US" w:eastAsia="zh-CN"/>
              </w:rPr>
              <w:t>实验废液、实验器具初次清洗废水</w:t>
            </w:r>
          </w:p>
        </w:tc>
        <w:tc>
          <w:tcPr>
            <w:tcW w:w="2495" w:type="dxa"/>
            <w:vMerge w:val="restart"/>
            <w:noWrap w:val="0"/>
            <w:vAlign w:val="center"/>
          </w:tcPr>
          <w:p w14:paraId="377387BF">
            <w:pPr>
              <w:jc w:val="center"/>
              <w:rPr>
                <w:rFonts w:hint="eastAsia"/>
                <w:color w:val="auto"/>
                <w:szCs w:val="21"/>
              </w:rPr>
            </w:pPr>
            <w:r>
              <w:rPr>
                <w:rFonts w:hint="eastAsia"/>
                <w:color w:val="auto"/>
                <w:szCs w:val="21"/>
              </w:rPr>
              <w:t>专用容器分类收集，在厂区</w:t>
            </w:r>
            <w:r>
              <w:rPr>
                <w:rFonts w:hint="eastAsia"/>
                <w:color w:val="auto"/>
                <w:szCs w:val="21"/>
                <w:lang w:eastAsia="zh-CN"/>
              </w:rPr>
              <w:t>危废</w:t>
            </w:r>
            <w:r>
              <w:rPr>
                <w:rFonts w:hint="eastAsia"/>
                <w:color w:val="auto"/>
                <w:szCs w:val="21"/>
                <w:lang w:val="en-US" w:eastAsia="zh-CN"/>
              </w:rPr>
              <w:t>暂存间</w:t>
            </w:r>
            <w:r>
              <w:rPr>
                <w:rFonts w:hint="eastAsia"/>
                <w:color w:val="auto"/>
                <w:szCs w:val="21"/>
              </w:rPr>
              <w:t>分类暂存，委托有</w:t>
            </w:r>
            <w:r>
              <w:rPr>
                <w:rFonts w:hint="eastAsia"/>
                <w:color w:val="auto"/>
                <w:szCs w:val="21"/>
                <w:lang w:val="en-US" w:eastAsia="zh-CN"/>
              </w:rPr>
              <w:t>资质</w:t>
            </w:r>
            <w:r>
              <w:rPr>
                <w:rFonts w:hint="eastAsia"/>
                <w:color w:val="auto"/>
                <w:szCs w:val="21"/>
              </w:rPr>
              <w:t>单位</w:t>
            </w:r>
            <w:r>
              <w:rPr>
                <w:rFonts w:hint="eastAsia"/>
                <w:color w:val="auto"/>
                <w:szCs w:val="21"/>
                <w:lang w:val="en-US" w:eastAsia="zh-CN"/>
              </w:rPr>
              <w:t>处置</w:t>
            </w:r>
            <w:r>
              <w:rPr>
                <w:rFonts w:hint="eastAsia"/>
                <w:color w:val="auto"/>
                <w:szCs w:val="21"/>
              </w:rPr>
              <w:t>。</w:t>
            </w:r>
          </w:p>
        </w:tc>
        <w:tc>
          <w:tcPr>
            <w:tcW w:w="2402" w:type="dxa"/>
            <w:vMerge w:val="restart"/>
            <w:tcBorders>
              <w:right w:val="single" w:color="auto" w:sz="2" w:space="0"/>
            </w:tcBorders>
            <w:noWrap w:val="0"/>
            <w:vAlign w:val="center"/>
          </w:tcPr>
          <w:p w14:paraId="6C531449">
            <w:pPr>
              <w:adjustRightInd w:val="0"/>
              <w:snapToGrid w:val="0"/>
              <w:jc w:val="center"/>
              <w:rPr>
                <w:color w:val="auto"/>
                <w:szCs w:val="21"/>
              </w:rPr>
            </w:pPr>
            <w:r>
              <w:rPr>
                <w:rFonts w:hint="eastAsia"/>
                <w:color w:val="auto"/>
                <w:szCs w:val="21"/>
              </w:rPr>
              <w:t>《危险废物贮存污染控制标准》</w:t>
            </w:r>
            <w:r>
              <w:rPr>
                <w:rFonts w:hint="eastAsia"/>
                <w:color w:val="auto"/>
                <w:szCs w:val="21"/>
                <w:lang w:val="en-US" w:eastAsia="zh-CN"/>
              </w:rPr>
              <w:t>GB18597-2023）</w:t>
            </w:r>
            <w:r>
              <w:rPr>
                <w:color w:val="auto"/>
                <w:szCs w:val="21"/>
              </w:rPr>
              <w:t>要求</w:t>
            </w:r>
          </w:p>
        </w:tc>
      </w:tr>
      <w:tr w14:paraId="62FAC0B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1413" w:type="dxa"/>
            <w:vMerge w:val="continue"/>
            <w:tcBorders>
              <w:left w:val="single" w:color="auto" w:sz="2" w:space="0"/>
            </w:tcBorders>
            <w:noWrap w:val="0"/>
            <w:vAlign w:val="center"/>
          </w:tcPr>
          <w:p w14:paraId="69A7D32F">
            <w:pPr>
              <w:adjustRightInd w:val="0"/>
              <w:snapToGrid w:val="0"/>
              <w:jc w:val="center"/>
              <w:rPr>
                <w:color w:val="auto"/>
                <w:szCs w:val="21"/>
              </w:rPr>
            </w:pPr>
          </w:p>
        </w:tc>
        <w:tc>
          <w:tcPr>
            <w:tcW w:w="1295" w:type="dxa"/>
            <w:vMerge w:val="continue"/>
            <w:noWrap w:val="0"/>
            <w:vAlign w:val="center"/>
          </w:tcPr>
          <w:p w14:paraId="6C35D5B0">
            <w:pPr>
              <w:spacing w:line="380" w:lineRule="exact"/>
              <w:jc w:val="center"/>
              <w:rPr>
                <w:rFonts w:hint="eastAsia"/>
                <w:color w:val="auto"/>
                <w:szCs w:val="21"/>
              </w:rPr>
            </w:pPr>
          </w:p>
        </w:tc>
        <w:tc>
          <w:tcPr>
            <w:tcW w:w="1455" w:type="dxa"/>
            <w:noWrap w:val="0"/>
            <w:vAlign w:val="center"/>
          </w:tcPr>
          <w:p w14:paraId="20C1E39A">
            <w:pPr>
              <w:adjustRightInd w:val="0"/>
              <w:snapToGrid w:val="0"/>
              <w:jc w:val="center"/>
              <w:rPr>
                <w:rFonts w:hint="eastAsia"/>
                <w:bCs/>
                <w:color w:val="auto"/>
                <w:szCs w:val="21"/>
              </w:rPr>
            </w:pPr>
            <w:r>
              <w:rPr>
                <w:rFonts w:hint="default" w:eastAsia="宋体"/>
                <w:bCs/>
                <w:color w:val="auto"/>
                <w:szCs w:val="21"/>
                <w:lang w:val="en-US" w:eastAsia="zh-CN"/>
              </w:rPr>
              <w:t>废实验用品</w:t>
            </w:r>
          </w:p>
        </w:tc>
        <w:tc>
          <w:tcPr>
            <w:tcW w:w="2495" w:type="dxa"/>
            <w:vMerge w:val="continue"/>
            <w:noWrap w:val="0"/>
            <w:vAlign w:val="center"/>
          </w:tcPr>
          <w:p w14:paraId="4DCC2804">
            <w:pPr>
              <w:spacing w:line="380" w:lineRule="exact"/>
              <w:jc w:val="center"/>
              <w:rPr>
                <w:rFonts w:hint="eastAsia"/>
                <w:color w:val="auto"/>
                <w:szCs w:val="21"/>
              </w:rPr>
            </w:pPr>
          </w:p>
        </w:tc>
        <w:tc>
          <w:tcPr>
            <w:tcW w:w="2402" w:type="dxa"/>
            <w:vMerge w:val="continue"/>
            <w:tcBorders>
              <w:right w:val="single" w:color="auto" w:sz="2" w:space="0"/>
            </w:tcBorders>
            <w:noWrap w:val="0"/>
            <w:vAlign w:val="center"/>
          </w:tcPr>
          <w:p w14:paraId="4CFE8B5C">
            <w:pPr>
              <w:adjustRightInd w:val="0"/>
              <w:snapToGrid w:val="0"/>
              <w:jc w:val="center"/>
              <w:rPr>
                <w:rFonts w:hint="eastAsia" w:ascii="宋体" w:hAnsi="宋体" w:cs="宋体"/>
                <w:color w:val="auto"/>
                <w:szCs w:val="21"/>
              </w:rPr>
            </w:pPr>
          </w:p>
        </w:tc>
      </w:tr>
      <w:tr w14:paraId="2D21E25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413" w:type="dxa"/>
            <w:vMerge w:val="continue"/>
            <w:tcBorders>
              <w:left w:val="single" w:color="auto" w:sz="2" w:space="0"/>
            </w:tcBorders>
            <w:noWrap w:val="0"/>
            <w:vAlign w:val="center"/>
          </w:tcPr>
          <w:p w14:paraId="011E88F0">
            <w:pPr>
              <w:adjustRightInd w:val="0"/>
              <w:snapToGrid w:val="0"/>
              <w:jc w:val="center"/>
              <w:rPr>
                <w:color w:val="auto"/>
                <w:szCs w:val="21"/>
              </w:rPr>
            </w:pPr>
          </w:p>
        </w:tc>
        <w:tc>
          <w:tcPr>
            <w:tcW w:w="1295" w:type="dxa"/>
            <w:vMerge w:val="continue"/>
            <w:noWrap w:val="0"/>
            <w:vAlign w:val="center"/>
          </w:tcPr>
          <w:p w14:paraId="4EE841FB">
            <w:pPr>
              <w:spacing w:line="380" w:lineRule="exact"/>
              <w:jc w:val="center"/>
              <w:rPr>
                <w:rFonts w:hint="eastAsia"/>
                <w:color w:val="auto"/>
                <w:szCs w:val="21"/>
              </w:rPr>
            </w:pPr>
          </w:p>
        </w:tc>
        <w:tc>
          <w:tcPr>
            <w:tcW w:w="1455" w:type="dxa"/>
            <w:noWrap w:val="0"/>
            <w:vAlign w:val="center"/>
          </w:tcPr>
          <w:p w14:paraId="4E2AF3F3">
            <w:pPr>
              <w:adjustRightInd w:val="0"/>
              <w:snapToGrid w:val="0"/>
              <w:jc w:val="center"/>
              <w:rPr>
                <w:rFonts w:hint="eastAsia"/>
                <w:bCs/>
                <w:color w:val="auto"/>
                <w:szCs w:val="21"/>
              </w:rPr>
            </w:pPr>
            <w:r>
              <w:rPr>
                <w:rFonts w:hint="eastAsia"/>
                <w:bCs/>
                <w:color w:val="auto"/>
                <w:szCs w:val="21"/>
                <w:lang w:val="en-US" w:eastAsia="zh-CN"/>
              </w:rPr>
              <w:t>废试剂瓶</w:t>
            </w:r>
          </w:p>
        </w:tc>
        <w:tc>
          <w:tcPr>
            <w:tcW w:w="2495" w:type="dxa"/>
            <w:vMerge w:val="continue"/>
            <w:noWrap w:val="0"/>
            <w:vAlign w:val="center"/>
          </w:tcPr>
          <w:p w14:paraId="62173DE7">
            <w:pPr>
              <w:spacing w:line="380" w:lineRule="exact"/>
              <w:jc w:val="center"/>
              <w:rPr>
                <w:rFonts w:hint="eastAsia"/>
                <w:color w:val="auto"/>
                <w:szCs w:val="21"/>
              </w:rPr>
            </w:pPr>
          </w:p>
        </w:tc>
        <w:tc>
          <w:tcPr>
            <w:tcW w:w="2402" w:type="dxa"/>
            <w:vMerge w:val="continue"/>
            <w:tcBorders>
              <w:right w:val="single" w:color="auto" w:sz="2" w:space="0"/>
            </w:tcBorders>
            <w:noWrap w:val="0"/>
            <w:vAlign w:val="center"/>
          </w:tcPr>
          <w:p w14:paraId="1D95AAE4">
            <w:pPr>
              <w:adjustRightInd w:val="0"/>
              <w:snapToGrid w:val="0"/>
              <w:jc w:val="center"/>
              <w:rPr>
                <w:rFonts w:hint="eastAsia" w:ascii="宋体" w:hAnsi="宋体" w:cs="宋体"/>
                <w:color w:val="auto"/>
                <w:szCs w:val="21"/>
              </w:rPr>
            </w:pPr>
          </w:p>
        </w:tc>
      </w:tr>
      <w:tr w14:paraId="38BD95B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20" w:hRule="atLeast"/>
          <w:jc w:val="center"/>
        </w:trPr>
        <w:tc>
          <w:tcPr>
            <w:tcW w:w="1413" w:type="dxa"/>
            <w:vMerge w:val="continue"/>
            <w:tcBorders>
              <w:left w:val="single" w:color="auto" w:sz="2" w:space="0"/>
            </w:tcBorders>
            <w:noWrap w:val="0"/>
            <w:vAlign w:val="center"/>
          </w:tcPr>
          <w:p w14:paraId="41264CC8">
            <w:pPr>
              <w:adjustRightInd w:val="0"/>
              <w:snapToGrid w:val="0"/>
              <w:jc w:val="center"/>
              <w:rPr>
                <w:color w:val="auto"/>
                <w:szCs w:val="21"/>
              </w:rPr>
            </w:pPr>
          </w:p>
        </w:tc>
        <w:tc>
          <w:tcPr>
            <w:tcW w:w="1295" w:type="dxa"/>
            <w:vMerge w:val="continue"/>
            <w:noWrap w:val="0"/>
            <w:vAlign w:val="center"/>
          </w:tcPr>
          <w:p w14:paraId="2D124D88">
            <w:pPr>
              <w:spacing w:line="380" w:lineRule="exact"/>
              <w:jc w:val="center"/>
              <w:rPr>
                <w:rFonts w:hint="eastAsia"/>
                <w:color w:val="auto"/>
                <w:szCs w:val="21"/>
              </w:rPr>
            </w:pPr>
          </w:p>
        </w:tc>
        <w:tc>
          <w:tcPr>
            <w:tcW w:w="1455" w:type="dxa"/>
            <w:noWrap w:val="0"/>
            <w:vAlign w:val="center"/>
          </w:tcPr>
          <w:p w14:paraId="4BB954FF">
            <w:pPr>
              <w:adjustRightInd w:val="0"/>
              <w:snapToGrid w:val="0"/>
              <w:jc w:val="center"/>
              <w:rPr>
                <w:rFonts w:hint="eastAsia"/>
                <w:bCs/>
                <w:color w:val="auto"/>
                <w:szCs w:val="21"/>
              </w:rPr>
            </w:pPr>
            <w:r>
              <w:rPr>
                <w:rFonts w:hint="eastAsia"/>
                <w:bCs/>
                <w:color w:val="auto"/>
                <w:kern w:val="2"/>
                <w:sz w:val="21"/>
                <w:szCs w:val="21"/>
                <w:lang w:val="en-US" w:eastAsia="zh-CN" w:bidi="ar-SA"/>
              </w:rPr>
              <w:t>污水处理设备污泥</w:t>
            </w:r>
          </w:p>
        </w:tc>
        <w:tc>
          <w:tcPr>
            <w:tcW w:w="2495" w:type="dxa"/>
            <w:noWrap w:val="0"/>
            <w:vAlign w:val="center"/>
          </w:tcPr>
          <w:p w14:paraId="38156F27">
            <w:pPr>
              <w:jc w:val="center"/>
              <w:rPr>
                <w:rFonts w:hint="eastAsia"/>
                <w:color w:val="auto"/>
                <w:szCs w:val="21"/>
              </w:rPr>
            </w:pPr>
            <w:r>
              <w:rPr>
                <w:rFonts w:hint="eastAsia" w:ascii="Times New Roman" w:hAnsi="Times New Roman" w:eastAsia="宋体" w:cs="Times New Roman"/>
                <w:color w:val="auto"/>
                <w:szCs w:val="21"/>
                <w:lang w:val="en-US" w:eastAsia="zh-CN"/>
              </w:rPr>
              <w:t>委托有资质单位进行拉运并处置</w:t>
            </w:r>
          </w:p>
        </w:tc>
        <w:tc>
          <w:tcPr>
            <w:tcW w:w="2402" w:type="dxa"/>
            <w:vMerge w:val="continue"/>
            <w:tcBorders>
              <w:right w:val="single" w:color="auto" w:sz="2" w:space="0"/>
            </w:tcBorders>
            <w:noWrap w:val="0"/>
            <w:vAlign w:val="center"/>
          </w:tcPr>
          <w:p w14:paraId="0B5C9A71">
            <w:pPr>
              <w:adjustRightInd w:val="0"/>
              <w:snapToGrid w:val="0"/>
              <w:jc w:val="center"/>
              <w:rPr>
                <w:rFonts w:hint="eastAsia" w:ascii="宋体" w:hAnsi="宋体" w:cs="宋体"/>
                <w:color w:val="auto"/>
                <w:szCs w:val="21"/>
              </w:rPr>
            </w:pPr>
          </w:p>
        </w:tc>
      </w:tr>
      <w:tr w14:paraId="5AB05DF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413" w:type="dxa"/>
            <w:tcBorders>
              <w:left w:val="single" w:color="auto" w:sz="2" w:space="0"/>
            </w:tcBorders>
            <w:noWrap w:val="0"/>
            <w:vAlign w:val="center"/>
          </w:tcPr>
          <w:p w14:paraId="3B0FE13F">
            <w:pPr>
              <w:adjustRightInd w:val="0"/>
              <w:snapToGrid w:val="0"/>
              <w:jc w:val="center"/>
              <w:rPr>
                <w:rFonts w:hint="eastAsia" w:ascii="宋体" w:hAnsi="宋体" w:cs="宋体"/>
                <w:color w:val="auto"/>
                <w:szCs w:val="21"/>
              </w:rPr>
            </w:pPr>
            <w:r>
              <w:rPr>
                <w:rFonts w:hint="eastAsia" w:ascii="宋体" w:hAnsi="宋体" w:cs="宋体"/>
                <w:color w:val="auto"/>
                <w:szCs w:val="21"/>
              </w:rPr>
              <w:t>土壤及地下水污染防治措施</w:t>
            </w:r>
          </w:p>
        </w:tc>
        <w:tc>
          <w:tcPr>
            <w:tcW w:w="7647" w:type="dxa"/>
            <w:gridSpan w:val="4"/>
            <w:tcBorders>
              <w:right w:val="single" w:color="auto" w:sz="2" w:space="0"/>
            </w:tcBorders>
            <w:noWrap w:val="0"/>
            <w:vAlign w:val="center"/>
          </w:tcPr>
          <w:p w14:paraId="2BB7BB27">
            <w:pPr>
              <w:adjustRightInd w:val="0"/>
              <w:snapToGrid w:val="0"/>
              <w:ind w:firstLine="420" w:firstLineChars="200"/>
              <w:rPr>
                <w:rFonts w:ascii="宋体" w:hAnsi="宋体" w:cs="宋体"/>
                <w:color w:val="auto"/>
                <w:szCs w:val="21"/>
              </w:rPr>
            </w:pPr>
            <w:r>
              <w:rPr>
                <w:rFonts w:hint="eastAsia"/>
                <w:bCs/>
                <w:color w:val="auto"/>
                <w:szCs w:val="21"/>
              </w:rPr>
              <w:t>进行分区防渗。</w:t>
            </w:r>
          </w:p>
        </w:tc>
      </w:tr>
      <w:tr w14:paraId="38A20A6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413" w:type="dxa"/>
            <w:tcBorders>
              <w:left w:val="single" w:color="auto" w:sz="2" w:space="0"/>
            </w:tcBorders>
            <w:noWrap w:val="0"/>
            <w:vAlign w:val="center"/>
          </w:tcPr>
          <w:p w14:paraId="40826C75">
            <w:pPr>
              <w:adjustRightInd w:val="0"/>
              <w:snapToGrid w:val="0"/>
              <w:jc w:val="center"/>
              <w:rPr>
                <w:rFonts w:hint="eastAsia" w:ascii="宋体" w:hAnsi="宋体" w:cs="宋体"/>
                <w:color w:val="auto"/>
                <w:szCs w:val="21"/>
              </w:rPr>
            </w:pPr>
            <w:r>
              <w:rPr>
                <w:rFonts w:hint="eastAsia" w:ascii="宋体" w:hAnsi="宋体" w:cs="宋体"/>
                <w:color w:val="auto"/>
                <w:szCs w:val="21"/>
              </w:rPr>
              <w:t>生态保护措施</w:t>
            </w:r>
          </w:p>
        </w:tc>
        <w:tc>
          <w:tcPr>
            <w:tcW w:w="7647" w:type="dxa"/>
            <w:gridSpan w:val="4"/>
            <w:tcBorders>
              <w:right w:val="single" w:color="auto" w:sz="2" w:space="0"/>
            </w:tcBorders>
            <w:noWrap w:val="0"/>
            <w:vAlign w:val="center"/>
          </w:tcPr>
          <w:p w14:paraId="6D1443A7">
            <w:pPr>
              <w:adjustRightInd w:val="0"/>
              <w:snapToGrid w:val="0"/>
              <w:ind w:firstLine="420" w:firstLineChars="200"/>
              <w:rPr>
                <w:rFonts w:hint="eastAsia" w:ascii="宋体" w:hAnsi="宋体" w:cs="宋体"/>
                <w:color w:val="auto"/>
                <w:szCs w:val="21"/>
              </w:rPr>
            </w:pPr>
            <w:r>
              <w:rPr>
                <w:rFonts w:hint="eastAsia" w:ascii="宋体" w:hAnsi="宋体" w:cs="宋体"/>
                <w:color w:val="auto"/>
                <w:szCs w:val="21"/>
              </w:rPr>
              <w:t>本项目占地范围内无生态环境保护目标。</w:t>
            </w:r>
          </w:p>
        </w:tc>
      </w:tr>
      <w:tr w14:paraId="66130D4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413" w:type="dxa"/>
            <w:tcBorders>
              <w:left w:val="single" w:color="auto" w:sz="2" w:space="0"/>
            </w:tcBorders>
            <w:noWrap w:val="0"/>
            <w:vAlign w:val="center"/>
          </w:tcPr>
          <w:p w14:paraId="7B102B45">
            <w:pPr>
              <w:adjustRightInd w:val="0"/>
              <w:snapToGrid w:val="0"/>
              <w:jc w:val="center"/>
              <w:rPr>
                <w:rFonts w:hint="eastAsia" w:ascii="宋体" w:hAnsi="宋体" w:cs="宋体"/>
                <w:color w:val="auto"/>
                <w:spacing w:val="-8"/>
                <w:szCs w:val="21"/>
              </w:rPr>
            </w:pPr>
            <w:r>
              <w:rPr>
                <w:rFonts w:hint="eastAsia" w:ascii="宋体" w:hAnsi="宋体" w:cs="宋体"/>
                <w:color w:val="auto"/>
                <w:spacing w:val="-8"/>
                <w:szCs w:val="21"/>
              </w:rPr>
              <w:t>环境风险防范措施</w:t>
            </w:r>
          </w:p>
        </w:tc>
        <w:tc>
          <w:tcPr>
            <w:tcW w:w="7647" w:type="dxa"/>
            <w:gridSpan w:val="4"/>
            <w:tcBorders>
              <w:right w:val="single" w:color="auto" w:sz="2" w:space="0"/>
            </w:tcBorders>
            <w:noWrap w:val="0"/>
            <w:vAlign w:val="center"/>
          </w:tcPr>
          <w:p w14:paraId="0625C454">
            <w:pPr>
              <w:pStyle w:val="26"/>
              <w:widowControl w:val="0"/>
              <w:adjustRightInd w:val="0"/>
              <w:spacing w:before="0" w:after="0" w:line="240" w:lineRule="auto"/>
              <w:ind w:right="0" w:firstLineChars="200"/>
              <w:rPr>
                <w:rFonts w:hint="eastAsia" w:ascii="宋体" w:hAnsi="宋体" w:cs="宋体"/>
                <w:color w:val="auto"/>
                <w:sz w:val="21"/>
                <w:szCs w:val="21"/>
              </w:rPr>
            </w:pPr>
            <w:r>
              <w:rPr>
                <w:rFonts w:hint="eastAsia" w:cs="宋体"/>
                <w:color w:val="auto"/>
                <w:sz w:val="21"/>
                <w:szCs w:val="21"/>
              </w:rPr>
              <w:t>分区防渗，设置干粉灭火器、移动式灭火器等。</w:t>
            </w:r>
          </w:p>
        </w:tc>
      </w:tr>
      <w:tr w14:paraId="38695BC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259" w:hRule="atLeast"/>
          <w:jc w:val="center"/>
        </w:trPr>
        <w:tc>
          <w:tcPr>
            <w:tcW w:w="1413" w:type="dxa"/>
            <w:tcBorders>
              <w:left w:val="single" w:color="auto" w:sz="2" w:space="0"/>
              <w:bottom w:val="single" w:color="auto" w:sz="2" w:space="0"/>
            </w:tcBorders>
            <w:noWrap w:val="0"/>
            <w:vAlign w:val="center"/>
          </w:tcPr>
          <w:p w14:paraId="70A6A528">
            <w:pPr>
              <w:adjustRightInd w:val="0"/>
              <w:snapToGrid w:val="0"/>
              <w:jc w:val="center"/>
              <w:rPr>
                <w:rFonts w:hint="eastAsia" w:ascii="宋体" w:hAnsi="宋体" w:cs="宋体"/>
                <w:color w:val="auto"/>
                <w:spacing w:val="-8"/>
                <w:szCs w:val="21"/>
              </w:rPr>
            </w:pPr>
            <w:r>
              <w:rPr>
                <w:rFonts w:hint="eastAsia" w:ascii="宋体" w:hAnsi="宋体" w:cs="宋体"/>
                <w:color w:val="auto"/>
                <w:spacing w:val="-8"/>
                <w:szCs w:val="21"/>
              </w:rPr>
              <w:t>其他环境管理要求</w:t>
            </w:r>
          </w:p>
        </w:tc>
        <w:tc>
          <w:tcPr>
            <w:tcW w:w="7647" w:type="dxa"/>
            <w:gridSpan w:val="4"/>
            <w:tcBorders>
              <w:bottom w:val="single" w:color="auto" w:sz="2" w:space="0"/>
              <w:right w:val="single" w:color="auto" w:sz="2" w:space="0"/>
            </w:tcBorders>
            <w:noWrap w:val="0"/>
            <w:vAlign w:val="top"/>
          </w:tcPr>
          <w:p w14:paraId="705728FD">
            <w:pPr>
              <w:pStyle w:val="26"/>
              <w:adjustRightInd w:val="0"/>
              <w:spacing w:before="0" w:after="0" w:line="360" w:lineRule="auto"/>
              <w:ind w:right="0" w:firstLineChars="200"/>
              <w:rPr>
                <w:rFonts w:cs="宋体"/>
                <w:color w:val="auto"/>
                <w:kern w:val="2"/>
                <w:sz w:val="21"/>
                <w:szCs w:val="21"/>
                <w:lang w:val="zh-CN"/>
              </w:rPr>
            </w:pPr>
            <w:r>
              <w:rPr>
                <w:rFonts w:hint="eastAsia" w:cs="宋体"/>
                <w:color w:val="auto"/>
                <w:kern w:val="2"/>
                <w:sz w:val="21"/>
                <w:szCs w:val="21"/>
                <w:lang w:val="zh-CN"/>
              </w:rPr>
              <w:t>（1）根据《固定污染源排污许可分类管理名录（2019年版）》可知，</w:t>
            </w:r>
            <w:r>
              <w:rPr>
                <w:rFonts w:hint="eastAsia" w:cs="宋体"/>
                <w:color w:val="auto"/>
                <w:kern w:val="2"/>
                <w:sz w:val="21"/>
                <w:szCs w:val="21"/>
              </w:rPr>
              <w:t>本项目</w:t>
            </w:r>
            <w:r>
              <w:rPr>
                <w:rFonts w:hint="eastAsia" w:cs="宋体"/>
                <w:color w:val="auto"/>
                <w:kern w:val="2"/>
                <w:sz w:val="21"/>
                <w:szCs w:val="21"/>
                <w:lang w:val="en-US" w:eastAsia="zh-CN"/>
              </w:rPr>
              <w:t>未列入管理名录中</w:t>
            </w:r>
            <w:r>
              <w:rPr>
                <w:rFonts w:hint="eastAsia" w:cs="宋体"/>
                <w:color w:val="auto"/>
                <w:kern w:val="2"/>
                <w:sz w:val="21"/>
                <w:szCs w:val="21"/>
                <w:lang w:val="zh-CN"/>
              </w:rPr>
              <w:t>。</w:t>
            </w:r>
          </w:p>
          <w:p w14:paraId="4D4D023A">
            <w:pPr>
              <w:pStyle w:val="26"/>
              <w:adjustRightInd w:val="0"/>
              <w:spacing w:before="0" w:after="0" w:line="360" w:lineRule="auto"/>
              <w:ind w:right="0" w:firstLineChars="200"/>
              <w:rPr>
                <w:rFonts w:cs="宋体"/>
                <w:color w:val="auto"/>
                <w:kern w:val="2"/>
                <w:sz w:val="21"/>
                <w:szCs w:val="21"/>
              </w:rPr>
            </w:pPr>
            <w:r>
              <w:rPr>
                <w:rFonts w:hint="eastAsia" w:cs="宋体"/>
                <w:color w:val="auto"/>
                <w:kern w:val="2"/>
                <w:sz w:val="21"/>
                <w:szCs w:val="21"/>
                <w:lang w:val="zh-CN"/>
              </w:rPr>
              <w:t>（</w:t>
            </w:r>
            <w:r>
              <w:rPr>
                <w:rFonts w:cs="宋体"/>
                <w:color w:val="auto"/>
                <w:kern w:val="2"/>
                <w:sz w:val="21"/>
                <w:szCs w:val="21"/>
                <w:lang w:val="zh-CN"/>
              </w:rPr>
              <w:t>2</w:t>
            </w:r>
            <w:r>
              <w:rPr>
                <w:rFonts w:hint="eastAsia" w:cs="宋体"/>
                <w:color w:val="auto"/>
                <w:kern w:val="2"/>
                <w:sz w:val="21"/>
                <w:szCs w:val="21"/>
                <w:lang w:val="zh-CN"/>
              </w:rPr>
              <w:t>）</w:t>
            </w:r>
            <w:r>
              <w:rPr>
                <w:rFonts w:hint="eastAsia" w:cs="宋体"/>
                <w:color w:val="auto"/>
                <w:kern w:val="2"/>
                <w:sz w:val="21"/>
                <w:szCs w:val="21"/>
              </w:rPr>
              <w:t>污染防治运营管理要求</w:t>
            </w:r>
          </w:p>
          <w:p w14:paraId="4C833571">
            <w:pPr>
              <w:pStyle w:val="26"/>
              <w:adjustRightInd w:val="0"/>
              <w:spacing w:before="0" w:after="0" w:line="360" w:lineRule="auto"/>
              <w:ind w:right="0" w:firstLineChars="200"/>
              <w:rPr>
                <w:rFonts w:hint="eastAsia" w:cs="宋体"/>
                <w:color w:val="auto"/>
                <w:kern w:val="2"/>
                <w:sz w:val="21"/>
                <w:szCs w:val="21"/>
              </w:rPr>
            </w:pPr>
            <w:r>
              <w:rPr>
                <w:rFonts w:hint="eastAsia" w:cs="宋体"/>
                <w:color w:val="auto"/>
                <w:kern w:val="2"/>
                <w:sz w:val="21"/>
                <w:szCs w:val="21"/>
              </w:rPr>
              <w:t>根据《排污许可证申请与核发技术规范总则》（HJ9</w:t>
            </w:r>
            <w:r>
              <w:rPr>
                <w:rFonts w:cs="宋体"/>
                <w:color w:val="auto"/>
                <w:kern w:val="2"/>
                <w:sz w:val="21"/>
                <w:szCs w:val="21"/>
              </w:rPr>
              <w:t>42</w:t>
            </w:r>
            <w:r>
              <w:rPr>
                <w:rFonts w:hint="eastAsia" w:cs="宋体"/>
                <w:color w:val="auto"/>
                <w:kern w:val="2"/>
                <w:sz w:val="21"/>
                <w:szCs w:val="21"/>
              </w:rPr>
              <w:t>-2018）中的要求，本项目生产工艺设备、废气收集系统以及污染治理设施应同步运行。废气收集系统或污染治理设施发生故障或检修时，应记入设备管理台账；可能出现污染物排放异常时，应立即报告当地生态环境主管部门；环保设施应在满足设计工况条件下运行，并定期检查维护，确保正常稳定运行；建立环保设施运行、维修巡检、原辅材料消耗、仪表数据等的记录和存档制度，并按要求记录和存档。</w:t>
            </w:r>
          </w:p>
          <w:p w14:paraId="4C965EDE">
            <w:pPr>
              <w:pStyle w:val="26"/>
              <w:adjustRightInd w:val="0"/>
              <w:spacing w:before="0" w:after="0" w:line="360" w:lineRule="auto"/>
              <w:ind w:right="0" w:firstLineChars="200"/>
              <w:rPr>
                <w:rFonts w:cs="宋体"/>
                <w:color w:val="auto"/>
                <w:kern w:val="2"/>
                <w:sz w:val="21"/>
                <w:szCs w:val="21"/>
              </w:rPr>
            </w:pPr>
            <w:r>
              <w:rPr>
                <w:rFonts w:hint="eastAsia" w:cs="宋体"/>
                <w:color w:val="auto"/>
                <w:kern w:val="2"/>
                <w:sz w:val="21"/>
                <w:szCs w:val="21"/>
              </w:rPr>
              <w:t>（3）环境管理台账与排污许可证执行报告编制要求</w:t>
            </w:r>
          </w:p>
          <w:p w14:paraId="1C5582B6">
            <w:pPr>
              <w:pStyle w:val="26"/>
              <w:adjustRightInd w:val="0"/>
              <w:spacing w:before="0" w:after="0" w:line="360" w:lineRule="auto"/>
              <w:ind w:right="0" w:firstLineChars="200"/>
              <w:rPr>
                <w:rFonts w:cs="宋体"/>
                <w:color w:val="auto"/>
                <w:kern w:val="2"/>
                <w:sz w:val="21"/>
                <w:szCs w:val="21"/>
              </w:rPr>
            </w:pPr>
            <w:r>
              <w:rPr>
                <w:rFonts w:hint="eastAsia" w:ascii="宋体" w:hAnsi="宋体" w:cs="宋体"/>
                <w:color w:val="auto"/>
                <w:kern w:val="2"/>
                <w:sz w:val="21"/>
                <w:szCs w:val="21"/>
              </w:rPr>
              <w:t>①</w:t>
            </w:r>
            <w:r>
              <w:rPr>
                <w:rFonts w:hint="eastAsia" w:cs="宋体"/>
                <w:color w:val="auto"/>
                <w:kern w:val="2"/>
                <w:sz w:val="21"/>
                <w:szCs w:val="21"/>
              </w:rPr>
              <w:t>建立环境管理台账制度，设置专业岗位落实环境管理台账记录，明确其工作职责，按日或按批次对本项目相关情况进行记录，异常情况应按次记录；</w:t>
            </w:r>
          </w:p>
          <w:p w14:paraId="28E2068A">
            <w:pPr>
              <w:pStyle w:val="26"/>
              <w:adjustRightInd w:val="0"/>
              <w:spacing w:before="0" w:after="0" w:line="360" w:lineRule="auto"/>
              <w:ind w:right="0" w:firstLineChars="200"/>
              <w:rPr>
                <w:rFonts w:cs="宋体"/>
                <w:color w:val="auto"/>
                <w:kern w:val="2"/>
                <w:sz w:val="21"/>
                <w:szCs w:val="21"/>
              </w:rPr>
            </w:pPr>
            <w:r>
              <w:rPr>
                <w:rFonts w:hint="eastAsia" w:ascii="宋体" w:hAnsi="宋体" w:cs="宋体"/>
                <w:color w:val="auto"/>
                <w:kern w:val="2"/>
                <w:sz w:val="21"/>
                <w:szCs w:val="21"/>
              </w:rPr>
              <w:t>②</w:t>
            </w:r>
            <w:r>
              <w:rPr>
                <w:rFonts w:hint="eastAsia" w:cs="宋体"/>
                <w:color w:val="auto"/>
                <w:kern w:val="2"/>
                <w:sz w:val="21"/>
                <w:szCs w:val="21"/>
              </w:rPr>
              <w:t>环境管理台账应按照电子化储存和纸质储存两种形式同步管理，保存期限不少于三年；</w:t>
            </w:r>
          </w:p>
          <w:p w14:paraId="201B4F03">
            <w:pPr>
              <w:pStyle w:val="26"/>
              <w:adjustRightInd w:val="0"/>
              <w:spacing w:before="0" w:after="0" w:line="360" w:lineRule="auto"/>
              <w:ind w:right="0" w:firstLineChars="200"/>
              <w:rPr>
                <w:rFonts w:hint="eastAsia" w:cs="宋体"/>
                <w:color w:val="auto"/>
                <w:kern w:val="2"/>
                <w:sz w:val="21"/>
                <w:szCs w:val="21"/>
              </w:rPr>
            </w:pPr>
            <w:r>
              <w:rPr>
                <w:rFonts w:hint="eastAsia" w:ascii="宋体" w:hAnsi="宋体" w:cs="宋体"/>
                <w:color w:val="auto"/>
                <w:kern w:val="2"/>
                <w:sz w:val="21"/>
                <w:szCs w:val="21"/>
              </w:rPr>
              <w:t>③</w:t>
            </w:r>
            <w:r>
              <w:rPr>
                <w:rFonts w:hint="eastAsia" w:cs="宋体"/>
                <w:color w:val="auto"/>
                <w:kern w:val="2"/>
                <w:sz w:val="21"/>
                <w:szCs w:val="21"/>
              </w:rPr>
              <w:t>环境管理台账及排污许可执行报告编制按照《排污单位环境管理台账及排污许可证执行报告技术规范 总则（试行）》执行。</w:t>
            </w:r>
          </w:p>
          <w:p w14:paraId="0C52ECBB">
            <w:pPr>
              <w:pStyle w:val="26"/>
              <w:adjustRightInd w:val="0"/>
              <w:spacing w:before="0" w:after="0" w:line="360" w:lineRule="auto"/>
              <w:ind w:right="0" w:firstLineChars="200"/>
              <w:rPr>
                <w:color w:val="auto"/>
                <w:sz w:val="21"/>
                <w:szCs w:val="21"/>
              </w:rPr>
            </w:pPr>
            <w:r>
              <w:rPr>
                <w:rFonts w:hint="eastAsia"/>
                <w:color w:val="auto"/>
                <w:sz w:val="21"/>
                <w:szCs w:val="21"/>
              </w:rPr>
              <w:t>（5）排放口管理</w:t>
            </w:r>
          </w:p>
          <w:p w14:paraId="47990DA4">
            <w:pPr>
              <w:pStyle w:val="26"/>
              <w:adjustRightInd w:val="0"/>
              <w:spacing w:before="0" w:after="0" w:line="360" w:lineRule="auto"/>
              <w:ind w:right="0" w:firstLineChars="200"/>
              <w:rPr>
                <w:rFonts w:hint="eastAsia"/>
                <w:color w:val="auto"/>
                <w:sz w:val="21"/>
                <w:szCs w:val="21"/>
                <w:lang w:val="en-US" w:eastAsia="zh-CN"/>
              </w:rPr>
            </w:pPr>
            <w:r>
              <w:rPr>
                <w:color w:val="auto"/>
                <w:sz w:val="21"/>
                <w:szCs w:val="21"/>
              </w:rPr>
              <w:t>对各类排污口应进行相应的规范，设置明显标志，标志的设置应执行《环境保护图形标志排放口》（GB15562.1-1995）中有关规定</w:t>
            </w:r>
            <w:r>
              <w:rPr>
                <w:rFonts w:hint="eastAsia"/>
                <w:color w:val="auto"/>
                <w:sz w:val="21"/>
                <w:szCs w:val="21"/>
              </w:rPr>
              <w:t>。</w:t>
            </w:r>
            <w:r>
              <w:rPr>
                <w:rFonts w:hint="eastAsia"/>
                <w:color w:val="auto"/>
                <w:sz w:val="21"/>
                <w:szCs w:val="21"/>
                <w:lang w:val="en-US" w:eastAsia="zh-CN"/>
              </w:rPr>
              <w:t>危险废物暂存应依据《危险废物识别标志设置技术规范》（HJ 1276-2022）设置危险废物识别标志。</w:t>
            </w:r>
          </w:p>
          <w:p w14:paraId="0341BB5E">
            <w:pPr>
              <w:pStyle w:val="26"/>
              <w:adjustRightInd w:val="0"/>
              <w:spacing w:before="0" w:after="0" w:line="360" w:lineRule="auto"/>
              <w:ind w:right="0" w:firstLineChars="200"/>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（6）自行监测管理要求</w:t>
            </w:r>
          </w:p>
          <w:p w14:paraId="1A7CFCF9">
            <w:pPr>
              <w:pStyle w:val="26"/>
              <w:adjustRightInd w:val="0"/>
              <w:spacing w:before="0" w:after="0" w:line="360" w:lineRule="auto"/>
              <w:ind w:right="0" w:firstLineChars="200"/>
              <w:rPr>
                <w:rFonts w:hint="eastAsia"/>
                <w:color w:val="auto"/>
              </w:rPr>
            </w:pPr>
            <w:r>
              <w:rPr>
                <w:rFonts w:hint="eastAsia" w:ascii="Times New Roman" w:hAnsi="Times New Roman" w:eastAsia="宋体" w:cs="Times New Roman"/>
                <w:color w:val="auto"/>
                <w:sz w:val="21"/>
                <w:szCs w:val="21"/>
                <w:lang w:val="en-US" w:eastAsia="zh-CN"/>
              </w:rPr>
              <w:t>本项目可自行或委托第三方检测机构开展监测工作，并安排专人专职对监测数据进行记录、整理、统计和分析。建设单位对监测结果的真实性、准确性、完整性负责人。自行监测污染源包括产生的有组织废气、无组织废气、生产废水、生活污水的污染源。建设单位应按照HJ819执行信息报告、应急监测报告、信息公开。</w:t>
            </w:r>
          </w:p>
        </w:tc>
      </w:tr>
    </w:tbl>
    <w:p w14:paraId="4E1089C8">
      <w:pPr>
        <w:pStyle w:val="23"/>
        <w:spacing w:before="0" w:beforeAutospacing="0" w:after="120" w:afterLines="50" w:afterAutospacing="0"/>
        <w:jc w:val="center"/>
        <w:outlineLvl w:val="0"/>
        <w:rPr>
          <w:rFonts w:hint="eastAsia" w:ascii="黑体" w:hAnsi="黑体" w:eastAsia="黑体"/>
          <w:snapToGrid w:val="0"/>
          <w:color w:val="auto"/>
          <w:sz w:val="30"/>
          <w:szCs w:val="30"/>
        </w:rPr>
        <w:sectPr>
          <w:pgSz w:w="11907" w:h="16840"/>
          <w:pgMar w:top="1418" w:right="1418" w:bottom="1418" w:left="1418" w:header="851" w:footer="851" w:gutter="0"/>
          <w:pgBorders>
            <w:top w:val="none" w:sz="0" w:space="0"/>
            <w:left w:val="none" w:sz="0" w:space="0"/>
            <w:bottom w:val="none" w:sz="0" w:space="0"/>
            <w:right w:val="none" w:sz="0" w:space="0"/>
          </w:pgBorders>
          <w:cols w:space="720" w:num="1"/>
          <w:docGrid w:linePitch="312" w:charSpace="0"/>
        </w:sectPr>
      </w:pPr>
    </w:p>
    <w:p w14:paraId="643E1A63">
      <w:pPr>
        <w:pStyle w:val="23"/>
        <w:spacing w:before="0" w:beforeAutospacing="0" w:after="120" w:afterLines="50" w:afterAutospacing="0"/>
        <w:jc w:val="center"/>
        <w:outlineLvl w:val="0"/>
        <w:rPr>
          <w:rFonts w:ascii="黑体" w:hAnsi="黑体" w:eastAsia="黑体"/>
          <w:snapToGrid w:val="0"/>
          <w:color w:val="auto"/>
          <w:sz w:val="30"/>
          <w:szCs w:val="30"/>
        </w:rPr>
      </w:pPr>
      <w:r>
        <w:rPr>
          <w:rFonts w:hint="eastAsia" w:ascii="黑体" w:hAnsi="黑体" w:eastAsia="黑体"/>
          <w:snapToGrid w:val="0"/>
          <w:color w:val="auto"/>
          <w:sz w:val="30"/>
          <w:szCs w:val="30"/>
        </w:rPr>
        <w:t>六、结论</w:t>
      </w:r>
    </w:p>
    <w:tbl>
      <w:tblPr>
        <w:tblStyle w:val="28"/>
        <w:tblW w:w="0" w:type="auto"/>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9062"/>
      </w:tblGrid>
      <w:tr w14:paraId="2E7017C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12501" w:hRule="atLeast"/>
          <w:jc w:val="center"/>
        </w:trPr>
        <w:tc>
          <w:tcPr>
            <w:tcW w:w="9062" w:type="dxa"/>
            <w:noWrap w:val="0"/>
            <w:vAlign w:val="center"/>
          </w:tcPr>
          <w:p w14:paraId="104E37E5">
            <w:pPr>
              <w:adjustRightInd w:val="0"/>
              <w:snapToGrid w:val="0"/>
              <w:spacing w:before="120" w:beforeLines="50" w:line="360" w:lineRule="auto"/>
              <w:ind w:firstLine="482"/>
              <w:rPr>
                <w:rFonts w:hint="eastAsia"/>
                <w:color w:val="auto"/>
              </w:rPr>
            </w:pPr>
            <w:r>
              <w:rPr>
                <w:rFonts w:hint="eastAsia"/>
                <w:color w:val="auto"/>
                <w:sz w:val="24"/>
              </w:rPr>
              <w:t>项目符合相关产业政策，项目选址符合园区规划、规划环评及其审查意见要求。项目所在区大气环境质量现状良好；在严格落实本次环评提出的环保措施的前提下，本项目排放的各种污染物对环境的影响程度和范围较小。</w:t>
            </w:r>
            <w:r>
              <w:rPr>
                <w:rFonts w:hint="eastAsia"/>
                <w:color w:val="auto"/>
                <w:sz w:val="24"/>
                <w:lang w:val="en-US" w:eastAsia="zh-CN"/>
              </w:rPr>
              <w:t>因此，</w:t>
            </w:r>
            <w:r>
              <w:rPr>
                <w:rFonts w:hint="eastAsia"/>
                <w:color w:val="auto"/>
                <w:sz w:val="24"/>
              </w:rPr>
              <w:t>从环保角度分析，本项目的建设是可行的。</w:t>
            </w:r>
          </w:p>
        </w:tc>
      </w:tr>
    </w:tbl>
    <w:p w14:paraId="532DE888">
      <w:pPr>
        <w:tabs>
          <w:tab w:val="left" w:pos="5180"/>
        </w:tabs>
        <w:rPr>
          <w:rFonts w:ascii="宋体"/>
          <w:color w:val="auto"/>
        </w:rPr>
        <w:sectPr>
          <w:pgSz w:w="11907" w:h="16840"/>
          <w:pgMar w:top="1418" w:right="1418" w:bottom="1418" w:left="1418" w:header="851" w:footer="851" w:gutter="0"/>
          <w:pgBorders>
            <w:top w:val="none" w:sz="0" w:space="0"/>
            <w:left w:val="none" w:sz="0" w:space="0"/>
            <w:bottom w:val="none" w:sz="0" w:space="0"/>
            <w:right w:val="none" w:sz="0" w:space="0"/>
          </w:pgBorders>
          <w:cols w:space="720" w:num="1"/>
          <w:docGrid w:linePitch="312" w:charSpace="0"/>
        </w:sectPr>
      </w:pPr>
    </w:p>
    <w:p w14:paraId="42A24BF0">
      <w:pPr>
        <w:pStyle w:val="23"/>
        <w:adjustRightInd w:val="0"/>
        <w:snapToGrid w:val="0"/>
        <w:spacing w:before="0" w:beforeAutospacing="0" w:after="0" w:afterAutospacing="0"/>
        <w:outlineLvl w:val="0"/>
        <w:rPr>
          <w:rFonts w:ascii="黑体" w:hAnsi="黑体" w:eastAsia="黑体"/>
          <w:snapToGrid w:val="0"/>
          <w:color w:val="auto"/>
          <w:sz w:val="32"/>
          <w:szCs w:val="32"/>
        </w:rPr>
      </w:pPr>
      <w:r>
        <w:rPr>
          <w:rFonts w:hint="eastAsia" w:ascii="黑体" w:hAnsi="黑体" w:eastAsia="黑体"/>
          <w:snapToGrid w:val="0"/>
          <w:color w:val="auto"/>
          <w:sz w:val="32"/>
          <w:szCs w:val="32"/>
        </w:rPr>
        <w:t>附表</w:t>
      </w:r>
    </w:p>
    <w:p w14:paraId="6F3878EA">
      <w:pPr>
        <w:tabs>
          <w:tab w:val="left" w:pos="5180"/>
        </w:tabs>
        <w:jc w:val="center"/>
        <w:rPr>
          <w:rFonts w:ascii="宋体"/>
          <w:color w:val="auto"/>
        </w:rPr>
      </w:pPr>
      <w:r>
        <w:rPr>
          <w:rFonts w:hint="eastAsia" w:ascii="方正小标宋_GBK" w:hAnsi="黑体" w:eastAsia="方正小标宋_GBK"/>
          <w:snapToGrid w:val="0"/>
          <w:color w:val="auto"/>
          <w:sz w:val="38"/>
          <w:szCs w:val="38"/>
        </w:rPr>
        <w:t>建设项目污染物排放量汇总表</w:t>
      </w:r>
    </w:p>
    <w:tbl>
      <w:tblPr>
        <w:tblStyle w:val="28"/>
        <w:tblW w:w="13788"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304"/>
        <w:gridCol w:w="1701"/>
        <w:gridCol w:w="1701"/>
        <w:gridCol w:w="1276"/>
        <w:gridCol w:w="1701"/>
        <w:gridCol w:w="1559"/>
        <w:gridCol w:w="1418"/>
        <w:gridCol w:w="1842"/>
        <w:gridCol w:w="1286"/>
      </w:tblGrid>
      <w:tr w14:paraId="4EFF866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04" w:type="dxa"/>
            <w:tcBorders>
              <w:tl2br w:val="single" w:color="auto" w:sz="4" w:space="0"/>
            </w:tcBorders>
            <w:noWrap w:val="0"/>
            <w:tcMar>
              <w:left w:w="28" w:type="dxa"/>
              <w:right w:w="28" w:type="dxa"/>
            </w:tcMar>
            <w:vAlign w:val="center"/>
          </w:tcPr>
          <w:p w14:paraId="621763C3">
            <w:pPr>
              <w:pStyle w:val="54"/>
              <w:spacing w:beforeLines="0" w:afterLines="0" w:line="240" w:lineRule="auto"/>
              <w:jc w:val="right"/>
              <w:rPr>
                <w:rFonts w:hint="eastAsia" w:ascii="黑体" w:hAnsi="黑体" w:eastAsia="黑体" w:cs="宋体"/>
                <w:snapToGrid w:val="0"/>
                <w:color w:val="auto"/>
                <w:spacing w:val="-6"/>
                <w:kern w:val="21"/>
                <w:szCs w:val="21"/>
              </w:rPr>
            </w:pPr>
            <w:r>
              <w:rPr>
                <w:rFonts w:hint="eastAsia" w:ascii="黑体" w:hAnsi="黑体" w:eastAsia="黑体" w:cs="宋体"/>
                <w:snapToGrid w:val="0"/>
                <w:color w:val="auto"/>
                <w:spacing w:val="-6"/>
                <w:kern w:val="21"/>
                <w:szCs w:val="21"/>
              </w:rPr>
              <w:t>项目</w:t>
            </w:r>
          </w:p>
          <w:p w14:paraId="6CAD64A5">
            <w:pPr>
              <w:pStyle w:val="54"/>
              <w:spacing w:beforeLines="0" w:afterLines="0" w:line="240" w:lineRule="auto"/>
              <w:jc w:val="left"/>
              <w:rPr>
                <w:rFonts w:hint="eastAsia" w:ascii="黑体" w:hAnsi="黑体" w:eastAsia="黑体" w:cs="宋体"/>
                <w:snapToGrid w:val="0"/>
                <w:color w:val="auto"/>
                <w:spacing w:val="-6"/>
                <w:kern w:val="21"/>
                <w:szCs w:val="21"/>
              </w:rPr>
            </w:pPr>
            <w:r>
              <w:rPr>
                <w:rFonts w:hint="eastAsia" w:ascii="黑体" w:hAnsi="黑体" w:eastAsia="黑体" w:cs="宋体"/>
                <w:snapToGrid w:val="0"/>
                <w:color w:val="auto"/>
                <w:spacing w:val="-6"/>
                <w:kern w:val="21"/>
                <w:szCs w:val="21"/>
              </w:rPr>
              <w:t>分类</w:t>
            </w:r>
          </w:p>
        </w:tc>
        <w:tc>
          <w:tcPr>
            <w:tcW w:w="1701" w:type="dxa"/>
            <w:noWrap w:val="0"/>
            <w:tcMar>
              <w:left w:w="28" w:type="dxa"/>
              <w:right w:w="28" w:type="dxa"/>
            </w:tcMar>
            <w:vAlign w:val="center"/>
          </w:tcPr>
          <w:p w14:paraId="5D5F3EFB">
            <w:pPr>
              <w:pStyle w:val="54"/>
              <w:spacing w:beforeLines="0" w:afterLines="0" w:line="240" w:lineRule="auto"/>
              <w:rPr>
                <w:rFonts w:hint="eastAsia" w:ascii="黑体" w:hAnsi="黑体" w:eastAsia="黑体" w:cs="宋体"/>
                <w:snapToGrid w:val="0"/>
                <w:color w:val="auto"/>
                <w:spacing w:val="-6"/>
                <w:kern w:val="21"/>
                <w:szCs w:val="21"/>
              </w:rPr>
            </w:pPr>
            <w:r>
              <w:rPr>
                <w:rFonts w:hint="eastAsia" w:ascii="黑体" w:hAnsi="黑体" w:eastAsia="黑体" w:cs="宋体"/>
                <w:snapToGrid w:val="0"/>
                <w:color w:val="auto"/>
                <w:spacing w:val="-6"/>
                <w:kern w:val="21"/>
                <w:szCs w:val="21"/>
              </w:rPr>
              <w:t>污染物名称</w:t>
            </w:r>
          </w:p>
        </w:tc>
        <w:tc>
          <w:tcPr>
            <w:tcW w:w="1701" w:type="dxa"/>
            <w:noWrap w:val="0"/>
            <w:tcMar>
              <w:left w:w="28" w:type="dxa"/>
              <w:right w:w="28" w:type="dxa"/>
            </w:tcMar>
            <w:vAlign w:val="center"/>
          </w:tcPr>
          <w:p w14:paraId="7EACE130">
            <w:pPr>
              <w:pStyle w:val="54"/>
              <w:spacing w:beforeLines="0" w:afterLines="0" w:line="240" w:lineRule="auto"/>
              <w:rPr>
                <w:rFonts w:hint="eastAsia" w:ascii="黑体" w:hAnsi="黑体" w:eastAsia="黑体"/>
                <w:snapToGrid w:val="0"/>
                <w:color w:val="auto"/>
                <w:spacing w:val="-6"/>
                <w:kern w:val="21"/>
                <w:szCs w:val="21"/>
              </w:rPr>
            </w:pPr>
            <w:r>
              <w:rPr>
                <w:rFonts w:ascii="黑体" w:hAnsi="黑体" w:eastAsia="黑体"/>
                <w:snapToGrid w:val="0"/>
                <w:color w:val="auto"/>
                <w:spacing w:val="-6"/>
                <w:kern w:val="21"/>
                <w:szCs w:val="21"/>
              </w:rPr>
              <w:t>现有工程</w:t>
            </w:r>
          </w:p>
          <w:p w14:paraId="2F5D53CB">
            <w:pPr>
              <w:pStyle w:val="54"/>
              <w:spacing w:beforeLines="0" w:afterLines="0" w:line="240" w:lineRule="auto"/>
              <w:rPr>
                <w:rFonts w:ascii="黑体" w:hAnsi="黑体" w:eastAsia="黑体"/>
                <w:snapToGrid w:val="0"/>
                <w:color w:val="auto"/>
                <w:spacing w:val="-6"/>
                <w:kern w:val="21"/>
                <w:szCs w:val="21"/>
              </w:rPr>
            </w:pPr>
            <w:r>
              <w:rPr>
                <w:rFonts w:ascii="黑体" w:hAnsi="黑体" w:eastAsia="黑体"/>
                <w:snapToGrid w:val="0"/>
                <w:color w:val="auto"/>
                <w:spacing w:val="-6"/>
                <w:kern w:val="21"/>
                <w:szCs w:val="21"/>
              </w:rPr>
              <w:t>排放量（固</w:t>
            </w:r>
            <w:r>
              <w:rPr>
                <w:rFonts w:hint="eastAsia" w:ascii="黑体" w:hAnsi="黑体" w:eastAsia="黑体"/>
                <w:snapToGrid w:val="0"/>
                <w:color w:val="auto"/>
                <w:spacing w:val="-6"/>
                <w:kern w:val="21"/>
                <w:szCs w:val="21"/>
              </w:rPr>
              <w:t>体</w:t>
            </w:r>
            <w:r>
              <w:rPr>
                <w:rFonts w:ascii="黑体" w:hAnsi="黑体" w:eastAsia="黑体"/>
                <w:snapToGrid w:val="0"/>
                <w:color w:val="auto"/>
                <w:spacing w:val="-6"/>
                <w:kern w:val="21"/>
                <w:szCs w:val="21"/>
              </w:rPr>
              <w:t>废</w:t>
            </w:r>
            <w:r>
              <w:rPr>
                <w:rFonts w:hint="eastAsia" w:ascii="黑体" w:hAnsi="黑体" w:eastAsia="黑体"/>
                <w:snapToGrid w:val="0"/>
                <w:color w:val="auto"/>
                <w:spacing w:val="-6"/>
                <w:kern w:val="21"/>
                <w:szCs w:val="21"/>
              </w:rPr>
              <w:t>物</w:t>
            </w:r>
            <w:r>
              <w:rPr>
                <w:rFonts w:ascii="黑体" w:hAnsi="黑体" w:eastAsia="黑体"/>
                <w:snapToGrid w:val="0"/>
                <w:color w:val="auto"/>
                <w:spacing w:val="-6"/>
                <w:kern w:val="21"/>
                <w:szCs w:val="21"/>
              </w:rPr>
              <w:t>产生量）</w:t>
            </w:r>
            <w:r>
              <w:rPr>
                <w:rFonts w:ascii="黑体" w:hAnsi="黑体" w:eastAsia="黑体"/>
                <w:snapToGrid w:val="0"/>
                <w:color w:val="auto"/>
                <w:spacing w:val="-6"/>
                <w:kern w:val="21"/>
                <w:szCs w:val="21"/>
              </w:rPr>
              <w:fldChar w:fldCharType="begin"/>
            </w:r>
            <w:r>
              <w:rPr>
                <w:rFonts w:ascii="黑体" w:hAnsi="黑体" w:eastAsia="黑体"/>
                <w:snapToGrid w:val="0"/>
                <w:color w:val="auto"/>
                <w:spacing w:val="-6"/>
                <w:kern w:val="21"/>
                <w:szCs w:val="21"/>
              </w:rPr>
              <w:instrText xml:space="preserve"> = 1 \* GB3 \* MERGEFORMAT </w:instrText>
            </w:r>
            <w:r>
              <w:rPr>
                <w:rFonts w:ascii="黑体" w:hAnsi="黑体" w:eastAsia="黑体"/>
                <w:snapToGrid w:val="0"/>
                <w:color w:val="auto"/>
                <w:spacing w:val="-6"/>
                <w:kern w:val="21"/>
                <w:szCs w:val="21"/>
              </w:rPr>
              <w:fldChar w:fldCharType="separate"/>
            </w:r>
            <w:r>
              <w:rPr>
                <w:rFonts w:ascii="黑体" w:hAnsi="黑体" w:eastAsia="黑体" w:cs="宋体"/>
                <w:color w:val="auto"/>
                <w:kern w:val="2"/>
                <w:szCs w:val="21"/>
              </w:rPr>
              <w:t>①</w:t>
            </w:r>
            <w:r>
              <w:rPr>
                <w:rFonts w:ascii="黑体" w:hAnsi="黑体" w:eastAsia="黑体"/>
                <w:snapToGrid w:val="0"/>
                <w:color w:val="auto"/>
                <w:spacing w:val="-6"/>
                <w:kern w:val="21"/>
                <w:szCs w:val="21"/>
              </w:rPr>
              <w:fldChar w:fldCharType="end"/>
            </w:r>
          </w:p>
        </w:tc>
        <w:tc>
          <w:tcPr>
            <w:tcW w:w="1276" w:type="dxa"/>
            <w:noWrap w:val="0"/>
            <w:tcMar>
              <w:left w:w="28" w:type="dxa"/>
              <w:right w:w="28" w:type="dxa"/>
            </w:tcMar>
            <w:vAlign w:val="center"/>
          </w:tcPr>
          <w:p w14:paraId="64378CB3">
            <w:pPr>
              <w:pStyle w:val="54"/>
              <w:spacing w:beforeLines="0" w:afterLines="0" w:line="240" w:lineRule="auto"/>
              <w:rPr>
                <w:rFonts w:ascii="黑体" w:hAnsi="黑体" w:eastAsia="黑体"/>
                <w:snapToGrid w:val="0"/>
                <w:color w:val="auto"/>
                <w:spacing w:val="-6"/>
                <w:kern w:val="21"/>
                <w:szCs w:val="21"/>
              </w:rPr>
            </w:pPr>
            <w:r>
              <w:rPr>
                <w:rFonts w:ascii="黑体" w:hAnsi="黑体" w:eastAsia="黑体"/>
                <w:snapToGrid w:val="0"/>
                <w:color w:val="auto"/>
                <w:spacing w:val="-6"/>
                <w:kern w:val="21"/>
                <w:szCs w:val="21"/>
              </w:rPr>
              <w:t>现有工程</w:t>
            </w:r>
          </w:p>
          <w:p w14:paraId="2F4EF4A8">
            <w:pPr>
              <w:pStyle w:val="54"/>
              <w:spacing w:beforeLines="0" w:afterLines="0" w:line="240" w:lineRule="auto"/>
              <w:rPr>
                <w:rFonts w:ascii="黑体" w:hAnsi="黑体" w:eastAsia="黑体"/>
                <w:snapToGrid w:val="0"/>
                <w:color w:val="auto"/>
                <w:spacing w:val="-6"/>
                <w:kern w:val="21"/>
                <w:szCs w:val="21"/>
              </w:rPr>
            </w:pPr>
            <w:r>
              <w:rPr>
                <w:rFonts w:ascii="黑体" w:hAnsi="黑体" w:eastAsia="黑体"/>
                <w:snapToGrid w:val="0"/>
                <w:color w:val="auto"/>
                <w:spacing w:val="-6"/>
                <w:kern w:val="21"/>
                <w:szCs w:val="21"/>
              </w:rPr>
              <w:t>许可排放量</w:t>
            </w:r>
          </w:p>
          <w:p w14:paraId="37AA5299">
            <w:pPr>
              <w:pStyle w:val="54"/>
              <w:spacing w:beforeLines="0" w:afterLines="0"/>
              <w:rPr>
                <w:rFonts w:ascii="黑体" w:hAnsi="黑体" w:eastAsia="黑体"/>
                <w:snapToGrid w:val="0"/>
                <w:color w:val="auto"/>
                <w:spacing w:val="-6"/>
                <w:kern w:val="21"/>
                <w:szCs w:val="21"/>
              </w:rPr>
            </w:pPr>
            <w:r>
              <w:rPr>
                <w:rFonts w:ascii="黑体" w:hAnsi="黑体" w:eastAsia="黑体"/>
                <w:snapToGrid w:val="0"/>
                <w:color w:val="auto"/>
                <w:spacing w:val="-6"/>
                <w:kern w:val="21"/>
                <w:szCs w:val="21"/>
              </w:rPr>
              <w:fldChar w:fldCharType="begin"/>
            </w:r>
            <w:r>
              <w:rPr>
                <w:rFonts w:ascii="黑体" w:hAnsi="黑体" w:eastAsia="黑体"/>
                <w:snapToGrid w:val="0"/>
                <w:color w:val="auto"/>
                <w:spacing w:val="-6"/>
                <w:kern w:val="21"/>
                <w:szCs w:val="21"/>
              </w:rPr>
              <w:instrText xml:space="preserve"> = 2 \* GB3 \* MERGEFORMAT </w:instrText>
            </w:r>
            <w:r>
              <w:rPr>
                <w:rFonts w:ascii="黑体" w:hAnsi="黑体" w:eastAsia="黑体"/>
                <w:snapToGrid w:val="0"/>
                <w:color w:val="auto"/>
                <w:spacing w:val="-6"/>
                <w:kern w:val="21"/>
                <w:szCs w:val="21"/>
              </w:rPr>
              <w:fldChar w:fldCharType="separate"/>
            </w:r>
            <w:r>
              <w:rPr>
                <w:rFonts w:ascii="黑体" w:hAnsi="黑体" w:eastAsia="黑体" w:cs="宋体"/>
                <w:snapToGrid w:val="0"/>
                <w:color w:val="auto"/>
                <w:spacing w:val="-6"/>
                <w:kern w:val="21"/>
                <w:szCs w:val="21"/>
              </w:rPr>
              <w:t>②</w:t>
            </w:r>
            <w:r>
              <w:rPr>
                <w:rFonts w:ascii="黑体" w:hAnsi="黑体" w:eastAsia="黑体"/>
                <w:snapToGrid w:val="0"/>
                <w:color w:val="auto"/>
                <w:spacing w:val="-6"/>
                <w:kern w:val="21"/>
                <w:szCs w:val="21"/>
              </w:rPr>
              <w:fldChar w:fldCharType="end"/>
            </w:r>
          </w:p>
        </w:tc>
        <w:tc>
          <w:tcPr>
            <w:tcW w:w="1701" w:type="dxa"/>
            <w:noWrap w:val="0"/>
            <w:tcMar>
              <w:left w:w="28" w:type="dxa"/>
              <w:right w:w="28" w:type="dxa"/>
            </w:tcMar>
            <w:vAlign w:val="center"/>
          </w:tcPr>
          <w:p w14:paraId="431AA863">
            <w:pPr>
              <w:pStyle w:val="54"/>
              <w:spacing w:beforeLines="0" w:afterLines="0" w:line="240" w:lineRule="auto"/>
              <w:rPr>
                <w:rFonts w:hint="eastAsia" w:ascii="黑体" w:hAnsi="黑体" w:eastAsia="黑体"/>
                <w:snapToGrid w:val="0"/>
                <w:color w:val="auto"/>
                <w:spacing w:val="-6"/>
                <w:kern w:val="21"/>
                <w:szCs w:val="21"/>
              </w:rPr>
            </w:pPr>
            <w:r>
              <w:rPr>
                <w:rFonts w:ascii="黑体" w:hAnsi="黑体" w:eastAsia="黑体"/>
                <w:snapToGrid w:val="0"/>
                <w:color w:val="auto"/>
                <w:spacing w:val="-6"/>
                <w:kern w:val="21"/>
                <w:szCs w:val="21"/>
              </w:rPr>
              <w:t>在建工程</w:t>
            </w:r>
          </w:p>
          <w:p w14:paraId="6AA0A682">
            <w:pPr>
              <w:pStyle w:val="54"/>
              <w:spacing w:beforeLines="0" w:afterLines="0" w:line="240" w:lineRule="auto"/>
              <w:rPr>
                <w:rFonts w:ascii="黑体" w:hAnsi="黑体" w:eastAsia="黑体"/>
                <w:snapToGrid w:val="0"/>
                <w:color w:val="auto"/>
                <w:spacing w:val="-6"/>
                <w:kern w:val="21"/>
                <w:szCs w:val="21"/>
              </w:rPr>
            </w:pPr>
            <w:r>
              <w:rPr>
                <w:rFonts w:ascii="黑体" w:hAnsi="黑体" w:eastAsia="黑体"/>
                <w:snapToGrid w:val="0"/>
                <w:color w:val="auto"/>
                <w:spacing w:val="-6"/>
                <w:kern w:val="21"/>
                <w:szCs w:val="21"/>
              </w:rPr>
              <w:t>排放量（固</w:t>
            </w:r>
            <w:r>
              <w:rPr>
                <w:rFonts w:hint="eastAsia" w:ascii="黑体" w:hAnsi="黑体" w:eastAsia="黑体"/>
                <w:snapToGrid w:val="0"/>
                <w:color w:val="auto"/>
                <w:spacing w:val="-6"/>
                <w:kern w:val="21"/>
                <w:szCs w:val="21"/>
              </w:rPr>
              <w:t>体</w:t>
            </w:r>
            <w:r>
              <w:rPr>
                <w:rFonts w:ascii="黑体" w:hAnsi="黑体" w:eastAsia="黑体"/>
                <w:snapToGrid w:val="0"/>
                <w:color w:val="auto"/>
                <w:spacing w:val="-6"/>
                <w:kern w:val="21"/>
                <w:szCs w:val="21"/>
              </w:rPr>
              <w:t>废</w:t>
            </w:r>
            <w:r>
              <w:rPr>
                <w:rFonts w:hint="eastAsia" w:ascii="黑体" w:hAnsi="黑体" w:eastAsia="黑体"/>
                <w:snapToGrid w:val="0"/>
                <w:color w:val="auto"/>
                <w:spacing w:val="-6"/>
                <w:kern w:val="21"/>
                <w:szCs w:val="21"/>
              </w:rPr>
              <w:t>物</w:t>
            </w:r>
            <w:r>
              <w:rPr>
                <w:rFonts w:ascii="黑体" w:hAnsi="黑体" w:eastAsia="黑体"/>
                <w:snapToGrid w:val="0"/>
                <w:color w:val="auto"/>
                <w:spacing w:val="-6"/>
                <w:kern w:val="21"/>
                <w:szCs w:val="21"/>
              </w:rPr>
              <w:t>产生量）</w:t>
            </w:r>
            <w:r>
              <w:rPr>
                <w:rFonts w:ascii="黑体" w:hAnsi="黑体" w:eastAsia="黑体"/>
                <w:snapToGrid w:val="0"/>
                <w:color w:val="auto"/>
                <w:spacing w:val="-6"/>
                <w:kern w:val="21"/>
                <w:szCs w:val="21"/>
              </w:rPr>
              <w:fldChar w:fldCharType="begin"/>
            </w:r>
            <w:r>
              <w:rPr>
                <w:rFonts w:ascii="黑体" w:hAnsi="黑体" w:eastAsia="黑体"/>
                <w:snapToGrid w:val="0"/>
                <w:color w:val="auto"/>
                <w:spacing w:val="-6"/>
                <w:kern w:val="21"/>
                <w:szCs w:val="21"/>
              </w:rPr>
              <w:instrText xml:space="preserve"> = 3 \* GB3 \* MERGEFORMAT </w:instrText>
            </w:r>
            <w:r>
              <w:rPr>
                <w:rFonts w:ascii="黑体" w:hAnsi="黑体" w:eastAsia="黑体"/>
                <w:snapToGrid w:val="0"/>
                <w:color w:val="auto"/>
                <w:spacing w:val="-6"/>
                <w:kern w:val="21"/>
                <w:szCs w:val="21"/>
              </w:rPr>
              <w:fldChar w:fldCharType="separate"/>
            </w:r>
            <w:r>
              <w:rPr>
                <w:rFonts w:ascii="黑体" w:hAnsi="黑体" w:eastAsia="黑体" w:cs="宋体"/>
                <w:color w:val="auto"/>
                <w:kern w:val="2"/>
                <w:szCs w:val="21"/>
              </w:rPr>
              <w:t>③</w:t>
            </w:r>
            <w:r>
              <w:rPr>
                <w:rFonts w:ascii="黑体" w:hAnsi="黑体" w:eastAsia="黑体"/>
                <w:snapToGrid w:val="0"/>
                <w:color w:val="auto"/>
                <w:spacing w:val="-6"/>
                <w:kern w:val="21"/>
                <w:szCs w:val="21"/>
              </w:rPr>
              <w:fldChar w:fldCharType="end"/>
            </w:r>
          </w:p>
        </w:tc>
        <w:tc>
          <w:tcPr>
            <w:tcW w:w="1559" w:type="dxa"/>
            <w:noWrap w:val="0"/>
            <w:tcMar>
              <w:left w:w="28" w:type="dxa"/>
              <w:right w:w="28" w:type="dxa"/>
            </w:tcMar>
            <w:vAlign w:val="center"/>
          </w:tcPr>
          <w:p w14:paraId="331EBD0D">
            <w:pPr>
              <w:pStyle w:val="54"/>
              <w:spacing w:beforeLines="0" w:afterLines="0" w:line="240" w:lineRule="auto"/>
              <w:rPr>
                <w:rFonts w:hint="eastAsia" w:ascii="黑体" w:hAnsi="黑体" w:eastAsia="黑体"/>
                <w:snapToGrid w:val="0"/>
                <w:color w:val="auto"/>
                <w:spacing w:val="-6"/>
                <w:kern w:val="21"/>
                <w:szCs w:val="21"/>
              </w:rPr>
            </w:pPr>
            <w:r>
              <w:rPr>
                <w:rFonts w:ascii="黑体" w:hAnsi="黑体" w:eastAsia="黑体"/>
                <w:snapToGrid w:val="0"/>
                <w:color w:val="auto"/>
                <w:spacing w:val="-6"/>
                <w:kern w:val="21"/>
                <w:szCs w:val="21"/>
              </w:rPr>
              <w:t>本项目</w:t>
            </w:r>
          </w:p>
          <w:p w14:paraId="61087D9E">
            <w:pPr>
              <w:pStyle w:val="54"/>
              <w:spacing w:beforeLines="0" w:afterLines="0" w:line="240" w:lineRule="auto"/>
              <w:rPr>
                <w:rFonts w:ascii="黑体" w:hAnsi="黑体" w:eastAsia="黑体"/>
                <w:snapToGrid w:val="0"/>
                <w:color w:val="auto"/>
                <w:spacing w:val="-6"/>
                <w:kern w:val="21"/>
                <w:szCs w:val="21"/>
              </w:rPr>
            </w:pPr>
            <w:r>
              <w:rPr>
                <w:rFonts w:ascii="黑体" w:hAnsi="黑体" w:eastAsia="黑体"/>
                <w:snapToGrid w:val="0"/>
                <w:color w:val="auto"/>
                <w:spacing w:val="-6"/>
                <w:kern w:val="21"/>
                <w:szCs w:val="21"/>
              </w:rPr>
              <w:t>排放量（固</w:t>
            </w:r>
            <w:r>
              <w:rPr>
                <w:rFonts w:hint="eastAsia" w:ascii="黑体" w:hAnsi="黑体" w:eastAsia="黑体"/>
                <w:snapToGrid w:val="0"/>
                <w:color w:val="auto"/>
                <w:spacing w:val="-6"/>
                <w:kern w:val="21"/>
                <w:szCs w:val="21"/>
              </w:rPr>
              <w:t>体</w:t>
            </w:r>
            <w:r>
              <w:rPr>
                <w:rFonts w:ascii="黑体" w:hAnsi="黑体" w:eastAsia="黑体"/>
                <w:snapToGrid w:val="0"/>
                <w:color w:val="auto"/>
                <w:spacing w:val="-6"/>
                <w:kern w:val="21"/>
                <w:szCs w:val="21"/>
              </w:rPr>
              <w:t>废</w:t>
            </w:r>
            <w:r>
              <w:rPr>
                <w:rFonts w:hint="eastAsia" w:ascii="黑体" w:hAnsi="黑体" w:eastAsia="黑体"/>
                <w:snapToGrid w:val="0"/>
                <w:color w:val="auto"/>
                <w:spacing w:val="-6"/>
                <w:kern w:val="21"/>
                <w:szCs w:val="21"/>
              </w:rPr>
              <w:t>物</w:t>
            </w:r>
            <w:r>
              <w:rPr>
                <w:rFonts w:ascii="黑体" w:hAnsi="黑体" w:eastAsia="黑体"/>
                <w:snapToGrid w:val="0"/>
                <w:color w:val="auto"/>
                <w:spacing w:val="-6"/>
                <w:kern w:val="21"/>
                <w:szCs w:val="21"/>
              </w:rPr>
              <w:t>产生量）</w:t>
            </w:r>
            <w:r>
              <w:rPr>
                <w:rFonts w:ascii="黑体" w:hAnsi="黑体" w:eastAsia="黑体"/>
                <w:snapToGrid w:val="0"/>
                <w:color w:val="auto"/>
                <w:spacing w:val="-6"/>
                <w:kern w:val="21"/>
                <w:szCs w:val="21"/>
              </w:rPr>
              <w:fldChar w:fldCharType="begin"/>
            </w:r>
            <w:r>
              <w:rPr>
                <w:rFonts w:ascii="黑体" w:hAnsi="黑体" w:eastAsia="黑体"/>
                <w:snapToGrid w:val="0"/>
                <w:color w:val="auto"/>
                <w:spacing w:val="-6"/>
                <w:kern w:val="21"/>
                <w:szCs w:val="21"/>
              </w:rPr>
              <w:instrText xml:space="preserve"> = 4 \* GB3 \* MERGEFORMAT </w:instrText>
            </w:r>
            <w:r>
              <w:rPr>
                <w:rFonts w:ascii="黑体" w:hAnsi="黑体" w:eastAsia="黑体"/>
                <w:snapToGrid w:val="0"/>
                <w:color w:val="auto"/>
                <w:spacing w:val="-6"/>
                <w:kern w:val="21"/>
                <w:szCs w:val="21"/>
              </w:rPr>
              <w:fldChar w:fldCharType="separate"/>
            </w:r>
            <w:r>
              <w:rPr>
                <w:rFonts w:ascii="黑体" w:hAnsi="黑体" w:eastAsia="黑体" w:cs="宋体"/>
                <w:color w:val="auto"/>
                <w:kern w:val="2"/>
                <w:szCs w:val="21"/>
              </w:rPr>
              <w:t>④</w:t>
            </w:r>
            <w:r>
              <w:rPr>
                <w:rFonts w:ascii="黑体" w:hAnsi="黑体" w:eastAsia="黑体"/>
                <w:snapToGrid w:val="0"/>
                <w:color w:val="auto"/>
                <w:spacing w:val="-6"/>
                <w:kern w:val="21"/>
                <w:szCs w:val="21"/>
              </w:rPr>
              <w:fldChar w:fldCharType="end"/>
            </w:r>
          </w:p>
        </w:tc>
        <w:tc>
          <w:tcPr>
            <w:tcW w:w="1418" w:type="dxa"/>
            <w:noWrap w:val="0"/>
            <w:tcMar>
              <w:left w:w="28" w:type="dxa"/>
              <w:right w:w="28" w:type="dxa"/>
            </w:tcMar>
            <w:vAlign w:val="center"/>
          </w:tcPr>
          <w:p w14:paraId="7AFED3E4">
            <w:pPr>
              <w:pStyle w:val="54"/>
              <w:spacing w:beforeLines="0" w:afterLines="0" w:line="240" w:lineRule="auto"/>
              <w:rPr>
                <w:rFonts w:hint="eastAsia" w:ascii="黑体" w:hAnsi="黑体" w:eastAsia="黑体"/>
                <w:snapToGrid w:val="0"/>
                <w:color w:val="auto"/>
                <w:spacing w:val="-16"/>
                <w:kern w:val="21"/>
                <w:szCs w:val="21"/>
              </w:rPr>
            </w:pPr>
            <w:r>
              <w:rPr>
                <w:rFonts w:ascii="黑体" w:hAnsi="黑体" w:eastAsia="黑体"/>
                <w:snapToGrid w:val="0"/>
                <w:color w:val="auto"/>
                <w:spacing w:val="-16"/>
                <w:kern w:val="21"/>
                <w:szCs w:val="21"/>
              </w:rPr>
              <w:t>以新带老削减量</w:t>
            </w:r>
          </w:p>
          <w:p w14:paraId="367222D2">
            <w:pPr>
              <w:pStyle w:val="54"/>
              <w:spacing w:beforeLines="0" w:afterLines="0" w:line="240" w:lineRule="auto"/>
              <w:rPr>
                <w:rFonts w:ascii="黑体" w:hAnsi="黑体" w:eastAsia="黑体"/>
                <w:snapToGrid w:val="0"/>
                <w:color w:val="auto"/>
                <w:spacing w:val="-16"/>
                <w:kern w:val="21"/>
                <w:szCs w:val="21"/>
              </w:rPr>
            </w:pPr>
            <w:r>
              <w:rPr>
                <w:rFonts w:ascii="黑体" w:hAnsi="黑体" w:eastAsia="黑体"/>
                <w:snapToGrid w:val="0"/>
                <w:color w:val="auto"/>
                <w:spacing w:val="-16"/>
                <w:kern w:val="21"/>
                <w:szCs w:val="21"/>
              </w:rPr>
              <w:t>（新建项目不填）</w:t>
            </w:r>
            <w:r>
              <w:rPr>
                <w:rFonts w:ascii="黑体" w:hAnsi="黑体" w:eastAsia="黑体"/>
                <w:snapToGrid w:val="0"/>
                <w:color w:val="auto"/>
                <w:spacing w:val="-16"/>
                <w:kern w:val="21"/>
                <w:szCs w:val="21"/>
              </w:rPr>
              <w:fldChar w:fldCharType="begin"/>
            </w:r>
            <w:r>
              <w:rPr>
                <w:rFonts w:ascii="黑体" w:hAnsi="黑体" w:eastAsia="黑体"/>
                <w:snapToGrid w:val="0"/>
                <w:color w:val="auto"/>
                <w:spacing w:val="-16"/>
                <w:kern w:val="21"/>
                <w:szCs w:val="21"/>
              </w:rPr>
              <w:instrText xml:space="preserve"> = 5 \* GB3 \* MERGEFORMAT </w:instrText>
            </w:r>
            <w:r>
              <w:rPr>
                <w:rFonts w:ascii="黑体" w:hAnsi="黑体" w:eastAsia="黑体"/>
                <w:snapToGrid w:val="0"/>
                <w:color w:val="auto"/>
                <w:spacing w:val="-16"/>
                <w:kern w:val="21"/>
                <w:szCs w:val="21"/>
              </w:rPr>
              <w:fldChar w:fldCharType="separate"/>
            </w:r>
            <w:r>
              <w:rPr>
                <w:rFonts w:ascii="黑体" w:hAnsi="黑体" w:eastAsia="黑体" w:cs="宋体"/>
                <w:color w:val="auto"/>
                <w:kern w:val="2"/>
                <w:szCs w:val="21"/>
              </w:rPr>
              <w:t>⑤</w:t>
            </w:r>
            <w:r>
              <w:rPr>
                <w:rFonts w:ascii="黑体" w:hAnsi="黑体" w:eastAsia="黑体"/>
                <w:snapToGrid w:val="0"/>
                <w:color w:val="auto"/>
                <w:spacing w:val="-16"/>
                <w:kern w:val="21"/>
                <w:szCs w:val="21"/>
              </w:rPr>
              <w:fldChar w:fldCharType="end"/>
            </w:r>
          </w:p>
        </w:tc>
        <w:tc>
          <w:tcPr>
            <w:tcW w:w="1842" w:type="dxa"/>
            <w:noWrap w:val="0"/>
            <w:tcMar>
              <w:left w:w="28" w:type="dxa"/>
              <w:right w:w="28" w:type="dxa"/>
            </w:tcMar>
            <w:vAlign w:val="center"/>
          </w:tcPr>
          <w:p w14:paraId="677CABB8">
            <w:pPr>
              <w:pStyle w:val="54"/>
              <w:spacing w:beforeLines="0" w:afterLines="0" w:line="240" w:lineRule="auto"/>
              <w:rPr>
                <w:rFonts w:hint="eastAsia" w:ascii="黑体" w:hAnsi="黑体" w:eastAsia="黑体"/>
                <w:snapToGrid w:val="0"/>
                <w:color w:val="auto"/>
                <w:spacing w:val="-16"/>
                <w:kern w:val="21"/>
                <w:szCs w:val="21"/>
              </w:rPr>
            </w:pPr>
            <w:r>
              <w:rPr>
                <w:rFonts w:ascii="黑体" w:hAnsi="黑体" w:eastAsia="黑体"/>
                <w:snapToGrid w:val="0"/>
                <w:color w:val="auto"/>
                <w:spacing w:val="-16"/>
                <w:kern w:val="21"/>
                <w:szCs w:val="21"/>
              </w:rPr>
              <w:t>本项目建成后</w:t>
            </w:r>
          </w:p>
          <w:p w14:paraId="13D1037F">
            <w:pPr>
              <w:pStyle w:val="54"/>
              <w:spacing w:beforeLines="0" w:afterLines="0" w:line="240" w:lineRule="auto"/>
              <w:rPr>
                <w:rFonts w:ascii="黑体" w:hAnsi="黑体" w:eastAsia="黑体"/>
                <w:snapToGrid w:val="0"/>
                <w:color w:val="auto"/>
                <w:spacing w:val="-16"/>
                <w:kern w:val="21"/>
                <w:szCs w:val="21"/>
              </w:rPr>
            </w:pPr>
            <w:r>
              <w:rPr>
                <w:rFonts w:hint="eastAsia" w:ascii="黑体" w:hAnsi="黑体" w:eastAsia="黑体"/>
                <w:snapToGrid w:val="0"/>
                <w:color w:val="auto"/>
                <w:spacing w:val="-16"/>
                <w:kern w:val="21"/>
                <w:szCs w:val="21"/>
              </w:rPr>
              <w:t>全厂</w:t>
            </w:r>
            <w:r>
              <w:rPr>
                <w:rFonts w:ascii="黑体" w:hAnsi="黑体" w:eastAsia="黑体"/>
                <w:snapToGrid w:val="0"/>
                <w:color w:val="auto"/>
                <w:spacing w:val="-16"/>
                <w:kern w:val="21"/>
                <w:szCs w:val="21"/>
              </w:rPr>
              <w:t>排放量（固</w:t>
            </w:r>
            <w:r>
              <w:rPr>
                <w:rFonts w:hint="eastAsia" w:ascii="黑体" w:hAnsi="黑体" w:eastAsia="黑体"/>
                <w:snapToGrid w:val="0"/>
                <w:color w:val="auto"/>
                <w:spacing w:val="-16"/>
                <w:kern w:val="21"/>
                <w:szCs w:val="21"/>
              </w:rPr>
              <w:t>体</w:t>
            </w:r>
            <w:r>
              <w:rPr>
                <w:rFonts w:ascii="黑体" w:hAnsi="黑体" w:eastAsia="黑体"/>
                <w:snapToGrid w:val="0"/>
                <w:color w:val="auto"/>
                <w:spacing w:val="-16"/>
                <w:kern w:val="21"/>
                <w:szCs w:val="21"/>
              </w:rPr>
              <w:t>废</w:t>
            </w:r>
            <w:r>
              <w:rPr>
                <w:rFonts w:hint="eastAsia" w:ascii="黑体" w:hAnsi="黑体" w:eastAsia="黑体"/>
                <w:snapToGrid w:val="0"/>
                <w:color w:val="auto"/>
                <w:spacing w:val="-16"/>
                <w:kern w:val="21"/>
                <w:szCs w:val="21"/>
              </w:rPr>
              <w:t>物</w:t>
            </w:r>
            <w:r>
              <w:rPr>
                <w:rFonts w:ascii="黑体" w:hAnsi="黑体" w:eastAsia="黑体"/>
                <w:snapToGrid w:val="0"/>
                <w:color w:val="auto"/>
                <w:spacing w:val="-16"/>
                <w:kern w:val="21"/>
                <w:szCs w:val="21"/>
              </w:rPr>
              <w:t>产生量）</w:t>
            </w:r>
            <w:r>
              <w:rPr>
                <w:rFonts w:ascii="黑体" w:hAnsi="黑体" w:eastAsia="黑体"/>
                <w:snapToGrid w:val="0"/>
                <w:color w:val="auto"/>
                <w:spacing w:val="-16"/>
                <w:kern w:val="21"/>
                <w:szCs w:val="21"/>
              </w:rPr>
              <w:fldChar w:fldCharType="begin"/>
            </w:r>
            <w:r>
              <w:rPr>
                <w:rFonts w:ascii="黑体" w:hAnsi="黑体" w:eastAsia="黑体"/>
                <w:snapToGrid w:val="0"/>
                <w:color w:val="auto"/>
                <w:spacing w:val="-16"/>
                <w:kern w:val="21"/>
                <w:szCs w:val="21"/>
              </w:rPr>
              <w:instrText xml:space="preserve"> = 6 \* GB3 \* MERGEFORMAT </w:instrText>
            </w:r>
            <w:r>
              <w:rPr>
                <w:rFonts w:ascii="黑体" w:hAnsi="黑体" w:eastAsia="黑体"/>
                <w:snapToGrid w:val="0"/>
                <w:color w:val="auto"/>
                <w:spacing w:val="-16"/>
                <w:kern w:val="21"/>
                <w:szCs w:val="21"/>
              </w:rPr>
              <w:fldChar w:fldCharType="separate"/>
            </w:r>
            <w:r>
              <w:rPr>
                <w:rFonts w:ascii="黑体" w:hAnsi="黑体" w:eastAsia="黑体" w:cs="宋体"/>
                <w:color w:val="auto"/>
                <w:kern w:val="2"/>
                <w:szCs w:val="21"/>
              </w:rPr>
              <w:t>⑥</w:t>
            </w:r>
            <w:r>
              <w:rPr>
                <w:rFonts w:ascii="黑体" w:hAnsi="黑体" w:eastAsia="黑体"/>
                <w:snapToGrid w:val="0"/>
                <w:color w:val="auto"/>
                <w:spacing w:val="-16"/>
                <w:kern w:val="21"/>
                <w:szCs w:val="21"/>
              </w:rPr>
              <w:fldChar w:fldCharType="end"/>
            </w:r>
          </w:p>
        </w:tc>
        <w:tc>
          <w:tcPr>
            <w:tcW w:w="1286" w:type="dxa"/>
            <w:noWrap w:val="0"/>
            <w:tcMar>
              <w:left w:w="28" w:type="dxa"/>
              <w:right w:w="28" w:type="dxa"/>
            </w:tcMar>
            <w:vAlign w:val="center"/>
          </w:tcPr>
          <w:p w14:paraId="14E9C4B9">
            <w:pPr>
              <w:pStyle w:val="54"/>
              <w:spacing w:beforeLines="0" w:afterLines="0" w:line="240" w:lineRule="auto"/>
              <w:rPr>
                <w:rFonts w:ascii="黑体" w:hAnsi="黑体" w:eastAsia="黑体"/>
                <w:snapToGrid w:val="0"/>
                <w:color w:val="auto"/>
                <w:spacing w:val="-6"/>
                <w:kern w:val="21"/>
                <w:szCs w:val="21"/>
              </w:rPr>
            </w:pPr>
            <w:r>
              <w:rPr>
                <w:rFonts w:ascii="黑体" w:hAnsi="黑体" w:eastAsia="黑体"/>
                <w:snapToGrid w:val="0"/>
                <w:color w:val="auto"/>
                <w:spacing w:val="-6"/>
                <w:kern w:val="21"/>
                <w:szCs w:val="21"/>
              </w:rPr>
              <w:t>变化量</w:t>
            </w:r>
          </w:p>
          <w:p w14:paraId="573CBC39">
            <w:pPr>
              <w:pStyle w:val="54"/>
              <w:spacing w:beforeLines="0" w:afterLines="0" w:line="240" w:lineRule="auto"/>
              <w:rPr>
                <w:rFonts w:ascii="黑体" w:hAnsi="黑体" w:eastAsia="黑体"/>
                <w:snapToGrid w:val="0"/>
                <w:color w:val="auto"/>
                <w:spacing w:val="-6"/>
                <w:kern w:val="21"/>
                <w:szCs w:val="21"/>
              </w:rPr>
            </w:pPr>
            <w:r>
              <w:rPr>
                <w:rFonts w:ascii="黑体" w:hAnsi="黑体" w:eastAsia="黑体"/>
                <w:snapToGrid w:val="0"/>
                <w:color w:val="auto"/>
                <w:spacing w:val="-6"/>
                <w:kern w:val="21"/>
                <w:szCs w:val="21"/>
              </w:rPr>
              <w:fldChar w:fldCharType="begin"/>
            </w:r>
            <w:r>
              <w:rPr>
                <w:rFonts w:ascii="黑体" w:hAnsi="黑体" w:eastAsia="黑体"/>
                <w:snapToGrid w:val="0"/>
                <w:color w:val="auto"/>
                <w:spacing w:val="-6"/>
                <w:kern w:val="21"/>
                <w:szCs w:val="21"/>
              </w:rPr>
              <w:instrText xml:space="preserve"> = 7 \* GB3 \* MERGEFORMAT </w:instrText>
            </w:r>
            <w:r>
              <w:rPr>
                <w:rFonts w:ascii="黑体" w:hAnsi="黑体" w:eastAsia="黑体"/>
                <w:snapToGrid w:val="0"/>
                <w:color w:val="auto"/>
                <w:spacing w:val="-6"/>
                <w:kern w:val="21"/>
                <w:szCs w:val="21"/>
              </w:rPr>
              <w:fldChar w:fldCharType="separate"/>
            </w:r>
            <w:r>
              <w:rPr>
                <w:rFonts w:ascii="黑体" w:hAnsi="黑体" w:eastAsia="黑体" w:cs="宋体"/>
                <w:color w:val="auto"/>
                <w:kern w:val="2"/>
                <w:szCs w:val="21"/>
              </w:rPr>
              <w:t>⑦</w:t>
            </w:r>
            <w:r>
              <w:rPr>
                <w:rFonts w:ascii="黑体" w:hAnsi="黑体" w:eastAsia="黑体"/>
                <w:snapToGrid w:val="0"/>
                <w:color w:val="auto"/>
                <w:spacing w:val="-6"/>
                <w:kern w:val="21"/>
                <w:szCs w:val="21"/>
              </w:rPr>
              <w:fldChar w:fldCharType="end"/>
            </w:r>
          </w:p>
        </w:tc>
      </w:tr>
      <w:tr w14:paraId="37C6630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92" w:hRule="atLeast"/>
        </w:trPr>
        <w:tc>
          <w:tcPr>
            <w:tcW w:w="1304" w:type="dxa"/>
            <w:vMerge w:val="restart"/>
            <w:noWrap w:val="0"/>
            <w:vAlign w:val="center"/>
          </w:tcPr>
          <w:p w14:paraId="02EAEFB7">
            <w:pPr>
              <w:pStyle w:val="54"/>
              <w:spacing w:beforeLines="0" w:afterLines="0" w:line="240" w:lineRule="auto"/>
              <w:rPr>
                <w:rFonts w:hint="eastAsia" w:hAnsi="宋体" w:cs="宋体"/>
                <w:snapToGrid w:val="0"/>
                <w:color w:val="auto"/>
                <w:kern w:val="21"/>
                <w:szCs w:val="21"/>
              </w:rPr>
            </w:pPr>
            <w:r>
              <w:rPr>
                <w:rFonts w:hint="eastAsia" w:hAnsi="宋体" w:cs="宋体"/>
                <w:snapToGrid w:val="0"/>
                <w:color w:val="auto"/>
                <w:kern w:val="21"/>
                <w:szCs w:val="21"/>
              </w:rPr>
              <w:t>废气</w:t>
            </w:r>
          </w:p>
        </w:tc>
        <w:tc>
          <w:tcPr>
            <w:tcW w:w="1701" w:type="dxa"/>
            <w:noWrap w:val="0"/>
            <w:vAlign w:val="center"/>
          </w:tcPr>
          <w:p w14:paraId="50DEAB8D">
            <w:pPr>
              <w:pStyle w:val="54"/>
              <w:keepNext w:val="0"/>
              <w:keepLines w:val="0"/>
              <w:pageBreakBefore w:val="0"/>
              <w:widowControl/>
              <w:kinsoku/>
              <w:wordWrap/>
              <w:overflowPunct/>
              <w:topLinePunct w:val="0"/>
              <w:autoSpaceDE/>
              <w:autoSpaceDN/>
              <w:bidi w:val="0"/>
              <w:adjustRightInd w:val="0"/>
              <w:snapToGrid w:val="0"/>
              <w:spacing w:before="0" w:beforeLines="0" w:after="0" w:afterLines="0" w:line="240" w:lineRule="auto"/>
              <w:ind w:right="0"/>
              <w:textAlignment w:val="auto"/>
              <w:rPr>
                <w:rFonts w:hint="eastAsia" w:ascii="Times New Roman"/>
                <w:snapToGrid w:val="0"/>
                <w:color w:val="auto"/>
                <w:kern w:val="21"/>
                <w:szCs w:val="21"/>
              </w:rPr>
            </w:pPr>
            <w:r>
              <w:rPr>
                <w:rFonts w:hint="eastAsia" w:ascii="Times New Roman"/>
                <w:snapToGrid w:val="0"/>
                <w:color w:val="FF0000"/>
                <w:kern w:val="21"/>
                <w:szCs w:val="21"/>
              </w:rPr>
              <w:t>颗粒物</w:t>
            </w:r>
          </w:p>
        </w:tc>
        <w:tc>
          <w:tcPr>
            <w:tcW w:w="1701" w:type="dxa"/>
            <w:noWrap w:val="0"/>
            <w:vAlign w:val="center"/>
          </w:tcPr>
          <w:p w14:paraId="355BE571">
            <w:pPr>
              <w:jc w:val="center"/>
              <w:rPr>
                <w:rFonts w:hint="eastAsia"/>
                <w:color w:val="auto"/>
              </w:rPr>
            </w:pPr>
            <w:r>
              <w:rPr>
                <w:rFonts w:hint="eastAsia"/>
                <w:color w:val="auto"/>
              </w:rPr>
              <w:t>0</w:t>
            </w:r>
          </w:p>
        </w:tc>
        <w:tc>
          <w:tcPr>
            <w:tcW w:w="1276" w:type="dxa"/>
            <w:noWrap w:val="0"/>
            <w:vAlign w:val="center"/>
          </w:tcPr>
          <w:p w14:paraId="1170920A">
            <w:pPr>
              <w:jc w:val="center"/>
              <w:rPr>
                <w:rFonts w:hint="eastAsia"/>
                <w:color w:val="auto"/>
              </w:rPr>
            </w:pPr>
            <w:r>
              <w:rPr>
                <w:rFonts w:hint="eastAsia"/>
                <w:color w:val="auto"/>
              </w:rPr>
              <w:t>0</w:t>
            </w:r>
          </w:p>
        </w:tc>
        <w:tc>
          <w:tcPr>
            <w:tcW w:w="1701" w:type="dxa"/>
            <w:noWrap w:val="0"/>
            <w:vAlign w:val="center"/>
          </w:tcPr>
          <w:p w14:paraId="251C92D2">
            <w:pPr>
              <w:jc w:val="center"/>
              <w:rPr>
                <w:rFonts w:hint="eastAsia"/>
                <w:color w:val="FF0000"/>
              </w:rPr>
            </w:pPr>
            <w:r>
              <w:rPr>
                <w:rFonts w:hint="eastAsia"/>
                <w:color w:val="FF0000"/>
              </w:rPr>
              <w:t>0</w:t>
            </w:r>
          </w:p>
        </w:tc>
        <w:tc>
          <w:tcPr>
            <w:tcW w:w="1559" w:type="dxa"/>
            <w:noWrap w:val="0"/>
            <w:vAlign w:val="center"/>
          </w:tcPr>
          <w:p w14:paraId="59C79942">
            <w:pPr>
              <w:pStyle w:val="85"/>
              <w:adjustRightInd w:val="0"/>
              <w:snapToGrid w:val="0"/>
              <w:ind w:firstLine="0" w:firstLineChars="0"/>
              <w:jc w:val="center"/>
              <w:rPr>
                <w:rFonts w:hint="eastAsia" w:ascii="Times New Roman" w:hAnsi="Times New Roman" w:eastAsia="宋体" w:cs="Times New Roman"/>
                <w:color w:val="FF0000"/>
                <w:szCs w:val="21"/>
                <w:lang w:val="en-US" w:eastAsia="zh-CN"/>
              </w:rPr>
            </w:pPr>
            <w:r>
              <w:rPr>
                <w:rFonts w:hint="eastAsia" w:cs="Times New Roman"/>
                <w:color w:val="FF0000"/>
                <w:szCs w:val="21"/>
                <w:lang w:val="en-US" w:eastAsia="zh-CN"/>
              </w:rPr>
              <w:t>0</w:t>
            </w:r>
          </w:p>
        </w:tc>
        <w:tc>
          <w:tcPr>
            <w:tcW w:w="1418" w:type="dxa"/>
            <w:noWrap w:val="0"/>
            <w:vAlign w:val="center"/>
          </w:tcPr>
          <w:p w14:paraId="7EBB3DFE">
            <w:pPr>
              <w:jc w:val="center"/>
              <w:rPr>
                <w:rFonts w:hint="eastAsia"/>
                <w:color w:val="FF0000"/>
                <w:szCs w:val="21"/>
              </w:rPr>
            </w:pPr>
            <w:r>
              <w:rPr>
                <w:rFonts w:hint="eastAsia"/>
                <w:color w:val="FF0000"/>
                <w:szCs w:val="21"/>
              </w:rPr>
              <w:t>0</w:t>
            </w:r>
          </w:p>
        </w:tc>
        <w:tc>
          <w:tcPr>
            <w:tcW w:w="1842" w:type="dxa"/>
            <w:noWrap w:val="0"/>
            <w:vAlign w:val="center"/>
          </w:tcPr>
          <w:p w14:paraId="715C15BC">
            <w:pPr>
              <w:pStyle w:val="85"/>
              <w:adjustRightInd w:val="0"/>
              <w:snapToGrid w:val="0"/>
              <w:ind w:firstLine="0" w:firstLineChars="0"/>
              <w:jc w:val="center"/>
              <w:rPr>
                <w:snapToGrid w:val="0"/>
                <w:color w:val="FF0000"/>
                <w:kern w:val="21"/>
                <w:szCs w:val="21"/>
              </w:rPr>
            </w:pPr>
            <w:r>
              <w:rPr>
                <w:rFonts w:hint="eastAsia" w:cs="Times New Roman"/>
                <w:color w:val="FF0000"/>
                <w:szCs w:val="21"/>
                <w:lang w:val="en-US" w:eastAsia="zh-CN"/>
              </w:rPr>
              <w:t>0</w:t>
            </w:r>
          </w:p>
        </w:tc>
        <w:tc>
          <w:tcPr>
            <w:tcW w:w="1286" w:type="dxa"/>
            <w:noWrap w:val="0"/>
            <w:vAlign w:val="center"/>
          </w:tcPr>
          <w:p w14:paraId="3930BFB6">
            <w:pPr>
              <w:pStyle w:val="85"/>
              <w:adjustRightInd w:val="0"/>
              <w:snapToGrid w:val="0"/>
              <w:ind w:firstLine="0" w:firstLineChars="0"/>
              <w:jc w:val="center"/>
              <w:rPr>
                <w:snapToGrid w:val="0"/>
                <w:color w:val="FF0000"/>
                <w:kern w:val="21"/>
                <w:szCs w:val="21"/>
              </w:rPr>
            </w:pPr>
            <w:r>
              <w:rPr>
                <w:rFonts w:hint="eastAsia" w:cs="Times New Roman"/>
                <w:color w:val="FF0000"/>
                <w:szCs w:val="21"/>
                <w:lang w:val="en-US" w:eastAsia="zh-CN"/>
              </w:rPr>
              <w:t>0</w:t>
            </w:r>
          </w:p>
        </w:tc>
      </w:tr>
      <w:tr w14:paraId="1B365A4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04" w:type="dxa"/>
            <w:vMerge w:val="continue"/>
            <w:noWrap w:val="0"/>
            <w:vAlign w:val="center"/>
          </w:tcPr>
          <w:p w14:paraId="3056FFC4">
            <w:pPr>
              <w:pStyle w:val="54"/>
              <w:spacing w:beforeLines="0" w:afterLines="0" w:line="240" w:lineRule="auto"/>
              <w:rPr>
                <w:rFonts w:hint="eastAsia" w:hAnsi="宋体" w:cs="宋体"/>
                <w:snapToGrid w:val="0"/>
                <w:color w:val="auto"/>
                <w:kern w:val="21"/>
                <w:szCs w:val="21"/>
              </w:rPr>
            </w:pPr>
          </w:p>
        </w:tc>
        <w:tc>
          <w:tcPr>
            <w:tcW w:w="1701" w:type="dxa"/>
            <w:noWrap w:val="0"/>
            <w:vAlign w:val="center"/>
          </w:tcPr>
          <w:p w14:paraId="32350035">
            <w:pPr>
              <w:pStyle w:val="54"/>
              <w:keepNext w:val="0"/>
              <w:keepLines w:val="0"/>
              <w:pageBreakBefore w:val="0"/>
              <w:widowControl/>
              <w:kinsoku/>
              <w:wordWrap/>
              <w:overflowPunct/>
              <w:topLinePunct w:val="0"/>
              <w:autoSpaceDE/>
              <w:autoSpaceDN/>
              <w:bidi w:val="0"/>
              <w:adjustRightInd w:val="0"/>
              <w:snapToGrid w:val="0"/>
              <w:spacing w:before="0" w:beforeLines="0" w:after="0" w:afterLines="0" w:line="240" w:lineRule="auto"/>
              <w:ind w:right="0"/>
              <w:textAlignment w:val="auto"/>
              <w:rPr>
                <w:rFonts w:hint="eastAsia" w:ascii="Times New Roman" w:hAnsi="Times New Roman" w:eastAsia="宋体" w:cs="Times New Roman"/>
                <w:snapToGrid w:val="0"/>
                <w:color w:val="auto"/>
                <w:kern w:val="21"/>
                <w:szCs w:val="21"/>
                <w:lang w:val="en-US" w:eastAsia="zh-CN"/>
              </w:rPr>
            </w:pPr>
            <w:r>
              <w:rPr>
                <w:rFonts w:hint="eastAsia" w:ascii="Times New Roman" w:hAnsi="Times New Roman" w:eastAsia="宋体" w:cs="Times New Roman"/>
                <w:snapToGrid w:val="0"/>
                <w:color w:val="auto"/>
                <w:kern w:val="21"/>
                <w:szCs w:val="21"/>
              </w:rPr>
              <w:t>HCl</w:t>
            </w:r>
          </w:p>
        </w:tc>
        <w:tc>
          <w:tcPr>
            <w:tcW w:w="1701" w:type="dxa"/>
            <w:noWrap w:val="0"/>
            <w:vAlign w:val="center"/>
          </w:tcPr>
          <w:p w14:paraId="297969B2">
            <w:pPr>
              <w:jc w:val="center"/>
              <w:rPr>
                <w:color w:val="auto"/>
              </w:rPr>
            </w:pPr>
            <w:r>
              <w:rPr>
                <w:rFonts w:hint="eastAsia"/>
                <w:color w:val="auto"/>
              </w:rPr>
              <w:t>0</w:t>
            </w:r>
          </w:p>
        </w:tc>
        <w:tc>
          <w:tcPr>
            <w:tcW w:w="1276" w:type="dxa"/>
            <w:noWrap w:val="0"/>
            <w:vAlign w:val="center"/>
          </w:tcPr>
          <w:p w14:paraId="536070A5">
            <w:pPr>
              <w:jc w:val="center"/>
              <w:rPr>
                <w:color w:val="auto"/>
              </w:rPr>
            </w:pPr>
            <w:r>
              <w:rPr>
                <w:rFonts w:hint="eastAsia"/>
                <w:color w:val="auto"/>
              </w:rPr>
              <w:t>0</w:t>
            </w:r>
          </w:p>
        </w:tc>
        <w:tc>
          <w:tcPr>
            <w:tcW w:w="1701" w:type="dxa"/>
            <w:noWrap w:val="0"/>
            <w:vAlign w:val="center"/>
          </w:tcPr>
          <w:p w14:paraId="548BBD69">
            <w:pPr>
              <w:jc w:val="center"/>
              <w:rPr>
                <w:color w:val="auto"/>
              </w:rPr>
            </w:pPr>
            <w:r>
              <w:rPr>
                <w:rFonts w:hint="eastAsia"/>
                <w:color w:val="auto"/>
              </w:rPr>
              <w:t>0</w:t>
            </w:r>
          </w:p>
        </w:tc>
        <w:tc>
          <w:tcPr>
            <w:tcW w:w="1559" w:type="dxa"/>
            <w:noWrap w:val="0"/>
            <w:vAlign w:val="center"/>
          </w:tcPr>
          <w:p w14:paraId="402DB52D">
            <w:pPr>
              <w:pStyle w:val="85"/>
              <w:adjustRightInd w:val="0"/>
              <w:snapToGrid w:val="0"/>
              <w:ind w:firstLine="0" w:firstLineChars="0"/>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0.0077t/a</w:t>
            </w:r>
          </w:p>
        </w:tc>
        <w:tc>
          <w:tcPr>
            <w:tcW w:w="1418" w:type="dxa"/>
            <w:noWrap w:val="0"/>
            <w:vAlign w:val="center"/>
          </w:tcPr>
          <w:p w14:paraId="22F86596">
            <w:pPr>
              <w:jc w:val="center"/>
              <w:rPr>
                <w:rFonts w:hint="eastAsia"/>
                <w:snapToGrid w:val="0"/>
                <w:color w:val="auto"/>
                <w:kern w:val="21"/>
                <w:szCs w:val="21"/>
              </w:rPr>
            </w:pPr>
            <w:r>
              <w:rPr>
                <w:rFonts w:hint="eastAsia"/>
                <w:color w:val="auto"/>
                <w:szCs w:val="21"/>
              </w:rPr>
              <w:t>0</w:t>
            </w:r>
          </w:p>
        </w:tc>
        <w:tc>
          <w:tcPr>
            <w:tcW w:w="1842" w:type="dxa"/>
            <w:noWrap w:val="0"/>
            <w:vAlign w:val="center"/>
          </w:tcPr>
          <w:p w14:paraId="7B535F2A">
            <w:pPr>
              <w:pStyle w:val="85"/>
              <w:adjustRightInd w:val="0"/>
              <w:snapToGrid w:val="0"/>
              <w:ind w:firstLine="0" w:firstLineChars="0"/>
              <w:jc w:val="center"/>
              <w:rPr>
                <w:color w:val="auto"/>
                <w:szCs w:val="21"/>
              </w:rPr>
            </w:pPr>
            <w:r>
              <w:rPr>
                <w:rFonts w:hint="eastAsia" w:ascii="Times New Roman" w:hAnsi="Times New Roman" w:eastAsia="宋体" w:cs="Times New Roman"/>
                <w:color w:val="auto"/>
                <w:szCs w:val="21"/>
                <w:lang w:val="en-US" w:eastAsia="zh-CN"/>
              </w:rPr>
              <w:t>0.0077t/a</w:t>
            </w:r>
          </w:p>
        </w:tc>
        <w:tc>
          <w:tcPr>
            <w:tcW w:w="1286" w:type="dxa"/>
            <w:noWrap w:val="0"/>
            <w:vAlign w:val="center"/>
          </w:tcPr>
          <w:p w14:paraId="6B5A2925">
            <w:pPr>
              <w:pStyle w:val="85"/>
              <w:adjustRightInd w:val="0"/>
              <w:snapToGrid w:val="0"/>
              <w:ind w:firstLine="0" w:firstLineChars="0"/>
              <w:jc w:val="center"/>
              <w:rPr>
                <w:color w:val="auto"/>
                <w:szCs w:val="21"/>
              </w:rPr>
            </w:pPr>
            <w:r>
              <w:rPr>
                <w:rFonts w:hint="eastAsia" w:ascii="Times New Roman" w:hAnsi="Times New Roman" w:eastAsia="宋体" w:cs="Times New Roman"/>
                <w:color w:val="auto"/>
                <w:szCs w:val="21"/>
                <w:lang w:val="en-US" w:eastAsia="zh-CN"/>
              </w:rPr>
              <w:t>+0.0077t/a</w:t>
            </w:r>
          </w:p>
        </w:tc>
      </w:tr>
      <w:tr w14:paraId="63A53BA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04" w:type="dxa"/>
            <w:vMerge w:val="continue"/>
            <w:noWrap w:val="0"/>
            <w:vAlign w:val="center"/>
          </w:tcPr>
          <w:p w14:paraId="0A595F12">
            <w:pPr>
              <w:pStyle w:val="54"/>
              <w:spacing w:beforeLines="0" w:afterLines="0" w:line="240" w:lineRule="auto"/>
              <w:rPr>
                <w:rFonts w:hint="eastAsia" w:hAnsi="宋体" w:cs="宋体"/>
                <w:snapToGrid w:val="0"/>
                <w:color w:val="auto"/>
                <w:kern w:val="21"/>
                <w:szCs w:val="21"/>
              </w:rPr>
            </w:pPr>
          </w:p>
        </w:tc>
        <w:tc>
          <w:tcPr>
            <w:tcW w:w="1701" w:type="dxa"/>
            <w:noWrap w:val="0"/>
            <w:vAlign w:val="center"/>
          </w:tcPr>
          <w:p w14:paraId="775175C0">
            <w:pPr>
              <w:pStyle w:val="54"/>
              <w:keepNext w:val="0"/>
              <w:keepLines w:val="0"/>
              <w:pageBreakBefore w:val="0"/>
              <w:widowControl/>
              <w:kinsoku/>
              <w:wordWrap/>
              <w:overflowPunct/>
              <w:topLinePunct w:val="0"/>
              <w:autoSpaceDE/>
              <w:autoSpaceDN/>
              <w:bidi w:val="0"/>
              <w:adjustRightInd w:val="0"/>
              <w:snapToGrid w:val="0"/>
              <w:spacing w:before="0" w:beforeLines="0" w:after="0" w:afterLines="0" w:line="240" w:lineRule="auto"/>
              <w:ind w:right="0"/>
              <w:textAlignment w:val="auto"/>
              <w:rPr>
                <w:rFonts w:hint="eastAsia" w:ascii="Times New Roman" w:hAnsi="Times New Roman" w:eastAsia="宋体" w:cs="Times New Roman"/>
                <w:snapToGrid w:val="0"/>
                <w:color w:val="auto"/>
                <w:kern w:val="21"/>
                <w:szCs w:val="21"/>
              </w:rPr>
            </w:pPr>
            <w:r>
              <w:rPr>
                <w:rFonts w:hint="eastAsia" w:ascii="Times New Roman" w:hAnsi="Times New Roman" w:eastAsia="宋体" w:cs="Times New Roman"/>
                <w:snapToGrid w:val="0"/>
                <w:color w:val="auto"/>
                <w:kern w:val="21"/>
                <w:szCs w:val="21"/>
                <w:lang w:val="en-US" w:eastAsia="zh-CN"/>
              </w:rPr>
              <w:t>硝酸雾</w:t>
            </w:r>
          </w:p>
        </w:tc>
        <w:tc>
          <w:tcPr>
            <w:tcW w:w="1701" w:type="dxa"/>
            <w:noWrap w:val="0"/>
            <w:vAlign w:val="center"/>
          </w:tcPr>
          <w:p w14:paraId="66785F8A">
            <w:pPr>
              <w:jc w:val="center"/>
              <w:rPr>
                <w:rFonts w:hint="eastAsia"/>
                <w:color w:val="auto"/>
              </w:rPr>
            </w:pPr>
            <w:r>
              <w:rPr>
                <w:rFonts w:hint="eastAsia"/>
                <w:color w:val="auto"/>
              </w:rPr>
              <w:t>0</w:t>
            </w:r>
          </w:p>
        </w:tc>
        <w:tc>
          <w:tcPr>
            <w:tcW w:w="1276" w:type="dxa"/>
            <w:noWrap w:val="0"/>
            <w:vAlign w:val="center"/>
          </w:tcPr>
          <w:p w14:paraId="13742B3C">
            <w:pPr>
              <w:jc w:val="center"/>
              <w:rPr>
                <w:rFonts w:hint="eastAsia"/>
                <w:color w:val="auto"/>
              </w:rPr>
            </w:pPr>
            <w:r>
              <w:rPr>
                <w:rFonts w:hint="eastAsia"/>
                <w:color w:val="auto"/>
              </w:rPr>
              <w:t>0</w:t>
            </w:r>
          </w:p>
        </w:tc>
        <w:tc>
          <w:tcPr>
            <w:tcW w:w="1701" w:type="dxa"/>
            <w:noWrap w:val="0"/>
            <w:vAlign w:val="center"/>
          </w:tcPr>
          <w:p w14:paraId="5D48EBBD">
            <w:pPr>
              <w:jc w:val="center"/>
              <w:rPr>
                <w:rFonts w:hint="eastAsia"/>
                <w:color w:val="auto"/>
              </w:rPr>
            </w:pPr>
            <w:r>
              <w:rPr>
                <w:rFonts w:hint="eastAsia"/>
                <w:color w:val="auto"/>
              </w:rPr>
              <w:t>0</w:t>
            </w:r>
          </w:p>
        </w:tc>
        <w:tc>
          <w:tcPr>
            <w:tcW w:w="1559" w:type="dxa"/>
            <w:noWrap w:val="0"/>
            <w:vAlign w:val="center"/>
          </w:tcPr>
          <w:p w14:paraId="0588BBEE">
            <w:pPr>
              <w:pStyle w:val="85"/>
              <w:adjustRightInd w:val="0"/>
              <w:snapToGrid w:val="0"/>
              <w:ind w:firstLine="0" w:firstLineChars="0"/>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0.003</w:t>
            </w:r>
            <w:r>
              <w:rPr>
                <w:rFonts w:hint="eastAsia" w:cs="Times New Roman"/>
                <w:color w:val="auto"/>
                <w:szCs w:val="21"/>
                <w:lang w:val="en-US" w:eastAsia="zh-CN"/>
              </w:rPr>
              <w:t>05</w:t>
            </w:r>
            <w:r>
              <w:rPr>
                <w:rFonts w:hint="eastAsia" w:ascii="Times New Roman" w:hAnsi="Times New Roman" w:eastAsia="宋体" w:cs="Times New Roman"/>
                <w:color w:val="auto"/>
                <w:szCs w:val="21"/>
                <w:lang w:val="en-US" w:eastAsia="zh-CN"/>
              </w:rPr>
              <w:t>t/a</w:t>
            </w:r>
          </w:p>
        </w:tc>
        <w:tc>
          <w:tcPr>
            <w:tcW w:w="1418" w:type="dxa"/>
            <w:noWrap w:val="0"/>
            <w:vAlign w:val="center"/>
          </w:tcPr>
          <w:p w14:paraId="43C8ECCD">
            <w:pPr>
              <w:jc w:val="center"/>
              <w:rPr>
                <w:rFonts w:hint="eastAsia" w:eastAsia="宋体"/>
                <w:color w:val="auto"/>
                <w:szCs w:val="21"/>
                <w:lang w:val="en-US" w:eastAsia="zh-CN"/>
              </w:rPr>
            </w:pPr>
            <w:r>
              <w:rPr>
                <w:rFonts w:hint="eastAsia"/>
                <w:color w:val="auto"/>
                <w:szCs w:val="21"/>
                <w:lang w:val="en-US" w:eastAsia="zh-CN"/>
              </w:rPr>
              <w:t>0</w:t>
            </w:r>
          </w:p>
        </w:tc>
        <w:tc>
          <w:tcPr>
            <w:tcW w:w="1842" w:type="dxa"/>
            <w:noWrap w:val="0"/>
            <w:vAlign w:val="center"/>
          </w:tcPr>
          <w:p w14:paraId="0B98655E">
            <w:pPr>
              <w:adjustRightInd w:val="0"/>
              <w:snapToGrid w:val="0"/>
              <w:ind w:firstLine="0" w:firstLineChars="0"/>
              <w:jc w:val="center"/>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szCs w:val="21"/>
                <w:lang w:val="en-US" w:eastAsia="zh-CN"/>
              </w:rPr>
              <w:t>0.003</w:t>
            </w:r>
            <w:r>
              <w:rPr>
                <w:rFonts w:hint="eastAsia" w:cs="Times New Roman"/>
                <w:color w:val="auto"/>
                <w:szCs w:val="21"/>
                <w:lang w:val="en-US" w:eastAsia="zh-CN"/>
              </w:rPr>
              <w:t>05</w:t>
            </w:r>
            <w:r>
              <w:rPr>
                <w:rFonts w:hint="eastAsia" w:ascii="Times New Roman" w:hAnsi="Times New Roman" w:eastAsia="宋体" w:cs="Times New Roman"/>
                <w:color w:val="auto"/>
                <w:szCs w:val="21"/>
                <w:lang w:val="en-US" w:eastAsia="zh-CN"/>
              </w:rPr>
              <w:t>t/a</w:t>
            </w:r>
          </w:p>
        </w:tc>
        <w:tc>
          <w:tcPr>
            <w:tcW w:w="1286" w:type="dxa"/>
            <w:noWrap w:val="0"/>
            <w:vAlign w:val="center"/>
          </w:tcPr>
          <w:p w14:paraId="30B0F20B">
            <w:pPr>
              <w:adjustRightInd w:val="0"/>
              <w:snapToGrid w:val="0"/>
              <w:ind w:firstLine="0" w:firstLineChars="0"/>
              <w:jc w:val="center"/>
              <w:rPr>
                <w:rFonts w:hint="eastAsia" w:ascii="Times New Roman" w:hAnsi="Times New Roman" w:eastAsia="宋体" w:cs="Times New Roman"/>
                <w:color w:val="auto"/>
                <w:lang w:val="en-US" w:eastAsia="zh-CN"/>
              </w:rPr>
            </w:pPr>
            <w:r>
              <w:rPr>
                <w:rFonts w:hint="eastAsia" w:cs="Times New Roman"/>
                <w:color w:val="auto"/>
                <w:szCs w:val="21"/>
                <w:lang w:val="en-US" w:eastAsia="zh-CN"/>
              </w:rPr>
              <w:t>+</w:t>
            </w:r>
            <w:r>
              <w:rPr>
                <w:rFonts w:hint="eastAsia" w:ascii="Times New Roman" w:hAnsi="Times New Roman" w:eastAsia="宋体" w:cs="Times New Roman"/>
                <w:color w:val="auto"/>
                <w:szCs w:val="21"/>
                <w:lang w:val="en-US" w:eastAsia="zh-CN"/>
              </w:rPr>
              <w:t>0.003</w:t>
            </w:r>
            <w:r>
              <w:rPr>
                <w:rFonts w:hint="eastAsia" w:cs="Times New Roman"/>
                <w:color w:val="auto"/>
                <w:szCs w:val="21"/>
                <w:lang w:val="en-US" w:eastAsia="zh-CN"/>
              </w:rPr>
              <w:t>05</w:t>
            </w:r>
            <w:r>
              <w:rPr>
                <w:rFonts w:hint="eastAsia" w:ascii="Times New Roman" w:hAnsi="Times New Roman" w:eastAsia="宋体" w:cs="Times New Roman"/>
                <w:color w:val="auto"/>
                <w:szCs w:val="21"/>
                <w:lang w:val="en-US" w:eastAsia="zh-CN"/>
              </w:rPr>
              <w:t>t/a</w:t>
            </w:r>
          </w:p>
        </w:tc>
      </w:tr>
      <w:tr w14:paraId="01678F7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04" w:type="dxa"/>
            <w:vMerge w:val="continue"/>
            <w:noWrap w:val="0"/>
            <w:vAlign w:val="center"/>
          </w:tcPr>
          <w:p w14:paraId="736EFF97">
            <w:pPr>
              <w:pStyle w:val="54"/>
              <w:spacing w:beforeLines="0" w:afterLines="0" w:line="240" w:lineRule="auto"/>
              <w:rPr>
                <w:rFonts w:hint="eastAsia" w:hAnsi="宋体" w:cs="宋体"/>
                <w:snapToGrid w:val="0"/>
                <w:color w:val="auto"/>
                <w:kern w:val="21"/>
                <w:szCs w:val="21"/>
              </w:rPr>
            </w:pPr>
          </w:p>
        </w:tc>
        <w:tc>
          <w:tcPr>
            <w:tcW w:w="1701" w:type="dxa"/>
            <w:noWrap w:val="0"/>
            <w:vAlign w:val="center"/>
          </w:tcPr>
          <w:p w14:paraId="06477770">
            <w:pPr>
              <w:pStyle w:val="54"/>
              <w:keepNext w:val="0"/>
              <w:keepLines w:val="0"/>
              <w:pageBreakBefore w:val="0"/>
              <w:widowControl/>
              <w:kinsoku/>
              <w:wordWrap/>
              <w:overflowPunct/>
              <w:topLinePunct w:val="0"/>
              <w:autoSpaceDE/>
              <w:autoSpaceDN/>
              <w:bidi w:val="0"/>
              <w:adjustRightInd w:val="0"/>
              <w:snapToGrid w:val="0"/>
              <w:spacing w:before="0" w:beforeLines="0" w:after="0" w:afterLines="0" w:line="240" w:lineRule="auto"/>
              <w:ind w:right="0"/>
              <w:textAlignment w:val="auto"/>
              <w:rPr>
                <w:rFonts w:hint="eastAsia" w:ascii="Times New Roman" w:hAnsi="Times New Roman" w:eastAsia="宋体" w:cs="Times New Roman"/>
                <w:snapToGrid w:val="0"/>
                <w:color w:val="auto"/>
                <w:kern w:val="21"/>
                <w:szCs w:val="21"/>
                <w:lang w:val="en-US" w:eastAsia="zh-CN"/>
              </w:rPr>
            </w:pPr>
            <w:r>
              <w:rPr>
                <w:rFonts w:hint="default" w:ascii="Times New Roman" w:hAnsi="Times New Roman" w:eastAsia="宋体" w:cs="Times New Roman"/>
                <w:snapToGrid w:val="0"/>
                <w:color w:val="auto"/>
                <w:kern w:val="21"/>
                <w:szCs w:val="21"/>
                <w:lang w:val="en-US" w:eastAsia="zh-CN"/>
              </w:rPr>
              <w:t>硫酸雾</w:t>
            </w:r>
          </w:p>
        </w:tc>
        <w:tc>
          <w:tcPr>
            <w:tcW w:w="1701" w:type="dxa"/>
            <w:noWrap w:val="0"/>
            <w:vAlign w:val="center"/>
          </w:tcPr>
          <w:p w14:paraId="01C14EF1">
            <w:pPr>
              <w:jc w:val="center"/>
              <w:rPr>
                <w:rFonts w:hint="eastAsia"/>
                <w:color w:val="auto"/>
              </w:rPr>
            </w:pPr>
            <w:r>
              <w:rPr>
                <w:rFonts w:hint="eastAsia"/>
                <w:color w:val="auto"/>
              </w:rPr>
              <w:t>0</w:t>
            </w:r>
          </w:p>
        </w:tc>
        <w:tc>
          <w:tcPr>
            <w:tcW w:w="1276" w:type="dxa"/>
            <w:noWrap w:val="0"/>
            <w:vAlign w:val="center"/>
          </w:tcPr>
          <w:p w14:paraId="1C5F048C">
            <w:pPr>
              <w:jc w:val="center"/>
              <w:rPr>
                <w:rFonts w:hint="eastAsia"/>
                <w:color w:val="auto"/>
              </w:rPr>
            </w:pPr>
            <w:r>
              <w:rPr>
                <w:rFonts w:hint="eastAsia"/>
                <w:color w:val="auto"/>
              </w:rPr>
              <w:t>0</w:t>
            </w:r>
          </w:p>
        </w:tc>
        <w:tc>
          <w:tcPr>
            <w:tcW w:w="1701" w:type="dxa"/>
            <w:noWrap w:val="0"/>
            <w:vAlign w:val="center"/>
          </w:tcPr>
          <w:p w14:paraId="3EBCD4A2">
            <w:pPr>
              <w:jc w:val="center"/>
              <w:rPr>
                <w:rFonts w:hint="eastAsia"/>
                <w:color w:val="auto"/>
              </w:rPr>
            </w:pPr>
            <w:r>
              <w:rPr>
                <w:rFonts w:hint="eastAsia"/>
                <w:color w:val="auto"/>
              </w:rPr>
              <w:t>0</w:t>
            </w:r>
          </w:p>
        </w:tc>
        <w:tc>
          <w:tcPr>
            <w:tcW w:w="1559" w:type="dxa"/>
            <w:noWrap w:val="0"/>
            <w:vAlign w:val="center"/>
          </w:tcPr>
          <w:p w14:paraId="0D86345E">
            <w:pPr>
              <w:pStyle w:val="85"/>
              <w:adjustRightInd w:val="0"/>
              <w:snapToGrid w:val="0"/>
              <w:ind w:firstLine="0" w:firstLineChars="0"/>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0.00004t/a</w:t>
            </w:r>
          </w:p>
        </w:tc>
        <w:tc>
          <w:tcPr>
            <w:tcW w:w="1418" w:type="dxa"/>
            <w:noWrap w:val="0"/>
            <w:vAlign w:val="center"/>
          </w:tcPr>
          <w:p w14:paraId="32A05136">
            <w:pPr>
              <w:jc w:val="center"/>
              <w:rPr>
                <w:rFonts w:hint="eastAsia" w:eastAsia="宋体"/>
                <w:color w:val="auto"/>
                <w:szCs w:val="21"/>
                <w:lang w:val="en-US" w:eastAsia="zh-CN"/>
              </w:rPr>
            </w:pPr>
            <w:r>
              <w:rPr>
                <w:rFonts w:hint="eastAsia"/>
                <w:color w:val="auto"/>
                <w:szCs w:val="21"/>
                <w:lang w:val="en-US" w:eastAsia="zh-CN"/>
              </w:rPr>
              <w:t>0</w:t>
            </w:r>
          </w:p>
        </w:tc>
        <w:tc>
          <w:tcPr>
            <w:tcW w:w="1842" w:type="dxa"/>
            <w:noWrap w:val="0"/>
            <w:vAlign w:val="center"/>
          </w:tcPr>
          <w:p w14:paraId="060A250B">
            <w:pPr>
              <w:pStyle w:val="85"/>
              <w:adjustRightInd w:val="0"/>
              <w:snapToGrid w:val="0"/>
              <w:ind w:firstLine="0" w:firstLineChars="0"/>
              <w:jc w:val="center"/>
              <w:rPr>
                <w:color w:val="auto"/>
                <w:kern w:val="0"/>
                <w:szCs w:val="21"/>
                <w:lang w:bidi="ar"/>
              </w:rPr>
            </w:pPr>
            <w:r>
              <w:rPr>
                <w:rFonts w:hint="eastAsia" w:ascii="Times New Roman" w:hAnsi="Times New Roman" w:eastAsia="宋体" w:cs="Times New Roman"/>
                <w:color w:val="auto"/>
                <w:szCs w:val="21"/>
                <w:lang w:val="en-US" w:eastAsia="zh-CN"/>
              </w:rPr>
              <w:t>0.00004t/a</w:t>
            </w:r>
          </w:p>
        </w:tc>
        <w:tc>
          <w:tcPr>
            <w:tcW w:w="1286" w:type="dxa"/>
            <w:noWrap w:val="0"/>
            <w:vAlign w:val="center"/>
          </w:tcPr>
          <w:p w14:paraId="7D04AD12">
            <w:pPr>
              <w:pStyle w:val="85"/>
              <w:adjustRightInd w:val="0"/>
              <w:snapToGrid w:val="0"/>
              <w:ind w:firstLine="0" w:firstLineChars="0"/>
              <w:jc w:val="center"/>
              <w:rPr>
                <w:rFonts w:hint="eastAsia"/>
                <w:color w:val="auto"/>
                <w:kern w:val="0"/>
                <w:szCs w:val="21"/>
                <w:lang w:bidi="ar"/>
              </w:rPr>
            </w:pPr>
            <w:r>
              <w:rPr>
                <w:rFonts w:hint="eastAsia" w:ascii="Times New Roman" w:hAnsi="Times New Roman" w:eastAsia="宋体" w:cs="Times New Roman"/>
                <w:color w:val="auto"/>
                <w:szCs w:val="21"/>
                <w:lang w:val="en-US" w:eastAsia="zh-CN"/>
              </w:rPr>
              <w:t>+0.00004t/a</w:t>
            </w:r>
          </w:p>
        </w:tc>
      </w:tr>
      <w:tr w14:paraId="7CE8064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04" w:type="dxa"/>
            <w:vMerge w:val="continue"/>
            <w:noWrap w:val="0"/>
            <w:vAlign w:val="center"/>
          </w:tcPr>
          <w:p w14:paraId="7C9FDEFB">
            <w:pPr>
              <w:pStyle w:val="54"/>
              <w:spacing w:beforeLines="0" w:afterLines="0" w:line="240" w:lineRule="auto"/>
              <w:rPr>
                <w:rFonts w:hint="eastAsia" w:hAnsi="宋体" w:cs="宋体"/>
                <w:snapToGrid w:val="0"/>
                <w:color w:val="auto"/>
                <w:kern w:val="21"/>
                <w:szCs w:val="21"/>
              </w:rPr>
            </w:pPr>
          </w:p>
        </w:tc>
        <w:tc>
          <w:tcPr>
            <w:tcW w:w="1701" w:type="dxa"/>
            <w:noWrap w:val="0"/>
            <w:vAlign w:val="center"/>
          </w:tcPr>
          <w:p w14:paraId="6CB459AA">
            <w:pPr>
              <w:pStyle w:val="54"/>
              <w:keepNext w:val="0"/>
              <w:keepLines w:val="0"/>
              <w:pageBreakBefore w:val="0"/>
              <w:widowControl/>
              <w:kinsoku/>
              <w:wordWrap/>
              <w:overflowPunct/>
              <w:topLinePunct w:val="0"/>
              <w:autoSpaceDE/>
              <w:autoSpaceDN/>
              <w:bidi w:val="0"/>
              <w:adjustRightInd w:val="0"/>
              <w:snapToGrid w:val="0"/>
              <w:spacing w:before="0" w:beforeLines="0" w:after="0" w:afterLines="0" w:line="240" w:lineRule="auto"/>
              <w:ind w:right="0"/>
              <w:textAlignment w:val="auto"/>
              <w:rPr>
                <w:rFonts w:hint="eastAsia" w:ascii="Times New Roman" w:hAnsi="Times New Roman" w:eastAsia="宋体" w:cs="Times New Roman"/>
                <w:snapToGrid w:val="0"/>
                <w:color w:val="auto"/>
                <w:kern w:val="21"/>
                <w:szCs w:val="21"/>
              </w:rPr>
            </w:pPr>
            <w:r>
              <w:rPr>
                <w:rFonts w:hint="eastAsia" w:ascii="Times New Roman" w:hAnsi="Times New Roman" w:eastAsia="宋体" w:cs="Times New Roman"/>
                <w:snapToGrid w:val="0"/>
                <w:color w:val="auto"/>
                <w:kern w:val="21"/>
                <w:szCs w:val="21"/>
                <w:lang w:val="en-US" w:eastAsia="zh-CN"/>
              </w:rPr>
              <w:t>氨</w:t>
            </w:r>
          </w:p>
        </w:tc>
        <w:tc>
          <w:tcPr>
            <w:tcW w:w="1701" w:type="dxa"/>
            <w:noWrap w:val="0"/>
            <w:vAlign w:val="center"/>
          </w:tcPr>
          <w:p w14:paraId="62B4B8C8">
            <w:pPr>
              <w:jc w:val="center"/>
              <w:rPr>
                <w:color w:val="auto"/>
              </w:rPr>
            </w:pPr>
            <w:r>
              <w:rPr>
                <w:rFonts w:hint="eastAsia"/>
                <w:color w:val="auto"/>
              </w:rPr>
              <w:t>0</w:t>
            </w:r>
          </w:p>
        </w:tc>
        <w:tc>
          <w:tcPr>
            <w:tcW w:w="1276" w:type="dxa"/>
            <w:noWrap w:val="0"/>
            <w:vAlign w:val="center"/>
          </w:tcPr>
          <w:p w14:paraId="2B7743E4">
            <w:pPr>
              <w:jc w:val="center"/>
              <w:rPr>
                <w:color w:val="auto"/>
              </w:rPr>
            </w:pPr>
            <w:r>
              <w:rPr>
                <w:rFonts w:hint="eastAsia"/>
                <w:color w:val="auto"/>
              </w:rPr>
              <w:t>0</w:t>
            </w:r>
          </w:p>
        </w:tc>
        <w:tc>
          <w:tcPr>
            <w:tcW w:w="1701" w:type="dxa"/>
            <w:noWrap w:val="0"/>
            <w:vAlign w:val="center"/>
          </w:tcPr>
          <w:p w14:paraId="3C1B289B">
            <w:pPr>
              <w:jc w:val="center"/>
              <w:rPr>
                <w:color w:val="auto"/>
              </w:rPr>
            </w:pPr>
            <w:r>
              <w:rPr>
                <w:rFonts w:hint="eastAsia"/>
                <w:color w:val="auto"/>
              </w:rPr>
              <w:t>0</w:t>
            </w:r>
          </w:p>
        </w:tc>
        <w:tc>
          <w:tcPr>
            <w:tcW w:w="1559" w:type="dxa"/>
            <w:noWrap w:val="0"/>
            <w:vAlign w:val="center"/>
          </w:tcPr>
          <w:p w14:paraId="5402DE2B">
            <w:pPr>
              <w:pStyle w:val="85"/>
              <w:adjustRightInd w:val="0"/>
              <w:snapToGrid w:val="0"/>
              <w:ind w:firstLine="0" w:firstLineChars="0"/>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0.0002t/a</w:t>
            </w:r>
          </w:p>
        </w:tc>
        <w:tc>
          <w:tcPr>
            <w:tcW w:w="1418" w:type="dxa"/>
            <w:noWrap w:val="0"/>
            <w:vAlign w:val="center"/>
          </w:tcPr>
          <w:p w14:paraId="46C78E5C">
            <w:pPr>
              <w:jc w:val="center"/>
              <w:rPr>
                <w:rFonts w:hint="eastAsia"/>
                <w:snapToGrid w:val="0"/>
                <w:color w:val="auto"/>
                <w:kern w:val="21"/>
                <w:szCs w:val="21"/>
              </w:rPr>
            </w:pPr>
            <w:r>
              <w:rPr>
                <w:rFonts w:hint="eastAsia"/>
                <w:color w:val="auto"/>
                <w:szCs w:val="21"/>
              </w:rPr>
              <w:t>0</w:t>
            </w:r>
          </w:p>
        </w:tc>
        <w:tc>
          <w:tcPr>
            <w:tcW w:w="1842" w:type="dxa"/>
            <w:noWrap w:val="0"/>
            <w:vAlign w:val="center"/>
          </w:tcPr>
          <w:p w14:paraId="307519E8">
            <w:pPr>
              <w:pStyle w:val="85"/>
              <w:adjustRightInd w:val="0"/>
              <w:snapToGrid w:val="0"/>
              <w:ind w:firstLine="0" w:firstLineChars="0"/>
              <w:jc w:val="center"/>
              <w:rPr>
                <w:color w:val="auto"/>
                <w:szCs w:val="21"/>
              </w:rPr>
            </w:pPr>
            <w:r>
              <w:rPr>
                <w:rFonts w:hint="eastAsia" w:ascii="Times New Roman" w:hAnsi="Times New Roman" w:eastAsia="宋体" w:cs="Times New Roman"/>
                <w:color w:val="auto"/>
                <w:szCs w:val="21"/>
                <w:lang w:val="en-US" w:eastAsia="zh-CN"/>
              </w:rPr>
              <w:t>0.0002t/a</w:t>
            </w:r>
          </w:p>
        </w:tc>
        <w:tc>
          <w:tcPr>
            <w:tcW w:w="1286" w:type="dxa"/>
            <w:noWrap w:val="0"/>
            <w:vAlign w:val="center"/>
          </w:tcPr>
          <w:p w14:paraId="18E4162C">
            <w:pPr>
              <w:pStyle w:val="85"/>
              <w:adjustRightInd w:val="0"/>
              <w:snapToGrid w:val="0"/>
              <w:ind w:firstLine="0" w:firstLineChars="0"/>
              <w:jc w:val="center"/>
              <w:rPr>
                <w:color w:val="auto"/>
                <w:szCs w:val="21"/>
              </w:rPr>
            </w:pPr>
            <w:r>
              <w:rPr>
                <w:rFonts w:hint="eastAsia" w:ascii="Times New Roman" w:hAnsi="Times New Roman" w:eastAsia="宋体" w:cs="Times New Roman"/>
                <w:color w:val="auto"/>
                <w:szCs w:val="21"/>
                <w:lang w:val="en-US" w:eastAsia="zh-CN"/>
              </w:rPr>
              <w:t>+0.0002t/a</w:t>
            </w:r>
          </w:p>
        </w:tc>
      </w:tr>
      <w:tr w14:paraId="2B78523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04" w:type="dxa"/>
            <w:vMerge w:val="restart"/>
            <w:noWrap w:val="0"/>
            <w:vAlign w:val="center"/>
          </w:tcPr>
          <w:p w14:paraId="12D20D0A">
            <w:pPr>
              <w:pStyle w:val="54"/>
              <w:spacing w:before="24" w:after="24" w:line="240" w:lineRule="auto"/>
              <w:rPr>
                <w:rFonts w:hint="eastAsia" w:hAnsi="宋体" w:cs="宋体"/>
                <w:snapToGrid w:val="0"/>
                <w:color w:val="auto"/>
                <w:kern w:val="21"/>
                <w:szCs w:val="21"/>
              </w:rPr>
            </w:pPr>
            <w:r>
              <w:rPr>
                <w:rFonts w:hint="eastAsia" w:hAnsi="宋体" w:cs="宋体"/>
                <w:snapToGrid w:val="0"/>
                <w:color w:val="auto"/>
                <w:kern w:val="21"/>
                <w:szCs w:val="21"/>
              </w:rPr>
              <w:t>废水</w:t>
            </w:r>
          </w:p>
        </w:tc>
        <w:tc>
          <w:tcPr>
            <w:tcW w:w="1701" w:type="dxa"/>
            <w:noWrap w:val="0"/>
            <w:vAlign w:val="center"/>
          </w:tcPr>
          <w:p w14:paraId="0D765D3F">
            <w:pPr>
              <w:pStyle w:val="54"/>
              <w:spacing w:beforeLines="0" w:afterLines="0" w:line="240" w:lineRule="auto"/>
              <w:rPr>
                <w:rFonts w:hint="eastAsia" w:ascii="Times New Roman"/>
                <w:snapToGrid w:val="0"/>
                <w:color w:val="auto"/>
                <w:kern w:val="21"/>
                <w:szCs w:val="21"/>
              </w:rPr>
            </w:pPr>
            <w:r>
              <w:rPr>
                <w:rFonts w:hint="eastAsia" w:ascii="Times New Roman"/>
                <w:snapToGrid w:val="0"/>
                <w:color w:val="auto"/>
                <w:kern w:val="21"/>
                <w:szCs w:val="21"/>
              </w:rPr>
              <w:t>COD</w:t>
            </w:r>
          </w:p>
        </w:tc>
        <w:tc>
          <w:tcPr>
            <w:tcW w:w="1701" w:type="dxa"/>
            <w:noWrap w:val="0"/>
            <w:vAlign w:val="center"/>
          </w:tcPr>
          <w:p w14:paraId="22794FDC">
            <w:pPr>
              <w:jc w:val="center"/>
              <w:rPr>
                <w:rFonts w:hint="eastAsia"/>
                <w:snapToGrid w:val="0"/>
                <w:color w:val="auto"/>
                <w:kern w:val="21"/>
                <w:szCs w:val="21"/>
              </w:rPr>
            </w:pPr>
            <w:r>
              <w:rPr>
                <w:rFonts w:hint="eastAsia"/>
                <w:color w:val="auto"/>
              </w:rPr>
              <w:t>0</w:t>
            </w:r>
          </w:p>
        </w:tc>
        <w:tc>
          <w:tcPr>
            <w:tcW w:w="1276" w:type="dxa"/>
            <w:noWrap w:val="0"/>
            <w:vAlign w:val="center"/>
          </w:tcPr>
          <w:p w14:paraId="7ED8866C">
            <w:pPr>
              <w:jc w:val="center"/>
              <w:rPr>
                <w:rFonts w:hint="eastAsia"/>
                <w:snapToGrid w:val="0"/>
                <w:color w:val="auto"/>
                <w:kern w:val="21"/>
                <w:szCs w:val="21"/>
              </w:rPr>
            </w:pPr>
            <w:r>
              <w:rPr>
                <w:rFonts w:hint="eastAsia"/>
                <w:color w:val="auto"/>
              </w:rPr>
              <w:t>0</w:t>
            </w:r>
          </w:p>
        </w:tc>
        <w:tc>
          <w:tcPr>
            <w:tcW w:w="1701" w:type="dxa"/>
            <w:noWrap w:val="0"/>
            <w:vAlign w:val="center"/>
          </w:tcPr>
          <w:p w14:paraId="1DA72140">
            <w:pPr>
              <w:jc w:val="center"/>
              <w:rPr>
                <w:rFonts w:hint="eastAsia"/>
                <w:snapToGrid w:val="0"/>
                <w:color w:val="auto"/>
                <w:kern w:val="21"/>
                <w:szCs w:val="21"/>
              </w:rPr>
            </w:pPr>
            <w:r>
              <w:rPr>
                <w:rFonts w:hint="eastAsia"/>
                <w:color w:val="auto"/>
              </w:rPr>
              <w:t>0</w:t>
            </w:r>
          </w:p>
        </w:tc>
        <w:tc>
          <w:tcPr>
            <w:tcW w:w="1559" w:type="dxa"/>
            <w:noWrap w:val="0"/>
            <w:vAlign w:val="center"/>
          </w:tcPr>
          <w:p w14:paraId="464C4D74">
            <w:pPr>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0.0846</w:t>
            </w:r>
            <w:r>
              <w:rPr>
                <w:rFonts w:hint="eastAsia" w:ascii="Times New Roman" w:hAnsi="Times New Roman" w:eastAsia="宋体" w:cs="Times New Roman"/>
                <w:color w:val="auto"/>
                <w:szCs w:val="21"/>
                <w:lang w:val="en-US" w:eastAsia="zh-CN"/>
              </w:rPr>
              <w:t>t/a</w:t>
            </w:r>
          </w:p>
        </w:tc>
        <w:tc>
          <w:tcPr>
            <w:tcW w:w="1418" w:type="dxa"/>
            <w:noWrap w:val="0"/>
            <w:vAlign w:val="center"/>
          </w:tcPr>
          <w:p w14:paraId="3F30E135">
            <w:pPr>
              <w:jc w:val="center"/>
              <w:rPr>
                <w:rFonts w:hint="eastAsia" w:eastAsia="宋体"/>
                <w:snapToGrid w:val="0"/>
                <w:color w:val="auto"/>
                <w:kern w:val="21"/>
                <w:szCs w:val="21"/>
                <w:lang w:val="en-US" w:eastAsia="zh-CN"/>
              </w:rPr>
            </w:pPr>
            <w:r>
              <w:rPr>
                <w:rFonts w:hint="eastAsia"/>
                <w:snapToGrid w:val="0"/>
                <w:color w:val="auto"/>
                <w:kern w:val="21"/>
                <w:szCs w:val="21"/>
                <w:lang w:val="en-US" w:eastAsia="zh-CN"/>
              </w:rPr>
              <w:t>0</w:t>
            </w:r>
          </w:p>
        </w:tc>
        <w:tc>
          <w:tcPr>
            <w:tcW w:w="1842" w:type="dxa"/>
            <w:noWrap w:val="0"/>
            <w:vAlign w:val="center"/>
          </w:tcPr>
          <w:p w14:paraId="44429F4A">
            <w:pPr>
              <w:jc w:val="center"/>
              <w:rPr>
                <w:rFonts w:ascii="Times New Roman"/>
                <w:color w:val="auto"/>
              </w:rPr>
            </w:pPr>
            <w:r>
              <w:rPr>
                <w:rFonts w:hint="eastAsia" w:ascii="Times New Roman" w:hAnsi="Times New Roman" w:eastAsia="宋体" w:cs="Times New Roman"/>
                <w:color w:val="auto"/>
                <w:lang w:val="en-US" w:eastAsia="zh-CN"/>
              </w:rPr>
              <w:t>0.0846</w:t>
            </w:r>
            <w:r>
              <w:rPr>
                <w:rFonts w:hint="eastAsia" w:ascii="Times New Roman" w:hAnsi="Times New Roman" w:eastAsia="宋体" w:cs="Times New Roman"/>
                <w:color w:val="auto"/>
                <w:szCs w:val="21"/>
                <w:lang w:val="en-US" w:eastAsia="zh-CN"/>
              </w:rPr>
              <w:t>t/a</w:t>
            </w:r>
          </w:p>
        </w:tc>
        <w:tc>
          <w:tcPr>
            <w:tcW w:w="1286" w:type="dxa"/>
            <w:noWrap w:val="0"/>
            <w:vAlign w:val="center"/>
          </w:tcPr>
          <w:p w14:paraId="26A5CF4C">
            <w:pPr>
              <w:jc w:val="center"/>
              <w:rPr>
                <w:snapToGrid w:val="0"/>
                <w:color w:val="auto"/>
                <w:kern w:val="21"/>
                <w:szCs w:val="21"/>
              </w:rPr>
            </w:pPr>
            <w:r>
              <w:rPr>
                <w:rFonts w:hint="eastAsia" w:ascii="Times New Roman" w:hAnsi="Times New Roman" w:eastAsia="宋体" w:cs="Times New Roman"/>
                <w:color w:val="auto"/>
                <w:lang w:val="en-US" w:eastAsia="zh-CN"/>
              </w:rPr>
              <w:t>+0.0846</w:t>
            </w:r>
            <w:r>
              <w:rPr>
                <w:rFonts w:hint="eastAsia" w:ascii="Times New Roman" w:hAnsi="Times New Roman" w:eastAsia="宋体" w:cs="Times New Roman"/>
                <w:color w:val="auto"/>
                <w:szCs w:val="21"/>
                <w:lang w:val="en-US" w:eastAsia="zh-CN"/>
              </w:rPr>
              <w:t>t/a</w:t>
            </w:r>
          </w:p>
        </w:tc>
      </w:tr>
      <w:tr w14:paraId="32B3D26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04" w:type="dxa"/>
            <w:vMerge w:val="continue"/>
            <w:noWrap w:val="0"/>
            <w:vAlign w:val="center"/>
          </w:tcPr>
          <w:p w14:paraId="6586A697">
            <w:pPr>
              <w:pStyle w:val="54"/>
              <w:spacing w:beforeLines="0" w:afterLines="0" w:line="240" w:lineRule="auto"/>
              <w:rPr>
                <w:rFonts w:hint="eastAsia" w:hAnsi="宋体" w:cs="宋体"/>
                <w:snapToGrid w:val="0"/>
                <w:color w:val="auto"/>
                <w:kern w:val="21"/>
                <w:szCs w:val="21"/>
              </w:rPr>
            </w:pPr>
          </w:p>
        </w:tc>
        <w:tc>
          <w:tcPr>
            <w:tcW w:w="1701" w:type="dxa"/>
            <w:noWrap w:val="0"/>
            <w:vAlign w:val="center"/>
          </w:tcPr>
          <w:p w14:paraId="41AA7A12">
            <w:pPr>
              <w:pStyle w:val="54"/>
              <w:spacing w:beforeLines="0" w:afterLines="0" w:line="240" w:lineRule="auto"/>
              <w:rPr>
                <w:rFonts w:hint="eastAsia" w:ascii="Times New Roman"/>
                <w:snapToGrid w:val="0"/>
                <w:color w:val="auto"/>
                <w:kern w:val="21"/>
                <w:szCs w:val="21"/>
              </w:rPr>
            </w:pPr>
            <w:r>
              <w:rPr>
                <w:rFonts w:hint="eastAsia" w:ascii="Times New Roman"/>
                <w:snapToGrid w:val="0"/>
                <w:color w:val="auto"/>
                <w:kern w:val="21"/>
                <w:szCs w:val="21"/>
              </w:rPr>
              <w:t>BOD</w:t>
            </w:r>
            <w:r>
              <w:rPr>
                <w:rFonts w:ascii="Times New Roman"/>
                <w:snapToGrid w:val="0"/>
                <w:color w:val="auto"/>
                <w:kern w:val="21"/>
                <w:szCs w:val="21"/>
                <w:vertAlign w:val="subscript"/>
              </w:rPr>
              <w:t>5</w:t>
            </w:r>
          </w:p>
        </w:tc>
        <w:tc>
          <w:tcPr>
            <w:tcW w:w="1701" w:type="dxa"/>
            <w:noWrap w:val="0"/>
            <w:vAlign w:val="center"/>
          </w:tcPr>
          <w:p w14:paraId="51752A7C">
            <w:pPr>
              <w:jc w:val="center"/>
              <w:rPr>
                <w:color w:val="auto"/>
              </w:rPr>
            </w:pPr>
            <w:r>
              <w:rPr>
                <w:rFonts w:hint="eastAsia"/>
                <w:color w:val="auto"/>
              </w:rPr>
              <w:t>0</w:t>
            </w:r>
          </w:p>
        </w:tc>
        <w:tc>
          <w:tcPr>
            <w:tcW w:w="1276" w:type="dxa"/>
            <w:noWrap w:val="0"/>
            <w:vAlign w:val="center"/>
          </w:tcPr>
          <w:p w14:paraId="0B784B1E">
            <w:pPr>
              <w:jc w:val="center"/>
              <w:rPr>
                <w:color w:val="auto"/>
              </w:rPr>
            </w:pPr>
            <w:r>
              <w:rPr>
                <w:rFonts w:hint="eastAsia"/>
                <w:color w:val="auto"/>
              </w:rPr>
              <w:t>0</w:t>
            </w:r>
          </w:p>
        </w:tc>
        <w:tc>
          <w:tcPr>
            <w:tcW w:w="1701" w:type="dxa"/>
            <w:noWrap w:val="0"/>
            <w:vAlign w:val="center"/>
          </w:tcPr>
          <w:p w14:paraId="530CF4EE">
            <w:pPr>
              <w:jc w:val="center"/>
              <w:rPr>
                <w:color w:val="auto"/>
              </w:rPr>
            </w:pPr>
            <w:r>
              <w:rPr>
                <w:rFonts w:hint="eastAsia"/>
                <w:color w:val="auto"/>
              </w:rPr>
              <w:t>0</w:t>
            </w:r>
          </w:p>
        </w:tc>
        <w:tc>
          <w:tcPr>
            <w:tcW w:w="1559" w:type="dxa"/>
            <w:noWrap w:val="0"/>
            <w:vAlign w:val="center"/>
          </w:tcPr>
          <w:p w14:paraId="45E9D8B4">
            <w:pPr>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0.034</w:t>
            </w:r>
            <w:r>
              <w:rPr>
                <w:rFonts w:hint="eastAsia" w:ascii="Times New Roman" w:hAnsi="Times New Roman" w:eastAsia="宋体" w:cs="Times New Roman"/>
                <w:color w:val="auto"/>
                <w:szCs w:val="21"/>
                <w:lang w:val="en-US" w:eastAsia="zh-CN"/>
              </w:rPr>
              <w:t>t/a</w:t>
            </w:r>
          </w:p>
        </w:tc>
        <w:tc>
          <w:tcPr>
            <w:tcW w:w="1418" w:type="dxa"/>
            <w:noWrap w:val="0"/>
            <w:vAlign w:val="center"/>
          </w:tcPr>
          <w:p w14:paraId="6485871F">
            <w:pPr>
              <w:jc w:val="center"/>
              <w:rPr>
                <w:rFonts w:hint="eastAsia" w:eastAsia="宋体"/>
                <w:color w:val="auto"/>
                <w:lang w:val="en-US" w:eastAsia="zh-CN"/>
              </w:rPr>
            </w:pPr>
            <w:r>
              <w:rPr>
                <w:rFonts w:hint="eastAsia"/>
                <w:color w:val="auto"/>
                <w:lang w:val="en-US" w:eastAsia="zh-CN"/>
              </w:rPr>
              <w:t>0</w:t>
            </w:r>
          </w:p>
        </w:tc>
        <w:tc>
          <w:tcPr>
            <w:tcW w:w="1842" w:type="dxa"/>
            <w:noWrap w:val="0"/>
            <w:vAlign w:val="center"/>
          </w:tcPr>
          <w:p w14:paraId="7CFEB9D2">
            <w:pPr>
              <w:jc w:val="center"/>
              <w:rPr>
                <w:rFonts w:ascii="Times New Roman"/>
                <w:snapToGrid w:val="0"/>
                <w:color w:val="auto"/>
                <w:kern w:val="21"/>
                <w:szCs w:val="21"/>
              </w:rPr>
            </w:pPr>
            <w:r>
              <w:rPr>
                <w:rFonts w:hint="eastAsia" w:ascii="Times New Roman" w:hAnsi="Times New Roman" w:eastAsia="宋体" w:cs="Times New Roman"/>
                <w:color w:val="auto"/>
                <w:lang w:val="en-US" w:eastAsia="zh-CN"/>
              </w:rPr>
              <w:t>0.034</w:t>
            </w:r>
            <w:r>
              <w:rPr>
                <w:rFonts w:hint="eastAsia" w:ascii="Times New Roman" w:hAnsi="Times New Roman" w:eastAsia="宋体" w:cs="Times New Roman"/>
                <w:color w:val="auto"/>
                <w:szCs w:val="21"/>
                <w:lang w:val="en-US" w:eastAsia="zh-CN"/>
              </w:rPr>
              <w:t>t/a</w:t>
            </w:r>
          </w:p>
        </w:tc>
        <w:tc>
          <w:tcPr>
            <w:tcW w:w="1286" w:type="dxa"/>
            <w:noWrap w:val="0"/>
            <w:vAlign w:val="center"/>
          </w:tcPr>
          <w:p w14:paraId="0D72ECBE">
            <w:pPr>
              <w:jc w:val="center"/>
              <w:rPr>
                <w:color w:val="auto"/>
              </w:rPr>
            </w:pPr>
            <w:r>
              <w:rPr>
                <w:rFonts w:hint="eastAsia" w:ascii="Times New Roman" w:hAnsi="Times New Roman" w:eastAsia="宋体" w:cs="Times New Roman"/>
                <w:color w:val="auto"/>
                <w:lang w:val="en-US" w:eastAsia="zh-CN"/>
              </w:rPr>
              <w:t>+0.034</w:t>
            </w:r>
            <w:r>
              <w:rPr>
                <w:rFonts w:hint="eastAsia" w:ascii="Times New Roman" w:hAnsi="Times New Roman" w:eastAsia="宋体" w:cs="Times New Roman"/>
                <w:color w:val="auto"/>
                <w:szCs w:val="21"/>
                <w:lang w:val="en-US" w:eastAsia="zh-CN"/>
              </w:rPr>
              <w:t>t/a</w:t>
            </w:r>
          </w:p>
        </w:tc>
      </w:tr>
      <w:tr w14:paraId="27046E5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04" w:type="dxa"/>
            <w:vMerge w:val="continue"/>
            <w:noWrap w:val="0"/>
            <w:vAlign w:val="center"/>
          </w:tcPr>
          <w:p w14:paraId="1F5F3F1B">
            <w:pPr>
              <w:pStyle w:val="54"/>
              <w:spacing w:beforeLines="0" w:afterLines="0" w:line="240" w:lineRule="auto"/>
              <w:rPr>
                <w:rFonts w:hint="eastAsia" w:hAnsi="宋体" w:cs="宋体"/>
                <w:snapToGrid w:val="0"/>
                <w:color w:val="auto"/>
                <w:kern w:val="21"/>
                <w:szCs w:val="21"/>
              </w:rPr>
            </w:pPr>
          </w:p>
        </w:tc>
        <w:tc>
          <w:tcPr>
            <w:tcW w:w="1701" w:type="dxa"/>
            <w:noWrap w:val="0"/>
            <w:vAlign w:val="center"/>
          </w:tcPr>
          <w:p w14:paraId="657F0069">
            <w:pPr>
              <w:pStyle w:val="54"/>
              <w:spacing w:beforeLines="0" w:afterLines="0" w:line="240" w:lineRule="auto"/>
              <w:rPr>
                <w:rFonts w:hint="eastAsia" w:ascii="Times New Roman"/>
                <w:snapToGrid w:val="0"/>
                <w:color w:val="auto"/>
                <w:kern w:val="21"/>
                <w:szCs w:val="21"/>
              </w:rPr>
            </w:pPr>
            <w:r>
              <w:rPr>
                <w:rFonts w:hint="eastAsia" w:ascii="Times New Roman"/>
                <w:snapToGrid w:val="0"/>
                <w:color w:val="auto"/>
                <w:kern w:val="21"/>
                <w:szCs w:val="21"/>
              </w:rPr>
              <w:t>氨氮</w:t>
            </w:r>
          </w:p>
        </w:tc>
        <w:tc>
          <w:tcPr>
            <w:tcW w:w="1701" w:type="dxa"/>
            <w:noWrap w:val="0"/>
            <w:vAlign w:val="center"/>
          </w:tcPr>
          <w:p w14:paraId="5D818F5E">
            <w:pPr>
              <w:jc w:val="center"/>
              <w:rPr>
                <w:color w:val="auto"/>
              </w:rPr>
            </w:pPr>
            <w:r>
              <w:rPr>
                <w:rFonts w:hint="eastAsia"/>
                <w:color w:val="auto"/>
              </w:rPr>
              <w:t>0</w:t>
            </w:r>
          </w:p>
        </w:tc>
        <w:tc>
          <w:tcPr>
            <w:tcW w:w="1276" w:type="dxa"/>
            <w:noWrap w:val="0"/>
            <w:vAlign w:val="center"/>
          </w:tcPr>
          <w:p w14:paraId="4053453E">
            <w:pPr>
              <w:jc w:val="center"/>
              <w:rPr>
                <w:color w:val="auto"/>
              </w:rPr>
            </w:pPr>
            <w:r>
              <w:rPr>
                <w:rFonts w:hint="eastAsia"/>
                <w:color w:val="auto"/>
              </w:rPr>
              <w:t>0</w:t>
            </w:r>
          </w:p>
        </w:tc>
        <w:tc>
          <w:tcPr>
            <w:tcW w:w="1701" w:type="dxa"/>
            <w:noWrap w:val="0"/>
            <w:vAlign w:val="center"/>
          </w:tcPr>
          <w:p w14:paraId="1A77D2AA">
            <w:pPr>
              <w:jc w:val="center"/>
              <w:rPr>
                <w:color w:val="auto"/>
              </w:rPr>
            </w:pPr>
            <w:r>
              <w:rPr>
                <w:rFonts w:hint="eastAsia"/>
                <w:color w:val="auto"/>
              </w:rPr>
              <w:t>0</w:t>
            </w:r>
          </w:p>
        </w:tc>
        <w:tc>
          <w:tcPr>
            <w:tcW w:w="1559" w:type="dxa"/>
            <w:noWrap w:val="0"/>
            <w:vAlign w:val="center"/>
          </w:tcPr>
          <w:p w14:paraId="7E178402">
            <w:pPr>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0.00564</w:t>
            </w:r>
            <w:r>
              <w:rPr>
                <w:rFonts w:hint="eastAsia" w:ascii="Times New Roman" w:hAnsi="Times New Roman" w:eastAsia="宋体" w:cs="Times New Roman"/>
                <w:color w:val="auto"/>
                <w:szCs w:val="21"/>
                <w:lang w:val="en-US" w:eastAsia="zh-CN"/>
              </w:rPr>
              <w:t>t/a</w:t>
            </w:r>
          </w:p>
        </w:tc>
        <w:tc>
          <w:tcPr>
            <w:tcW w:w="1418" w:type="dxa"/>
            <w:noWrap w:val="0"/>
            <w:vAlign w:val="center"/>
          </w:tcPr>
          <w:p w14:paraId="19903A6D">
            <w:pPr>
              <w:jc w:val="center"/>
              <w:rPr>
                <w:color w:val="auto"/>
              </w:rPr>
            </w:pPr>
            <w:r>
              <w:rPr>
                <w:rFonts w:hint="eastAsia"/>
                <w:color w:val="auto"/>
              </w:rPr>
              <w:t>0</w:t>
            </w:r>
          </w:p>
        </w:tc>
        <w:tc>
          <w:tcPr>
            <w:tcW w:w="1842" w:type="dxa"/>
            <w:noWrap w:val="0"/>
            <w:vAlign w:val="center"/>
          </w:tcPr>
          <w:p w14:paraId="5390C84C">
            <w:pPr>
              <w:jc w:val="center"/>
              <w:rPr>
                <w:rFonts w:ascii="Times New Roman"/>
                <w:snapToGrid w:val="0"/>
                <w:color w:val="auto"/>
                <w:kern w:val="21"/>
                <w:szCs w:val="21"/>
              </w:rPr>
            </w:pPr>
            <w:r>
              <w:rPr>
                <w:rFonts w:hint="eastAsia" w:ascii="Times New Roman" w:hAnsi="Times New Roman" w:eastAsia="宋体" w:cs="Times New Roman"/>
                <w:color w:val="auto"/>
                <w:lang w:val="en-US" w:eastAsia="zh-CN"/>
              </w:rPr>
              <w:t>0.00564</w:t>
            </w:r>
            <w:r>
              <w:rPr>
                <w:rFonts w:hint="eastAsia" w:ascii="Times New Roman" w:hAnsi="Times New Roman" w:eastAsia="宋体" w:cs="Times New Roman"/>
                <w:color w:val="auto"/>
                <w:szCs w:val="21"/>
                <w:lang w:val="en-US" w:eastAsia="zh-CN"/>
              </w:rPr>
              <w:t>t/a</w:t>
            </w:r>
          </w:p>
        </w:tc>
        <w:tc>
          <w:tcPr>
            <w:tcW w:w="1286" w:type="dxa"/>
            <w:noWrap w:val="0"/>
            <w:vAlign w:val="center"/>
          </w:tcPr>
          <w:p w14:paraId="6D93601C">
            <w:pPr>
              <w:jc w:val="center"/>
              <w:rPr>
                <w:color w:val="auto"/>
              </w:rPr>
            </w:pPr>
            <w:r>
              <w:rPr>
                <w:rFonts w:hint="eastAsia" w:ascii="Times New Roman" w:hAnsi="Times New Roman" w:eastAsia="宋体" w:cs="Times New Roman"/>
                <w:color w:val="auto"/>
                <w:lang w:val="en-US" w:eastAsia="zh-CN"/>
              </w:rPr>
              <w:t>+0.00564</w:t>
            </w:r>
            <w:r>
              <w:rPr>
                <w:rFonts w:hint="eastAsia" w:ascii="Times New Roman" w:hAnsi="Times New Roman" w:eastAsia="宋体" w:cs="Times New Roman"/>
                <w:color w:val="auto"/>
                <w:szCs w:val="21"/>
                <w:lang w:val="en-US" w:eastAsia="zh-CN"/>
              </w:rPr>
              <w:t>t/a</w:t>
            </w:r>
          </w:p>
        </w:tc>
      </w:tr>
      <w:tr w14:paraId="565A1CD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1304" w:type="dxa"/>
            <w:vMerge w:val="continue"/>
            <w:noWrap w:val="0"/>
            <w:vAlign w:val="center"/>
          </w:tcPr>
          <w:p w14:paraId="4800E7BD">
            <w:pPr>
              <w:pStyle w:val="54"/>
              <w:spacing w:beforeLines="0" w:afterLines="0" w:line="240" w:lineRule="auto"/>
              <w:rPr>
                <w:rFonts w:hint="eastAsia" w:hAnsi="宋体" w:cs="宋体"/>
                <w:snapToGrid w:val="0"/>
                <w:color w:val="auto"/>
                <w:kern w:val="21"/>
                <w:szCs w:val="21"/>
              </w:rPr>
            </w:pPr>
          </w:p>
        </w:tc>
        <w:tc>
          <w:tcPr>
            <w:tcW w:w="1701" w:type="dxa"/>
            <w:noWrap w:val="0"/>
            <w:vAlign w:val="center"/>
          </w:tcPr>
          <w:p w14:paraId="37AE3BF6">
            <w:pPr>
              <w:pStyle w:val="54"/>
              <w:spacing w:beforeLines="0" w:afterLines="0" w:line="240" w:lineRule="auto"/>
              <w:rPr>
                <w:rFonts w:hint="eastAsia" w:ascii="Times New Roman"/>
                <w:snapToGrid w:val="0"/>
                <w:color w:val="auto"/>
                <w:kern w:val="21"/>
                <w:szCs w:val="21"/>
              </w:rPr>
            </w:pPr>
            <w:r>
              <w:rPr>
                <w:rFonts w:hint="eastAsia" w:ascii="Times New Roman"/>
                <w:snapToGrid w:val="0"/>
                <w:color w:val="auto"/>
                <w:kern w:val="21"/>
                <w:szCs w:val="21"/>
              </w:rPr>
              <w:t>SS</w:t>
            </w:r>
          </w:p>
        </w:tc>
        <w:tc>
          <w:tcPr>
            <w:tcW w:w="1701" w:type="dxa"/>
            <w:noWrap w:val="0"/>
            <w:vAlign w:val="center"/>
          </w:tcPr>
          <w:p w14:paraId="173A4ADB">
            <w:pPr>
              <w:jc w:val="center"/>
              <w:rPr>
                <w:rFonts w:hint="eastAsia"/>
                <w:snapToGrid w:val="0"/>
                <w:color w:val="auto"/>
                <w:kern w:val="21"/>
                <w:szCs w:val="21"/>
              </w:rPr>
            </w:pPr>
            <w:r>
              <w:rPr>
                <w:rFonts w:hint="eastAsia"/>
                <w:color w:val="auto"/>
              </w:rPr>
              <w:t>0</w:t>
            </w:r>
          </w:p>
        </w:tc>
        <w:tc>
          <w:tcPr>
            <w:tcW w:w="1276" w:type="dxa"/>
            <w:noWrap w:val="0"/>
            <w:vAlign w:val="center"/>
          </w:tcPr>
          <w:p w14:paraId="11F7F51D">
            <w:pPr>
              <w:jc w:val="center"/>
              <w:rPr>
                <w:rFonts w:hint="eastAsia"/>
                <w:snapToGrid w:val="0"/>
                <w:color w:val="auto"/>
                <w:kern w:val="21"/>
                <w:szCs w:val="21"/>
              </w:rPr>
            </w:pPr>
            <w:r>
              <w:rPr>
                <w:rFonts w:hint="eastAsia"/>
                <w:color w:val="auto"/>
              </w:rPr>
              <w:t>0</w:t>
            </w:r>
          </w:p>
        </w:tc>
        <w:tc>
          <w:tcPr>
            <w:tcW w:w="1701" w:type="dxa"/>
            <w:noWrap w:val="0"/>
            <w:vAlign w:val="center"/>
          </w:tcPr>
          <w:p w14:paraId="02DD2F71">
            <w:pPr>
              <w:jc w:val="center"/>
              <w:rPr>
                <w:rFonts w:hint="eastAsia"/>
                <w:snapToGrid w:val="0"/>
                <w:color w:val="auto"/>
                <w:kern w:val="21"/>
                <w:szCs w:val="21"/>
              </w:rPr>
            </w:pPr>
            <w:r>
              <w:rPr>
                <w:rFonts w:hint="eastAsia"/>
                <w:color w:val="auto"/>
              </w:rPr>
              <w:t>0</w:t>
            </w:r>
          </w:p>
        </w:tc>
        <w:tc>
          <w:tcPr>
            <w:tcW w:w="1559" w:type="dxa"/>
            <w:noWrap w:val="0"/>
            <w:vAlign w:val="center"/>
          </w:tcPr>
          <w:p w14:paraId="4B500A75">
            <w:pPr>
              <w:jc w:val="center"/>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0.0368</w:t>
            </w:r>
            <w:r>
              <w:rPr>
                <w:rFonts w:hint="eastAsia" w:ascii="Times New Roman" w:hAnsi="Times New Roman" w:eastAsia="宋体" w:cs="Times New Roman"/>
                <w:color w:val="auto"/>
                <w:szCs w:val="21"/>
                <w:lang w:val="en-US" w:eastAsia="zh-CN"/>
              </w:rPr>
              <w:t>t/a</w:t>
            </w:r>
          </w:p>
        </w:tc>
        <w:tc>
          <w:tcPr>
            <w:tcW w:w="1418" w:type="dxa"/>
            <w:noWrap w:val="0"/>
            <w:vAlign w:val="center"/>
          </w:tcPr>
          <w:p w14:paraId="2F46F8B5">
            <w:pPr>
              <w:jc w:val="center"/>
              <w:rPr>
                <w:rFonts w:hint="eastAsia"/>
                <w:snapToGrid w:val="0"/>
                <w:color w:val="auto"/>
                <w:kern w:val="21"/>
                <w:szCs w:val="21"/>
              </w:rPr>
            </w:pPr>
            <w:r>
              <w:rPr>
                <w:rFonts w:hint="eastAsia"/>
                <w:color w:val="auto"/>
              </w:rPr>
              <w:t>0</w:t>
            </w:r>
          </w:p>
        </w:tc>
        <w:tc>
          <w:tcPr>
            <w:tcW w:w="1842" w:type="dxa"/>
            <w:noWrap w:val="0"/>
            <w:vAlign w:val="center"/>
          </w:tcPr>
          <w:p w14:paraId="32B5EFE7">
            <w:pPr>
              <w:jc w:val="center"/>
              <w:rPr>
                <w:rFonts w:ascii="Times New Roman"/>
                <w:snapToGrid w:val="0"/>
                <w:color w:val="auto"/>
                <w:kern w:val="21"/>
                <w:szCs w:val="21"/>
              </w:rPr>
            </w:pPr>
            <w:r>
              <w:rPr>
                <w:rFonts w:hint="eastAsia" w:ascii="Times New Roman" w:hAnsi="Times New Roman" w:eastAsia="宋体" w:cs="Times New Roman"/>
                <w:color w:val="auto"/>
                <w:lang w:val="en-US" w:eastAsia="zh-CN"/>
              </w:rPr>
              <w:t>0.0368</w:t>
            </w:r>
            <w:r>
              <w:rPr>
                <w:rFonts w:hint="eastAsia" w:ascii="Times New Roman" w:hAnsi="Times New Roman" w:eastAsia="宋体" w:cs="Times New Roman"/>
                <w:color w:val="auto"/>
                <w:szCs w:val="21"/>
                <w:lang w:val="en-US" w:eastAsia="zh-CN"/>
              </w:rPr>
              <w:t>t/a</w:t>
            </w:r>
          </w:p>
        </w:tc>
        <w:tc>
          <w:tcPr>
            <w:tcW w:w="1286" w:type="dxa"/>
            <w:noWrap w:val="0"/>
            <w:vAlign w:val="center"/>
          </w:tcPr>
          <w:p w14:paraId="49DCF273">
            <w:pPr>
              <w:jc w:val="center"/>
              <w:rPr>
                <w:snapToGrid w:val="0"/>
                <w:color w:val="auto"/>
                <w:kern w:val="21"/>
                <w:szCs w:val="21"/>
              </w:rPr>
            </w:pPr>
            <w:r>
              <w:rPr>
                <w:rFonts w:hint="eastAsia" w:ascii="Times New Roman" w:hAnsi="Times New Roman" w:eastAsia="宋体" w:cs="Times New Roman"/>
                <w:color w:val="auto"/>
                <w:lang w:val="en-US" w:eastAsia="zh-CN"/>
              </w:rPr>
              <w:t>+0.0368</w:t>
            </w:r>
            <w:r>
              <w:rPr>
                <w:rFonts w:hint="eastAsia" w:ascii="Times New Roman" w:hAnsi="Times New Roman" w:eastAsia="宋体" w:cs="Times New Roman"/>
                <w:color w:val="auto"/>
                <w:szCs w:val="21"/>
                <w:lang w:val="en-US" w:eastAsia="zh-CN"/>
              </w:rPr>
              <w:t>t/a</w:t>
            </w:r>
          </w:p>
        </w:tc>
      </w:tr>
      <w:tr w14:paraId="10E6A1A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04" w:type="dxa"/>
            <w:vMerge w:val="restart"/>
            <w:noWrap w:val="0"/>
            <w:vAlign w:val="center"/>
          </w:tcPr>
          <w:p w14:paraId="3CCADC72">
            <w:pPr>
              <w:pStyle w:val="54"/>
              <w:spacing w:before="24" w:after="24" w:line="240" w:lineRule="auto"/>
              <w:rPr>
                <w:rFonts w:hint="eastAsia" w:hAnsi="宋体" w:cs="宋体"/>
                <w:snapToGrid w:val="0"/>
                <w:color w:val="auto"/>
                <w:kern w:val="21"/>
                <w:szCs w:val="21"/>
              </w:rPr>
            </w:pPr>
            <w:r>
              <w:rPr>
                <w:rFonts w:hint="eastAsia" w:hAnsi="宋体" w:cs="宋体"/>
                <w:snapToGrid w:val="0"/>
                <w:color w:val="auto"/>
                <w:kern w:val="21"/>
                <w:szCs w:val="21"/>
              </w:rPr>
              <w:t>一般工业固体废物</w:t>
            </w:r>
          </w:p>
        </w:tc>
        <w:tc>
          <w:tcPr>
            <w:tcW w:w="1701" w:type="dxa"/>
            <w:noWrap w:val="0"/>
            <w:vAlign w:val="center"/>
          </w:tcPr>
          <w:p w14:paraId="388DE48B">
            <w:pPr>
              <w:pStyle w:val="54"/>
              <w:spacing w:before="24" w:after="24" w:line="240" w:lineRule="auto"/>
              <w:rPr>
                <w:rFonts w:hint="eastAsia" w:ascii="宋体" w:hAnsi="宋体" w:eastAsia="宋体" w:cs="宋体"/>
                <w:snapToGrid w:val="0"/>
                <w:color w:val="auto"/>
                <w:kern w:val="21"/>
                <w:szCs w:val="21"/>
              </w:rPr>
            </w:pPr>
            <w:r>
              <w:rPr>
                <w:rFonts w:hint="eastAsia" w:ascii="宋体" w:hAnsi="宋体" w:eastAsia="宋体" w:cs="宋体"/>
                <w:snapToGrid w:val="0"/>
                <w:color w:val="auto"/>
                <w:kern w:val="21"/>
                <w:szCs w:val="21"/>
                <w:lang w:val="en-US" w:eastAsia="zh-CN"/>
              </w:rPr>
              <w:t>样品边角料</w:t>
            </w:r>
          </w:p>
        </w:tc>
        <w:tc>
          <w:tcPr>
            <w:tcW w:w="1701" w:type="dxa"/>
            <w:noWrap w:val="0"/>
            <w:vAlign w:val="center"/>
          </w:tcPr>
          <w:p w14:paraId="11B297C3">
            <w:pPr>
              <w:jc w:val="center"/>
              <w:rPr>
                <w:rFonts w:hint="eastAsia"/>
                <w:snapToGrid w:val="0"/>
                <w:color w:val="auto"/>
                <w:kern w:val="21"/>
                <w:szCs w:val="21"/>
              </w:rPr>
            </w:pPr>
            <w:r>
              <w:rPr>
                <w:rFonts w:hint="eastAsia"/>
                <w:color w:val="auto"/>
              </w:rPr>
              <w:t>0</w:t>
            </w:r>
          </w:p>
        </w:tc>
        <w:tc>
          <w:tcPr>
            <w:tcW w:w="1276" w:type="dxa"/>
            <w:noWrap w:val="0"/>
            <w:vAlign w:val="center"/>
          </w:tcPr>
          <w:p w14:paraId="33D03765">
            <w:pPr>
              <w:jc w:val="center"/>
              <w:rPr>
                <w:rFonts w:hint="eastAsia"/>
                <w:snapToGrid w:val="0"/>
                <w:color w:val="auto"/>
                <w:kern w:val="21"/>
                <w:szCs w:val="21"/>
              </w:rPr>
            </w:pPr>
            <w:r>
              <w:rPr>
                <w:rFonts w:hint="eastAsia"/>
                <w:color w:val="auto"/>
              </w:rPr>
              <w:t>0</w:t>
            </w:r>
          </w:p>
        </w:tc>
        <w:tc>
          <w:tcPr>
            <w:tcW w:w="1701" w:type="dxa"/>
            <w:noWrap w:val="0"/>
            <w:vAlign w:val="center"/>
          </w:tcPr>
          <w:p w14:paraId="1A52BBBF">
            <w:pPr>
              <w:jc w:val="center"/>
              <w:rPr>
                <w:rFonts w:hint="eastAsia"/>
                <w:snapToGrid w:val="0"/>
                <w:color w:val="auto"/>
                <w:kern w:val="21"/>
                <w:szCs w:val="21"/>
              </w:rPr>
            </w:pPr>
            <w:r>
              <w:rPr>
                <w:rFonts w:hint="eastAsia"/>
                <w:color w:val="auto"/>
              </w:rPr>
              <w:t>0</w:t>
            </w:r>
          </w:p>
        </w:tc>
        <w:tc>
          <w:tcPr>
            <w:tcW w:w="1559" w:type="dxa"/>
            <w:noWrap w:val="0"/>
            <w:vAlign w:val="center"/>
          </w:tcPr>
          <w:p w14:paraId="31B7413F">
            <w:pPr>
              <w:jc w:val="center"/>
              <w:rPr>
                <w:rFonts w:hint="eastAsia" w:ascii="Times New Roman" w:hAnsi="Times New Roman" w:eastAsia="宋体" w:cs="Times New Roman"/>
                <w:color w:val="auto"/>
              </w:rPr>
            </w:pPr>
            <w:r>
              <w:rPr>
                <w:rFonts w:hint="eastAsia" w:ascii="Times New Roman" w:hAnsi="Times New Roman" w:eastAsia="宋体" w:cs="Times New Roman"/>
                <w:color w:val="auto"/>
                <w:lang w:val="en-US" w:eastAsia="zh-CN"/>
              </w:rPr>
              <w:t>0.3</w:t>
            </w:r>
            <w:r>
              <w:rPr>
                <w:rFonts w:hint="eastAsia" w:ascii="Times New Roman" w:hAnsi="Times New Roman" w:eastAsia="宋体" w:cs="Times New Roman"/>
                <w:color w:val="auto"/>
                <w:szCs w:val="21"/>
                <w:lang w:val="en-US" w:eastAsia="zh-CN"/>
              </w:rPr>
              <w:t>t/a</w:t>
            </w:r>
          </w:p>
        </w:tc>
        <w:tc>
          <w:tcPr>
            <w:tcW w:w="1418" w:type="dxa"/>
            <w:noWrap w:val="0"/>
            <w:vAlign w:val="center"/>
          </w:tcPr>
          <w:p w14:paraId="31075C6E">
            <w:pPr>
              <w:jc w:val="center"/>
              <w:rPr>
                <w:rFonts w:hint="eastAsia"/>
                <w:snapToGrid w:val="0"/>
                <w:color w:val="auto"/>
                <w:kern w:val="21"/>
                <w:szCs w:val="21"/>
              </w:rPr>
            </w:pPr>
            <w:r>
              <w:rPr>
                <w:rFonts w:hint="eastAsia"/>
                <w:color w:val="auto"/>
              </w:rPr>
              <w:t>0</w:t>
            </w:r>
          </w:p>
        </w:tc>
        <w:tc>
          <w:tcPr>
            <w:tcW w:w="1842" w:type="dxa"/>
            <w:noWrap w:val="0"/>
            <w:vAlign w:val="center"/>
          </w:tcPr>
          <w:p w14:paraId="456DC3F5">
            <w:pPr>
              <w:jc w:val="center"/>
              <w:rPr>
                <w:rFonts w:hint="eastAsia"/>
                <w:color w:val="auto"/>
                <w:szCs w:val="21"/>
              </w:rPr>
            </w:pPr>
            <w:r>
              <w:rPr>
                <w:rFonts w:hint="eastAsia" w:ascii="Times New Roman" w:hAnsi="Times New Roman" w:eastAsia="宋体" w:cs="Times New Roman"/>
                <w:color w:val="auto"/>
                <w:lang w:val="en-US" w:eastAsia="zh-CN"/>
              </w:rPr>
              <w:t>0.3</w:t>
            </w:r>
            <w:r>
              <w:rPr>
                <w:rFonts w:hint="eastAsia" w:ascii="Times New Roman" w:hAnsi="Times New Roman" w:eastAsia="宋体" w:cs="Times New Roman"/>
                <w:color w:val="auto"/>
                <w:szCs w:val="21"/>
                <w:lang w:val="en-US" w:eastAsia="zh-CN"/>
              </w:rPr>
              <w:t>t/a</w:t>
            </w:r>
          </w:p>
        </w:tc>
        <w:tc>
          <w:tcPr>
            <w:tcW w:w="1286" w:type="dxa"/>
            <w:noWrap w:val="0"/>
            <w:vAlign w:val="center"/>
          </w:tcPr>
          <w:p w14:paraId="38705E2E">
            <w:pPr>
              <w:jc w:val="center"/>
              <w:rPr>
                <w:color w:val="auto"/>
              </w:rPr>
            </w:pPr>
            <w:r>
              <w:rPr>
                <w:rFonts w:hint="eastAsia" w:ascii="Times New Roman" w:hAnsi="Times New Roman" w:eastAsia="宋体" w:cs="Times New Roman"/>
                <w:color w:val="auto"/>
                <w:lang w:val="en-US" w:eastAsia="zh-CN"/>
              </w:rPr>
              <w:t>+0.3</w:t>
            </w:r>
            <w:r>
              <w:rPr>
                <w:rFonts w:hint="eastAsia" w:ascii="Times New Roman" w:hAnsi="Times New Roman" w:eastAsia="宋体" w:cs="Times New Roman"/>
                <w:color w:val="auto"/>
                <w:szCs w:val="21"/>
                <w:lang w:val="en-US" w:eastAsia="zh-CN"/>
              </w:rPr>
              <w:t>t/a</w:t>
            </w:r>
          </w:p>
        </w:tc>
      </w:tr>
      <w:tr w14:paraId="6E82E70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04" w:type="dxa"/>
            <w:vMerge w:val="continue"/>
            <w:noWrap w:val="0"/>
            <w:vAlign w:val="center"/>
          </w:tcPr>
          <w:p w14:paraId="7542E4ED">
            <w:pPr>
              <w:pStyle w:val="54"/>
              <w:spacing w:before="24" w:after="24" w:line="240" w:lineRule="auto"/>
              <w:rPr>
                <w:rFonts w:hint="eastAsia" w:hAnsi="宋体" w:cs="宋体"/>
                <w:snapToGrid w:val="0"/>
                <w:color w:val="auto"/>
                <w:kern w:val="21"/>
                <w:szCs w:val="21"/>
              </w:rPr>
            </w:pPr>
          </w:p>
        </w:tc>
        <w:tc>
          <w:tcPr>
            <w:tcW w:w="1701" w:type="dxa"/>
            <w:noWrap w:val="0"/>
            <w:vAlign w:val="center"/>
          </w:tcPr>
          <w:p w14:paraId="3E19DB28">
            <w:pPr>
              <w:pStyle w:val="54"/>
              <w:spacing w:before="24" w:after="24" w:line="240" w:lineRule="auto"/>
              <w:rPr>
                <w:rFonts w:hint="eastAsia" w:ascii="宋体" w:hAnsi="宋体" w:eastAsia="宋体" w:cs="宋体"/>
                <w:snapToGrid w:val="0"/>
                <w:color w:val="auto"/>
                <w:kern w:val="21"/>
                <w:szCs w:val="21"/>
              </w:rPr>
            </w:pPr>
            <w:r>
              <w:rPr>
                <w:rFonts w:hint="eastAsia" w:ascii="宋体" w:hAnsi="宋体" w:eastAsia="宋体" w:cs="宋体"/>
                <w:snapToGrid w:val="0"/>
                <w:color w:val="auto"/>
                <w:kern w:val="21"/>
                <w:szCs w:val="21"/>
                <w:lang w:val="en-US" w:eastAsia="zh-CN"/>
              </w:rPr>
              <w:t>除尘器收尘灰</w:t>
            </w:r>
          </w:p>
        </w:tc>
        <w:tc>
          <w:tcPr>
            <w:tcW w:w="1701" w:type="dxa"/>
            <w:noWrap w:val="0"/>
            <w:vAlign w:val="center"/>
          </w:tcPr>
          <w:p w14:paraId="79D36282">
            <w:pPr>
              <w:jc w:val="center"/>
              <w:rPr>
                <w:rFonts w:hint="eastAsia"/>
                <w:snapToGrid w:val="0"/>
                <w:color w:val="auto"/>
                <w:kern w:val="21"/>
                <w:szCs w:val="21"/>
              </w:rPr>
            </w:pPr>
            <w:r>
              <w:rPr>
                <w:rFonts w:hint="eastAsia"/>
                <w:color w:val="auto"/>
              </w:rPr>
              <w:t>0</w:t>
            </w:r>
          </w:p>
        </w:tc>
        <w:tc>
          <w:tcPr>
            <w:tcW w:w="1276" w:type="dxa"/>
            <w:noWrap w:val="0"/>
            <w:vAlign w:val="center"/>
          </w:tcPr>
          <w:p w14:paraId="07CAB8BE">
            <w:pPr>
              <w:jc w:val="center"/>
              <w:rPr>
                <w:rFonts w:hint="eastAsia"/>
                <w:snapToGrid w:val="0"/>
                <w:color w:val="auto"/>
                <w:kern w:val="21"/>
                <w:szCs w:val="21"/>
              </w:rPr>
            </w:pPr>
            <w:r>
              <w:rPr>
                <w:rFonts w:hint="eastAsia"/>
                <w:color w:val="auto"/>
              </w:rPr>
              <w:t>0</w:t>
            </w:r>
          </w:p>
        </w:tc>
        <w:tc>
          <w:tcPr>
            <w:tcW w:w="1701" w:type="dxa"/>
            <w:noWrap w:val="0"/>
            <w:vAlign w:val="center"/>
          </w:tcPr>
          <w:p w14:paraId="34C5C9C7">
            <w:pPr>
              <w:jc w:val="center"/>
              <w:rPr>
                <w:rFonts w:hint="eastAsia"/>
                <w:snapToGrid w:val="0"/>
                <w:color w:val="auto"/>
                <w:kern w:val="21"/>
                <w:szCs w:val="21"/>
              </w:rPr>
            </w:pPr>
            <w:r>
              <w:rPr>
                <w:rFonts w:hint="eastAsia"/>
                <w:color w:val="auto"/>
              </w:rPr>
              <w:t>0</w:t>
            </w:r>
          </w:p>
        </w:tc>
        <w:tc>
          <w:tcPr>
            <w:tcW w:w="1559" w:type="dxa"/>
            <w:noWrap w:val="0"/>
            <w:vAlign w:val="center"/>
          </w:tcPr>
          <w:p w14:paraId="1CDDA3C8">
            <w:pPr>
              <w:jc w:val="center"/>
              <w:rPr>
                <w:rFonts w:hint="eastAsia" w:ascii="Times New Roman" w:hAnsi="Times New Roman" w:eastAsia="宋体" w:cs="Times New Roman"/>
                <w:color w:val="auto"/>
              </w:rPr>
            </w:pPr>
            <w:r>
              <w:rPr>
                <w:rFonts w:hint="eastAsia" w:ascii="Times New Roman" w:hAnsi="Times New Roman" w:eastAsia="宋体" w:cs="Times New Roman"/>
                <w:color w:val="auto"/>
                <w:lang w:val="en-US" w:eastAsia="zh-CN"/>
              </w:rPr>
              <w:t>0.154</w:t>
            </w:r>
            <w:r>
              <w:rPr>
                <w:rFonts w:hint="eastAsia" w:ascii="Times New Roman" w:hAnsi="Times New Roman" w:eastAsia="宋体" w:cs="Times New Roman"/>
                <w:color w:val="auto"/>
                <w:szCs w:val="21"/>
                <w:lang w:val="en-US" w:eastAsia="zh-CN"/>
              </w:rPr>
              <w:t>t/a</w:t>
            </w:r>
          </w:p>
        </w:tc>
        <w:tc>
          <w:tcPr>
            <w:tcW w:w="1418" w:type="dxa"/>
            <w:noWrap w:val="0"/>
            <w:vAlign w:val="center"/>
          </w:tcPr>
          <w:p w14:paraId="76CD9EA8">
            <w:pPr>
              <w:jc w:val="center"/>
              <w:rPr>
                <w:rFonts w:hint="eastAsia"/>
                <w:snapToGrid w:val="0"/>
                <w:color w:val="auto"/>
                <w:kern w:val="21"/>
                <w:szCs w:val="21"/>
              </w:rPr>
            </w:pPr>
            <w:r>
              <w:rPr>
                <w:rFonts w:hint="eastAsia"/>
                <w:color w:val="auto"/>
              </w:rPr>
              <w:t>0</w:t>
            </w:r>
          </w:p>
        </w:tc>
        <w:tc>
          <w:tcPr>
            <w:tcW w:w="1842" w:type="dxa"/>
            <w:noWrap w:val="0"/>
            <w:vAlign w:val="center"/>
          </w:tcPr>
          <w:p w14:paraId="356EDE54">
            <w:pPr>
              <w:jc w:val="center"/>
              <w:rPr>
                <w:color w:val="auto"/>
                <w:szCs w:val="21"/>
              </w:rPr>
            </w:pPr>
            <w:r>
              <w:rPr>
                <w:rFonts w:hint="eastAsia" w:ascii="Times New Roman" w:hAnsi="Times New Roman" w:eastAsia="宋体" w:cs="Times New Roman"/>
                <w:color w:val="auto"/>
                <w:lang w:val="en-US" w:eastAsia="zh-CN"/>
              </w:rPr>
              <w:t>0.154</w:t>
            </w:r>
            <w:r>
              <w:rPr>
                <w:rFonts w:hint="eastAsia" w:ascii="Times New Roman" w:hAnsi="Times New Roman" w:eastAsia="宋体" w:cs="Times New Roman"/>
                <w:color w:val="auto"/>
                <w:szCs w:val="21"/>
                <w:lang w:val="en-US" w:eastAsia="zh-CN"/>
              </w:rPr>
              <w:t>t/a</w:t>
            </w:r>
          </w:p>
        </w:tc>
        <w:tc>
          <w:tcPr>
            <w:tcW w:w="1286" w:type="dxa"/>
            <w:noWrap w:val="0"/>
            <w:vAlign w:val="center"/>
          </w:tcPr>
          <w:p w14:paraId="5B6068C8">
            <w:pPr>
              <w:jc w:val="center"/>
              <w:rPr>
                <w:color w:val="auto"/>
              </w:rPr>
            </w:pPr>
            <w:r>
              <w:rPr>
                <w:rFonts w:hint="eastAsia" w:ascii="Times New Roman" w:hAnsi="Times New Roman" w:eastAsia="宋体" w:cs="Times New Roman"/>
                <w:color w:val="auto"/>
                <w:lang w:val="en-US" w:eastAsia="zh-CN"/>
              </w:rPr>
              <w:t>+0.154</w:t>
            </w:r>
            <w:r>
              <w:rPr>
                <w:rFonts w:hint="eastAsia" w:ascii="Times New Roman" w:hAnsi="Times New Roman" w:eastAsia="宋体" w:cs="Times New Roman"/>
                <w:color w:val="auto"/>
                <w:szCs w:val="21"/>
                <w:lang w:val="en-US" w:eastAsia="zh-CN"/>
              </w:rPr>
              <w:t>t/a</w:t>
            </w:r>
          </w:p>
        </w:tc>
      </w:tr>
      <w:tr w14:paraId="6A422BA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04" w:type="dxa"/>
            <w:vMerge w:val="continue"/>
            <w:noWrap w:val="0"/>
            <w:vAlign w:val="center"/>
          </w:tcPr>
          <w:p w14:paraId="06FE37A7">
            <w:pPr>
              <w:pStyle w:val="54"/>
              <w:spacing w:before="24" w:after="24" w:line="240" w:lineRule="auto"/>
              <w:rPr>
                <w:rFonts w:hint="eastAsia" w:hAnsi="宋体" w:cs="宋体"/>
                <w:snapToGrid w:val="0"/>
                <w:color w:val="auto"/>
                <w:kern w:val="21"/>
                <w:szCs w:val="21"/>
              </w:rPr>
            </w:pPr>
          </w:p>
        </w:tc>
        <w:tc>
          <w:tcPr>
            <w:tcW w:w="1701" w:type="dxa"/>
            <w:noWrap w:val="0"/>
            <w:vAlign w:val="center"/>
          </w:tcPr>
          <w:p w14:paraId="355B18D4">
            <w:pPr>
              <w:pStyle w:val="54"/>
              <w:spacing w:before="24" w:after="24" w:line="240" w:lineRule="auto"/>
              <w:rPr>
                <w:rFonts w:hint="eastAsia" w:ascii="宋体" w:hAnsi="宋体" w:eastAsia="宋体" w:cs="宋体"/>
                <w:snapToGrid w:val="0"/>
                <w:color w:val="auto"/>
                <w:kern w:val="21"/>
                <w:szCs w:val="21"/>
              </w:rPr>
            </w:pPr>
            <w:r>
              <w:rPr>
                <w:rFonts w:hint="eastAsia" w:ascii="宋体" w:hAnsi="宋体" w:eastAsia="宋体" w:cs="宋体"/>
                <w:snapToGrid w:val="0"/>
                <w:color w:val="auto"/>
                <w:kern w:val="21"/>
                <w:szCs w:val="21"/>
                <w:lang w:val="en-US" w:eastAsia="zh-CN"/>
              </w:rPr>
              <w:t>废离子交换树脂</w:t>
            </w:r>
          </w:p>
        </w:tc>
        <w:tc>
          <w:tcPr>
            <w:tcW w:w="1701" w:type="dxa"/>
            <w:noWrap w:val="0"/>
            <w:vAlign w:val="center"/>
          </w:tcPr>
          <w:p w14:paraId="2E63190E">
            <w:pPr>
              <w:jc w:val="center"/>
              <w:rPr>
                <w:color w:val="auto"/>
              </w:rPr>
            </w:pPr>
            <w:r>
              <w:rPr>
                <w:rFonts w:hint="eastAsia"/>
                <w:color w:val="auto"/>
              </w:rPr>
              <w:t>0</w:t>
            </w:r>
          </w:p>
        </w:tc>
        <w:tc>
          <w:tcPr>
            <w:tcW w:w="1276" w:type="dxa"/>
            <w:noWrap w:val="0"/>
            <w:vAlign w:val="center"/>
          </w:tcPr>
          <w:p w14:paraId="0016BED3">
            <w:pPr>
              <w:jc w:val="center"/>
              <w:rPr>
                <w:color w:val="auto"/>
              </w:rPr>
            </w:pPr>
            <w:r>
              <w:rPr>
                <w:rFonts w:hint="eastAsia"/>
                <w:color w:val="auto"/>
              </w:rPr>
              <w:t>0</w:t>
            </w:r>
          </w:p>
        </w:tc>
        <w:tc>
          <w:tcPr>
            <w:tcW w:w="1701" w:type="dxa"/>
            <w:noWrap w:val="0"/>
            <w:vAlign w:val="center"/>
          </w:tcPr>
          <w:p w14:paraId="0288448A">
            <w:pPr>
              <w:jc w:val="center"/>
              <w:rPr>
                <w:color w:val="auto"/>
              </w:rPr>
            </w:pPr>
            <w:r>
              <w:rPr>
                <w:rFonts w:hint="eastAsia"/>
                <w:color w:val="auto"/>
              </w:rPr>
              <w:t>0</w:t>
            </w:r>
          </w:p>
        </w:tc>
        <w:tc>
          <w:tcPr>
            <w:tcW w:w="1559" w:type="dxa"/>
            <w:noWrap w:val="0"/>
            <w:vAlign w:val="center"/>
          </w:tcPr>
          <w:p w14:paraId="1C8D3812">
            <w:pPr>
              <w:jc w:val="center"/>
              <w:rPr>
                <w:rFonts w:hint="eastAsia" w:ascii="Times New Roman" w:hAnsi="Times New Roman" w:eastAsia="宋体" w:cs="Times New Roman"/>
                <w:color w:val="auto"/>
              </w:rPr>
            </w:pPr>
            <w:r>
              <w:rPr>
                <w:rFonts w:hint="eastAsia" w:ascii="Times New Roman" w:hAnsi="Times New Roman" w:eastAsia="宋体" w:cs="Times New Roman"/>
                <w:color w:val="auto"/>
                <w:lang w:val="en-US" w:eastAsia="zh-CN"/>
              </w:rPr>
              <w:t>0.005</w:t>
            </w:r>
            <w:r>
              <w:rPr>
                <w:rFonts w:hint="eastAsia" w:ascii="Times New Roman" w:hAnsi="Times New Roman" w:eastAsia="宋体" w:cs="Times New Roman"/>
                <w:color w:val="auto"/>
                <w:szCs w:val="21"/>
                <w:lang w:val="en-US" w:eastAsia="zh-CN"/>
              </w:rPr>
              <w:t>t/a</w:t>
            </w:r>
          </w:p>
        </w:tc>
        <w:tc>
          <w:tcPr>
            <w:tcW w:w="1418" w:type="dxa"/>
            <w:noWrap w:val="0"/>
            <w:vAlign w:val="center"/>
          </w:tcPr>
          <w:p w14:paraId="20FCB863">
            <w:pPr>
              <w:adjustRightInd w:val="0"/>
              <w:snapToGrid w:val="0"/>
              <w:jc w:val="center"/>
              <w:rPr>
                <w:color w:val="auto"/>
              </w:rPr>
            </w:pPr>
            <w:r>
              <w:rPr>
                <w:rFonts w:hint="eastAsia"/>
                <w:color w:val="auto"/>
              </w:rPr>
              <w:t>0</w:t>
            </w:r>
          </w:p>
        </w:tc>
        <w:tc>
          <w:tcPr>
            <w:tcW w:w="1842" w:type="dxa"/>
            <w:noWrap w:val="0"/>
            <w:vAlign w:val="center"/>
          </w:tcPr>
          <w:p w14:paraId="437856AF">
            <w:pPr>
              <w:jc w:val="center"/>
              <w:rPr>
                <w:color w:val="auto"/>
                <w:kern w:val="21"/>
                <w:szCs w:val="21"/>
              </w:rPr>
            </w:pPr>
            <w:r>
              <w:rPr>
                <w:rFonts w:hint="eastAsia" w:ascii="Times New Roman" w:hAnsi="Times New Roman" w:eastAsia="宋体" w:cs="Times New Roman"/>
                <w:color w:val="auto"/>
                <w:lang w:val="en-US" w:eastAsia="zh-CN"/>
              </w:rPr>
              <w:t>0.005</w:t>
            </w:r>
            <w:r>
              <w:rPr>
                <w:rFonts w:hint="eastAsia" w:ascii="Times New Roman" w:hAnsi="Times New Roman" w:eastAsia="宋体" w:cs="Times New Roman"/>
                <w:color w:val="auto"/>
                <w:szCs w:val="21"/>
                <w:lang w:val="en-US" w:eastAsia="zh-CN"/>
              </w:rPr>
              <w:t>t/a</w:t>
            </w:r>
          </w:p>
        </w:tc>
        <w:tc>
          <w:tcPr>
            <w:tcW w:w="1286" w:type="dxa"/>
            <w:noWrap w:val="0"/>
            <w:vAlign w:val="center"/>
          </w:tcPr>
          <w:p w14:paraId="306589F7">
            <w:pPr>
              <w:jc w:val="center"/>
              <w:rPr>
                <w:color w:val="auto"/>
              </w:rPr>
            </w:pPr>
            <w:r>
              <w:rPr>
                <w:rFonts w:hint="eastAsia" w:ascii="Times New Roman" w:hAnsi="Times New Roman" w:eastAsia="宋体" w:cs="Times New Roman"/>
                <w:color w:val="auto"/>
                <w:lang w:val="en-US" w:eastAsia="zh-CN"/>
              </w:rPr>
              <w:t>+0.005</w:t>
            </w:r>
            <w:r>
              <w:rPr>
                <w:rFonts w:hint="eastAsia" w:ascii="Times New Roman" w:hAnsi="Times New Roman" w:eastAsia="宋体" w:cs="Times New Roman"/>
                <w:color w:val="auto"/>
                <w:szCs w:val="21"/>
                <w:lang w:val="en-US" w:eastAsia="zh-CN"/>
              </w:rPr>
              <w:t>t/a</w:t>
            </w:r>
          </w:p>
        </w:tc>
      </w:tr>
      <w:tr w14:paraId="7983B7D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04" w:type="dxa"/>
            <w:vMerge w:val="continue"/>
            <w:noWrap w:val="0"/>
            <w:vAlign w:val="center"/>
          </w:tcPr>
          <w:p w14:paraId="6FCC71E7">
            <w:pPr>
              <w:pStyle w:val="54"/>
              <w:spacing w:before="24" w:after="24" w:line="240" w:lineRule="auto"/>
              <w:rPr>
                <w:rFonts w:hint="eastAsia" w:hAnsi="宋体" w:cs="宋体"/>
                <w:snapToGrid w:val="0"/>
                <w:color w:val="auto"/>
                <w:kern w:val="21"/>
                <w:szCs w:val="21"/>
              </w:rPr>
            </w:pPr>
          </w:p>
        </w:tc>
        <w:tc>
          <w:tcPr>
            <w:tcW w:w="1701" w:type="dxa"/>
            <w:noWrap w:val="0"/>
            <w:vAlign w:val="center"/>
          </w:tcPr>
          <w:p w14:paraId="412669E9">
            <w:pPr>
              <w:pStyle w:val="54"/>
              <w:spacing w:before="24" w:after="24" w:line="240" w:lineRule="auto"/>
              <w:rPr>
                <w:rFonts w:hint="eastAsia" w:ascii="宋体" w:hAnsi="宋体" w:eastAsia="宋体" w:cs="宋体"/>
                <w:snapToGrid w:val="0"/>
                <w:color w:val="auto"/>
                <w:kern w:val="21"/>
                <w:szCs w:val="21"/>
              </w:rPr>
            </w:pPr>
            <w:r>
              <w:rPr>
                <w:rFonts w:hint="eastAsia" w:ascii="宋体" w:hAnsi="宋体" w:eastAsia="宋体" w:cs="宋体"/>
                <w:snapToGrid w:val="0"/>
                <w:color w:val="auto"/>
                <w:kern w:val="21"/>
                <w:szCs w:val="21"/>
                <w:lang w:val="en-US" w:eastAsia="zh-CN"/>
              </w:rPr>
              <w:t>废实验室用品</w:t>
            </w:r>
          </w:p>
        </w:tc>
        <w:tc>
          <w:tcPr>
            <w:tcW w:w="1701" w:type="dxa"/>
            <w:noWrap w:val="0"/>
            <w:vAlign w:val="center"/>
          </w:tcPr>
          <w:p w14:paraId="01676E24">
            <w:pPr>
              <w:jc w:val="center"/>
              <w:rPr>
                <w:rFonts w:hint="eastAsia"/>
                <w:color w:val="auto"/>
              </w:rPr>
            </w:pPr>
            <w:r>
              <w:rPr>
                <w:rFonts w:hint="eastAsia"/>
                <w:color w:val="auto"/>
              </w:rPr>
              <w:t>0</w:t>
            </w:r>
          </w:p>
        </w:tc>
        <w:tc>
          <w:tcPr>
            <w:tcW w:w="1276" w:type="dxa"/>
            <w:noWrap w:val="0"/>
            <w:vAlign w:val="center"/>
          </w:tcPr>
          <w:p w14:paraId="67766021">
            <w:pPr>
              <w:jc w:val="center"/>
              <w:rPr>
                <w:rFonts w:hint="eastAsia"/>
                <w:color w:val="auto"/>
              </w:rPr>
            </w:pPr>
            <w:r>
              <w:rPr>
                <w:rFonts w:hint="eastAsia"/>
                <w:color w:val="auto"/>
              </w:rPr>
              <w:t>0</w:t>
            </w:r>
          </w:p>
        </w:tc>
        <w:tc>
          <w:tcPr>
            <w:tcW w:w="1701" w:type="dxa"/>
            <w:noWrap w:val="0"/>
            <w:vAlign w:val="center"/>
          </w:tcPr>
          <w:p w14:paraId="43D65F05">
            <w:pPr>
              <w:jc w:val="center"/>
              <w:rPr>
                <w:rFonts w:hint="eastAsia"/>
                <w:color w:val="auto"/>
              </w:rPr>
            </w:pPr>
            <w:r>
              <w:rPr>
                <w:rFonts w:hint="eastAsia"/>
                <w:color w:val="auto"/>
              </w:rPr>
              <w:t>0</w:t>
            </w:r>
          </w:p>
        </w:tc>
        <w:tc>
          <w:tcPr>
            <w:tcW w:w="1559" w:type="dxa"/>
            <w:noWrap w:val="0"/>
            <w:vAlign w:val="center"/>
          </w:tcPr>
          <w:p w14:paraId="730C3000">
            <w:pPr>
              <w:jc w:val="center"/>
              <w:rPr>
                <w:rFonts w:hint="eastAsia" w:ascii="Times New Roman" w:hAnsi="Times New Roman" w:eastAsia="宋体" w:cs="Times New Roman"/>
                <w:color w:val="auto"/>
              </w:rPr>
            </w:pPr>
            <w:r>
              <w:rPr>
                <w:rFonts w:hint="eastAsia" w:ascii="Times New Roman" w:hAnsi="Times New Roman" w:eastAsia="宋体" w:cs="Times New Roman"/>
                <w:color w:val="auto"/>
                <w:lang w:val="en-US" w:eastAsia="zh-CN"/>
              </w:rPr>
              <w:t>0.01</w:t>
            </w:r>
            <w:r>
              <w:rPr>
                <w:rFonts w:hint="eastAsia" w:ascii="Times New Roman" w:hAnsi="Times New Roman" w:eastAsia="宋体" w:cs="Times New Roman"/>
                <w:color w:val="auto"/>
                <w:szCs w:val="21"/>
                <w:lang w:val="en-US" w:eastAsia="zh-CN"/>
              </w:rPr>
              <w:t>t/a</w:t>
            </w:r>
          </w:p>
        </w:tc>
        <w:tc>
          <w:tcPr>
            <w:tcW w:w="1418" w:type="dxa"/>
            <w:noWrap w:val="0"/>
            <w:vAlign w:val="center"/>
          </w:tcPr>
          <w:p w14:paraId="3DD7B6AE">
            <w:pPr>
              <w:adjustRightInd w:val="0"/>
              <w:snapToGrid w:val="0"/>
              <w:jc w:val="center"/>
              <w:rPr>
                <w:rFonts w:hint="eastAsia" w:eastAsia="宋体"/>
                <w:color w:val="auto"/>
                <w:lang w:val="en-US" w:eastAsia="zh-CN"/>
              </w:rPr>
            </w:pPr>
            <w:r>
              <w:rPr>
                <w:rFonts w:hint="eastAsia"/>
                <w:color w:val="auto"/>
                <w:lang w:val="en-US" w:eastAsia="zh-CN"/>
              </w:rPr>
              <w:t>0</w:t>
            </w:r>
          </w:p>
        </w:tc>
        <w:tc>
          <w:tcPr>
            <w:tcW w:w="1842" w:type="dxa"/>
            <w:noWrap w:val="0"/>
            <w:vAlign w:val="center"/>
          </w:tcPr>
          <w:p w14:paraId="1B344502">
            <w:pPr>
              <w:jc w:val="center"/>
              <w:rPr>
                <w:rFonts w:hint="eastAsia"/>
                <w:color w:val="auto"/>
                <w:szCs w:val="21"/>
              </w:rPr>
            </w:pPr>
            <w:r>
              <w:rPr>
                <w:rFonts w:hint="eastAsia" w:ascii="Times New Roman" w:hAnsi="Times New Roman" w:eastAsia="宋体" w:cs="Times New Roman"/>
                <w:color w:val="auto"/>
                <w:lang w:val="en-US" w:eastAsia="zh-CN"/>
              </w:rPr>
              <w:t>0.01</w:t>
            </w:r>
            <w:r>
              <w:rPr>
                <w:rFonts w:hint="eastAsia" w:ascii="Times New Roman" w:hAnsi="Times New Roman" w:eastAsia="宋体" w:cs="Times New Roman"/>
                <w:color w:val="auto"/>
                <w:szCs w:val="21"/>
                <w:lang w:val="en-US" w:eastAsia="zh-CN"/>
              </w:rPr>
              <w:t>t/a</w:t>
            </w:r>
          </w:p>
        </w:tc>
        <w:tc>
          <w:tcPr>
            <w:tcW w:w="1286" w:type="dxa"/>
            <w:noWrap w:val="0"/>
            <w:vAlign w:val="center"/>
          </w:tcPr>
          <w:p w14:paraId="0BF417D9">
            <w:pPr>
              <w:jc w:val="center"/>
              <w:rPr>
                <w:rFonts w:hint="eastAsia"/>
                <w:color w:val="auto"/>
                <w:szCs w:val="21"/>
              </w:rPr>
            </w:pPr>
            <w:r>
              <w:rPr>
                <w:rFonts w:hint="eastAsia" w:ascii="Times New Roman" w:hAnsi="Times New Roman" w:eastAsia="宋体" w:cs="Times New Roman"/>
                <w:color w:val="auto"/>
                <w:lang w:val="en-US" w:eastAsia="zh-CN"/>
              </w:rPr>
              <w:t>+0.01</w:t>
            </w:r>
            <w:r>
              <w:rPr>
                <w:rFonts w:hint="eastAsia" w:ascii="Times New Roman" w:hAnsi="Times New Roman" w:eastAsia="宋体" w:cs="Times New Roman"/>
                <w:color w:val="auto"/>
                <w:szCs w:val="21"/>
                <w:lang w:val="en-US" w:eastAsia="zh-CN"/>
              </w:rPr>
              <w:t>t/a</w:t>
            </w:r>
          </w:p>
        </w:tc>
      </w:tr>
      <w:tr w14:paraId="1CDB50A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04" w:type="dxa"/>
            <w:vMerge w:val="restart"/>
            <w:noWrap w:val="0"/>
            <w:vAlign w:val="center"/>
          </w:tcPr>
          <w:p w14:paraId="376EAAD1">
            <w:pPr>
              <w:pStyle w:val="54"/>
              <w:spacing w:before="24" w:after="24" w:line="240" w:lineRule="auto"/>
              <w:rPr>
                <w:rFonts w:hint="eastAsia" w:hAnsi="宋体" w:cs="宋体"/>
                <w:snapToGrid w:val="0"/>
                <w:color w:val="auto"/>
                <w:kern w:val="21"/>
                <w:szCs w:val="21"/>
              </w:rPr>
            </w:pPr>
            <w:r>
              <w:rPr>
                <w:rFonts w:hint="eastAsia" w:hAnsi="宋体" w:cs="宋体"/>
                <w:snapToGrid w:val="0"/>
                <w:color w:val="auto"/>
                <w:kern w:val="21"/>
                <w:szCs w:val="21"/>
              </w:rPr>
              <w:t>危险废物</w:t>
            </w:r>
          </w:p>
        </w:tc>
        <w:tc>
          <w:tcPr>
            <w:tcW w:w="1701" w:type="dxa"/>
            <w:noWrap w:val="0"/>
            <w:vAlign w:val="center"/>
          </w:tcPr>
          <w:p w14:paraId="4563BEA2">
            <w:pPr>
              <w:pStyle w:val="54"/>
              <w:spacing w:before="24" w:after="24" w:line="240" w:lineRule="auto"/>
              <w:rPr>
                <w:rFonts w:hint="default" w:ascii="宋体" w:hAnsi="宋体" w:eastAsia="宋体" w:cs="宋体"/>
                <w:snapToGrid w:val="0"/>
                <w:color w:val="auto"/>
                <w:kern w:val="21"/>
                <w:szCs w:val="21"/>
                <w:lang w:val="en-US"/>
              </w:rPr>
            </w:pPr>
            <w:r>
              <w:rPr>
                <w:rFonts w:hint="eastAsia" w:ascii="宋体" w:hAnsi="宋体" w:eastAsia="宋体" w:cs="宋体"/>
                <w:snapToGrid w:val="0"/>
                <w:color w:val="FF0000"/>
                <w:kern w:val="21"/>
                <w:szCs w:val="21"/>
                <w:lang w:val="en-US" w:eastAsia="zh-CN"/>
              </w:rPr>
              <w:t>实验废液</w:t>
            </w:r>
            <w:r>
              <w:rPr>
                <w:rFonts w:hint="eastAsia" w:hAnsi="宋体" w:cs="宋体"/>
                <w:snapToGrid w:val="0"/>
                <w:color w:val="FF0000"/>
                <w:kern w:val="21"/>
                <w:szCs w:val="21"/>
                <w:lang w:val="en-US" w:eastAsia="zh-CN"/>
              </w:rPr>
              <w:t>、实验器具初次清洗废液</w:t>
            </w:r>
          </w:p>
        </w:tc>
        <w:tc>
          <w:tcPr>
            <w:tcW w:w="1701" w:type="dxa"/>
            <w:noWrap w:val="0"/>
            <w:vAlign w:val="center"/>
          </w:tcPr>
          <w:p w14:paraId="46AB0A98">
            <w:pPr>
              <w:jc w:val="center"/>
              <w:rPr>
                <w:color w:val="auto"/>
              </w:rPr>
            </w:pPr>
            <w:r>
              <w:rPr>
                <w:rFonts w:hint="eastAsia"/>
                <w:color w:val="auto"/>
              </w:rPr>
              <w:t>0</w:t>
            </w:r>
          </w:p>
        </w:tc>
        <w:tc>
          <w:tcPr>
            <w:tcW w:w="1276" w:type="dxa"/>
            <w:noWrap w:val="0"/>
            <w:vAlign w:val="center"/>
          </w:tcPr>
          <w:p w14:paraId="0E339C75">
            <w:pPr>
              <w:jc w:val="center"/>
              <w:rPr>
                <w:color w:val="auto"/>
              </w:rPr>
            </w:pPr>
            <w:r>
              <w:rPr>
                <w:rFonts w:hint="eastAsia"/>
                <w:color w:val="auto"/>
              </w:rPr>
              <w:t>0</w:t>
            </w:r>
          </w:p>
        </w:tc>
        <w:tc>
          <w:tcPr>
            <w:tcW w:w="1701" w:type="dxa"/>
            <w:noWrap w:val="0"/>
            <w:vAlign w:val="center"/>
          </w:tcPr>
          <w:p w14:paraId="3D43C37F">
            <w:pPr>
              <w:jc w:val="center"/>
              <w:rPr>
                <w:color w:val="auto"/>
              </w:rPr>
            </w:pPr>
            <w:r>
              <w:rPr>
                <w:rFonts w:hint="eastAsia"/>
                <w:color w:val="auto"/>
              </w:rPr>
              <w:t>0</w:t>
            </w:r>
          </w:p>
        </w:tc>
        <w:tc>
          <w:tcPr>
            <w:tcW w:w="1559" w:type="dxa"/>
            <w:noWrap w:val="0"/>
            <w:vAlign w:val="center"/>
          </w:tcPr>
          <w:p w14:paraId="4A36C4EA">
            <w:pPr>
              <w:jc w:val="center"/>
              <w:rPr>
                <w:rFonts w:hint="eastAsia" w:ascii="Times New Roman" w:hAnsi="Times New Roman" w:eastAsia="宋体" w:cs="Times New Roman"/>
                <w:color w:val="auto"/>
              </w:rPr>
            </w:pPr>
            <w:r>
              <w:rPr>
                <w:rFonts w:hint="eastAsia" w:ascii="Times New Roman" w:hAnsi="Times New Roman" w:eastAsia="宋体" w:cs="Times New Roman"/>
                <w:color w:val="auto"/>
                <w:lang w:val="en-US" w:eastAsia="zh-CN"/>
              </w:rPr>
              <w:t>7.95</w:t>
            </w:r>
            <w:r>
              <w:rPr>
                <w:rFonts w:hint="eastAsia" w:ascii="Times New Roman" w:hAnsi="Times New Roman" w:eastAsia="宋体" w:cs="Times New Roman"/>
                <w:color w:val="auto"/>
                <w:szCs w:val="21"/>
                <w:lang w:val="en-US" w:eastAsia="zh-CN"/>
              </w:rPr>
              <w:t>t/a</w:t>
            </w:r>
          </w:p>
        </w:tc>
        <w:tc>
          <w:tcPr>
            <w:tcW w:w="1418" w:type="dxa"/>
            <w:noWrap w:val="0"/>
            <w:vAlign w:val="center"/>
          </w:tcPr>
          <w:p w14:paraId="667F9391">
            <w:pPr>
              <w:adjustRightInd w:val="0"/>
              <w:snapToGrid w:val="0"/>
              <w:jc w:val="center"/>
              <w:rPr>
                <w:color w:val="auto"/>
              </w:rPr>
            </w:pPr>
            <w:r>
              <w:rPr>
                <w:rFonts w:hint="eastAsia"/>
                <w:color w:val="auto"/>
              </w:rPr>
              <w:t>0</w:t>
            </w:r>
          </w:p>
        </w:tc>
        <w:tc>
          <w:tcPr>
            <w:tcW w:w="1842" w:type="dxa"/>
            <w:noWrap w:val="0"/>
            <w:vAlign w:val="center"/>
          </w:tcPr>
          <w:p w14:paraId="66F26D15">
            <w:pPr>
              <w:jc w:val="center"/>
              <w:rPr>
                <w:rFonts w:hint="eastAsia"/>
                <w:color w:val="auto"/>
                <w:szCs w:val="21"/>
              </w:rPr>
            </w:pPr>
            <w:r>
              <w:rPr>
                <w:rFonts w:hint="eastAsia" w:ascii="Times New Roman" w:hAnsi="Times New Roman" w:eastAsia="宋体" w:cs="Times New Roman"/>
                <w:color w:val="auto"/>
                <w:lang w:val="en-US" w:eastAsia="zh-CN"/>
              </w:rPr>
              <w:t>7.95</w:t>
            </w:r>
            <w:r>
              <w:rPr>
                <w:rFonts w:hint="eastAsia" w:ascii="Times New Roman" w:hAnsi="Times New Roman" w:eastAsia="宋体" w:cs="Times New Roman"/>
                <w:color w:val="auto"/>
                <w:szCs w:val="21"/>
                <w:lang w:val="en-US" w:eastAsia="zh-CN"/>
              </w:rPr>
              <w:t>t/a</w:t>
            </w:r>
          </w:p>
        </w:tc>
        <w:tc>
          <w:tcPr>
            <w:tcW w:w="1286" w:type="dxa"/>
            <w:noWrap w:val="0"/>
            <w:vAlign w:val="center"/>
          </w:tcPr>
          <w:p w14:paraId="0EBF87BA">
            <w:pPr>
              <w:jc w:val="center"/>
              <w:rPr>
                <w:color w:val="auto"/>
              </w:rPr>
            </w:pPr>
            <w:r>
              <w:rPr>
                <w:rFonts w:hint="eastAsia" w:ascii="Times New Roman" w:hAnsi="Times New Roman" w:eastAsia="宋体" w:cs="Times New Roman"/>
                <w:color w:val="auto"/>
                <w:lang w:val="en-US" w:eastAsia="zh-CN"/>
              </w:rPr>
              <w:t>+7.95</w:t>
            </w:r>
            <w:r>
              <w:rPr>
                <w:rFonts w:hint="eastAsia" w:ascii="Times New Roman" w:hAnsi="Times New Roman" w:eastAsia="宋体" w:cs="Times New Roman"/>
                <w:color w:val="auto"/>
                <w:szCs w:val="21"/>
                <w:lang w:val="en-US" w:eastAsia="zh-CN"/>
              </w:rPr>
              <w:t>t/a</w:t>
            </w:r>
          </w:p>
        </w:tc>
      </w:tr>
      <w:tr w14:paraId="682CDE7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04" w:type="dxa"/>
            <w:vMerge w:val="continue"/>
            <w:noWrap w:val="0"/>
            <w:vAlign w:val="center"/>
          </w:tcPr>
          <w:p w14:paraId="31D4E119">
            <w:pPr>
              <w:pStyle w:val="54"/>
              <w:spacing w:before="24" w:after="24" w:line="240" w:lineRule="auto"/>
              <w:rPr>
                <w:rFonts w:hint="eastAsia" w:hAnsi="宋体" w:cs="宋体"/>
                <w:snapToGrid w:val="0"/>
                <w:color w:val="auto"/>
                <w:kern w:val="21"/>
                <w:szCs w:val="21"/>
              </w:rPr>
            </w:pPr>
          </w:p>
        </w:tc>
        <w:tc>
          <w:tcPr>
            <w:tcW w:w="1701" w:type="dxa"/>
            <w:noWrap w:val="0"/>
            <w:vAlign w:val="center"/>
          </w:tcPr>
          <w:p w14:paraId="3211389C">
            <w:pPr>
              <w:pStyle w:val="54"/>
              <w:spacing w:before="24" w:after="24" w:line="240" w:lineRule="auto"/>
              <w:rPr>
                <w:rFonts w:hint="eastAsia" w:ascii="宋体" w:hAnsi="宋体" w:eastAsia="宋体" w:cs="宋体"/>
                <w:snapToGrid w:val="0"/>
                <w:color w:val="auto"/>
                <w:kern w:val="21"/>
                <w:szCs w:val="21"/>
              </w:rPr>
            </w:pPr>
            <w:r>
              <w:rPr>
                <w:rFonts w:hint="default" w:ascii="宋体" w:hAnsi="宋体" w:eastAsia="宋体" w:cs="宋体"/>
                <w:snapToGrid w:val="0"/>
                <w:color w:val="auto"/>
                <w:kern w:val="21"/>
                <w:szCs w:val="21"/>
                <w:lang w:val="en-US" w:eastAsia="zh-CN"/>
              </w:rPr>
              <w:t>废实验用品</w:t>
            </w:r>
          </w:p>
        </w:tc>
        <w:tc>
          <w:tcPr>
            <w:tcW w:w="1701" w:type="dxa"/>
            <w:noWrap w:val="0"/>
            <w:vAlign w:val="center"/>
          </w:tcPr>
          <w:p w14:paraId="190FEB71">
            <w:pPr>
              <w:jc w:val="center"/>
              <w:rPr>
                <w:color w:val="auto"/>
              </w:rPr>
            </w:pPr>
            <w:r>
              <w:rPr>
                <w:rFonts w:hint="eastAsia"/>
                <w:color w:val="auto"/>
              </w:rPr>
              <w:t>0</w:t>
            </w:r>
          </w:p>
        </w:tc>
        <w:tc>
          <w:tcPr>
            <w:tcW w:w="1276" w:type="dxa"/>
            <w:noWrap w:val="0"/>
            <w:vAlign w:val="center"/>
          </w:tcPr>
          <w:p w14:paraId="13FFE800">
            <w:pPr>
              <w:jc w:val="center"/>
              <w:rPr>
                <w:color w:val="auto"/>
              </w:rPr>
            </w:pPr>
            <w:r>
              <w:rPr>
                <w:rFonts w:hint="eastAsia"/>
                <w:color w:val="auto"/>
              </w:rPr>
              <w:t>0</w:t>
            </w:r>
          </w:p>
        </w:tc>
        <w:tc>
          <w:tcPr>
            <w:tcW w:w="1701" w:type="dxa"/>
            <w:noWrap w:val="0"/>
            <w:vAlign w:val="center"/>
          </w:tcPr>
          <w:p w14:paraId="5B6FC610">
            <w:pPr>
              <w:jc w:val="center"/>
              <w:rPr>
                <w:color w:val="auto"/>
              </w:rPr>
            </w:pPr>
            <w:r>
              <w:rPr>
                <w:rFonts w:hint="eastAsia"/>
                <w:color w:val="auto"/>
              </w:rPr>
              <w:t>0</w:t>
            </w:r>
          </w:p>
        </w:tc>
        <w:tc>
          <w:tcPr>
            <w:tcW w:w="1559" w:type="dxa"/>
            <w:noWrap w:val="0"/>
            <w:vAlign w:val="center"/>
          </w:tcPr>
          <w:p w14:paraId="55920D56">
            <w:pPr>
              <w:jc w:val="center"/>
              <w:rPr>
                <w:rFonts w:hint="eastAsia" w:ascii="Times New Roman" w:hAnsi="Times New Roman" w:eastAsia="宋体" w:cs="Times New Roman"/>
                <w:color w:val="auto"/>
              </w:rPr>
            </w:pPr>
            <w:r>
              <w:rPr>
                <w:rFonts w:hint="eastAsia" w:ascii="Times New Roman" w:hAnsi="Times New Roman" w:eastAsia="宋体" w:cs="Times New Roman"/>
                <w:color w:val="auto"/>
                <w:lang w:val="en-US" w:eastAsia="zh-CN"/>
              </w:rPr>
              <w:t>0.05</w:t>
            </w:r>
            <w:r>
              <w:rPr>
                <w:rFonts w:hint="eastAsia" w:ascii="Times New Roman" w:hAnsi="Times New Roman" w:eastAsia="宋体" w:cs="Times New Roman"/>
                <w:color w:val="auto"/>
                <w:szCs w:val="21"/>
                <w:lang w:val="en-US" w:eastAsia="zh-CN"/>
              </w:rPr>
              <w:t>t/a</w:t>
            </w:r>
          </w:p>
        </w:tc>
        <w:tc>
          <w:tcPr>
            <w:tcW w:w="1418" w:type="dxa"/>
            <w:noWrap w:val="0"/>
            <w:vAlign w:val="center"/>
          </w:tcPr>
          <w:p w14:paraId="4BC5E095">
            <w:pPr>
              <w:adjustRightInd w:val="0"/>
              <w:snapToGrid w:val="0"/>
              <w:jc w:val="center"/>
              <w:rPr>
                <w:color w:val="auto"/>
              </w:rPr>
            </w:pPr>
            <w:r>
              <w:rPr>
                <w:rFonts w:hint="eastAsia"/>
                <w:color w:val="auto"/>
              </w:rPr>
              <w:t>0</w:t>
            </w:r>
          </w:p>
        </w:tc>
        <w:tc>
          <w:tcPr>
            <w:tcW w:w="1842" w:type="dxa"/>
            <w:noWrap w:val="0"/>
            <w:vAlign w:val="center"/>
          </w:tcPr>
          <w:p w14:paraId="654B5033">
            <w:pPr>
              <w:jc w:val="center"/>
              <w:rPr>
                <w:color w:val="auto"/>
                <w:szCs w:val="21"/>
              </w:rPr>
            </w:pPr>
            <w:r>
              <w:rPr>
                <w:rFonts w:hint="eastAsia" w:ascii="Times New Roman" w:hAnsi="Times New Roman" w:eastAsia="宋体" w:cs="Times New Roman"/>
                <w:color w:val="auto"/>
                <w:lang w:val="en-US" w:eastAsia="zh-CN"/>
              </w:rPr>
              <w:t>0.05</w:t>
            </w:r>
            <w:r>
              <w:rPr>
                <w:rFonts w:hint="eastAsia" w:ascii="Times New Roman" w:hAnsi="Times New Roman" w:eastAsia="宋体" w:cs="Times New Roman"/>
                <w:color w:val="auto"/>
                <w:szCs w:val="21"/>
                <w:lang w:val="en-US" w:eastAsia="zh-CN"/>
              </w:rPr>
              <w:t>t/a</w:t>
            </w:r>
          </w:p>
        </w:tc>
        <w:tc>
          <w:tcPr>
            <w:tcW w:w="1286" w:type="dxa"/>
            <w:noWrap w:val="0"/>
            <w:vAlign w:val="center"/>
          </w:tcPr>
          <w:p w14:paraId="30DD7328">
            <w:pPr>
              <w:jc w:val="center"/>
              <w:rPr>
                <w:color w:val="auto"/>
              </w:rPr>
            </w:pPr>
            <w:r>
              <w:rPr>
                <w:rFonts w:hint="eastAsia" w:ascii="Times New Roman" w:hAnsi="Times New Roman" w:eastAsia="宋体" w:cs="Times New Roman"/>
                <w:color w:val="auto"/>
                <w:lang w:val="en-US" w:eastAsia="zh-CN"/>
              </w:rPr>
              <w:t>+0.05</w:t>
            </w:r>
            <w:r>
              <w:rPr>
                <w:rFonts w:hint="eastAsia" w:ascii="Times New Roman" w:hAnsi="Times New Roman" w:eastAsia="宋体" w:cs="Times New Roman"/>
                <w:color w:val="auto"/>
                <w:szCs w:val="21"/>
                <w:lang w:val="en-US" w:eastAsia="zh-CN"/>
              </w:rPr>
              <w:t>t/a</w:t>
            </w:r>
          </w:p>
        </w:tc>
      </w:tr>
      <w:tr w14:paraId="6A62A66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04" w:type="dxa"/>
            <w:vMerge w:val="continue"/>
            <w:noWrap w:val="0"/>
            <w:vAlign w:val="center"/>
          </w:tcPr>
          <w:p w14:paraId="3299257D">
            <w:pPr>
              <w:pStyle w:val="54"/>
              <w:spacing w:before="24" w:after="24" w:line="240" w:lineRule="auto"/>
              <w:rPr>
                <w:rFonts w:hint="eastAsia" w:hAnsi="宋体" w:cs="宋体"/>
                <w:snapToGrid w:val="0"/>
                <w:color w:val="auto"/>
                <w:kern w:val="21"/>
                <w:szCs w:val="21"/>
              </w:rPr>
            </w:pPr>
          </w:p>
        </w:tc>
        <w:tc>
          <w:tcPr>
            <w:tcW w:w="1701" w:type="dxa"/>
            <w:noWrap w:val="0"/>
            <w:vAlign w:val="center"/>
          </w:tcPr>
          <w:p w14:paraId="611782E4">
            <w:pPr>
              <w:pStyle w:val="54"/>
              <w:spacing w:before="24" w:after="24" w:line="240" w:lineRule="auto"/>
              <w:rPr>
                <w:rFonts w:hint="eastAsia" w:ascii="宋体" w:hAnsi="宋体" w:eastAsia="宋体" w:cs="宋体"/>
                <w:snapToGrid w:val="0"/>
                <w:color w:val="auto"/>
                <w:kern w:val="21"/>
                <w:szCs w:val="21"/>
              </w:rPr>
            </w:pPr>
            <w:r>
              <w:rPr>
                <w:rFonts w:hint="eastAsia" w:ascii="宋体" w:hAnsi="宋体" w:eastAsia="宋体" w:cs="宋体"/>
                <w:snapToGrid w:val="0"/>
                <w:color w:val="auto"/>
                <w:kern w:val="21"/>
                <w:szCs w:val="21"/>
                <w:lang w:val="en-US" w:eastAsia="zh-CN"/>
              </w:rPr>
              <w:t>废试剂瓶</w:t>
            </w:r>
          </w:p>
        </w:tc>
        <w:tc>
          <w:tcPr>
            <w:tcW w:w="1701" w:type="dxa"/>
            <w:noWrap w:val="0"/>
            <w:vAlign w:val="center"/>
          </w:tcPr>
          <w:p w14:paraId="26FCB1C3">
            <w:pPr>
              <w:jc w:val="center"/>
              <w:rPr>
                <w:color w:val="auto"/>
              </w:rPr>
            </w:pPr>
            <w:r>
              <w:rPr>
                <w:rFonts w:hint="eastAsia"/>
                <w:color w:val="auto"/>
              </w:rPr>
              <w:t>0</w:t>
            </w:r>
          </w:p>
        </w:tc>
        <w:tc>
          <w:tcPr>
            <w:tcW w:w="1276" w:type="dxa"/>
            <w:noWrap w:val="0"/>
            <w:vAlign w:val="center"/>
          </w:tcPr>
          <w:p w14:paraId="5EED673F">
            <w:pPr>
              <w:jc w:val="center"/>
              <w:rPr>
                <w:color w:val="auto"/>
              </w:rPr>
            </w:pPr>
            <w:r>
              <w:rPr>
                <w:rFonts w:hint="eastAsia"/>
                <w:color w:val="auto"/>
              </w:rPr>
              <w:t>0</w:t>
            </w:r>
          </w:p>
        </w:tc>
        <w:tc>
          <w:tcPr>
            <w:tcW w:w="1701" w:type="dxa"/>
            <w:noWrap w:val="0"/>
            <w:vAlign w:val="center"/>
          </w:tcPr>
          <w:p w14:paraId="4E5D7E95">
            <w:pPr>
              <w:jc w:val="center"/>
              <w:rPr>
                <w:color w:val="auto"/>
              </w:rPr>
            </w:pPr>
            <w:r>
              <w:rPr>
                <w:rFonts w:hint="eastAsia"/>
                <w:color w:val="auto"/>
              </w:rPr>
              <w:t>0</w:t>
            </w:r>
          </w:p>
        </w:tc>
        <w:tc>
          <w:tcPr>
            <w:tcW w:w="1559" w:type="dxa"/>
            <w:noWrap w:val="0"/>
            <w:vAlign w:val="center"/>
          </w:tcPr>
          <w:p w14:paraId="094338A4">
            <w:pPr>
              <w:jc w:val="center"/>
              <w:rPr>
                <w:rFonts w:hint="eastAsia" w:ascii="Times New Roman" w:hAnsi="Times New Roman" w:eastAsia="宋体" w:cs="Times New Roman"/>
                <w:color w:val="auto"/>
              </w:rPr>
            </w:pPr>
            <w:r>
              <w:rPr>
                <w:rFonts w:hint="eastAsia" w:ascii="Times New Roman" w:hAnsi="Times New Roman" w:eastAsia="宋体" w:cs="Times New Roman"/>
                <w:color w:val="auto"/>
                <w:lang w:val="en-US" w:eastAsia="zh-CN"/>
              </w:rPr>
              <w:t>0.1</w:t>
            </w:r>
            <w:r>
              <w:rPr>
                <w:rFonts w:hint="eastAsia" w:ascii="Times New Roman" w:hAnsi="Times New Roman" w:eastAsia="宋体" w:cs="Times New Roman"/>
                <w:color w:val="auto"/>
                <w:szCs w:val="21"/>
                <w:lang w:val="en-US" w:eastAsia="zh-CN"/>
              </w:rPr>
              <w:t>t/a</w:t>
            </w:r>
          </w:p>
        </w:tc>
        <w:tc>
          <w:tcPr>
            <w:tcW w:w="1418" w:type="dxa"/>
            <w:noWrap w:val="0"/>
            <w:vAlign w:val="center"/>
          </w:tcPr>
          <w:p w14:paraId="5B8C3519">
            <w:pPr>
              <w:adjustRightInd w:val="0"/>
              <w:snapToGrid w:val="0"/>
              <w:jc w:val="center"/>
              <w:rPr>
                <w:color w:val="auto"/>
              </w:rPr>
            </w:pPr>
            <w:r>
              <w:rPr>
                <w:rFonts w:hint="eastAsia"/>
                <w:color w:val="auto"/>
              </w:rPr>
              <w:t>0</w:t>
            </w:r>
          </w:p>
        </w:tc>
        <w:tc>
          <w:tcPr>
            <w:tcW w:w="1842" w:type="dxa"/>
            <w:noWrap w:val="0"/>
            <w:vAlign w:val="center"/>
          </w:tcPr>
          <w:p w14:paraId="45FAAE4A">
            <w:pPr>
              <w:jc w:val="center"/>
              <w:rPr>
                <w:rFonts w:hint="eastAsia"/>
                <w:color w:val="auto"/>
                <w:szCs w:val="21"/>
              </w:rPr>
            </w:pPr>
            <w:r>
              <w:rPr>
                <w:rFonts w:hint="eastAsia" w:ascii="Times New Roman" w:hAnsi="Times New Roman" w:eastAsia="宋体" w:cs="Times New Roman"/>
                <w:color w:val="auto"/>
                <w:lang w:val="en-US" w:eastAsia="zh-CN"/>
              </w:rPr>
              <w:t>0.1</w:t>
            </w:r>
            <w:r>
              <w:rPr>
                <w:rFonts w:hint="eastAsia" w:ascii="Times New Roman" w:hAnsi="Times New Roman" w:eastAsia="宋体" w:cs="Times New Roman"/>
                <w:color w:val="auto"/>
                <w:szCs w:val="21"/>
                <w:lang w:val="en-US" w:eastAsia="zh-CN"/>
              </w:rPr>
              <w:t>t/a</w:t>
            </w:r>
          </w:p>
        </w:tc>
        <w:tc>
          <w:tcPr>
            <w:tcW w:w="1286" w:type="dxa"/>
            <w:noWrap w:val="0"/>
            <w:vAlign w:val="center"/>
          </w:tcPr>
          <w:p w14:paraId="61973105">
            <w:pPr>
              <w:jc w:val="center"/>
              <w:rPr>
                <w:color w:val="auto"/>
              </w:rPr>
            </w:pPr>
            <w:r>
              <w:rPr>
                <w:rFonts w:hint="eastAsia" w:ascii="Times New Roman" w:hAnsi="Times New Roman" w:eastAsia="宋体" w:cs="Times New Roman"/>
                <w:color w:val="auto"/>
                <w:lang w:val="en-US" w:eastAsia="zh-CN"/>
              </w:rPr>
              <w:t>+0.1</w:t>
            </w:r>
            <w:r>
              <w:rPr>
                <w:rFonts w:hint="eastAsia" w:ascii="Times New Roman" w:hAnsi="Times New Roman" w:eastAsia="宋体" w:cs="Times New Roman"/>
                <w:color w:val="auto"/>
                <w:szCs w:val="21"/>
                <w:lang w:val="en-US" w:eastAsia="zh-CN"/>
              </w:rPr>
              <w:t>t/a</w:t>
            </w:r>
          </w:p>
        </w:tc>
      </w:tr>
      <w:tr w14:paraId="3ED9A62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9" w:hRule="atLeast"/>
        </w:trPr>
        <w:tc>
          <w:tcPr>
            <w:tcW w:w="1304" w:type="dxa"/>
            <w:vMerge w:val="continue"/>
            <w:noWrap w:val="0"/>
            <w:vAlign w:val="center"/>
          </w:tcPr>
          <w:p w14:paraId="36ACF2BA">
            <w:pPr>
              <w:pStyle w:val="54"/>
              <w:spacing w:before="24" w:after="24" w:line="240" w:lineRule="auto"/>
              <w:rPr>
                <w:rFonts w:hint="eastAsia" w:hAnsi="宋体" w:cs="宋体"/>
                <w:snapToGrid w:val="0"/>
                <w:color w:val="auto"/>
                <w:kern w:val="21"/>
                <w:szCs w:val="21"/>
              </w:rPr>
            </w:pPr>
          </w:p>
        </w:tc>
        <w:tc>
          <w:tcPr>
            <w:tcW w:w="1701" w:type="dxa"/>
            <w:noWrap w:val="0"/>
            <w:vAlign w:val="center"/>
          </w:tcPr>
          <w:p w14:paraId="7B5D2528">
            <w:pPr>
              <w:pStyle w:val="54"/>
              <w:spacing w:before="24" w:after="24" w:line="240" w:lineRule="auto"/>
              <w:rPr>
                <w:rFonts w:hint="eastAsia" w:ascii="宋体" w:hAnsi="宋体" w:eastAsia="宋体" w:cs="宋体"/>
                <w:snapToGrid w:val="0"/>
                <w:color w:val="auto"/>
                <w:kern w:val="21"/>
                <w:szCs w:val="21"/>
              </w:rPr>
            </w:pPr>
            <w:r>
              <w:rPr>
                <w:rFonts w:hint="eastAsia" w:ascii="宋体" w:hAnsi="宋体" w:eastAsia="宋体" w:cs="宋体"/>
                <w:snapToGrid w:val="0"/>
                <w:color w:val="auto"/>
                <w:kern w:val="21"/>
                <w:szCs w:val="21"/>
                <w:lang w:val="en-US" w:eastAsia="zh-CN"/>
              </w:rPr>
              <w:t>污水处理设备污泥</w:t>
            </w:r>
          </w:p>
        </w:tc>
        <w:tc>
          <w:tcPr>
            <w:tcW w:w="1701" w:type="dxa"/>
            <w:noWrap w:val="0"/>
            <w:vAlign w:val="center"/>
          </w:tcPr>
          <w:p w14:paraId="54C58BB7">
            <w:pPr>
              <w:jc w:val="center"/>
              <w:rPr>
                <w:color w:val="auto"/>
              </w:rPr>
            </w:pPr>
            <w:r>
              <w:rPr>
                <w:rFonts w:hint="eastAsia"/>
                <w:color w:val="auto"/>
              </w:rPr>
              <w:t>0</w:t>
            </w:r>
          </w:p>
        </w:tc>
        <w:tc>
          <w:tcPr>
            <w:tcW w:w="1276" w:type="dxa"/>
            <w:noWrap w:val="0"/>
            <w:vAlign w:val="center"/>
          </w:tcPr>
          <w:p w14:paraId="79349024">
            <w:pPr>
              <w:jc w:val="center"/>
              <w:rPr>
                <w:color w:val="auto"/>
              </w:rPr>
            </w:pPr>
            <w:r>
              <w:rPr>
                <w:rFonts w:hint="eastAsia"/>
                <w:color w:val="auto"/>
              </w:rPr>
              <w:t>0</w:t>
            </w:r>
          </w:p>
        </w:tc>
        <w:tc>
          <w:tcPr>
            <w:tcW w:w="1701" w:type="dxa"/>
            <w:noWrap w:val="0"/>
            <w:vAlign w:val="center"/>
          </w:tcPr>
          <w:p w14:paraId="79B1DBB3">
            <w:pPr>
              <w:jc w:val="center"/>
              <w:rPr>
                <w:color w:val="auto"/>
              </w:rPr>
            </w:pPr>
            <w:r>
              <w:rPr>
                <w:rFonts w:hint="eastAsia"/>
                <w:color w:val="auto"/>
              </w:rPr>
              <w:t>0</w:t>
            </w:r>
          </w:p>
        </w:tc>
        <w:tc>
          <w:tcPr>
            <w:tcW w:w="1559" w:type="dxa"/>
            <w:noWrap w:val="0"/>
            <w:vAlign w:val="center"/>
          </w:tcPr>
          <w:p w14:paraId="0C6A331A">
            <w:pPr>
              <w:jc w:val="center"/>
              <w:rPr>
                <w:rFonts w:hint="eastAsia" w:ascii="Times New Roman" w:hAnsi="Times New Roman" w:eastAsia="宋体" w:cs="Times New Roman"/>
                <w:color w:val="auto"/>
              </w:rPr>
            </w:pPr>
            <w:r>
              <w:rPr>
                <w:rFonts w:hint="eastAsia" w:ascii="Times New Roman" w:hAnsi="Times New Roman" w:eastAsia="宋体" w:cs="Times New Roman"/>
                <w:color w:val="auto"/>
                <w:lang w:val="en-US" w:eastAsia="zh-CN"/>
              </w:rPr>
              <w:t>0.23</w:t>
            </w:r>
            <w:r>
              <w:rPr>
                <w:rFonts w:hint="eastAsia" w:ascii="Times New Roman" w:hAnsi="Times New Roman" w:eastAsia="宋体" w:cs="Times New Roman"/>
                <w:color w:val="auto"/>
                <w:szCs w:val="21"/>
                <w:lang w:val="en-US" w:eastAsia="zh-CN"/>
              </w:rPr>
              <w:t>t/a</w:t>
            </w:r>
          </w:p>
        </w:tc>
        <w:tc>
          <w:tcPr>
            <w:tcW w:w="1418" w:type="dxa"/>
            <w:noWrap w:val="0"/>
            <w:vAlign w:val="center"/>
          </w:tcPr>
          <w:p w14:paraId="153F1744">
            <w:pPr>
              <w:adjustRightInd w:val="0"/>
              <w:snapToGrid w:val="0"/>
              <w:jc w:val="center"/>
              <w:rPr>
                <w:color w:val="auto"/>
              </w:rPr>
            </w:pPr>
            <w:r>
              <w:rPr>
                <w:rFonts w:hint="eastAsia"/>
                <w:color w:val="auto"/>
              </w:rPr>
              <w:t>0</w:t>
            </w:r>
          </w:p>
        </w:tc>
        <w:tc>
          <w:tcPr>
            <w:tcW w:w="1842" w:type="dxa"/>
            <w:noWrap w:val="0"/>
            <w:vAlign w:val="center"/>
          </w:tcPr>
          <w:p w14:paraId="22F6C498">
            <w:pPr>
              <w:jc w:val="center"/>
              <w:rPr>
                <w:rFonts w:hint="eastAsia"/>
                <w:color w:val="auto"/>
                <w:szCs w:val="21"/>
              </w:rPr>
            </w:pPr>
            <w:r>
              <w:rPr>
                <w:rFonts w:hint="eastAsia" w:ascii="Times New Roman" w:hAnsi="Times New Roman" w:eastAsia="宋体" w:cs="Times New Roman"/>
                <w:color w:val="auto"/>
                <w:lang w:val="en-US" w:eastAsia="zh-CN"/>
              </w:rPr>
              <w:t>0.23</w:t>
            </w:r>
            <w:r>
              <w:rPr>
                <w:rFonts w:hint="eastAsia" w:ascii="Times New Roman" w:hAnsi="Times New Roman" w:eastAsia="宋体" w:cs="Times New Roman"/>
                <w:color w:val="auto"/>
                <w:szCs w:val="21"/>
                <w:lang w:val="en-US" w:eastAsia="zh-CN"/>
              </w:rPr>
              <w:t>t/a</w:t>
            </w:r>
          </w:p>
        </w:tc>
        <w:tc>
          <w:tcPr>
            <w:tcW w:w="1286" w:type="dxa"/>
            <w:noWrap w:val="0"/>
            <w:vAlign w:val="center"/>
          </w:tcPr>
          <w:p w14:paraId="37DC11F2">
            <w:pPr>
              <w:jc w:val="center"/>
              <w:rPr>
                <w:color w:val="auto"/>
              </w:rPr>
            </w:pPr>
            <w:r>
              <w:rPr>
                <w:rFonts w:hint="eastAsia" w:ascii="Times New Roman" w:hAnsi="Times New Roman" w:eastAsia="宋体" w:cs="Times New Roman"/>
                <w:color w:val="auto"/>
                <w:lang w:val="en-US" w:eastAsia="zh-CN"/>
              </w:rPr>
              <w:t>+0.23</w:t>
            </w:r>
            <w:r>
              <w:rPr>
                <w:rFonts w:hint="eastAsia" w:ascii="Times New Roman" w:hAnsi="Times New Roman" w:eastAsia="宋体" w:cs="Times New Roman"/>
                <w:color w:val="auto"/>
                <w:szCs w:val="21"/>
                <w:lang w:val="en-US" w:eastAsia="zh-CN"/>
              </w:rPr>
              <w:t>t/a</w:t>
            </w:r>
          </w:p>
        </w:tc>
      </w:tr>
    </w:tbl>
    <w:p w14:paraId="07ED6481">
      <w:pPr>
        <w:pStyle w:val="54"/>
        <w:spacing w:before="192" w:beforeLines="80" w:after="24"/>
        <w:jc w:val="left"/>
        <w:rPr>
          <w:rFonts w:hAnsi="宋体"/>
          <w:snapToGrid w:val="0"/>
          <w:color w:val="auto"/>
          <w:spacing w:val="-6"/>
          <w:kern w:val="21"/>
          <w:szCs w:val="21"/>
        </w:rPr>
        <w:sectPr>
          <w:footerReference r:id="rId6" w:type="default"/>
          <w:pgSz w:w="16840" w:h="11907" w:orient="landscape"/>
          <w:pgMar w:top="1418" w:right="1418" w:bottom="1418" w:left="1418" w:header="851" w:footer="851" w:gutter="0"/>
          <w:pgBorders>
            <w:top w:val="none" w:sz="0" w:space="0"/>
            <w:left w:val="none" w:sz="0" w:space="0"/>
            <w:bottom w:val="none" w:sz="0" w:space="0"/>
            <w:right w:val="none" w:sz="0" w:space="0"/>
          </w:pgBorders>
          <w:cols w:space="720" w:num="1"/>
          <w:docGrid w:linePitch="312" w:charSpace="0"/>
        </w:sectPr>
      </w:pPr>
      <w:r>
        <w:rPr>
          <w:rFonts w:hAnsi="宋体"/>
          <w:snapToGrid w:val="0"/>
          <w:color w:val="auto"/>
          <w:kern w:val="21"/>
          <w:szCs w:val="21"/>
        </w:rPr>
        <w:t>注：</w:t>
      </w:r>
      <w:r>
        <w:rPr>
          <w:rFonts w:hAnsi="宋体"/>
          <w:snapToGrid w:val="0"/>
          <w:color w:val="auto"/>
          <w:spacing w:val="-16"/>
          <w:kern w:val="21"/>
          <w:szCs w:val="21"/>
        </w:rPr>
        <w:fldChar w:fldCharType="begin"/>
      </w:r>
      <w:r>
        <w:rPr>
          <w:rFonts w:hAnsi="宋体"/>
          <w:snapToGrid w:val="0"/>
          <w:color w:val="auto"/>
          <w:spacing w:val="-16"/>
          <w:kern w:val="21"/>
          <w:szCs w:val="21"/>
        </w:rPr>
        <w:instrText xml:space="preserve"> = 6 \* GB3 \* MERGEFORMAT </w:instrText>
      </w:r>
      <w:r>
        <w:rPr>
          <w:rFonts w:hAnsi="宋体"/>
          <w:snapToGrid w:val="0"/>
          <w:color w:val="auto"/>
          <w:spacing w:val="-16"/>
          <w:kern w:val="21"/>
          <w:szCs w:val="21"/>
        </w:rPr>
        <w:fldChar w:fldCharType="separate"/>
      </w:r>
      <w:r>
        <w:rPr>
          <w:rFonts w:hAnsi="宋体"/>
          <w:color w:val="auto"/>
          <w:szCs w:val="21"/>
        </w:rPr>
        <w:t>⑥</w:t>
      </w:r>
      <w:r>
        <w:rPr>
          <w:rFonts w:hAnsi="宋体"/>
          <w:snapToGrid w:val="0"/>
          <w:color w:val="auto"/>
          <w:spacing w:val="-16"/>
          <w:kern w:val="21"/>
          <w:szCs w:val="21"/>
        </w:rPr>
        <w:fldChar w:fldCharType="end"/>
      </w:r>
      <w:r>
        <w:rPr>
          <w:rFonts w:hAnsi="宋体"/>
          <w:snapToGrid w:val="0"/>
          <w:color w:val="auto"/>
          <w:spacing w:val="-16"/>
          <w:kern w:val="21"/>
          <w:szCs w:val="21"/>
        </w:rPr>
        <w:t>=</w:t>
      </w:r>
      <w:r>
        <w:rPr>
          <w:rFonts w:hAnsi="宋体"/>
          <w:snapToGrid w:val="0"/>
          <w:color w:val="auto"/>
          <w:spacing w:val="-6"/>
          <w:kern w:val="21"/>
          <w:szCs w:val="21"/>
        </w:rPr>
        <w:fldChar w:fldCharType="begin"/>
      </w:r>
      <w:r>
        <w:rPr>
          <w:rFonts w:hAnsi="宋体"/>
          <w:snapToGrid w:val="0"/>
          <w:color w:val="auto"/>
          <w:spacing w:val="-6"/>
          <w:kern w:val="21"/>
          <w:szCs w:val="21"/>
        </w:rPr>
        <w:instrText xml:space="preserve"> = 1 \* GB3 \* MERGEFORMAT </w:instrText>
      </w:r>
      <w:r>
        <w:rPr>
          <w:rFonts w:hAnsi="宋体"/>
          <w:snapToGrid w:val="0"/>
          <w:color w:val="auto"/>
          <w:spacing w:val="-6"/>
          <w:kern w:val="21"/>
          <w:szCs w:val="21"/>
        </w:rPr>
        <w:fldChar w:fldCharType="separate"/>
      </w:r>
      <w:r>
        <w:rPr>
          <w:rFonts w:hAnsi="宋体"/>
          <w:color w:val="auto"/>
          <w:szCs w:val="21"/>
        </w:rPr>
        <w:t>①</w:t>
      </w:r>
      <w:r>
        <w:rPr>
          <w:rFonts w:hAnsi="宋体"/>
          <w:snapToGrid w:val="0"/>
          <w:color w:val="auto"/>
          <w:spacing w:val="-6"/>
          <w:kern w:val="21"/>
          <w:szCs w:val="21"/>
        </w:rPr>
        <w:fldChar w:fldCharType="end"/>
      </w:r>
      <w:r>
        <w:rPr>
          <w:rFonts w:hAnsi="宋体"/>
          <w:snapToGrid w:val="0"/>
          <w:color w:val="auto"/>
          <w:spacing w:val="-6"/>
          <w:kern w:val="21"/>
          <w:szCs w:val="21"/>
        </w:rPr>
        <w:t>+</w:t>
      </w:r>
      <w:r>
        <w:rPr>
          <w:rFonts w:hAnsi="宋体"/>
          <w:snapToGrid w:val="0"/>
          <w:color w:val="auto"/>
          <w:spacing w:val="-6"/>
          <w:kern w:val="21"/>
          <w:szCs w:val="21"/>
        </w:rPr>
        <w:fldChar w:fldCharType="begin"/>
      </w:r>
      <w:r>
        <w:rPr>
          <w:rFonts w:hAnsi="宋体"/>
          <w:snapToGrid w:val="0"/>
          <w:color w:val="auto"/>
          <w:spacing w:val="-6"/>
          <w:kern w:val="21"/>
          <w:szCs w:val="21"/>
        </w:rPr>
        <w:instrText xml:space="preserve"> = 3 \* GB3 \* MERGEFORMAT </w:instrText>
      </w:r>
      <w:r>
        <w:rPr>
          <w:rFonts w:hAnsi="宋体"/>
          <w:snapToGrid w:val="0"/>
          <w:color w:val="auto"/>
          <w:spacing w:val="-6"/>
          <w:kern w:val="21"/>
          <w:szCs w:val="21"/>
        </w:rPr>
        <w:fldChar w:fldCharType="separate"/>
      </w:r>
      <w:r>
        <w:rPr>
          <w:rFonts w:hAnsi="宋体"/>
          <w:color w:val="auto"/>
          <w:szCs w:val="21"/>
        </w:rPr>
        <w:t>③</w:t>
      </w:r>
      <w:r>
        <w:rPr>
          <w:rFonts w:hAnsi="宋体"/>
          <w:snapToGrid w:val="0"/>
          <w:color w:val="auto"/>
          <w:spacing w:val="-6"/>
          <w:kern w:val="21"/>
          <w:szCs w:val="21"/>
        </w:rPr>
        <w:fldChar w:fldCharType="end"/>
      </w:r>
      <w:r>
        <w:rPr>
          <w:rFonts w:hAnsi="宋体"/>
          <w:snapToGrid w:val="0"/>
          <w:color w:val="auto"/>
          <w:spacing w:val="-6"/>
          <w:kern w:val="21"/>
          <w:szCs w:val="21"/>
        </w:rPr>
        <w:t>+</w:t>
      </w:r>
      <w:r>
        <w:rPr>
          <w:rFonts w:hAnsi="宋体"/>
          <w:snapToGrid w:val="0"/>
          <w:color w:val="auto"/>
          <w:spacing w:val="-6"/>
          <w:kern w:val="21"/>
          <w:szCs w:val="21"/>
        </w:rPr>
        <w:fldChar w:fldCharType="begin"/>
      </w:r>
      <w:r>
        <w:rPr>
          <w:rFonts w:hAnsi="宋体"/>
          <w:snapToGrid w:val="0"/>
          <w:color w:val="auto"/>
          <w:spacing w:val="-6"/>
          <w:kern w:val="21"/>
          <w:szCs w:val="21"/>
        </w:rPr>
        <w:instrText xml:space="preserve"> = 4 \* GB3 \* MERGEFORMAT </w:instrText>
      </w:r>
      <w:r>
        <w:rPr>
          <w:rFonts w:hAnsi="宋体"/>
          <w:snapToGrid w:val="0"/>
          <w:color w:val="auto"/>
          <w:spacing w:val="-6"/>
          <w:kern w:val="21"/>
          <w:szCs w:val="21"/>
        </w:rPr>
        <w:fldChar w:fldCharType="separate"/>
      </w:r>
      <w:r>
        <w:rPr>
          <w:rFonts w:hAnsi="宋体"/>
          <w:color w:val="auto"/>
          <w:szCs w:val="21"/>
        </w:rPr>
        <w:t>④</w:t>
      </w:r>
      <w:r>
        <w:rPr>
          <w:rFonts w:hAnsi="宋体"/>
          <w:snapToGrid w:val="0"/>
          <w:color w:val="auto"/>
          <w:spacing w:val="-6"/>
          <w:kern w:val="21"/>
          <w:szCs w:val="21"/>
        </w:rPr>
        <w:fldChar w:fldCharType="end"/>
      </w:r>
      <w:r>
        <w:rPr>
          <w:rFonts w:hAnsi="宋体"/>
          <w:snapToGrid w:val="0"/>
          <w:color w:val="auto"/>
          <w:spacing w:val="-6"/>
          <w:kern w:val="21"/>
          <w:szCs w:val="21"/>
        </w:rPr>
        <w:t>-</w:t>
      </w:r>
      <w:r>
        <w:rPr>
          <w:rFonts w:hAnsi="宋体"/>
          <w:snapToGrid w:val="0"/>
          <w:color w:val="auto"/>
          <w:spacing w:val="-16"/>
          <w:kern w:val="21"/>
          <w:szCs w:val="21"/>
        </w:rPr>
        <w:fldChar w:fldCharType="begin"/>
      </w:r>
      <w:r>
        <w:rPr>
          <w:rFonts w:hAnsi="宋体"/>
          <w:snapToGrid w:val="0"/>
          <w:color w:val="auto"/>
          <w:spacing w:val="-16"/>
          <w:kern w:val="21"/>
          <w:szCs w:val="21"/>
        </w:rPr>
        <w:instrText xml:space="preserve"> = 5 \* GB3 \* MERGEFORMAT </w:instrText>
      </w:r>
      <w:r>
        <w:rPr>
          <w:rFonts w:hAnsi="宋体"/>
          <w:snapToGrid w:val="0"/>
          <w:color w:val="auto"/>
          <w:spacing w:val="-16"/>
          <w:kern w:val="21"/>
          <w:szCs w:val="21"/>
        </w:rPr>
        <w:fldChar w:fldCharType="separate"/>
      </w:r>
      <w:r>
        <w:rPr>
          <w:rFonts w:hAnsi="宋体"/>
          <w:color w:val="auto"/>
          <w:szCs w:val="21"/>
        </w:rPr>
        <w:t>⑤</w:t>
      </w:r>
      <w:r>
        <w:rPr>
          <w:rFonts w:hAnsi="宋体"/>
          <w:snapToGrid w:val="0"/>
          <w:color w:val="auto"/>
          <w:spacing w:val="-16"/>
          <w:kern w:val="21"/>
          <w:szCs w:val="21"/>
        </w:rPr>
        <w:fldChar w:fldCharType="end"/>
      </w:r>
      <w:r>
        <w:rPr>
          <w:rFonts w:hAnsi="宋体"/>
          <w:snapToGrid w:val="0"/>
          <w:color w:val="auto"/>
          <w:spacing w:val="-16"/>
          <w:kern w:val="21"/>
          <w:szCs w:val="21"/>
        </w:rPr>
        <w:t>；</w:t>
      </w:r>
      <w:r>
        <w:rPr>
          <w:rFonts w:hAnsi="宋体"/>
          <w:snapToGrid w:val="0"/>
          <w:color w:val="auto"/>
          <w:spacing w:val="-6"/>
          <w:kern w:val="21"/>
          <w:szCs w:val="21"/>
        </w:rPr>
        <w:fldChar w:fldCharType="begin"/>
      </w:r>
      <w:r>
        <w:rPr>
          <w:rFonts w:hAnsi="宋体"/>
          <w:snapToGrid w:val="0"/>
          <w:color w:val="auto"/>
          <w:spacing w:val="-6"/>
          <w:kern w:val="21"/>
          <w:szCs w:val="21"/>
        </w:rPr>
        <w:instrText xml:space="preserve"> = 7 \* GB3 \* MERGEFORMAT </w:instrText>
      </w:r>
      <w:r>
        <w:rPr>
          <w:rFonts w:hAnsi="宋体"/>
          <w:snapToGrid w:val="0"/>
          <w:color w:val="auto"/>
          <w:spacing w:val="-6"/>
          <w:kern w:val="21"/>
          <w:szCs w:val="21"/>
        </w:rPr>
        <w:fldChar w:fldCharType="separate"/>
      </w:r>
      <w:r>
        <w:rPr>
          <w:rFonts w:hAnsi="宋体"/>
          <w:color w:val="auto"/>
          <w:szCs w:val="21"/>
        </w:rPr>
        <w:t>⑦</w:t>
      </w:r>
      <w:r>
        <w:rPr>
          <w:rFonts w:hAnsi="宋体"/>
          <w:snapToGrid w:val="0"/>
          <w:color w:val="auto"/>
          <w:spacing w:val="-6"/>
          <w:kern w:val="21"/>
          <w:szCs w:val="21"/>
        </w:rPr>
        <w:fldChar w:fldCharType="end"/>
      </w:r>
      <w:r>
        <w:rPr>
          <w:rFonts w:hAnsi="宋体"/>
          <w:snapToGrid w:val="0"/>
          <w:color w:val="auto"/>
          <w:spacing w:val="-6"/>
          <w:kern w:val="21"/>
          <w:szCs w:val="21"/>
        </w:rPr>
        <w:t>=</w:t>
      </w:r>
      <w:r>
        <w:rPr>
          <w:rFonts w:hAnsi="宋体"/>
          <w:snapToGrid w:val="0"/>
          <w:color w:val="auto"/>
          <w:spacing w:val="-16"/>
          <w:kern w:val="21"/>
          <w:szCs w:val="21"/>
        </w:rPr>
        <w:fldChar w:fldCharType="begin"/>
      </w:r>
      <w:r>
        <w:rPr>
          <w:rFonts w:hAnsi="宋体"/>
          <w:snapToGrid w:val="0"/>
          <w:color w:val="auto"/>
          <w:spacing w:val="-16"/>
          <w:kern w:val="21"/>
          <w:szCs w:val="21"/>
        </w:rPr>
        <w:instrText xml:space="preserve"> = 6 \* GB3 \* MERGEFORMAT </w:instrText>
      </w:r>
      <w:r>
        <w:rPr>
          <w:rFonts w:hAnsi="宋体"/>
          <w:snapToGrid w:val="0"/>
          <w:color w:val="auto"/>
          <w:spacing w:val="-16"/>
          <w:kern w:val="21"/>
          <w:szCs w:val="21"/>
        </w:rPr>
        <w:fldChar w:fldCharType="separate"/>
      </w:r>
      <w:r>
        <w:rPr>
          <w:rFonts w:hAnsi="宋体"/>
          <w:color w:val="auto"/>
          <w:szCs w:val="21"/>
        </w:rPr>
        <w:t>⑥</w:t>
      </w:r>
      <w:r>
        <w:rPr>
          <w:rFonts w:hAnsi="宋体"/>
          <w:snapToGrid w:val="0"/>
          <w:color w:val="auto"/>
          <w:spacing w:val="-16"/>
          <w:kern w:val="21"/>
          <w:szCs w:val="21"/>
        </w:rPr>
        <w:fldChar w:fldCharType="end"/>
      </w:r>
      <w:r>
        <w:rPr>
          <w:rFonts w:hAnsi="宋体"/>
          <w:snapToGrid w:val="0"/>
          <w:color w:val="auto"/>
          <w:spacing w:val="-16"/>
          <w:kern w:val="21"/>
          <w:szCs w:val="21"/>
        </w:rPr>
        <w:t>-</w:t>
      </w:r>
      <w:r>
        <w:rPr>
          <w:rFonts w:hAnsi="宋体"/>
          <w:snapToGrid w:val="0"/>
          <w:color w:val="auto"/>
          <w:spacing w:val="-6"/>
          <w:kern w:val="21"/>
          <w:szCs w:val="21"/>
        </w:rPr>
        <w:fldChar w:fldCharType="begin"/>
      </w:r>
      <w:r>
        <w:rPr>
          <w:rFonts w:hAnsi="宋体"/>
          <w:snapToGrid w:val="0"/>
          <w:color w:val="auto"/>
          <w:spacing w:val="-6"/>
          <w:kern w:val="21"/>
          <w:szCs w:val="21"/>
        </w:rPr>
        <w:instrText xml:space="preserve"> = 1 \* GB3 \* MERGEFORMAT </w:instrText>
      </w:r>
      <w:r>
        <w:rPr>
          <w:rFonts w:hAnsi="宋体"/>
          <w:snapToGrid w:val="0"/>
          <w:color w:val="auto"/>
          <w:spacing w:val="-6"/>
          <w:kern w:val="21"/>
          <w:szCs w:val="21"/>
        </w:rPr>
        <w:fldChar w:fldCharType="separate"/>
      </w:r>
      <w:r>
        <w:rPr>
          <w:rFonts w:hAnsi="宋体"/>
          <w:color w:val="auto"/>
          <w:szCs w:val="21"/>
        </w:rPr>
        <w:t>①</w:t>
      </w:r>
      <w:r>
        <w:rPr>
          <w:rFonts w:hAnsi="宋体"/>
          <w:snapToGrid w:val="0"/>
          <w:color w:val="auto"/>
          <w:spacing w:val="-6"/>
          <w:kern w:val="21"/>
          <w:szCs w:val="21"/>
        </w:rPr>
        <w:fldChar w:fldCharType="end"/>
      </w:r>
    </w:p>
    <w:p w14:paraId="625997F6">
      <w:pPr>
        <w:pStyle w:val="4"/>
        <w:bidi w:val="0"/>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附件1环评委托书</w:t>
      </w:r>
    </w:p>
    <w:p w14:paraId="6E0EFA01">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eastAsia" w:eastAsia="宋体"/>
          <w:color w:val="auto"/>
          <w:sz w:val="28"/>
          <w:szCs w:val="28"/>
          <w:lang w:eastAsia="zh-CN"/>
        </w:rPr>
      </w:pPr>
      <w:r>
        <w:rPr>
          <w:rFonts w:hint="eastAsia" w:eastAsia="宋体"/>
          <w:color w:val="auto"/>
          <w:sz w:val="28"/>
          <w:szCs w:val="28"/>
          <w:lang w:eastAsia="zh-CN"/>
        </w:rPr>
        <w:drawing>
          <wp:inline distT="0" distB="0" distL="114300" distR="114300">
            <wp:extent cx="5460365" cy="7719695"/>
            <wp:effectExtent l="0" t="0" r="10795" b="6985"/>
            <wp:docPr id="8" name="图片 8" descr="委托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委托书"/>
                    <pic:cNvPicPr>
                      <a:picLocks noChangeAspect="1"/>
                    </pic:cNvPicPr>
                  </pic:nvPicPr>
                  <pic:blipFill>
                    <a:blip r:embed="rId42"/>
                    <a:stretch>
                      <a:fillRect/>
                    </a:stretch>
                  </pic:blipFill>
                  <pic:spPr>
                    <a:xfrm>
                      <a:off x="0" y="0"/>
                      <a:ext cx="5460365" cy="7719695"/>
                    </a:xfrm>
                    <a:prstGeom prst="rect">
                      <a:avLst/>
                    </a:prstGeom>
                  </pic:spPr>
                </pic:pic>
              </a:graphicData>
            </a:graphic>
          </wp:inline>
        </w:drawing>
      </w:r>
    </w:p>
    <w:p w14:paraId="2CDE7E9B">
      <w:pPr>
        <w:spacing w:line="360" w:lineRule="auto"/>
        <w:jc w:val="right"/>
        <w:rPr>
          <w:color w:val="auto"/>
          <w:sz w:val="28"/>
          <w:szCs w:val="28"/>
        </w:rPr>
        <w:sectPr>
          <w:pgSz w:w="11906" w:h="16838"/>
          <w:pgMar w:top="1440" w:right="1800" w:bottom="1440" w:left="1800" w:header="851" w:footer="992" w:gutter="0"/>
          <w:pgBorders>
            <w:top w:val="none" w:sz="0" w:space="0"/>
            <w:left w:val="none" w:sz="0" w:space="0"/>
            <w:bottom w:val="none" w:sz="0" w:space="0"/>
            <w:right w:val="none" w:sz="0" w:space="0"/>
          </w:pgBorders>
          <w:cols w:space="720" w:num="1"/>
          <w:docGrid w:type="lines" w:linePitch="312" w:charSpace="0"/>
        </w:sectPr>
      </w:pPr>
      <w:r>
        <w:rPr>
          <w:rFonts w:hint="eastAsia"/>
          <w:color w:val="auto"/>
          <w:sz w:val="28"/>
          <w:szCs w:val="28"/>
        </w:rPr>
        <w:t xml:space="preserve">                                          </w:t>
      </w:r>
    </w:p>
    <w:p w14:paraId="1459C862">
      <w:pPr>
        <w:pStyle w:val="4"/>
        <w:bidi w:val="0"/>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附件2项目备案证明</w:t>
      </w:r>
    </w:p>
    <w:p w14:paraId="501B7213">
      <w:pPr>
        <w:jc w:val="center"/>
        <w:rPr>
          <w:rFonts w:hint="eastAsia"/>
          <w:color w:val="auto"/>
        </w:rPr>
      </w:pPr>
      <w:r>
        <w:rPr>
          <w:color w:val="auto"/>
        </w:rPr>
        <w:drawing>
          <wp:inline distT="0" distB="0" distL="114300" distR="114300">
            <wp:extent cx="5781675" cy="8105775"/>
            <wp:effectExtent l="0" t="0" r="9525" b="9525"/>
            <wp:docPr id="33"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52"/>
                    <pic:cNvPicPr>
                      <a:picLocks noChangeAspect="1"/>
                    </pic:cNvPicPr>
                  </pic:nvPicPr>
                  <pic:blipFill>
                    <a:blip r:embed="rId43"/>
                    <a:stretch>
                      <a:fillRect/>
                    </a:stretch>
                  </pic:blipFill>
                  <pic:spPr>
                    <a:xfrm>
                      <a:off x="0" y="0"/>
                      <a:ext cx="5781675" cy="8105775"/>
                    </a:xfrm>
                    <a:prstGeom prst="rect">
                      <a:avLst/>
                    </a:prstGeom>
                    <a:noFill/>
                    <a:ln>
                      <a:noFill/>
                    </a:ln>
                  </pic:spPr>
                </pic:pic>
              </a:graphicData>
            </a:graphic>
          </wp:inline>
        </w:drawing>
      </w:r>
    </w:p>
    <w:p w14:paraId="13D730C5">
      <w:pPr>
        <w:spacing w:line="360" w:lineRule="auto"/>
        <w:rPr>
          <w:color w:val="auto"/>
        </w:rPr>
        <w:sectPr>
          <w:footerReference r:id="rId7" w:type="default"/>
          <w:pgSz w:w="11907" w:h="16840"/>
          <w:pgMar w:top="1134" w:right="1134" w:bottom="1134" w:left="1134" w:header="851" w:footer="851" w:gutter="0"/>
          <w:pgBorders>
            <w:top w:val="none" w:sz="0" w:space="0"/>
            <w:left w:val="none" w:sz="0" w:space="0"/>
            <w:bottom w:val="none" w:sz="0" w:space="0"/>
            <w:right w:val="none" w:sz="0" w:space="0"/>
          </w:pgBorders>
          <w:cols w:space="720" w:num="1"/>
          <w:docGrid w:linePitch="312" w:charSpace="0"/>
        </w:sectPr>
      </w:pPr>
    </w:p>
    <w:p w14:paraId="435B36F5">
      <w:pPr>
        <w:pStyle w:val="4"/>
        <w:bidi w:val="0"/>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附件3项目厂房租赁协议</w:t>
      </w:r>
    </w:p>
    <w:p w14:paraId="1344D457">
      <w:pPr>
        <w:rPr>
          <w:rFonts w:hint="eastAsia"/>
          <w:color w:val="auto"/>
          <w:lang w:val="en-US" w:eastAsia="zh-CN"/>
        </w:rPr>
        <w:sectPr>
          <w:pgSz w:w="11907" w:h="16840"/>
          <w:pgMar w:top="1134" w:right="1134" w:bottom="1134" w:left="1134" w:header="851" w:footer="851" w:gutter="0"/>
          <w:pgBorders>
            <w:top w:val="none" w:sz="0" w:space="0"/>
            <w:left w:val="none" w:sz="0" w:space="0"/>
            <w:bottom w:val="none" w:sz="0" w:space="0"/>
            <w:right w:val="none" w:sz="0" w:space="0"/>
          </w:pgBorders>
          <w:cols w:space="720" w:num="1"/>
          <w:docGrid w:linePitch="312" w:charSpace="0"/>
        </w:sectPr>
      </w:pPr>
      <w:r>
        <w:rPr>
          <w:rFonts w:hint="eastAsia"/>
          <w:color w:val="auto"/>
          <w:lang w:val="en-US" w:eastAsia="zh-CN"/>
        </w:rPr>
        <w:drawing>
          <wp:inline distT="0" distB="0" distL="114300" distR="114300">
            <wp:extent cx="6120130" cy="8662035"/>
            <wp:effectExtent l="0" t="0" r="13970" b="5715"/>
            <wp:docPr id="35" name="图片 153" descr="昌吉实验室租房合同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53" descr="昌吉实验室租房合同_01"/>
                    <pic:cNvPicPr>
                      <a:picLocks noChangeAspect="1"/>
                    </pic:cNvPicPr>
                  </pic:nvPicPr>
                  <pic:blipFill>
                    <a:blip r:embed="rId44"/>
                    <a:stretch>
                      <a:fillRect/>
                    </a:stretch>
                  </pic:blipFill>
                  <pic:spPr>
                    <a:xfrm>
                      <a:off x="0" y="0"/>
                      <a:ext cx="6120130" cy="8662035"/>
                    </a:xfrm>
                    <a:prstGeom prst="rect">
                      <a:avLst/>
                    </a:prstGeom>
                    <a:noFill/>
                    <a:ln>
                      <a:noFill/>
                    </a:ln>
                  </pic:spPr>
                </pic:pic>
              </a:graphicData>
            </a:graphic>
          </wp:inline>
        </w:drawing>
      </w:r>
    </w:p>
    <w:p w14:paraId="6713F79F">
      <w:pPr>
        <w:rPr>
          <w:rFonts w:hint="eastAsia"/>
          <w:color w:val="auto"/>
          <w:lang w:val="en-US" w:eastAsia="zh-CN"/>
        </w:rPr>
        <w:sectPr>
          <w:pgSz w:w="11907" w:h="16840"/>
          <w:pgMar w:top="1134" w:right="1134" w:bottom="1134" w:left="1134" w:header="851" w:footer="851" w:gutter="0"/>
          <w:pgBorders>
            <w:top w:val="none" w:sz="0" w:space="0"/>
            <w:left w:val="none" w:sz="0" w:space="0"/>
            <w:bottom w:val="none" w:sz="0" w:space="0"/>
            <w:right w:val="none" w:sz="0" w:space="0"/>
          </w:pgBorders>
          <w:cols w:space="720" w:num="1"/>
          <w:docGrid w:linePitch="312" w:charSpace="0"/>
        </w:sectPr>
      </w:pPr>
      <w:r>
        <w:rPr>
          <w:rFonts w:hint="eastAsia"/>
          <w:color w:val="auto"/>
          <w:lang w:val="en-US" w:eastAsia="zh-CN"/>
        </w:rPr>
        <w:drawing>
          <wp:inline distT="0" distB="0" distL="114300" distR="114300">
            <wp:extent cx="6120130" cy="8662035"/>
            <wp:effectExtent l="0" t="0" r="13970" b="5715"/>
            <wp:docPr id="37" name="图片 154" descr="昌吉实验室租房合同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54" descr="昌吉实验室租房合同_02"/>
                    <pic:cNvPicPr>
                      <a:picLocks noChangeAspect="1"/>
                    </pic:cNvPicPr>
                  </pic:nvPicPr>
                  <pic:blipFill>
                    <a:blip r:embed="rId45"/>
                    <a:stretch>
                      <a:fillRect/>
                    </a:stretch>
                  </pic:blipFill>
                  <pic:spPr>
                    <a:xfrm>
                      <a:off x="0" y="0"/>
                      <a:ext cx="6120130" cy="8662035"/>
                    </a:xfrm>
                    <a:prstGeom prst="rect">
                      <a:avLst/>
                    </a:prstGeom>
                    <a:noFill/>
                    <a:ln>
                      <a:noFill/>
                    </a:ln>
                  </pic:spPr>
                </pic:pic>
              </a:graphicData>
            </a:graphic>
          </wp:inline>
        </w:drawing>
      </w:r>
    </w:p>
    <w:p w14:paraId="0BA5A56C">
      <w:pPr>
        <w:pStyle w:val="5"/>
        <w:ind w:left="0" w:leftChars="0" w:firstLine="0" w:firstLineChars="0"/>
        <w:rPr>
          <w:rFonts w:hint="eastAsia"/>
          <w:color w:val="auto"/>
          <w:lang w:val="en-US" w:eastAsia="zh-CN"/>
        </w:rPr>
        <w:sectPr>
          <w:pgSz w:w="11907" w:h="16840"/>
          <w:pgMar w:top="1134" w:right="1134" w:bottom="1134" w:left="1134" w:header="851" w:footer="851" w:gutter="0"/>
          <w:pgBorders>
            <w:top w:val="none" w:sz="0" w:space="0"/>
            <w:left w:val="none" w:sz="0" w:space="0"/>
            <w:bottom w:val="none" w:sz="0" w:space="0"/>
            <w:right w:val="none" w:sz="0" w:space="0"/>
          </w:pgBorders>
          <w:cols w:space="720" w:num="1"/>
          <w:docGrid w:linePitch="312" w:charSpace="0"/>
        </w:sectPr>
      </w:pPr>
      <w:r>
        <w:rPr>
          <w:rFonts w:hint="eastAsia"/>
          <w:color w:val="auto"/>
          <w:lang w:val="en-US" w:eastAsia="zh-CN"/>
        </w:rPr>
        <w:drawing>
          <wp:inline distT="0" distB="0" distL="114300" distR="114300">
            <wp:extent cx="6120130" cy="8662035"/>
            <wp:effectExtent l="0" t="0" r="13970" b="5715"/>
            <wp:docPr id="38" name="图片 155" descr="昌吉实验室租房合同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55" descr="昌吉实验室租房合同_03"/>
                    <pic:cNvPicPr>
                      <a:picLocks noChangeAspect="1"/>
                    </pic:cNvPicPr>
                  </pic:nvPicPr>
                  <pic:blipFill>
                    <a:blip r:embed="rId46"/>
                    <a:stretch>
                      <a:fillRect/>
                    </a:stretch>
                  </pic:blipFill>
                  <pic:spPr>
                    <a:xfrm>
                      <a:off x="0" y="0"/>
                      <a:ext cx="6120130" cy="8662035"/>
                    </a:xfrm>
                    <a:prstGeom prst="rect">
                      <a:avLst/>
                    </a:prstGeom>
                    <a:noFill/>
                    <a:ln>
                      <a:noFill/>
                    </a:ln>
                  </pic:spPr>
                </pic:pic>
              </a:graphicData>
            </a:graphic>
          </wp:inline>
        </w:drawing>
      </w:r>
    </w:p>
    <w:p w14:paraId="6524FF39">
      <w:pPr>
        <w:rPr>
          <w:rFonts w:hint="eastAsia"/>
          <w:color w:val="auto"/>
          <w:lang w:val="en-US" w:eastAsia="zh-CN"/>
        </w:rPr>
        <w:sectPr>
          <w:pgSz w:w="11907" w:h="16840"/>
          <w:pgMar w:top="1134" w:right="1134" w:bottom="1134" w:left="1134" w:header="851" w:footer="851" w:gutter="0"/>
          <w:pgBorders>
            <w:top w:val="none" w:sz="0" w:space="0"/>
            <w:left w:val="none" w:sz="0" w:space="0"/>
            <w:bottom w:val="none" w:sz="0" w:space="0"/>
            <w:right w:val="none" w:sz="0" w:space="0"/>
          </w:pgBorders>
          <w:cols w:space="720" w:num="1"/>
          <w:docGrid w:linePitch="312" w:charSpace="0"/>
        </w:sectPr>
      </w:pPr>
      <w:r>
        <w:rPr>
          <w:rFonts w:hint="eastAsia"/>
          <w:color w:val="auto"/>
          <w:lang w:val="en-US" w:eastAsia="zh-CN"/>
        </w:rPr>
        <w:drawing>
          <wp:inline distT="0" distB="0" distL="114300" distR="114300">
            <wp:extent cx="6120130" cy="8662035"/>
            <wp:effectExtent l="0" t="0" r="13970" b="5715"/>
            <wp:docPr id="39" name="图片 156" descr="昌吉实验室租房合同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56" descr="昌吉实验室租房合同_04"/>
                    <pic:cNvPicPr>
                      <a:picLocks noChangeAspect="1"/>
                    </pic:cNvPicPr>
                  </pic:nvPicPr>
                  <pic:blipFill>
                    <a:blip r:embed="rId47"/>
                    <a:stretch>
                      <a:fillRect/>
                    </a:stretch>
                  </pic:blipFill>
                  <pic:spPr>
                    <a:xfrm>
                      <a:off x="0" y="0"/>
                      <a:ext cx="6120130" cy="8662035"/>
                    </a:xfrm>
                    <a:prstGeom prst="rect">
                      <a:avLst/>
                    </a:prstGeom>
                    <a:noFill/>
                    <a:ln>
                      <a:noFill/>
                    </a:ln>
                  </pic:spPr>
                </pic:pic>
              </a:graphicData>
            </a:graphic>
          </wp:inline>
        </w:drawing>
      </w:r>
    </w:p>
    <w:p w14:paraId="343409BF">
      <w:pPr>
        <w:pStyle w:val="5"/>
        <w:ind w:left="0" w:leftChars="0" w:firstLine="0" w:firstLineChars="0"/>
        <w:rPr>
          <w:rFonts w:hint="eastAsia"/>
          <w:color w:val="auto"/>
          <w:lang w:val="en-US" w:eastAsia="zh-CN"/>
        </w:rPr>
        <w:sectPr>
          <w:pgSz w:w="11907" w:h="16840"/>
          <w:pgMar w:top="1134" w:right="1134" w:bottom="1134" w:left="1134" w:header="851" w:footer="851" w:gutter="0"/>
          <w:pgBorders>
            <w:top w:val="none" w:sz="0" w:space="0"/>
            <w:left w:val="none" w:sz="0" w:space="0"/>
            <w:bottom w:val="none" w:sz="0" w:space="0"/>
            <w:right w:val="none" w:sz="0" w:space="0"/>
          </w:pgBorders>
          <w:cols w:space="720" w:num="1"/>
          <w:docGrid w:linePitch="312" w:charSpace="0"/>
        </w:sectPr>
      </w:pPr>
      <w:r>
        <w:rPr>
          <w:rFonts w:hint="eastAsia"/>
          <w:color w:val="auto"/>
          <w:lang w:val="en-US" w:eastAsia="zh-CN"/>
        </w:rPr>
        <w:drawing>
          <wp:inline distT="0" distB="0" distL="114300" distR="114300">
            <wp:extent cx="6120130" cy="8662035"/>
            <wp:effectExtent l="0" t="0" r="13970" b="5715"/>
            <wp:docPr id="40" name="图片 157" descr="昌吉实验室租房合同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57" descr="昌吉实验室租房合同_05"/>
                    <pic:cNvPicPr>
                      <a:picLocks noChangeAspect="1"/>
                    </pic:cNvPicPr>
                  </pic:nvPicPr>
                  <pic:blipFill>
                    <a:blip r:embed="rId48"/>
                    <a:stretch>
                      <a:fillRect/>
                    </a:stretch>
                  </pic:blipFill>
                  <pic:spPr>
                    <a:xfrm>
                      <a:off x="0" y="0"/>
                      <a:ext cx="6120130" cy="8662035"/>
                    </a:xfrm>
                    <a:prstGeom prst="rect">
                      <a:avLst/>
                    </a:prstGeom>
                    <a:noFill/>
                    <a:ln>
                      <a:noFill/>
                    </a:ln>
                  </pic:spPr>
                </pic:pic>
              </a:graphicData>
            </a:graphic>
          </wp:inline>
        </w:drawing>
      </w:r>
    </w:p>
    <w:p w14:paraId="0A32D5E7">
      <w:pPr>
        <w:rPr>
          <w:rFonts w:hint="eastAsia"/>
          <w:color w:val="auto"/>
          <w:lang w:val="en-US" w:eastAsia="zh-CN"/>
        </w:rPr>
        <w:sectPr>
          <w:pgSz w:w="11907" w:h="16840"/>
          <w:pgMar w:top="1134" w:right="1134" w:bottom="1134" w:left="1134" w:header="851" w:footer="851" w:gutter="0"/>
          <w:pgBorders>
            <w:top w:val="none" w:sz="0" w:space="0"/>
            <w:left w:val="none" w:sz="0" w:space="0"/>
            <w:bottom w:val="none" w:sz="0" w:space="0"/>
            <w:right w:val="none" w:sz="0" w:space="0"/>
          </w:pgBorders>
          <w:cols w:space="720" w:num="1"/>
          <w:docGrid w:linePitch="312" w:charSpace="0"/>
        </w:sectPr>
      </w:pPr>
      <w:r>
        <w:rPr>
          <w:rFonts w:hint="eastAsia"/>
          <w:color w:val="auto"/>
          <w:lang w:val="en-US" w:eastAsia="zh-CN"/>
        </w:rPr>
        <w:drawing>
          <wp:inline distT="0" distB="0" distL="114300" distR="114300">
            <wp:extent cx="6120130" cy="8662035"/>
            <wp:effectExtent l="0" t="0" r="13970" b="5715"/>
            <wp:docPr id="41" name="图片 158" descr="昌吉实验室租房合同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58" descr="昌吉实验室租房合同_06"/>
                    <pic:cNvPicPr>
                      <a:picLocks noChangeAspect="1"/>
                    </pic:cNvPicPr>
                  </pic:nvPicPr>
                  <pic:blipFill>
                    <a:blip r:embed="rId49"/>
                    <a:stretch>
                      <a:fillRect/>
                    </a:stretch>
                  </pic:blipFill>
                  <pic:spPr>
                    <a:xfrm>
                      <a:off x="0" y="0"/>
                      <a:ext cx="6120130" cy="8662035"/>
                    </a:xfrm>
                    <a:prstGeom prst="rect">
                      <a:avLst/>
                    </a:prstGeom>
                    <a:noFill/>
                    <a:ln>
                      <a:noFill/>
                    </a:ln>
                  </pic:spPr>
                </pic:pic>
              </a:graphicData>
            </a:graphic>
          </wp:inline>
        </w:drawing>
      </w:r>
    </w:p>
    <w:p w14:paraId="275BF946">
      <w:pPr>
        <w:pStyle w:val="19"/>
        <w:jc w:val="center"/>
        <w:rPr>
          <w:rFonts w:hint="eastAsia"/>
          <w:color w:val="auto"/>
          <w:lang w:val="en-US" w:eastAsia="zh-CN"/>
        </w:rPr>
      </w:pPr>
      <w:r>
        <w:rPr>
          <w:color w:val="auto"/>
          <w:sz w:val="18"/>
        </w:rPr>
        <mc:AlternateContent>
          <mc:Choice Requires="wps">
            <w:drawing>
              <wp:anchor distT="0" distB="0" distL="114300" distR="114300" simplePos="0" relativeHeight="251666432" behindDoc="0" locked="0" layoutInCell="1" allowOverlap="1">
                <wp:simplePos x="0" y="0"/>
                <wp:positionH relativeFrom="column">
                  <wp:posOffset>2882900</wp:posOffset>
                </wp:positionH>
                <wp:positionV relativeFrom="paragraph">
                  <wp:posOffset>4025265</wp:posOffset>
                </wp:positionV>
                <wp:extent cx="952500" cy="289560"/>
                <wp:effectExtent l="408305" t="539115" r="10795" b="9525"/>
                <wp:wrapNone/>
                <wp:docPr id="6" name="矩形标注 28"/>
                <wp:cNvGraphicFramePr/>
                <a:graphic xmlns:a="http://schemas.openxmlformats.org/drawingml/2006/main">
                  <a:graphicData uri="http://schemas.microsoft.com/office/word/2010/wordprocessingShape">
                    <wps:wsp>
                      <wps:cNvSpPr/>
                      <wps:spPr>
                        <a:xfrm>
                          <a:off x="0" y="0"/>
                          <a:ext cx="952500" cy="289560"/>
                        </a:xfrm>
                        <a:prstGeom prst="wedgeRectCallout">
                          <a:avLst>
                            <a:gd name="adj1" fmla="val -89662"/>
                            <a:gd name="adj2" fmla="val -227625"/>
                          </a:avLst>
                        </a:prstGeom>
                        <a:noFill/>
                        <a:ln w="9525" cap="flat" cmpd="sng">
                          <a:solidFill>
                            <a:srgbClr val="000000"/>
                          </a:solidFill>
                          <a:prstDash val="solid"/>
                          <a:miter/>
                          <a:headEnd type="none" w="med" len="med"/>
                          <a:tailEnd type="none" w="med" len="med"/>
                        </a:ln>
                      </wps:spPr>
                      <wps:txbx>
                        <w:txbxContent>
                          <w:p w14:paraId="0DD98960">
                            <w:pPr>
                              <w:rPr>
                                <w:rFonts w:hint="eastAsia" w:eastAsia="宋体"/>
                                <w:b/>
                                <w:bCs/>
                                <w:color w:val="FF0000"/>
                                <w:lang w:val="en-US" w:eastAsia="zh-CN"/>
                              </w:rPr>
                            </w:pPr>
                            <w:r>
                              <w:rPr>
                                <w:rFonts w:hint="eastAsia"/>
                                <w:b/>
                                <w:bCs/>
                                <w:color w:val="FF0000"/>
                                <w:lang w:val="en-US" w:eastAsia="zh-CN"/>
                              </w:rPr>
                              <w:t>项目所在地</w:t>
                            </w:r>
                          </w:p>
                        </w:txbxContent>
                      </wps:txbx>
                      <wps:bodyPr vert="horz" wrap="square" anchor="t" anchorCtr="0" upright="1"/>
                    </wps:wsp>
                  </a:graphicData>
                </a:graphic>
              </wp:anchor>
            </w:drawing>
          </mc:Choice>
          <mc:Fallback>
            <w:pict>
              <v:shape id="矩形标注 28" o:spid="_x0000_s1026" o:spt="61" type="#_x0000_t61" style="position:absolute;left:0pt;margin-left:227pt;margin-top:316.95pt;height:22.8pt;width:75pt;z-index:251666432;mso-width-relative:page;mso-height-relative:page;" filled="f" stroked="t" coordsize="21600,21600" o:gfxdata="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KhZj0DcAAAACwEA&#10;AA8AAAAAAAAAAQAgAAAAIgAAAGRycy9kb3ducmV2LnhtbFBLAQIUABQAAAAIAIdO4kA4hmG5TwIA&#10;AJkEAAAOAAAAAAAAAAEAIAAAACsBAABkcnMvZTJvRG9jLnhtbFBLBQYAAAAABgAGAFkBAADsBQAA&#10;AAA=&#10;" adj="-8567,-38367">
                <v:fill on="f" focussize="0,0"/>
                <v:stroke color="#000000" joinstyle="miter"/>
                <v:imagedata o:title=""/>
                <o:lock v:ext="edit" aspectratio="f"/>
                <v:textbox>
                  <w:txbxContent>
                    <w:p w14:paraId="0DD98960">
                      <w:pPr>
                        <w:rPr>
                          <w:rFonts w:hint="eastAsia" w:eastAsia="宋体"/>
                          <w:b/>
                          <w:bCs/>
                          <w:color w:val="FF0000"/>
                          <w:lang w:val="en-US" w:eastAsia="zh-CN"/>
                        </w:rPr>
                      </w:pPr>
                      <w:r>
                        <w:rPr>
                          <w:rFonts w:hint="eastAsia"/>
                          <w:b/>
                          <w:bCs/>
                          <w:color w:val="FF0000"/>
                          <w:lang w:val="en-US" w:eastAsia="zh-CN"/>
                        </w:rPr>
                        <w:t>项目所在地</w:t>
                      </w:r>
                    </w:p>
                  </w:txbxContent>
                </v:textbox>
              </v:shape>
            </w:pict>
          </mc:Fallback>
        </mc:AlternateContent>
      </w:r>
      <w:r>
        <w:rPr>
          <w:color w:val="auto"/>
          <w:sz w:val="18"/>
        </w:rPr>
        <mc:AlternateContent>
          <mc:Choice Requires="wps">
            <w:drawing>
              <wp:anchor distT="0" distB="0" distL="114300" distR="114300" simplePos="0" relativeHeight="251665408" behindDoc="0" locked="0" layoutInCell="1" allowOverlap="1">
                <wp:simplePos x="0" y="0"/>
                <wp:positionH relativeFrom="column">
                  <wp:posOffset>2406015</wp:posOffset>
                </wp:positionH>
                <wp:positionV relativeFrom="paragraph">
                  <wp:posOffset>3424555</wp:posOffset>
                </wp:positionV>
                <wp:extent cx="91440" cy="91440"/>
                <wp:effectExtent l="13970" t="15875" r="27940" b="26035"/>
                <wp:wrapNone/>
                <wp:docPr id="34" name="五角星 34"/>
                <wp:cNvGraphicFramePr/>
                <a:graphic xmlns:a="http://schemas.openxmlformats.org/drawingml/2006/main">
                  <a:graphicData uri="http://schemas.microsoft.com/office/word/2010/wordprocessingShape">
                    <wps:wsp>
                      <wps:cNvSpPr/>
                      <wps:spPr>
                        <a:xfrm>
                          <a:off x="0" y="0"/>
                          <a:ext cx="91440" cy="91440"/>
                        </a:xfrm>
                        <a:prstGeom prst="star5">
                          <a:avLst/>
                        </a:prstGeom>
                        <a:solidFill>
                          <a:srgbClr val="FF0000"/>
                        </a:solidFill>
                        <a:ln w="9525" cap="flat" cmpd="sng">
                          <a:solidFill>
                            <a:srgbClr val="FF0000"/>
                          </a:solidFill>
                          <a:prstDash val="solid"/>
                          <a:miter/>
                          <a:headEnd type="none" w="med" len="med"/>
                          <a:tailEnd type="none" w="med" len="med"/>
                        </a:ln>
                        <a:effectLst/>
                      </wps:spPr>
                      <wps:bodyPr wrap="square" upright="1"/>
                    </wps:wsp>
                  </a:graphicData>
                </a:graphic>
              </wp:anchor>
            </w:drawing>
          </mc:Choice>
          <mc:Fallback>
            <w:pict>
              <v:shape id="_x0000_s1026" o:spid="_x0000_s1026" style="position:absolute;left:0pt;margin-left:189.45pt;margin-top:269.65pt;height:7.2pt;width:7.2pt;z-index:251665408;mso-width-relative:page;mso-height-relative:page;" fillcolor="#FF0000" filled="t" stroked="t" coordsize="91440,91440" o:gfxdata="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BC7vrD1QAAAAsBAAAPAAAAAAAAAAEAIAAAACIAAABk&#10;cnMvZG93bnJldi54bWxQSwECFAAUAAAACACHTuJADtHx+AkCAAA9BAAADgAAAAAAAAABACAAAAAk&#10;AQAAZHJzL2Uyb0RvYy54bWxQSwUGAAAAAAYABgBZAQAAnwUAAAAA&#10;" path="m0,34926l34927,34927,45720,0,56512,34927,91439,34926,63183,56512,73976,91439,45720,69853,17463,91439,28256,56512xe">
                <v:path o:connectlocs="45720,0;0,34926;17463,91439;73976,91439;91439,34926" o:connectangles="247,164,82,82,0"/>
                <v:fill on="t" focussize="0,0"/>
                <v:stroke color="#FF0000" joinstyle="miter"/>
                <v:imagedata o:title=""/>
                <o:lock v:ext="edit" aspectratio="f"/>
              </v:shape>
            </w:pict>
          </mc:Fallback>
        </mc:AlternateContent>
      </w:r>
      <w:r>
        <w:rPr>
          <w:color w:val="auto"/>
          <w:sz w:val="18"/>
        </w:rPr>
        <w:drawing>
          <wp:inline distT="0" distB="0" distL="114300" distR="114300">
            <wp:extent cx="9067165" cy="6071870"/>
            <wp:effectExtent l="0" t="0" r="635" b="5080"/>
            <wp:docPr id="42" name="图片 165" descr="昌吉回族自治州（普染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65" descr="昌吉回族自治州（普染版）"/>
                    <pic:cNvPicPr>
                      <a:picLocks noChangeAspect="1"/>
                    </pic:cNvPicPr>
                  </pic:nvPicPr>
                  <pic:blipFill>
                    <a:blip r:embed="rId50"/>
                    <a:srcRect t="2763" b="1826"/>
                    <a:stretch>
                      <a:fillRect/>
                    </a:stretch>
                  </pic:blipFill>
                  <pic:spPr>
                    <a:xfrm>
                      <a:off x="0" y="0"/>
                      <a:ext cx="9067165" cy="6071870"/>
                    </a:xfrm>
                    <a:prstGeom prst="rect">
                      <a:avLst/>
                    </a:prstGeom>
                    <a:noFill/>
                    <a:ln>
                      <a:noFill/>
                    </a:ln>
                  </pic:spPr>
                </pic:pic>
              </a:graphicData>
            </a:graphic>
          </wp:inline>
        </w:drawing>
      </w:r>
    </w:p>
    <w:p w14:paraId="51DD4262">
      <w:pPr>
        <w:pStyle w:val="4"/>
        <w:bidi w:val="0"/>
        <w:jc w:val="center"/>
        <w:rPr>
          <w:rFonts w:hint="eastAsia" w:ascii="Times New Roman" w:hAnsi="Times New Roman" w:eastAsia="宋体" w:cs="Times New Roman"/>
          <w:color w:val="auto"/>
          <w:sz w:val="24"/>
          <w:szCs w:val="24"/>
          <w:lang w:val="en-US" w:eastAsia="zh-CN"/>
        </w:rPr>
        <w:sectPr>
          <w:footerReference r:id="rId8" w:type="default"/>
          <w:pgSz w:w="16840" w:h="11907" w:orient="landscape"/>
          <w:pgMar w:top="850" w:right="1134" w:bottom="850" w:left="1418" w:header="851" w:footer="992" w:gutter="0"/>
          <w:pgBorders>
            <w:top w:val="none" w:sz="0" w:space="0"/>
            <w:left w:val="none" w:sz="0" w:space="0"/>
            <w:bottom w:val="none" w:sz="0" w:space="0"/>
            <w:right w:val="none" w:sz="0" w:space="0"/>
          </w:pgBorders>
          <w:pgNumType w:fmt="decimal"/>
          <w:cols w:space="720" w:num="1"/>
          <w:titlePg/>
          <w:docGrid w:linePitch="312" w:charSpace="0"/>
        </w:sectPr>
      </w:pPr>
      <w:r>
        <w:rPr>
          <w:rFonts w:hint="eastAsia" w:ascii="Times New Roman" w:hAnsi="Times New Roman" w:eastAsia="宋体" w:cs="Times New Roman"/>
          <w:color w:val="auto"/>
          <w:sz w:val="24"/>
          <w:szCs w:val="24"/>
          <w:lang w:val="en-US" w:eastAsia="zh-CN"/>
        </w:rPr>
        <w:t>附图1  项目地理位置图</w:t>
      </w:r>
    </w:p>
    <w:p w14:paraId="1AC5A05D">
      <w:pPr>
        <w:pStyle w:val="2"/>
        <w:ind w:left="-420" w:leftChars="-200" w:right="0" w:rightChars="0" w:firstLine="219" w:firstLineChars="122"/>
        <w:jc w:val="center"/>
        <w:rPr>
          <w:rFonts w:hint="eastAsia" w:eastAsia="宋体"/>
          <w:color w:val="auto"/>
          <w:lang w:eastAsia="zh-CN"/>
        </w:rPr>
      </w:pPr>
      <w:r>
        <w:rPr>
          <w:color w:val="auto"/>
          <w:sz w:val="18"/>
        </w:rPr>
        <mc:AlternateContent>
          <mc:Choice Requires="wps">
            <w:drawing>
              <wp:anchor distT="0" distB="0" distL="114300" distR="114300" simplePos="0" relativeHeight="251659264" behindDoc="0" locked="0" layoutInCell="1" allowOverlap="1">
                <wp:simplePos x="0" y="0"/>
                <wp:positionH relativeFrom="column">
                  <wp:posOffset>1995170</wp:posOffset>
                </wp:positionH>
                <wp:positionV relativeFrom="paragraph">
                  <wp:posOffset>3341370</wp:posOffset>
                </wp:positionV>
                <wp:extent cx="91440" cy="91440"/>
                <wp:effectExtent l="13970" t="15875" r="27940" b="26035"/>
                <wp:wrapNone/>
                <wp:docPr id="36" name="五角星 36"/>
                <wp:cNvGraphicFramePr/>
                <a:graphic xmlns:a="http://schemas.openxmlformats.org/drawingml/2006/main">
                  <a:graphicData uri="http://schemas.microsoft.com/office/word/2010/wordprocessingShape">
                    <wps:wsp>
                      <wps:cNvSpPr/>
                      <wps:spPr>
                        <a:xfrm>
                          <a:off x="0" y="0"/>
                          <a:ext cx="91440" cy="91440"/>
                        </a:xfrm>
                        <a:prstGeom prst="star5">
                          <a:avLst/>
                        </a:prstGeom>
                        <a:solidFill>
                          <a:srgbClr val="FFFF00"/>
                        </a:solidFill>
                        <a:ln w="9525" cap="flat" cmpd="sng">
                          <a:solidFill>
                            <a:srgbClr val="FFFF00"/>
                          </a:solidFill>
                          <a:prstDash val="solid"/>
                          <a:miter/>
                          <a:headEnd type="none" w="med" len="med"/>
                          <a:tailEnd type="none" w="med" len="med"/>
                        </a:ln>
                        <a:effectLst/>
                      </wps:spPr>
                      <wps:bodyPr wrap="square" upright="1"/>
                    </wps:wsp>
                  </a:graphicData>
                </a:graphic>
              </wp:anchor>
            </w:drawing>
          </mc:Choice>
          <mc:Fallback>
            <w:pict>
              <v:shape id="_x0000_s1026" o:spid="_x0000_s1026" style="position:absolute;left:0pt;margin-left:157.1pt;margin-top:263.1pt;height:7.2pt;width:7.2pt;z-index:251659264;mso-width-relative:page;mso-height-relative:page;" fillcolor="#FFFF00" filled="t" stroked="t" coordsize="91440,91440" o:gfxdata="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OQrJ9bZAAAACwEAAA8AAAAAAAAAAQAgAAAA&#10;IgAAAGRycy9kb3ducmV2LnhtbFBLAQIUABQAAAAIAIdO4kAT0XBLCgIAAD0EAAAOAAAAAAAAAAEA&#10;IAAAACgBAABkcnMvZTJvRG9jLnhtbFBLBQYAAAAABgAGAFkBAACkBQAAAAA=&#10;" path="m0,34926l34927,34927,45720,0,56512,34927,91439,34926,63183,56512,73976,91439,45720,69853,17463,91439,28256,56512xe">
                <v:path o:connectlocs="45720,0;0,34926;17463,91439;73976,91439;91439,34926" o:connectangles="247,164,82,82,0"/>
                <v:fill on="t" focussize="0,0"/>
                <v:stroke color="#FFFF00" joinstyle="miter"/>
                <v:imagedata o:title=""/>
                <o:lock v:ext="edit" aspectratio="f"/>
              </v:shape>
            </w:pict>
          </mc:Fallback>
        </mc:AlternateContent>
      </w:r>
      <w:r>
        <w:rPr>
          <w:color w:val="auto"/>
          <w:sz w:val="18"/>
        </w:rPr>
        <mc:AlternateContent>
          <mc:Choice Requires="wps">
            <w:drawing>
              <wp:anchor distT="0" distB="0" distL="114300" distR="114300" simplePos="0" relativeHeight="251660288" behindDoc="0" locked="0" layoutInCell="1" allowOverlap="1">
                <wp:simplePos x="0" y="0"/>
                <wp:positionH relativeFrom="column">
                  <wp:posOffset>2632075</wp:posOffset>
                </wp:positionH>
                <wp:positionV relativeFrom="paragraph">
                  <wp:posOffset>3818890</wp:posOffset>
                </wp:positionV>
                <wp:extent cx="952500" cy="289560"/>
                <wp:effectExtent l="579120" t="434340" r="11430" b="19050"/>
                <wp:wrapNone/>
                <wp:docPr id="1" name="矩形标注 37"/>
                <wp:cNvGraphicFramePr/>
                <a:graphic xmlns:a="http://schemas.openxmlformats.org/drawingml/2006/main">
                  <a:graphicData uri="http://schemas.microsoft.com/office/word/2010/wordprocessingShape">
                    <wps:wsp>
                      <wps:cNvSpPr/>
                      <wps:spPr>
                        <a:xfrm>
                          <a:off x="0" y="0"/>
                          <a:ext cx="952500" cy="289560"/>
                        </a:xfrm>
                        <a:prstGeom prst="wedgeRectCallout">
                          <a:avLst>
                            <a:gd name="adj1" fmla="val -107130"/>
                            <a:gd name="adj2" fmla="val -193199"/>
                          </a:avLst>
                        </a:prstGeom>
                        <a:noFill/>
                        <a:ln w="9525" cap="flat" cmpd="sng">
                          <a:solidFill>
                            <a:srgbClr val="000000"/>
                          </a:solidFill>
                          <a:prstDash val="solid"/>
                          <a:miter/>
                          <a:headEnd type="none" w="med" len="med"/>
                          <a:tailEnd type="none" w="med" len="med"/>
                        </a:ln>
                      </wps:spPr>
                      <wps:txbx>
                        <w:txbxContent>
                          <w:p w14:paraId="1E354CA1">
                            <w:pPr>
                              <w:rPr>
                                <w:rFonts w:hint="eastAsia" w:eastAsia="宋体"/>
                                <w:b/>
                                <w:bCs/>
                                <w:color w:val="FF0000"/>
                                <w:lang w:val="en-US" w:eastAsia="zh-CN"/>
                              </w:rPr>
                            </w:pPr>
                            <w:r>
                              <w:rPr>
                                <w:rFonts w:hint="eastAsia"/>
                                <w:b/>
                                <w:bCs/>
                                <w:color w:val="FF0000"/>
                                <w:lang w:val="en-US" w:eastAsia="zh-CN"/>
                              </w:rPr>
                              <w:t>项目所在地</w:t>
                            </w:r>
                          </w:p>
                        </w:txbxContent>
                      </wps:txbx>
                      <wps:bodyPr vert="horz" wrap="square" anchor="t" anchorCtr="0" upright="1"/>
                    </wps:wsp>
                  </a:graphicData>
                </a:graphic>
              </wp:anchor>
            </w:drawing>
          </mc:Choice>
          <mc:Fallback>
            <w:pict>
              <v:shape id="矩形标注 37" o:spid="_x0000_s1026" o:spt="61" type="#_x0000_t61" style="position:absolute;left:0pt;margin-left:207.25pt;margin-top:300.7pt;height:22.8pt;width:75pt;z-index:251660288;mso-width-relative:page;mso-height-relative:page;" filled="f" stroked="t" coordsize="21600,21600" o:gfxdata="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CP51V9YAAAALAQAADwAA&#10;AAAAAAABACAAAAAiAAAAZHJzL2Rvd25yZXYueG1sUEsBAhQAFAAAAAgAh07iQD8RBlhRAgAAmgQA&#10;AA4AAAAAAAAAAQAgAAAAJQEAAGRycy9lMm9Eb2MueG1sUEsFBgAAAAAGAAYAWQEAAOgFAAAAAA==&#10;" adj="-12340,-30931">
                <v:fill on="f" focussize="0,0"/>
                <v:stroke color="#000000" joinstyle="miter"/>
                <v:imagedata o:title=""/>
                <o:lock v:ext="edit" aspectratio="f"/>
                <v:textbox>
                  <w:txbxContent>
                    <w:p w14:paraId="1E354CA1">
                      <w:pPr>
                        <w:rPr>
                          <w:rFonts w:hint="eastAsia" w:eastAsia="宋体"/>
                          <w:b/>
                          <w:bCs/>
                          <w:color w:val="FF0000"/>
                          <w:lang w:val="en-US" w:eastAsia="zh-CN"/>
                        </w:rPr>
                      </w:pPr>
                      <w:r>
                        <w:rPr>
                          <w:rFonts w:hint="eastAsia"/>
                          <w:b/>
                          <w:bCs/>
                          <w:color w:val="FF0000"/>
                          <w:lang w:val="en-US" w:eastAsia="zh-CN"/>
                        </w:rPr>
                        <w:t>项目所在地</w:t>
                      </w:r>
                    </w:p>
                  </w:txbxContent>
                </v:textbox>
              </v:shape>
            </w:pict>
          </mc:Fallback>
        </mc:AlternateContent>
      </w:r>
      <w:r>
        <w:rPr>
          <w:rFonts w:hint="eastAsia" w:ascii="仿宋_GB2312" w:eastAsia="仿宋_GB2312"/>
          <w:color w:val="auto"/>
          <w:sz w:val="28"/>
          <w:szCs w:val="28"/>
        </w:rPr>
        <w:drawing>
          <wp:inline distT="0" distB="0" distL="114300" distR="114300">
            <wp:extent cx="8658225" cy="5410200"/>
            <wp:effectExtent l="0" t="0" r="9525" b="0"/>
            <wp:docPr id="43"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50"/>
                    <pic:cNvPicPr>
                      <a:picLocks noChangeAspect="1"/>
                    </pic:cNvPicPr>
                  </pic:nvPicPr>
                  <pic:blipFill>
                    <a:blip r:embed="rId51"/>
                    <a:srcRect l="1164" t="1788" r="1392" b="1793"/>
                    <a:stretch>
                      <a:fillRect/>
                    </a:stretch>
                  </pic:blipFill>
                  <pic:spPr>
                    <a:xfrm>
                      <a:off x="0" y="0"/>
                      <a:ext cx="8658225" cy="5410200"/>
                    </a:xfrm>
                    <a:prstGeom prst="rect">
                      <a:avLst/>
                    </a:prstGeom>
                    <a:noFill/>
                    <a:ln>
                      <a:noFill/>
                    </a:ln>
                  </pic:spPr>
                </pic:pic>
              </a:graphicData>
            </a:graphic>
          </wp:inline>
        </w:drawing>
      </w:r>
    </w:p>
    <w:p w14:paraId="22F7D1D3">
      <w:pPr>
        <w:pStyle w:val="4"/>
        <w:bidi w:val="0"/>
        <w:jc w:val="center"/>
        <w:rPr>
          <w:rFonts w:hint="default" w:ascii="Times New Roman" w:hAnsi="Times New Roman" w:eastAsia="宋体" w:cs="Times New Roman"/>
          <w:color w:val="auto"/>
          <w:sz w:val="24"/>
          <w:szCs w:val="24"/>
          <w:lang w:val="en-US" w:eastAsia="zh-CN"/>
        </w:rPr>
        <w:sectPr>
          <w:footerReference r:id="rId9" w:type="default"/>
          <w:pgSz w:w="16840" w:h="11907" w:orient="landscape"/>
          <w:pgMar w:top="1418" w:right="1134" w:bottom="1134" w:left="1418" w:header="851" w:footer="992" w:gutter="0"/>
          <w:pgBorders>
            <w:top w:val="none" w:sz="0" w:space="0"/>
            <w:left w:val="none" w:sz="0" w:space="0"/>
            <w:bottom w:val="none" w:sz="0" w:space="0"/>
            <w:right w:val="none" w:sz="0" w:space="0"/>
          </w:pgBorders>
          <w:pgNumType w:fmt="decimal"/>
          <w:cols w:space="720" w:num="1"/>
          <w:titlePg/>
          <w:docGrid w:linePitch="312" w:charSpace="0"/>
        </w:sectPr>
      </w:pPr>
      <w:r>
        <w:rPr>
          <w:rFonts w:hint="eastAsia" w:ascii="Times New Roman" w:hAnsi="Times New Roman" w:eastAsia="宋体" w:cs="Times New Roman"/>
          <w:color w:val="auto"/>
          <w:sz w:val="24"/>
          <w:szCs w:val="24"/>
          <w:lang w:val="en-US" w:eastAsia="zh-CN"/>
        </w:rPr>
        <w:t>附图2  昌吉回族自治州“</w:t>
      </w:r>
      <w:r>
        <w:rPr>
          <w:rFonts w:hint="default" w:ascii="Times New Roman" w:hAnsi="Times New Roman" w:eastAsia="宋体" w:cs="Times New Roman"/>
          <w:color w:val="auto"/>
          <w:sz w:val="24"/>
          <w:szCs w:val="24"/>
          <w:lang w:val="en-US" w:eastAsia="zh-CN"/>
        </w:rPr>
        <w:t>三线一单</w:t>
      </w:r>
      <w:r>
        <w:rPr>
          <w:rFonts w:hint="eastAsia" w:ascii="Times New Roman" w:hAnsi="Times New Roman" w:eastAsia="宋体" w:cs="Times New Roman"/>
          <w:color w:val="auto"/>
          <w:sz w:val="24"/>
          <w:szCs w:val="24"/>
          <w:lang w:val="en-US" w:eastAsia="zh-CN"/>
        </w:rPr>
        <w:t>”分区</w:t>
      </w:r>
      <w:r>
        <w:rPr>
          <w:rFonts w:hint="default" w:ascii="Times New Roman" w:hAnsi="Times New Roman" w:eastAsia="宋体" w:cs="Times New Roman"/>
          <w:color w:val="auto"/>
          <w:sz w:val="24"/>
          <w:szCs w:val="24"/>
          <w:lang w:val="en-US" w:eastAsia="zh-CN"/>
        </w:rPr>
        <w:t>管控单元图</w:t>
      </w:r>
    </w:p>
    <w:p w14:paraId="24A34212">
      <w:pPr>
        <w:jc w:val="center"/>
        <w:rPr>
          <w:color w:val="auto"/>
        </w:rPr>
      </w:pPr>
      <w:r>
        <w:rPr>
          <w:color w:val="auto"/>
        </w:rPr>
        <w:drawing>
          <wp:inline distT="0" distB="0" distL="114300" distR="114300">
            <wp:extent cx="8881745" cy="4349750"/>
            <wp:effectExtent l="0" t="0" r="14605" b="12700"/>
            <wp:docPr id="44"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51"/>
                    <pic:cNvPicPr>
                      <a:picLocks noChangeAspect="1"/>
                    </pic:cNvPicPr>
                  </pic:nvPicPr>
                  <pic:blipFill>
                    <a:blip r:embed="rId52"/>
                    <a:stretch>
                      <a:fillRect/>
                    </a:stretch>
                  </pic:blipFill>
                  <pic:spPr>
                    <a:xfrm>
                      <a:off x="0" y="0"/>
                      <a:ext cx="8881745" cy="4349750"/>
                    </a:xfrm>
                    <a:prstGeom prst="rect">
                      <a:avLst/>
                    </a:prstGeom>
                    <a:noFill/>
                    <a:ln>
                      <a:noFill/>
                    </a:ln>
                  </pic:spPr>
                </pic:pic>
              </a:graphicData>
            </a:graphic>
          </wp:inline>
        </w:drawing>
      </w:r>
    </w:p>
    <w:p w14:paraId="08CAFF8E">
      <w:pPr>
        <w:pStyle w:val="4"/>
        <w:bidi w:val="0"/>
        <w:jc w:val="center"/>
        <w:rPr>
          <w:rFonts w:hint="default" w:ascii="Times New Roman" w:hAnsi="Times New Roman" w:eastAsia="宋体" w:cs="Times New Roman"/>
          <w:color w:val="auto"/>
          <w:sz w:val="24"/>
          <w:szCs w:val="24"/>
          <w:lang w:val="en-US" w:eastAsia="zh-CN"/>
        </w:rPr>
        <w:sectPr>
          <w:footerReference r:id="rId10" w:type="default"/>
          <w:pgSz w:w="16840" w:h="11907" w:orient="landscape"/>
          <w:pgMar w:top="1418" w:right="1134" w:bottom="1134" w:left="1418" w:header="851" w:footer="992" w:gutter="0"/>
          <w:pgBorders>
            <w:top w:val="none" w:sz="0" w:space="0"/>
            <w:left w:val="none" w:sz="0" w:space="0"/>
            <w:bottom w:val="none" w:sz="0" w:space="0"/>
            <w:right w:val="none" w:sz="0" w:space="0"/>
          </w:pgBorders>
          <w:pgNumType w:fmt="decimal"/>
          <w:cols w:space="720" w:num="1"/>
          <w:titlePg/>
          <w:docGrid w:linePitch="312" w:charSpace="0"/>
        </w:sectPr>
      </w:pPr>
      <w:r>
        <w:rPr>
          <w:rFonts w:hint="eastAsia" w:ascii="Times New Roman" w:hAnsi="Times New Roman" w:eastAsia="宋体" w:cs="Times New Roman"/>
          <w:color w:val="auto"/>
          <w:sz w:val="24"/>
          <w:szCs w:val="24"/>
          <w:lang w:val="en-US" w:eastAsia="zh-CN"/>
        </w:rPr>
        <w:t xml:space="preserve">附图3  </w:t>
      </w:r>
      <w:r>
        <w:rPr>
          <w:rFonts w:hint="eastAsia" w:ascii="Times New Roman" w:hAnsi="Times New Roman" w:eastAsia="宋体" w:cs="Times New Roman"/>
          <w:b/>
          <w:bCs/>
          <w:color w:val="auto"/>
          <w:sz w:val="24"/>
          <w:szCs w:val="24"/>
          <w:lang w:val="en-US" w:eastAsia="zh-CN"/>
        </w:rPr>
        <w:t>项目与新疆维吾尔自治区“三线一单”信息应用平台查询分析图</w:t>
      </w:r>
    </w:p>
    <w:p w14:paraId="0DC61303">
      <w:pPr>
        <w:bidi w:val="0"/>
        <w:jc w:val="center"/>
        <w:rPr>
          <w:color w:val="auto"/>
        </w:rPr>
      </w:pPr>
      <w:r>
        <w:rPr>
          <w:color w:val="auto"/>
          <w:sz w:val="18"/>
        </w:rPr>
        <mc:AlternateContent>
          <mc:Choice Requires="wps">
            <w:drawing>
              <wp:anchor distT="0" distB="0" distL="114300" distR="114300" simplePos="0" relativeHeight="251662336" behindDoc="0" locked="0" layoutInCell="1" allowOverlap="1">
                <wp:simplePos x="0" y="0"/>
                <wp:positionH relativeFrom="column">
                  <wp:posOffset>1142365</wp:posOffset>
                </wp:positionH>
                <wp:positionV relativeFrom="paragraph">
                  <wp:posOffset>1198880</wp:posOffset>
                </wp:positionV>
                <wp:extent cx="952500" cy="289560"/>
                <wp:effectExtent l="5080" t="4445" r="147320" b="563245"/>
                <wp:wrapNone/>
                <wp:docPr id="3" name="矩形标注 37"/>
                <wp:cNvGraphicFramePr/>
                <a:graphic xmlns:a="http://schemas.openxmlformats.org/drawingml/2006/main">
                  <a:graphicData uri="http://schemas.microsoft.com/office/word/2010/wordprocessingShape">
                    <wps:wsp>
                      <wps:cNvSpPr/>
                      <wps:spPr>
                        <a:xfrm>
                          <a:off x="0" y="0"/>
                          <a:ext cx="952500" cy="289560"/>
                        </a:xfrm>
                        <a:prstGeom prst="wedgeRectCallout">
                          <a:avLst>
                            <a:gd name="adj1" fmla="val 62935"/>
                            <a:gd name="adj2" fmla="val 234648"/>
                          </a:avLst>
                        </a:prstGeom>
                        <a:noFill/>
                        <a:ln w="9525" cap="flat" cmpd="sng">
                          <a:solidFill>
                            <a:srgbClr val="000000"/>
                          </a:solidFill>
                          <a:prstDash val="solid"/>
                          <a:miter/>
                          <a:headEnd type="none" w="med" len="med"/>
                          <a:tailEnd type="none" w="med" len="med"/>
                        </a:ln>
                      </wps:spPr>
                      <wps:txbx>
                        <w:txbxContent>
                          <w:p w14:paraId="7A2FE801">
                            <w:pPr>
                              <w:rPr>
                                <w:rFonts w:hint="eastAsia" w:eastAsia="宋体"/>
                                <w:b/>
                                <w:bCs/>
                                <w:color w:val="FF0000"/>
                                <w:lang w:val="en-US" w:eastAsia="zh-CN"/>
                              </w:rPr>
                            </w:pPr>
                            <w:r>
                              <w:rPr>
                                <w:rFonts w:hint="eastAsia"/>
                                <w:b/>
                                <w:bCs/>
                                <w:color w:val="FF0000"/>
                                <w:lang w:val="en-US" w:eastAsia="zh-CN"/>
                              </w:rPr>
                              <w:t>项目所在地</w:t>
                            </w:r>
                          </w:p>
                        </w:txbxContent>
                      </wps:txbx>
                      <wps:bodyPr vert="horz" wrap="square" anchor="t" anchorCtr="0" upright="1"/>
                    </wps:wsp>
                  </a:graphicData>
                </a:graphic>
              </wp:anchor>
            </w:drawing>
          </mc:Choice>
          <mc:Fallback>
            <w:pict>
              <v:shape id="矩形标注 37" o:spid="_x0000_s1026" o:spt="61" type="#_x0000_t61" style="position:absolute;left:0pt;margin-left:89.95pt;margin-top:94.4pt;height:22.8pt;width:75pt;z-index:251662336;mso-width-relative:page;mso-height-relative:page;" filled="f" stroked="t" coordsize="21600,21600" o:gfxdata="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DYFaUTZAAAACwEAAA8A&#10;AAAAAAAAAQAgAAAAIgAAAGRycy9kb3ducmV2LnhtbFBLAQIUABQAAAAIAIdO4kAA6k5wTwIAAJcE&#10;AAAOAAAAAAAAAAEAIAAAACgBAABkcnMvZTJvRG9jLnhtbFBLBQYAAAAABgAGAFkBAADpBQAAAAA=&#10;" adj="24394,61484">
                <v:fill on="f" focussize="0,0"/>
                <v:stroke color="#000000" joinstyle="miter"/>
                <v:imagedata o:title=""/>
                <o:lock v:ext="edit" aspectratio="f"/>
                <v:textbox>
                  <w:txbxContent>
                    <w:p w14:paraId="7A2FE801">
                      <w:pPr>
                        <w:rPr>
                          <w:rFonts w:hint="eastAsia" w:eastAsia="宋体"/>
                          <w:b/>
                          <w:bCs/>
                          <w:color w:val="FF0000"/>
                          <w:lang w:val="en-US" w:eastAsia="zh-CN"/>
                        </w:rPr>
                      </w:pPr>
                      <w:r>
                        <w:rPr>
                          <w:rFonts w:hint="eastAsia"/>
                          <w:b/>
                          <w:bCs/>
                          <w:color w:val="FF0000"/>
                          <w:lang w:val="en-US" w:eastAsia="zh-CN"/>
                        </w:rPr>
                        <w:t>项目所在地</w:t>
                      </w:r>
                    </w:p>
                  </w:txbxContent>
                </v:textbox>
              </v:shape>
            </w:pict>
          </mc:Fallback>
        </mc:AlternateContent>
      </w:r>
      <w:r>
        <w:rPr>
          <w:color w:val="auto"/>
          <w:sz w:val="21"/>
        </w:rPr>
        <mc:AlternateContent>
          <mc:Choice Requires="wps">
            <w:drawing>
              <wp:anchor distT="0" distB="0" distL="114300" distR="114300" simplePos="0" relativeHeight="251661312" behindDoc="0" locked="0" layoutInCell="1" allowOverlap="1">
                <wp:simplePos x="0" y="0"/>
                <wp:positionH relativeFrom="column">
                  <wp:posOffset>2218055</wp:posOffset>
                </wp:positionH>
                <wp:positionV relativeFrom="paragraph">
                  <wp:posOffset>2049780</wp:posOffset>
                </wp:positionV>
                <wp:extent cx="75565" cy="75565"/>
                <wp:effectExtent l="13970" t="15875" r="24765" b="22860"/>
                <wp:wrapNone/>
                <wp:docPr id="2" name="自选图形 68"/>
                <wp:cNvGraphicFramePr/>
                <a:graphic xmlns:a="http://schemas.openxmlformats.org/drawingml/2006/main">
                  <a:graphicData uri="http://schemas.microsoft.com/office/word/2010/wordprocessingShape">
                    <wps:wsp>
                      <wps:cNvSpPr/>
                      <wps:spPr>
                        <a:xfrm>
                          <a:off x="0" y="0"/>
                          <a:ext cx="75565" cy="75565"/>
                        </a:xfrm>
                        <a:prstGeom prst="star5">
                          <a:avLst/>
                        </a:prstGeom>
                        <a:solidFill>
                          <a:srgbClr val="FF0000"/>
                        </a:solidFill>
                        <a:ln w="9525" cap="flat" cmpd="sng">
                          <a:solidFill>
                            <a:srgbClr val="FF0000"/>
                          </a:solidFill>
                          <a:prstDash val="solid"/>
                          <a:miter/>
                          <a:headEnd type="none" w="med" len="med"/>
                          <a:tailEnd type="none" w="med" len="med"/>
                        </a:ln>
                      </wps:spPr>
                      <wps:bodyPr vert="horz" wrap="square" anchor="t" anchorCtr="0" upright="1"/>
                    </wps:wsp>
                  </a:graphicData>
                </a:graphic>
              </wp:anchor>
            </w:drawing>
          </mc:Choice>
          <mc:Fallback>
            <w:pict>
              <v:shape id="自选图形 68" o:spid="_x0000_s1026" style="position:absolute;left:0pt;margin-left:174.65pt;margin-top:161.4pt;height:5.95pt;width:5.95pt;z-index:251661312;mso-width-relative:page;mso-height-relative:page;" fillcolor="#FF0000" filled="t" stroked="t" coordsize="75565,75565" o:gfxdata="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CoNgu22AAA&#10;AAsBAAAPAAAAAAAAAAEAIAAAACIAAABkcnMvZG93bnJldi54bWxQSwECFAAUAAAACACHTuJAI7uL&#10;sx4CAABWBAAADgAAAAAAAAABACAAAAAnAQAAZHJzL2Uyb0RvYy54bWxQSwUGAAAAAAYABgBZAQAA&#10;twUAAAAA&#10;" path="m0,28863l28863,28863,37782,0,46701,28863,75564,28863,52213,46701,61133,75564,37782,57726,14431,75564,23351,46701xe">
                <v:path o:connectlocs="37782,0;0,28863;14431,75564;61133,75564;75564,28863" o:connectangles="247,164,82,82,0"/>
                <v:fill on="t" focussize="0,0"/>
                <v:stroke color="#FF0000" joinstyle="miter"/>
                <v:imagedata o:title=""/>
                <o:lock v:ext="edit" aspectratio="f"/>
              </v:shape>
            </w:pict>
          </mc:Fallback>
        </mc:AlternateContent>
      </w:r>
      <w:r>
        <w:drawing>
          <wp:inline distT="0" distB="0" distL="114300" distR="114300">
            <wp:extent cx="6920865" cy="5522595"/>
            <wp:effectExtent l="0" t="0" r="13335" b="9525"/>
            <wp:docPr id="5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2"/>
                    <pic:cNvPicPr>
                      <a:picLocks noChangeAspect="1"/>
                    </pic:cNvPicPr>
                  </pic:nvPicPr>
                  <pic:blipFill>
                    <a:blip r:embed="rId53"/>
                    <a:stretch>
                      <a:fillRect/>
                    </a:stretch>
                  </pic:blipFill>
                  <pic:spPr>
                    <a:xfrm>
                      <a:off x="0" y="0"/>
                      <a:ext cx="6920865" cy="5522595"/>
                    </a:xfrm>
                    <a:prstGeom prst="rect">
                      <a:avLst/>
                    </a:prstGeom>
                    <a:noFill/>
                    <a:ln>
                      <a:noFill/>
                    </a:ln>
                  </pic:spPr>
                </pic:pic>
              </a:graphicData>
            </a:graphic>
          </wp:inline>
        </w:drawing>
      </w:r>
    </w:p>
    <w:p w14:paraId="2E674F70">
      <w:pPr>
        <w:pStyle w:val="4"/>
        <w:bidi w:val="0"/>
        <w:jc w:val="center"/>
        <w:rPr>
          <w:rFonts w:hint="default" w:ascii="Times New Roman" w:hAnsi="Times New Roman" w:eastAsia="宋体" w:cs="Times New Roman"/>
          <w:color w:val="0000FF"/>
          <w:sz w:val="24"/>
          <w:szCs w:val="24"/>
          <w:lang w:val="en-US" w:eastAsia="zh-CN"/>
        </w:rPr>
        <w:sectPr>
          <w:footerReference r:id="rId11" w:type="default"/>
          <w:pgSz w:w="16840" w:h="11907" w:orient="landscape"/>
          <w:pgMar w:top="1418" w:right="1134" w:bottom="1134" w:left="1418" w:header="851" w:footer="992" w:gutter="0"/>
          <w:pgBorders>
            <w:top w:val="none" w:sz="0" w:space="0"/>
            <w:left w:val="none" w:sz="0" w:space="0"/>
            <w:bottom w:val="none" w:sz="0" w:space="0"/>
            <w:right w:val="none" w:sz="0" w:space="0"/>
          </w:pgBorders>
          <w:pgNumType w:fmt="decimal"/>
          <w:cols w:space="720" w:num="1"/>
          <w:titlePg/>
          <w:docGrid w:linePitch="312" w:charSpace="0"/>
        </w:sectPr>
      </w:pPr>
      <w:r>
        <w:rPr>
          <w:rFonts w:hint="eastAsia" w:ascii="Times New Roman" w:hAnsi="Times New Roman" w:eastAsia="宋体" w:cs="Times New Roman"/>
          <w:color w:val="0000FF"/>
          <w:sz w:val="24"/>
          <w:szCs w:val="24"/>
          <w:lang w:val="en-US" w:eastAsia="zh-CN"/>
        </w:rPr>
        <w:t xml:space="preserve">附图4  </w:t>
      </w:r>
      <w:r>
        <w:rPr>
          <w:rFonts w:hint="eastAsia" w:ascii="Times New Roman" w:hAnsi="Times New Roman" w:eastAsia="宋体" w:cs="Times New Roman"/>
          <w:b/>
          <w:bCs/>
          <w:color w:val="0000FF"/>
          <w:sz w:val="24"/>
          <w:szCs w:val="24"/>
          <w:lang w:val="en-US" w:eastAsia="zh-CN"/>
        </w:rPr>
        <w:t>项目与昌吉高新技术产业开发区规划位置关系图</w:t>
      </w:r>
    </w:p>
    <w:p w14:paraId="68D15C94">
      <w:pPr>
        <w:bidi w:val="0"/>
        <w:jc w:val="center"/>
        <w:rPr>
          <w:color w:val="auto"/>
        </w:rPr>
      </w:pPr>
      <w:r>
        <w:rPr>
          <w:color w:val="auto"/>
          <w:sz w:val="18"/>
        </w:rPr>
        <mc:AlternateContent>
          <mc:Choice Requires="wps">
            <w:drawing>
              <wp:anchor distT="0" distB="0" distL="114300" distR="114300" simplePos="0" relativeHeight="251664384" behindDoc="0" locked="0" layoutInCell="1" allowOverlap="1">
                <wp:simplePos x="0" y="0"/>
                <wp:positionH relativeFrom="column">
                  <wp:posOffset>1313180</wp:posOffset>
                </wp:positionH>
                <wp:positionV relativeFrom="paragraph">
                  <wp:posOffset>1049655</wp:posOffset>
                </wp:positionV>
                <wp:extent cx="952500" cy="289560"/>
                <wp:effectExtent l="5080" t="4445" r="109220" b="574675"/>
                <wp:wrapNone/>
                <wp:docPr id="5" name="矩形标注 37"/>
                <wp:cNvGraphicFramePr/>
                <a:graphic xmlns:a="http://schemas.openxmlformats.org/drawingml/2006/main">
                  <a:graphicData uri="http://schemas.microsoft.com/office/word/2010/wordprocessingShape">
                    <wps:wsp>
                      <wps:cNvSpPr/>
                      <wps:spPr>
                        <a:xfrm>
                          <a:off x="0" y="0"/>
                          <a:ext cx="952500" cy="289560"/>
                        </a:xfrm>
                        <a:prstGeom prst="wedgeRectCallout">
                          <a:avLst>
                            <a:gd name="adj1" fmla="val 58933"/>
                            <a:gd name="adj2" fmla="val 234649"/>
                          </a:avLst>
                        </a:prstGeom>
                        <a:noFill/>
                        <a:ln w="9525" cap="flat" cmpd="sng">
                          <a:solidFill>
                            <a:srgbClr val="000000"/>
                          </a:solidFill>
                          <a:prstDash val="solid"/>
                          <a:miter/>
                          <a:headEnd type="none" w="med" len="med"/>
                          <a:tailEnd type="none" w="med" len="med"/>
                        </a:ln>
                      </wps:spPr>
                      <wps:txbx>
                        <w:txbxContent>
                          <w:p w14:paraId="480FAC72">
                            <w:pPr>
                              <w:rPr>
                                <w:rFonts w:hint="eastAsia" w:eastAsia="宋体"/>
                                <w:b/>
                                <w:bCs/>
                                <w:color w:val="FF0000"/>
                                <w:lang w:val="en-US" w:eastAsia="zh-CN"/>
                              </w:rPr>
                            </w:pPr>
                            <w:r>
                              <w:rPr>
                                <w:rFonts w:hint="eastAsia"/>
                                <w:b/>
                                <w:bCs/>
                                <w:color w:val="FF0000"/>
                                <w:lang w:val="en-US" w:eastAsia="zh-CN"/>
                              </w:rPr>
                              <w:t>项目所在地</w:t>
                            </w:r>
                          </w:p>
                        </w:txbxContent>
                      </wps:txbx>
                      <wps:bodyPr wrap="square" upright="1"/>
                    </wps:wsp>
                  </a:graphicData>
                </a:graphic>
              </wp:anchor>
            </w:drawing>
          </mc:Choice>
          <mc:Fallback>
            <w:pict>
              <v:shape id="矩形标注 37" o:spid="_x0000_s1026" o:spt="61" type="#_x0000_t61" style="position:absolute;left:0pt;margin-left:103.4pt;margin-top:82.65pt;height:22.8pt;width:75pt;z-index:251664384;mso-width-relative:page;mso-height-relative:page;" filled="f" stroked="t" coordsize="21600,21600" o:gfxdata="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JFsSiDYAAAACwEAAA8AAAAAAAAAAQAgAAAAIgAAAGRycy9k&#10;b3ducmV2LnhtbFBLAQIUABQAAAAIAIdO4kAjpLPjOwIAAHIEAAAOAAAAAAAAAAEAIAAAACcBAABk&#10;cnMvZTJvRG9jLnhtbFBLBQYAAAAABgAGAFkBAADUBQAAAAA=&#10;" adj="23530,61484">
                <v:fill on="f" focussize="0,0"/>
                <v:stroke color="#000000" joinstyle="miter"/>
                <v:imagedata o:title=""/>
                <o:lock v:ext="edit" aspectratio="f"/>
                <v:textbox>
                  <w:txbxContent>
                    <w:p w14:paraId="480FAC72">
                      <w:pPr>
                        <w:rPr>
                          <w:rFonts w:hint="eastAsia" w:eastAsia="宋体"/>
                          <w:b/>
                          <w:bCs/>
                          <w:color w:val="FF0000"/>
                          <w:lang w:val="en-US" w:eastAsia="zh-CN"/>
                        </w:rPr>
                      </w:pPr>
                      <w:r>
                        <w:rPr>
                          <w:rFonts w:hint="eastAsia"/>
                          <w:b/>
                          <w:bCs/>
                          <w:color w:val="FF0000"/>
                          <w:lang w:val="en-US" w:eastAsia="zh-CN"/>
                        </w:rPr>
                        <w:t>项目所在地</w:t>
                      </w:r>
                    </w:p>
                  </w:txbxContent>
                </v:textbox>
              </v:shape>
            </w:pict>
          </mc:Fallback>
        </mc:AlternateContent>
      </w:r>
      <w:r>
        <w:rPr>
          <w:color w:val="auto"/>
          <w:sz w:val="21"/>
        </w:rPr>
        <mc:AlternateContent>
          <mc:Choice Requires="wps">
            <w:drawing>
              <wp:anchor distT="0" distB="0" distL="114300" distR="114300" simplePos="0" relativeHeight="251663360" behindDoc="0" locked="0" layoutInCell="1" allowOverlap="1">
                <wp:simplePos x="0" y="0"/>
                <wp:positionH relativeFrom="column">
                  <wp:posOffset>2319655</wp:posOffset>
                </wp:positionH>
                <wp:positionV relativeFrom="paragraph">
                  <wp:posOffset>1918970</wp:posOffset>
                </wp:positionV>
                <wp:extent cx="75565" cy="75565"/>
                <wp:effectExtent l="13970" t="15875" r="24765" b="22860"/>
                <wp:wrapNone/>
                <wp:docPr id="4" name="自选图形 70"/>
                <wp:cNvGraphicFramePr/>
                <a:graphic xmlns:a="http://schemas.openxmlformats.org/drawingml/2006/main">
                  <a:graphicData uri="http://schemas.microsoft.com/office/word/2010/wordprocessingShape">
                    <wps:wsp>
                      <wps:cNvSpPr/>
                      <wps:spPr>
                        <a:xfrm>
                          <a:off x="0" y="0"/>
                          <a:ext cx="75565" cy="75565"/>
                        </a:xfrm>
                        <a:prstGeom prst="star5">
                          <a:avLst/>
                        </a:prstGeom>
                        <a:solidFill>
                          <a:srgbClr val="FF0000"/>
                        </a:solidFill>
                        <a:ln w="9525" cap="flat" cmpd="sng">
                          <a:solidFill>
                            <a:srgbClr val="FF0000"/>
                          </a:solidFill>
                          <a:prstDash val="solid"/>
                          <a:miter/>
                          <a:headEnd type="none" w="med" len="med"/>
                          <a:tailEnd type="none" w="med" len="med"/>
                        </a:ln>
                      </wps:spPr>
                      <wps:bodyPr wrap="square" upright="1"/>
                    </wps:wsp>
                  </a:graphicData>
                </a:graphic>
              </wp:anchor>
            </w:drawing>
          </mc:Choice>
          <mc:Fallback>
            <w:pict>
              <v:shape id="自选图形 70" o:spid="_x0000_s1026" style="position:absolute;left:0pt;margin-left:182.65pt;margin-top:151.1pt;height:5.95pt;width:5.95pt;z-index:251663360;mso-width-relative:page;mso-height-relative:page;" fillcolor="#FF0000" filled="t" stroked="t" coordsize="75565,75565" o:gfxdata="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MM46wHXAAAACwEAAA8AAAAAAAAAAQAgAAAAIgAA&#10;AGRycy9kb3ducmV2LnhtbFBLAQIUABQAAAAIAIdO4kD6wbeOCQIAADEEAAAOAAAAAAAAAAEAIAAA&#10;ACYBAABkcnMvZTJvRG9jLnhtbFBLBQYAAAAABgAGAFkBAAChBQAAAAA=&#10;" path="m0,28863l28863,28863,37782,0,46701,28863,75564,28863,52213,46701,61133,75564,37782,57726,14431,75564,23351,46701xe">
                <v:path o:connectlocs="37782,0;0,28863;14431,75564;61133,75564;75564,28863" o:connectangles="247,164,82,82,0"/>
                <v:fill on="t" focussize="0,0"/>
                <v:stroke color="#FF0000" joinstyle="miter"/>
                <v:imagedata o:title=""/>
                <o:lock v:ext="edit" aspectratio="f"/>
              </v:shape>
            </w:pict>
          </mc:Fallback>
        </mc:AlternateContent>
      </w:r>
      <w:r>
        <w:drawing>
          <wp:inline distT="0" distB="0" distL="114300" distR="114300">
            <wp:extent cx="6873875" cy="5445760"/>
            <wp:effectExtent l="0" t="0" r="14605" b="10160"/>
            <wp:docPr id="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
                    <pic:cNvPicPr>
                      <a:picLocks noChangeAspect="1"/>
                    </pic:cNvPicPr>
                  </pic:nvPicPr>
                  <pic:blipFill>
                    <a:blip r:embed="rId54"/>
                    <a:stretch>
                      <a:fillRect/>
                    </a:stretch>
                  </pic:blipFill>
                  <pic:spPr>
                    <a:xfrm>
                      <a:off x="0" y="0"/>
                      <a:ext cx="6873875" cy="5445760"/>
                    </a:xfrm>
                    <a:prstGeom prst="rect">
                      <a:avLst/>
                    </a:prstGeom>
                    <a:noFill/>
                    <a:ln>
                      <a:noFill/>
                    </a:ln>
                  </pic:spPr>
                </pic:pic>
              </a:graphicData>
            </a:graphic>
          </wp:inline>
        </w:drawing>
      </w:r>
    </w:p>
    <w:p w14:paraId="283C05ED">
      <w:pPr>
        <w:pStyle w:val="4"/>
        <w:bidi w:val="0"/>
        <w:jc w:val="center"/>
        <w:rPr>
          <w:rFonts w:hint="default" w:ascii="Times New Roman" w:hAnsi="Times New Roman" w:eastAsia="宋体" w:cs="Times New Roman"/>
          <w:color w:val="0000FF"/>
          <w:sz w:val="24"/>
          <w:szCs w:val="24"/>
          <w:lang w:val="en-US" w:eastAsia="zh-CN"/>
        </w:rPr>
        <w:sectPr>
          <w:footerReference r:id="rId12" w:type="default"/>
          <w:pgSz w:w="16840" w:h="11907" w:orient="landscape"/>
          <w:pgMar w:top="1418" w:right="1134" w:bottom="1134" w:left="1418" w:header="851" w:footer="992" w:gutter="0"/>
          <w:pgBorders>
            <w:top w:val="none" w:sz="0" w:space="0"/>
            <w:left w:val="none" w:sz="0" w:space="0"/>
            <w:bottom w:val="none" w:sz="0" w:space="0"/>
            <w:right w:val="none" w:sz="0" w:space="0"/>
          </w:pgBorders>
          <w:pgNumType w:fmt="decimal"/>
          <w:cols w:space="720" w:num="1"/>
          <w:titlePg/>
          <w:docGrid w:linePitch="312" w:charSpace="0"/>
        </w:sectPr>
      </w:pPr>
      <w:r>
        <w:rPr>
          <w:rFonts w:hint="eastAsia" w:ascii="Times New Roman" w:hAnsi="Times New Roman" w:eastAsia="宋体" w:cs="Times New Roman"/>
          <w:color w:val="0000FF"/>
          <w:sz w:val="24"/>
          <w:szCs w:val="24"/>
          <w:lang w:val="en-US" w:eastAsia="zh-CN"/>
        </w:rPr>
        <w:t xml:space="preserve">附图5  </w:t>
      </w:r>
      <w:r>
        <w:rPr>
          <w:rFonts w:hint="eastAsia" w:ascii="Times New Roman" w:hAnsi="Times New Roman" w:eastAsia="宋体" w:cs="Times New Roman"/>
          <w:b/>
          <w:bCs/>
          <w:color w:val="0000FF"/>
          <w:sz w:val="24"/>
          <w:szCs w:val="24"/>
          <w:lang w:val="en-US" w:eastAsia="zh-CN"/>
        </w:rPr>
        <w:t>项目与昌吉高新技术产业开发区功能分区位置关系图</w:t>
      </w:r>
    </w:p>
    <w:p w14:paraId="43A6554C">
      <w:pPr>
        <w:pStyle w:val="19"/>
        <w:adjustRightInd w:val="0"/>
        <w:spacing w:before="120" w:beforeLines="50"/>
        <w:jc w:val="center"/>
        <w:rPr>
          <w:color w:val="auto"/>
        </w:rPr>
      </w:pPr>
      <w:r>
        <w:rPr>
          <w:color w:val="auto"/>
        </w:rPr>
        <w:drawing>
          <wp:anchor distT="0" distB="0" distL="114300" distR="114300" simplePos="0" relativeHeight="251667456" behindDoc="0" locked="0" layoutInCell="1" allowOverlap="1">
            <wp:simplePos x="0" y="0"/>
            <wp:positionH relativeFrom="column">
              <wp:posOffset>8513445</wp:posOffset>
            </wp:positionH>
            <wp:positionV relativeFrom="paragraph">
              <wp:posOffset>28575</wp:posOffset>
            </wp:positionV>
            <wp:extent cx="361950" cy="666750"/>
            <wp:effectExtent l="0" t="0" r="0" b="0"/>
            <wp:wrapNone/>
            <wp:docPr id="7"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6"/>
                    <pic:cNvPicPr>
                      <a:picLocks noChangeAspect="1"/>
                    </pic:cNvPicPr>
                  </pic:nvPicPr>
                  <pic:blipFill>
                    <a:blip r:embed="rId55"/>
                    <a:stretch>
                      <a:fillRect/>
                    </a:stretch>
                  </pic:blipFill>
                  <pic:spPr>
                    <a:xfrm>
                      <a:off x="0" y="0"/>
                      <a:ext cx="361950" cy="666750"/>
                    </a:xfrm>
                    <a:prstGeom prst="rect">
                      <a:avLst/>
                    </a:prstGeom>
                    <a:noFill/>
                    <a:ln>
                      <a:noFill/>
                    </a:ln>
                  </pic:spPr>
                </pic:pic>
              </a:graphicData>
            </a:graphic>
          </wp:anchor>
        </w:drawing>
      </w:r>
      <w:r>
        <w:rPr>
          <w:color w:val="auto"/>
        </w:rPr>
        <w:drawing>
          <wp:inline distT="0" distB="0" distL="114300" distR="114300">
            <wp:extent cx="8883650" cy="5151755"/>
            <wp:effectExtent l="0" t="0" r="12700" b="10795"/>
            <wp:docPr id="47"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67"/>
                    <pic:cNvPicPr>
                      <a:picLocks noChangeAspect="1"/>
                    </pic:cNvPicPr>
                  </pic:nvPicPr>
                  <pic:blipFill>
                    <a:blip r:embed="rId56"/>
                    <a:stretch>
                      <a:fillRect/>
                    </a:stretch>
                  </pic:blipFill>
                  <pic:spPr>
                    <a:xfrm>
                      <a:off x="0" y="0"/>
                      <a:ext cx="8883650" cy="5151755"/>
                    </a:xfrm>
                    <a:prstGeom prst="rect">
                      <a:avLst/>
                    </a:prstGeom>
                    <a:noFill/>
                    <a:ln>
                      <a:noFill/>
                    </a:ln>
                  </pic:spPr>
                </pic:pic>
              </a:graphicData>
            </a:graphic>
          </wp:inline>
        </w:drawing>
      </w:r>
    </w:p>
    <w:p w14:paraId="27D8D66C">
      <w:pPr>
        <w:pStyle w:val="4"/>
        <w:bidi w:val="0"/>
        <w:jc w:val="center"/>
        <w:rPr>
          <w:rFonts w:hint="eastAsia" w:ascii="Times New Roman" w:hAnsi="Times New Roman" w:eastAsia="宋体" w:cs="Times New Roman"/>
          <w:color w:val="auto"/>
          <w:sz w:val="24"/>
          <w:szCs w:val="24"/>
          <w:lang w:val="en-US" w:eastAsia="zh-CN"/>
        </w:rPr>
        <w:sectPr>
          <w:pgSz w:w="16840" w:h="11907" w:orient="landscape"/>
          <w:pgMar w:top="1418" w:right="1418" w:bottom="1418" w:left="1418" w:header="851" w:footer="851" w:gutter="0"/>
          <w:pgBorders>
            <w:top w:val="none" w:sz="0" w:space="0"/>
            <w:left w:val="none" w:sz="0" w:space="0"/>
            <w:bottom w:val="none" w:sz="0" w:space="0"/>
            <w:right w:val="none" w:sz="0" w:space="0"/>
          </w:pgBorders>
          <w:cols w:space="720" w:num="1"/>
          <w:docGrid w:linePitch="312" w:charSpace="0"/>
        </w:sectPr>
      </w:pPr>
      <w:r>
        <w:rPr>
          <w:rFonts w:hint="eastAsia" w:ascii="Times New Roman" w:hAnsi="Times New Roman" w:eastAsia="宋体" w:cs="Times New Roman"/>
          <w:color w:val="auto"/>
          <w:sz w:val="24"/>
          <w:szCs w:val="24"/>
          <w:lang w:val="en-US" w:eastAsia="zh-CN"/>
        </w:rPr>
        <w:t>附图6  监测点位与项目位置关系图</w:t>
      </w:r>
    </w:p>
    <w:p w14:paraId="675A2E73">
      <w:pPr>
        <w:bidi w:val="0"/>
        <w:rPr>
          <w:rFonts w:hint="eastAsia" w:eastAsia="宋体"/>
          <w:color w:val="auto"/>
          <w:lang w:val="en-US" w:eastAsia="zh-CN"/>
        </w:rPr>
      </w:pPr>
      <w:r>
        <w:rPr>
          <w:color w:val="auto"/>
          <w:sz w:val="21"/>
        </w:rPr>
        <mc:AlternateContent>
          <mc:Choice Requires="wps">
            <w:drawing>
              <wp:anchor distT="0" distB="0" distL="114300" distR="114300" simplePos="0" relativeHeight="251668480" behindDoc="0" locked="0" layoutInCell="1" allowOverlap="1">
                <wp:simplePos x="0" y="0"/>
                <wp:positionH relativeFrom="column">
                  <wp:posOffset>6604000</wp:posOffset>
                </wp:positionH>
                <wp:positionV relativeFrom="paragraph">
                  <wp:posOffset>756920</wp:posOffset>
                </wp:positionV>
                <wp:extent cx="485775" cy="381000"/>
                <wp:effectExtent l="0" t="0" r="9525" b="0"/>
                <wp:wrapNone/>
                <wp:docPr id="9" name="文本框 78"/>
                <wp:cNvGraphicFramePr/>
                <a:graphic xmlns:a="http://schemas.openxmlformats.org/drawingml/2006/main">
                  <a:graphicData uri="http://schemas.microsoft.com/office/word/2010/wordprocessingShape">
                    <wps:wsp>
                      <wps:cNvSpPr txBox="1"/>
                      <wps:spPr>
                        <a:xfrm>
                          <a:off x="7475855" y="1619250"/>
                          <a:ext cx="485775" cy="381000"/>
                        </a:xfrm>
                        <a:prstGeom prst="rect">
                          <a:avLst/>
                        </a:prstGeom>
                        <a:solidFill>
                          <a:srgbClr val="FFFFFF"/>
                        </a:solidFill>
                        <a:ln w="9525">
                          <a:noFill/>
                        </a:ln>
                      </wps:spPr>
                      <wps:txbx>
                        <w:txbxContent>
                          <w:p w14:paraId="68B721B4">
                            <w:pPr>
                              <w:rPr>
                                <w:rFonts w:hint="eastAsia" w:eastAsia="宋体"/>
                                <w:sz w:val="16"/>
                                <w:szCs w:val="20"/>
                                <w:lang w:val="en-US" w:eastAsia="zh-CN"/>
                              </w:rPr>
                            </w:pPr>
                            <w:r>
                              <w:rPr>
                                <w:rFonts w:hint="eastAsia"/>
                                <w:sz w:val="16"/>
                                <w:szCs w:val="20"/>
                                <w:lang w:val="en-US" w:eastAsia="zh-CN"/>
                              </w:rPr>
                              <w:t>仓库</w:t>
                            </w:r>
                          </w:p>
                        </w:txbxContent>
                      </wps:txbx>
                      <wps:bodyPr vert="horz" anchor="t" anchorCtr="0" upright="1"/>
                    </wps:wsp>
                  </a:graphicData>
                </a:graphic>
              </wp:anchor>
            </w:drawing>
          </mc:Choice>
          <mc:Fallback>
            <w:pict>
              <v:shape id="文本框 78" o:spid="_x0000_s1026" o:spt="202" type="#_x0000_t202" style="position:absolute;left:0pt;margin-left:520pt;margin-top:59.6pt;height:30pt;width:38.25pt;z-index:251668480;mso-width-relative:page;mso-height-relative:page;" fillcolor="#FFFFFF" filled="t" stroked="f" coordsize="21600,21600" o:gfxdata="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OMTrvbX&#10;AAAADQEAAA8AAAAAAAAAAQAgAAAAIgAAAGRycy9kb3ducmV2LnhtbFBLAQIUABQAAAAIAIdO4kCe&#10;Oozm6AEAALEDAAAOAAAAAAAAAAEAIAAAACYBAABkcnMvZTJvRG9jLnhtbFBLBQYAAAAABgAGAFkB&#10;AACABQAAAAA=&#10;">
                <v:fill on="t" focussize="0,0"/>
                <v:stroke on="f"/>
                <v:imagedata o:title=""/>
                <o:lock v:ext="edit" aspectratio="f"/>
                <v:textbox>
                  <w:txbxContent>
                    <w:p w14:paraId="68B721B4">
                      <w:pPr>
                        <w:rPr>
                          <w:rFonts w:hint="eastAsia" w:eastAsia="宋体"/>
                          <w:sz w:val="16"/>
                          <w:szCs w:val="20"/>
                          <w:lang w:val="en-US" w:eastAsia="zh-CN"/>
                        </w:rPr>
                      </w:pPr>
                      <w:r>
                        <w:rPr>
                          <w:rFonts w:hint="eastAsia"/>
                          <w:sz w:val="16"/>
                          <w:szCs w:val="20"/>
                          <w:lang w:val="en-US" w:eastAsia="zh-CN"/>
                        </w:rPr>
                        <w:t>仓库</w:t>
                      </w:r>
                    </w:p>
                  </w:txbxContent>
                </v:textbox>
              </v:shape>
            </w:pict>
          </mc:Fallback>
        </mc:AlternateContent>
      </w:r>
      <w:r>
        <w:rPr>
          <w:rFonts w:hint="eastAsia" w:eastAsia="宋体"/>
          <w:color w:val="auto"/>
          <w:lang w:val="en-US" w:eastAsia="zh-CN"/>
        </w:rPr>
        <w:drawing>
          <wp:inline distT="0" distB="0" distL="114300" distR="114300">
            <wp:extent cx="8879840" cy="4345940"/>
            <wp:effectExtent l="0" t="0" r="16510" b="16510"/>
            <wp:docPr id="11" name="图片 11" descr="微信图片_20251217144720_30_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微信图片_20251217144720_30_798"/>
                    <pic:cNvPicPr>
                      <a:picLocks noChangeAspect="1"/>
                    </pic:cNvPicPr>
                  </pic:nvPicPr>
                  <pic:blipFill>
                    <a:blip r:embed="rId57"/>
                    <a:stretch>
                      <a:fillRect/>
                    </a:stretch>
                  </pic:blipFill>
                  <pic:spPr>
                    <a:xfrm>
                      <a:off x="0" y="0"/>
                      <a:ext cx="8879840" cy="4345940"/>
                    </a:xfrm>
                    <a:prstGeom prst="rect">
                      <a:avLst/>
                    </a:prstGeom>
                  </pic:spPr>
                </pic:pic>
              </a:graphicData>
            </a:graphic>
          </wp:inline>
        </w:drawing>
      </w:r>
    </w:p>
    <w:p w14:paraId="41554F69">
      <w:pPr>
        <w:pStyle w:val="4"/>
        <w:bidi w:val="0"/>
        <w:jc w:val="center"/>
        <w:rPr>
          <w:rFonts w:hint="eastAsia" w:ascii="Times New Roman" w:hAnsi="Times New Roman" w:eastAsia="宋体" w:cs="Times New Roman"/>
          <w:color w:val="auto"/>
          <w:sz w:val="24"/>
          <w:szCs w:val="24"/>
          <w:lang w:val="en-US" w:eastAsia="zh-CN"/>
        </w:rPr>
        <w:sectPr>
          <w:pgSz w:w="16840" w:h="11907" w:orient="landscape"/>
          <w:pgMar w:top="1418" w:right="1418" w:bottom="1418" w:left="1418" w:header="851" w:footer="851" w:gutter="0"/>
          <w:pgBorders>
            <w:top w:val="none" w:sz="0" w:space="0"/>
            <w:left w:val="none" w:sz="0" w:space="0"/>
            <w:bottom w:val="none" w:sz="0" w:space="0"/>
            <w:right w:val="none" w:sz="0" w:space="0"/>
          </w:pgBorders>
          <w:cols w:space="720" w:num="1"/>
          <w:docGrid w:linePitch="312" w:charSpace="0"/>
        </w:sectPr>
      </w:pPr>
      <w:r>
        <w:rPr>
          <w:rFonts w:hint="eastAsia" w:ascii="Times New Roman" w:hAnsi="Times New Roman" w:eastAsia="宋体" w:cs="Times New Roman"/>
          <w:color w:val="auto"/>
          <w:sz w:val="24"/>
          <w:szCs w:val="24"/>
          <w:lang w:val="en-US" w:eastAsia="zh-CN"/>
        </w:rPr>
        <w:t>附图7  总平面布置图</w:t>
      </w:r>
    </w:p>
    <w:p w14:paraId="02B629CD">
      <w:pPr>
        <w:bidi w:val="0"/>
        <w:rPr>
          <w:rFonts w:hint="eastAsia"/>
          <w:color w:val="auto"/>
          <w:lang w:val="en-US" w:eastAsia="zh-CN"/>
        </w:rPr>
      </w:pPr>
      <w:r>
        <w:rPr>
          <w:color w:val="auto"/>
          <w:sz w:val="21"/>
        </w:rPr>
        <mc:AlternateContent>
          <mc:Choice Requires="wps">
            <w:drawing>
              <wp:anchor distT="0" distB="0" distL="114300" distR="114300" simplePos="0" relativeHeight="251692032" behindDoc="0" locked="0" layoutInCell="1" allowOverlap="1">
                <wp:simplePos x="0" y="0"/>
                <wp:positionH relativeFrom="column">
                  <wp:posOffset>4473575</wp:posOffset>
                </wp:positionH>
                <wp:positionV relativeFrom="paragraph">
                  <wp:posOffset>1673225</wp:posOffset>
                </wp:positionV>
                <wp:extent cx="113665" cy="215265"/>
                <wp:effectExtent l="0" t="0" r="635" b="13335"/>
                <wp:wrapNone/>
                <wp:docPr id="13" name="矩形 13"/>
                <wp:cNvGraphicFramePr/>
                <a:graphic xmlns:a="http://schemas.openxmlformats.org/drawingml/2006/main">
                  <a:graphicData uri="http://schemas.microsoft.com/office/word/2010/wordprocessingShape">
                    <wps:wsp>
                      <wps:cNvSpPr/>
                      <wps:spPr>
                        <a:xfrm>
                          <a:off x="0" y="0"/>
                          <a:ext cx="113665" cy="215265"/>
                        </a:xfrm>
                        <a:prstGeom prst="rect">
                          <a:avLst/>
                        </a:prstGeom>
                        <a:solidFill>
                          <a:srgbClr val="FF0000">
                            <a:alpha val="50000"/>
                          </a:srgbClr>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52.25pt;margin-top:131.75pt;height:16.95pt;width:8.95pt;z-index:251692032;v-text-anchor:middle;mso-width-relative:page;mso-height-relative:page;" fillcolor="#FF0000" filled="t" stroked="f" coordsize="21600,21600" o:gfxdata="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OHu63nZAAAACwEAAA8AAAAAAAAAAQAgAAAAIgAAAGRycy9kb3ducmV2Lnht&#10;bFBLAQIUABQAAAAIAIdO4kDWNdFPagIAANYEAAAOAAAAAAAAAAEAIAAAACgBAABkcnMvZTJvRG9j&#10;LnhtbFBLBQYAAAAABgAGAFkBAAAEBgAAAAA=&#10;">
                <v:fill on="t" opacity="32768f"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691008" behindDoc="0" locked="0" layoutInCell="1" allowOverlap="1">
                <wp:simplePos x="0" y="0"/>
                <wp:positionH relativeFrom="column">
                  <wp:posOffset>2241550</wp:posOffset>
                </wp:positionH>
                <wp:positionV relativeFrom="paragraph">
                  <wp:posOffset>2338705</wp:posOffset>
                </wp:positionV>
                <wp:extent cx="667385" cy="417830"/>
                <wp:effectExtent l="0" t="0" r="18415" b="1270"/>
                <wp:wrapNone/>
                <wp:docPr id="77" name="矩形 77"/>
                <wp:cNvGraphicFramePr/>
                <a:graphic xmlns:a="http://schemas.openxmlformats.org/drawingml/2006/main">
                  <a:graphicData uri="http://schemas.microsoft.com/office/word/2010/wordprocessingShape">
                    <wps:wsp>
                      <wps:cNvSpPr/>
                      <wps:spPr>
                        <a:xfrm>
                          <a:off x="0" y="0"/>
                          <a:ext cx="667385" cy="417830"/>
                        </a:xfrm>
                        <a:prstGeom prst="rect">
                          <a:avLst/>
                        </a:prstGeom>
                        <a:solidFill>
                          <a:srgbClr val="00B0F0">
                            <a:alpha val="50000"/>
                          </a:srgbClr>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76.5pt;margin-top:184.15pt;height:32.9pt;width:52.55pt;z-index:251691008;v-text-anchor:middle;mso-width-relative:page;mso-height-relative:page;" fillcolor="#00B0F0" filled="t" stroked="f" coordsize="21600,21600" o:gfxdata="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NK0xZ3bAAAACwEAAA8AAAAAAAAAAQAgAAAAIgAAAGRycy9kb3du&#10;cmV2LnhtbFBLAQIUABQAAAAIAIdO4kAzPnz6bgIAANYEAAAOAAAAAAAAAAEAIAAAACoBAABkcnMv&#10;ZTJvRG9jLnhtbFBLBQYAAAAABgAGAFkBAAAKBgAAAAA=&#10;">
                <v:fill on="t" opacity="32768f"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689984" behindDoc="0" locked="0" layoutInCell="1" allowOverlap="1">
                <wp:simplePos x="0" y="0"/>
                <wp:positionH relativeFrom="column">
                  <wp:posOffset>2237105</wp:posOffset>
                </wp:positionH>
                <wp:positionV relativeFrom="paragraph">
                  <wp:posOffset>3731260</wp:posOffset>
                </wp:positionV>
                <wp:extent cx="667385" cy="417830"/>
                <wp:effectExtent l="0" t="0" r="18415" b="1270"/>
                <wp:wrapNone/>
                <wp:docPr id="76" name="矩形 76"/>
                <wp:cNvGraphicFramePr/>
                <a:graphic xmlns:a="http://schemas.openxmlformats.org/drawingml/2006/main">
                  <a:graphicData uri="http://schemas.microsoft.com/office/word/2010/wordprocessingShape">
                    <wps:wsp>
                      <wps:cNvSpPr/>
                      <wps:spPr>
                        <a:xfrm>
                          <a:off x="0" y="0"/>
                          <a:ext cx="667385" cy="417830"/>
                        </a:xfrm>
                        <a:prstGeom prst="rect">
                          <a:avLst/>
                        </a:prstGeom>
                        <a:solidFill>
                          <a:srgbClr val="00B0F0">
                            <a:alpha val="50000"/>
                          </a:srgbClr>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76.15pt;margin-top:293.8pt;height:32.9pt;width:52.55pt;z-index:251689984;v-text-anchor:middle;mso-width-relative:page;mso-height-relative:page;" fillcolor="#00B0F0" filled="t" stroked="f" coordsize="21600,21600" o:gfxdata="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AtfuJX2wAAAAsBAAAPAAAAAAAAAAEAIAAAACIAAABkcnMvZG93&#10;bnJldi54bWxQSwECFAAUAAAACACHTuJAfXeho28CAADWBAAADgAAAAAAAAABACAAAAAqAQAAZHJz&#10;L2Uyb0RvYy54bWxQSwUGAAAAAAYABgBZAQAACwYAAAAA&#10;">
                <v:fill on="t" opacity="32768f"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678720" behindDoc="0" locked="0" layoutInCell="1" allowOverlap="1">
                <wp:simplePos x="0" y="0"/>
                <wp:positionH relativeFrom="column">
                  <wp:posOffset>2234565</wp:posOffset>
                </wp:positionH>
                <wp:positionV relativeFrom="paragraph">
                  <wp:posOffset>3264535</wp:posOffset>
                </wp:positionV>
                <wp:extent cx="683260" cy="476250"/>
                <wp:effectExtent l="0" t="0" r="2540" b="0"/>
                <wp:wrapNone/>
                <wp:docPr id="65" name="矩形 65"/>
                <wp:cNvGraphicFramePr/>
                <a:graphic xmlns:a="http://schemas.openxmlformats.org/drawingml/2006/main">
                  <a:graphicData uri="http://schemas.microsoft.com/office/word/2010/wordprocessingShape">
                    <wps:wsp>
                      <wps:cNvSpPr/>
                      <wps:spPr>
                        <a:xfrm>
                          <a:off x="0" y="0"/>
                          <a:ext cx="683260" cy="476250"/>
                        </a:xfrm>
                        <a:prstGeom prst="rect">
                          <a:avLst/>
                        </a:prstGeom>
                        <a:solidFill>
                          <a:srgbClr val="FF0000">
                            <a:alpha val="50000"/>
                          </a:srgbClr>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75.95pt;margin-top:257.05pt;height:37.5pt;width:53.8pt;z-index:251678720;v-text-anchor:middle;mso-width-relative:page;mso-height-relative:page;" fillcolor="#FF0000" filled="t" stroked="f" coordsize="21600,21600" o:gfxdata="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AkS5lY2gAAAAsBAAAPAAAAAAAAAAEAIAAAACIAAABkcnMvZG93bnJl&#10;di54bWxQSwECFAAUAAAACACHTuJAoHR52W0CAADWBAAADgAAAAAAAAABACAAAAApAQAAZHJzL2Uy&#10;b0RvYy54bWxQSwUGAAAAAAYABgBZAQAACAYAAAAA&#10;">
                <v:fill on="t" opacity="32768f"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677696" behindDoc="0" locked="0" layoutInCell="1" allowOverlap="1">
                <wp:simplePos x="0" y="0"/>
                <wp:positionH relativeFrom="column">
                  <wp:posOffset>2225040</wp:posOffset>
                </wp:positionH>
                <wp:positionV relativeFrom="paragraph">
                  <wp:posOffset>2782570</wp:posOffset>
                </wp:positionV>
                <wp:extent cx="683895" cy="488315"/>
                <wp:effectExtent l="0" t="0" r="1905" b="6985"/>
                <wp:wrapNone/>
                <wp:docPr id="64" name="矩形 64"/>
                <wp:cNvGraphicFramePr/>
                <a:graphic xmlns:a="http://schemas.openxmlformats.org/drawingml/2006/main">
                  <a:graphicData uri="http://schemas.microsoft.com/office/word/2010/wordprocessingShape">
                    <wps:wsp>
                      <wps:cNvSpPr/>
                      <wps:spPr>
                        <a:xfrm>
                          <a:off x="0" y="0"/>
                          <a:ext cx="683895" cy="488315"/>
                        </a:xfrm>
                        <a:prstGeom prst="rect">
                          <a:avLst/>
                        </a:prstGeom>
                        <a:solidFill>
                          <a:srgbClr val="FF0000">
                            <a:alpha val="50000"/>
                          </a:srgbClr>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75.2pt;margin-top:219.1pt;height:38.45pt;width:53.85pt;z-index:251677696;v-text-anchor:middle;mso-width-relative:page;mso-height-relative:page;" fillcolor="#FF0000" filled="t" stroked="f" coordsize="21600,21600" o:gfxdata="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A+RPiq2gAAAAsBAAAPAAAAAAAAAAEAIAAAACIAAABkcnMvZG93bnJl&#10;di54bWxQSwECFAAUAAAACACHTuJAkdvxym0CAADWBAAADgAAAAAAAAABACAAAAApAQAAZHJzL2Uy&#10;b0RvYy54bWxQSwUGAAAAAAYABgBZAQAACAYAAAAA&#10;">
                <v:fill on="t" opacity="32768f"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674624" behindDoc="0" locked="0" layoutInCell="1" allowOverlap="1">
                <wp:simplePos x="0" y="0"/>
                <wp:positionH relativeFrom="column">
                  <wp:posOffset>2959100</wp:posOffset>
                </wp:positionH>
                <wp:positionV relativeFrom="paragraph">
                  <wp:posOffset>273685</wp:posOffset>
                </wp:positionV>
                <wp:extent cx="789305" cy="595630"/>
                <wp:effectExtent l="0" t="0" r="10795" b="13970"/>
                <wp:wrapNone/>
                <wp:docPr id="61" name="矩形 61"/>
                <wp:cNvGraphicFramePr/>
                <a:graphic xmlns:a="http://schemas.openxmlformats.org/drawingml/2006/main">
                  <a:graphicData uri="http://schemas.microsoft.com/office/word/2010/wordprocessingShape">
                    <wps:wsp>
                      <wps:cNvSpPr/>
                      <wps:spPr>
                        <a:xfrm>
                          <a:off x="0" y="0"/>
                          <a:ext cx="789305" cy="595630"/>
                        </a:xfrm>
                        <a:prstGeom prst="rect">
                          <a:avLst/>
                        </a:prstGeom>
                        <a:solidFill>
                          <a:srgbClr val="FF0000">
                            <a:alpha val="50000"/>
                          </a:srgbClr>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33pt;margin-top:21.55pt;height:46.9pt;width:62.15pt;z-index:251674624;v-text-anchor:middle;mso-width-relative:page;mso-height-relative:page;" fillcolor="#FF0000" filled="t" stroked="f" coordsize="21600,21600" o:gfxdata="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KZ0qz9gAAAAKAQAADwAAAAAAAAABACAAAAAiAAAAZHJzL2Rvd25yZXYu&#10;eG1sUEsBAhQAFAAAAAgAh07iQGCVp6ZtAgAA1gQAAA4AAAAAAAAAAQAgAAAAJwEAAGRycy9lMm9E&#10;b2MueG1sUEsFBgAAAAAGAAYAWQEAAAYGAAAAAA==&#10;">
                <v:fill on="t" opacity="32768f"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675648" behindDoc="0" locked="0" layoutInCell="1" allowOverlap="1">
                <wp:simplePos x="0" y="0"/>
                <wp:positionH relativeFrom="column">
                  <wp:posOffset>2218055</wp:posOffset>
                </wp:positionH>
                <wp:positionV relativeFrom="paragraph">
                  <wp:posOffset>1410335</wp:posOffset>
                </wp:positionV>
                <wp:extent cx="718820" cy="476250"/>
                <wp:effectExtent l="0" t="0" r="5080" b="0"/>
                <wp:wrapNone/>
                <wp:docPr id="62" name="矩形 62"/>
                <wp:cNvGraphicFramePr/>
                <a:graphic xmlns:a="http://schemas.openxmlformats.org/drawingml/2006/main">
                  <a:graphicData uri="http://schemas.microsoft.com/office/word/2010/wordprocessingShape">
                    <wps:wsp>
                      <wps:cNvSpPr/>
                      <wps:spPr>
                        <a:xfrm>
                          <a:off x="0" y="0"/>
                          <a:ext cx="718820" cy="476250"/>
                        </a:xfrm>
                        <a:prstGeom prst="rect">
                          <a:avLst/>
                        </a:prstGeom>
                        <a:solidFill>
                          <a:srgbClr val="FF0000">
                            <a:alpha val="50000"/>
                          </a:srgbClr>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74.65pt;margin-top:111.05pt;height:37.5pt;width:56.6pt;z-index:251675648;v-text-anchor:middle;mso-width-relative:page;mso-height-relative:page;" fillcolor="#FF0000" filled="t" stroked="f" coordsize="21600,21600" o:gfxdata="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Bjhccx2gAAAAsBAAAPAAAAAAAAAAEAIAAAACIAAABkcnMvZG93bnJl&#10;di54bWxQSwECFAAUAAAACACHTuJAlpeJ5m0CAADWBAAADgAAAAAAAAABACAAAAApAQAAZHJzL2Uy&#10;b0RvYy54bWxQSwUGAAAAAAYABgBZAQAACAYAAAAA&#10;">
                <v:fill on="t" opacity="32768f"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676672" behindDoc="0" locked="0" layoutInCell="1" allowOverlap="1">
                <wp:simplePos x="0" y="0"/>
                <wp:positionH relativeFrom="column">
                  <wp:posOffset>2231390</wp:posOffset>
                </wp:positionH>
                <wp:positionV relativeFrom="paragraph">
                  <wp:posOffset>1864360</wp:posOffset>
                </wp:positionV>
                <wp:extent cx="683260" cy="476250"/>
                <wp:effectExtent l="0" t="0" r="2540" b="0"/>
                <wp:wrapNone/>
                <wp:docPr id="63" name="矩形 63"/>
                <wp:cNvGraphicFramePr/>
                <a:graphic xmlns:a="http://schemas.openxmlformats.org/drawingml/2006/main">
                  <a:graphicData uri="http://schemas.microsoft.com/office/word/2010/wordprocessingShape">
                    <wps:wsp>
                      <wps:cNvSpPr/>
                      <wps:spPr>
                        <a:xfrm>
                          <a:off x="0" y="0"/>
                          <a:ext cx="683260" cy="476250"/>
                        </a:xfrm>
                        <a:prstGeom prst="rect">
                          <a:avLst/>
                        </a:prstGeom>
                        <a:solidFill>
                          <a:srgbClr val="FF0000">
                            <a:alpha val="50000"/>
                          </a:srgbClr>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75.7pt;margin-top:146.8pt;height:37.5pt;width:53.8pt;z-index:251676672;v-text-anchor:middle;mso-width-relative:page;mso-height-relative:page;" fillcolor="#FF0000" filled="t" stroked="f" coordsize="21600,21600" o:gfxdata="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DbtyAD2gAAAAsBAAAPAAAAAAAAAAEAIAAAACIAAABkcnMvZG93bnJl&#10;di54bWxQSwECFAAUAAAACACHTuJARcXH1m0CAADWBAAADgAAAAAAAAABACAAAAApAQAAZHJzL2Uy&#10;b0RvYy54bWxQSwUGAAAAAAYABgBZAQAACAYAAAAA&#10;">
                <v:fill on="t" opacity="32768f"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687936" behindDoc="0" locked="0" layoutInCell="1" allowOverlap="1">
                <wp:simplePos x="0" y="0"/>
                <wp:positionH relativeFrom="column">
                  <wp:posOffset>419100</wp:posOffset>
                </wp:positionH>
                <wp:positionV relativeFrom="paragraph">
                  <wp:posOffset>3515360</wp:posOffset>
                </wp:positionV>
                <wp:extent cx="492125" cy="218440"/>
                <wp:effectExtent l="0" t="0" r="3175" b="10160"/>
                <wp:wrapNone/>
                <wp:docPr id="74" name="矩形 74"/>
                <wp:cNvGraphicFramePr/>
                <a:graphic xmlns:a="http://schemas.openxmlformats.org/drawingml/2006/main">
                  <a:graphicData uri="http://schemas.microsoft.com/office/word/2010/wordprocessingShape">
                    <wps:wsp>
                      <wps:cNvSpPr/>
                      <wps:spPr>
                        <a:xfrm>
                          <a:off x="0" y="0"/>
                          <a:ext cx="492125" cy="218440"/>
                        </a:xfrm>
                        <a:prstGeom prst="rect">
                          <a:avLst/>
                        </a:prstGeom>
                        <a:solidFill>
                          <a:srgbClr val="00B0F0">
                            <a:alpha val="50000"/>
                          </a:srgbClr>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3pt;margin-top:276.8pt;height:17.2pt;width:38.75pt;z-index:251687936;v-text-anchor:middle;mso-width-relative:page;mso-height-relative:page;" fillcolor="#00B0F0" filled="t" stroked="f" coordsize="21600,21600" o:gfxdata="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QvaZ+tkAAAAKAQAADwAAAAAAAAABACAAAAAiAAAAZHJzL2Rvd25yZXYu&#10;eG1sUEsBAhQAFAAAAAgAh07iQClGD2dsAgAA1gQAAA4AAAAAAAAAAQAgAAAAKAEAAGRycy9lMm9E&#10;b2MueG1sUEsFBgAAAAAGAAYAWQEAAAYGAAAAAA==&#10;">
                <v:fill on="t" opacity="32768f"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686912" behindDoc="0" locked="0" layoutInCell="1" allowOverlap="1">
                <wp:simplePos x="0" y="0"/>
                <wp:positionH relativeFrom="column">
                  <wp:posOffset>428625</wp:posOffset>
                </wp:positionH>
                <wp:positionV relativeFrom="paragraph">
                  <wp:posOffset>3233420</wp:posOffset>
                </wp:positionV>
                <wp:extent cx="442595" cy="202565"/>
                <wp:effectExtent l="0" t="0" r="14605" b="6985"/>
                <wp:wrapNone/>
                <wp:docPr id="73" name="矩形 73"/>
                <wp:cNvGraphicFramePr/>
                <a:graphic xmlns:a="http://schemas.openxmlformats.org/drawingml/2006/main">
                  <a:graphicData uri="http://schemas.microsoft.com/office/word/2010/wordprocessingShape">
                    <wps:wsp>
                      <wps:cNvSpPr/>
                      <wps:spPr>
                        <a:xfrm>
                          <a:off x="0" y="0"/>
                          <a:ext cx="442595" cy="202565"/>
                        </a:xfrm>
                        <a:prstGeom prst="rect">
                          <a:avLst/>
                        </a:prstGeom>
                        <a:solidFill>
                          <a:srgbClr val="FFFF00">
                            <a:alpha val="50000"/>
                          </a:srgbClr>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3.75pt;margin-top:254.6pt;height:15.95pt;width:34.85pt;z-index:251686912;v-text-anchor:middle;mso-width-relative:page;mso-height-relative:page;" fillcolor="#FFFF00" filled="t" stroked="f" coordsize="21600,21600" o:gfxdata="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2BpvWdgAAAAKAQAADwAAAAAAAAABACAAAAAiAAAAZHJzL2Rvd25yZXYu&#10;eG1sUEsBAhQAFAAAAAgAh07iQAWcNKBtAgAA1gQAAA4AAAAAAAAAAQAgAAAAJwEAAGRycy9lMm9E&#10;b2MueG1sUEsFBgAAAAAGAAYAWQEAAAYGAAAAAA==&#10;">
                <v:fill on="t" opacity="32768f"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685888" behindDoc="0" locked="0" layoutInCell="1" allowOverlap="1">
                <wp:simplePos x="0" y="0"/>
                <wp:positionH relativeFrom="column">
                  <wp:posOffset>425450</wp:posOffset>
                </wp:positionH>
                <wp:positionV relativeFrom="paragraph">
                  <wp:posOffset>2972435</wp:posOffset>
                </wp:positionV>
                <wp:extent cx="431800" cy="222250"/>
                <wp:effectExtent l="0" t="0" r="6350" b="6350"/>
                <wp:wrapNone/>
                <wp:docPr id="72" name="矩形 72"/>
                <wp:cNvGraphicFramePr/>
                <a:graphic xmlns:a="http://schemas.openxmlformats.org/drawingml/2006/main">
                  <a:graphicData uri="http://schemas.microsoft.com/office/word/2010/wordprocessingShape">
                    <wps:wsp>
                      <wps:cNvSpPr/>
                      <wps:spPr>
                        <a:xfrm>
                          <a:off x="0" y="0"/>
                          <a:ext cx="431800" cy="222250"/>
                        </a:xfrm>
                        <a:prstGeom prst="rect">
                          <a:avLst/>
                        </a:prstGeom>
                        <a:solidFill>
                          <a:srgbClr val="FF0000">
                            <a:alpha val="50000"/>
                          </a:srgbClr>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3.5pt;margin-top:234.05pt;height:17.5pt;width:34pt;z-index:251685888;v-text-anchor:middle;mso-width-relative:page;mso-height-relative:page;" fillcolor="#FF0000" filled="t" stroked="f" coordsize="21600,21600" o:gfxdata="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7gztt9kAAAAKAQAADwAAAAAAAAABACAAAAAiAAAAZHJzL2Rvd25yZXYueG1s&#10;UEsBAhQAFAAAAAgAh07iQE4x0XppAgAA1gQAAA4AAAAAAAAAAQAgAAAAKAEAAGRycy9lMm9Eb2Mu&#10;eG1sUEsFBgAAAAAGAAYAWQEAAAMGAAAAAA==&#10;">
                <v:fill on="t" opacity="32768f"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688960" behindDoc="0" locked="0" layoutInCell="1" allowOverlap="1">
                <wp:simplePos x="0" y="0"/>
                <wp:positionH relativeFrom="column">
                  <wp:posOffset>892175</wp:posOffset>
                </wp:positionH>
                <wp:positionV relativeFrom="paragraph">
                  <wp:posOffset>2943860</wp:posOffset>
                </wp:positionV>
                <wp:extent cx="1016000" cy="904875"/>
                <wp:effectExtent l="0" t="0" r="12700" b="9525"/>
                <wp:wrapNone/>
                <wp:docPr id="75" name="文本框 75"/>
                <wp:cNvGraphicFramePr/>
                <a:graphic xmlns:a="http://schemas.openxmlformats.org/drawingml/2006/main">
                  <a:graphicData uri="http://schemas.microsoft.com/office/word/2010/wordprocessingShape">
                    <wps:wsp>
                      <wps:cNvSpPr txBox="1"/>
                      <wps:spPr>
                        <a:xfrm>
                          <a:off x="1544955" y="3796665"/>
                          <a:ext cx="1016000" cy="90487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206EF836">
                            <w:pPr>
                              <w:spacing w:line="360" w:lineRule="auto"/>
                              <w:rPr>
                                <w:rFonts w:hint="eastAsia"/>
                                <w:lang w:val="en-US" w:eastAsia="zh-CN"/>
                              </w:rPr>
                            </w:pPr>
                            <w:r>
                              <w:rPr>
                                <w:rFonts w:hint="eastAsia"/>
                                <w:lang w:val="en-US" w:eastAsia="zh-CN"/>
                              </w:rPr>
                              <w:t>重点防渗区</w:t>
                            </w:r>
                          </w:p>
                          <w:p w14:paraId="555BFF42">
                            <w:pPr>
                              <w:spacing w:line="360" w:lineRule="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一般防渗区</w:t>
                            </w:r>
                          </w:p>
                          <w:p w14:paraId="3042FC54">
                            <w:pPr>
                              <w:spacing w:line="360" w:lineRule="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简单防渗区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0.25pt;margin-top:231.8pt;height:71.25pt;width:80pt;z-index:251688960;mso-width-relative:page;mso-height-relative:page;" fillcolor="#FFFFFF [3201]" filled="t" stroked="f" coordsize="21600,21600" o:gfxdata="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nYtB&#10;PNUAAAALAQAADwAAAAAAAAABACAAAAAiAAAAZHJzL2Rvd25yZXYueG1sUEsBAhQAFAAAAAgAh07i&#10;QAaBxVdeAgAAnQQAAA4AAAAAAAAAAQAgAAAAJAEAAGRycy9lMm9Eb2MueG1sUEsFBgAAAAAGAAYA&#10;WQEAAPQFAAAAAA==&#10;">
                <v:fill on="t" focussize="0,0"/>
                <v:stroke on="f" weight="0.5pt"/>
                <v:imagedata o:title=""/>
                <o:lock v:ext="edit" aspectratio="f"/>
                <v:textbox>
                  <w:txbxContent>
                    <w:p w14:paraId="206EF836">
                      <w:pPr>
                        <w:spacing w:line="360" w:lineRule="auto"/>
                        <w:rPr>
                          <w:rFonts w:hint="eastAsia"/>
                          <w:lang w:val="en-US" w:eastAsia="zh-CN"/>
                        </w:rPr>
                      </w:pPr>
                      <w:r>
                        <w:rPr>
                          <w:rFonts w:hint="eastAsia"/>
                          <w:lang w:val="en-US" w:eastAsia="zh-CN"/>
                        </w:rPr>
                        <w:t>重点防渗区</w:t>
                      </w:r>
                    </w:p>
                    <w:p w14:paraId="555BFF42">
                      <w:pPr>
                        <w:spacing w:line="360" w:lineRule="auto"/>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一般防渗区</w:t>
                      </w:r>
                    </w:p>
                    <w:p w14:paraId="3042FC54">
                      <w:pPr>
                        <w:spacing w:line="360" w:lineRule="auto"/>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简单防渗区</w:t>
                      </w:r>
                    </w:p>
                  </w:txbxContent>
                </v:textbox>
              </v:shape>
            </w:pict>
          </mc:Fallback>
        </mc:AlternateContent>
      </w:r>
      <w:r>
        <w:rPr>
          <w:rFonts w:hint="eastAsia" w:eastAsia="宋体"/>
          <w:color w:val="auto"/>
          <w:lang w:val="en-US" w:eastAsia="zh-CN"/>
        </w:rPr>
        <w:drawing>
          <wp:inline distT="0" distB="0" distL="114300" distR="114300">
            <wp:extent cx="8879840" cy="4345940"/>
            <wp:effectExtent l="0" t="0" r="16510" b="16510"/>
            <wp:docPr id="12" name="图片 12" descr="微信图片_20251217144720_30_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微信图片_20251217144720_30_798"/>
                    <pic:cNvPicPr>
                      <a:picLocks noChangeAspect="1"/>
                    </pic:cNvPicPr>
                  </pic:nvPicPr>
                  <pic:blipFill>
                    <a:blip r:embed="rId57"/>
                    <a:stretch>
                      <a:fillRect/>
                    </a:stretch>
                  </pic:blipFill>
                  <pic:spPr>
                    <a:xfrm>
                      <a:off x="0" y="0"/>
                      <a:ext cx="8879840" cy="4345940"/>
                    </a:xfrm>
                    <a:prstGeom prst="rect">
                      <a:avLst/>
                    </a:prstGeom>
                  </pic:spPr>
                </pic:pic>
              </a:graphicData>
            </a:graphic>
          </wp:inline>
        </w:drawing>
      </w:r>
      <w:r>
        <w:rPr>
          <w:color w:val="auto"/>
          <w:sz w:val="21"/>
        </w:rPr>
        <mc:AlternateContent>
          <mc:Choice Requires="wps">
            <w:drawing>
              <wp:anchor distT="0" distB="0" distL="114300" distR="114300" simplePos="0" relativeHeight="251684864" behindDoc="0" locked="0" layoutInCell="1" allowOverlap="1">
                <wp:simplePos x="0" y="0"/>
                <wp:positionH relativeFrom="column">
                  <wp:posOffset>3394075</wp:posOffset>
                </wp:positionH>
                <wp:positionV relativeFrom="paragraph">
                  <wp:posOffset>1407160</wp:posOffset>
                </wp:positionV>
                <wp:extent cx="1063625" cy="635000"/>
                <wp:effectExtent l="0" t="0" r="3175" b="12700"/>
                <wp:wrapNone/>
                <wp:docPr id="71" name="矩形 71"/>
                <wp:cNvGraphicFramePr/>
                <a:graphic xmlns:a="http://schemas.openxmlformats.org/drawingml/2006/main">
                  <a:graphicData uri="http://schemas.microsoft.com/office/word/2010/wordprocessingShape">
                    <wps:wsp>
                      <wps:cNvSpPr/>
                      <wps:spPr>
                        <a:xfrm>
                          <a:off x="0" y="0"/>
                          <a:ext cx="1063625" cy="635000"/>
                        </a:xfrm>
                        <a:prstGeom prst="rect">
                          <a:avLst/>
                        </a:prstGeom>
                        <a:solidFill>
                          <a:srgbClr val="FF0000">
                            <a:alpha val="50000"/>
                          </a:srgbClr>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67.25pt;margin-top:110.8pt;height:50pt;width:83.75pt;z-index:251684864;v-text-anchor:middle;mso-width-relative:page;mso-height-relative:page;" fillcolor="#FF0000" filled="t" stroked="f" coordsize="21600,21600" o:gfxdata="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Pcv6UbZAAAACwEAAA8AAAAAAAAAAQAgAAAAIgAAAGRycy9kb3ducmV2&#10;LnhtbFBLAQIUABQAAAAIAIdO4kAnT9NkbQIAANcEAAAOAAAAAAAAAAEAIAAAACgBAABkcnMvZTJv&#10;RG9jLnhtbFBLBQYAAAAABgAGAFkBAAAHBgAAAAA=&#10;">
                <v:fill on="t" opacity="32768f"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683840" behindDoc="0" locked="0" layoutInCell="1" allowOverlap="1">
                <wp:simplePos x="0" y="0"/>
                <wp:positionH relativeFrom="column">
                  <wp:posOffset>5676900</wp:posOffset>
                </wp:positionH>
                <wp:positionV relativeFrom="paragraph">
                  <wp:posOffset>245110</wp:posOffset>
                </wp:positionV>
                <wp:extent cx="2094865" cy="1222375"/>
                <wp:effectExtent l="0" t="0" r="635" b="15875"/>
                <wp:wrapNone/>
                <wp:docPr id="70" name="矩形 70"/>
                <wp:cNvGraphicFramePr/>
                <a:graphic xmlns:a="http://schemas.openxmlformats.org/drawingml/2006/main">
                  <a:graphicData uri="http://schemas.microsoft.com/office/word/2010/wordprocessingShape">
                    <wps:wsp>
                      <wps:cNvSpPr/>
                      <wps:spPr>
                        <a:xfrm>
                          <a:off x="0" y="0"/>
                          <a:ext cx="2094865" cy="1222375"/>
                        </a:xfrm>
                        <a:prstGeom prst="rect">
                          <a:avLst/>
                        </a:prstGeom>
                        <a:solidFill>
                          <a:srgbClr val="FFFF00">
                            <a:alpha val="50000"/>
                          </a:srgbClr>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47pt;margin-top:19.3pt;height:96.25pt;width:164.95pt;z-index:251683840;v-text-anchor:middle;mso-width-relative:page;mso-height-relative:page;" fillcolor="#FFFF00" filled="t" stroked="f" coordsize="21600,21600" o:gfxdata="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4S9W9toAAAALAQAADwAAAAAAAAABACAAAAAiAAAAZHJzL2Rvd25y&#10;ZXYueG1sUEsBAhQAFAAAAAgAh07iQHYKi59uAgAA2AQAAA4AAAAAAAAAAQAgAAAAKQEAAGRycy9l&#10;Mm9Eb2MueG1sUEsFBgAAAAAGAAYAWQEAAAkGAAAAAA==&#10;">
                <v:fill on="t" opacity="32768f"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681792" behindDoc="0" locked="0" layoutInCell="1" allowOverlap="1">
                <wp:simplePos x="0" y="0"/>
                <wp:positionH relativeFrom="column">
                  <wp:posOffset>5016500</wp:posOffset>
                </wp:positionH>
                <wp:positionV relativeFrom="paragraph">
                  <wp:posOffset>2807335</wp:posOffset>
                </wp:positionV>
                <wp:extent cx="730250" cy="1348740"/>
                <wp:effectExtent l="0" t="0" r="12700" b="3810"/>
                <wp:wrapNone/>
                <wp:docPr id="68" name="矩形 68"/>
                <wp:cNvGraphicFramePr/>
                <a:graphic xmlns:a="http://schemas.openxmlformats.org/drawingml/2006/main">
                  <a:graphicData uri="http://schemas.microsoft.com/office/word/2010/wordprocessingShape">
                    <wps:wsp>
                      <wps:cNvSpPr/>
                      <wps:spPr>
                        <a:xfrm>
                          <a:off x="0" y="0"/>
                          <a:ext cx="730250" cy="1348740"/>
                        </a:xfrm>
                        <a:prstGeom prst="rect">
                          <a:avLst/>
                        </a:prstGeom>
                        <a:solidFill>
                          <a:srgbClr val="00B0F0">
                            <a:alpha val="50000"/>
                          </a:srgbClr>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95pt;margin-top:221.05pt;height:106.2pt;width:57.5pt;z-index:251681792;v-text-anchor:middle;mso-width-relative:page;mso-height-relative:page;" fillcolor="#00B0F0" filled="t" stroked="f" coordsize="21600,21600" o:gfxdata="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CRJ5pZ2wAAAAsBAAAPAAAAAAAAAAEAIAAAACIAAABkcnMvZG93&#10;bnJldi54bWxQSwECFAAUAAAACACHTuJATiWgUG8CAADXBAAADgAAAAAAAAABACAAAAAqAQAAZHJz&#10;L2Uyb0RvYy54bWxQSwUGAAAAAAYABgBZAQAACwYAAAAA&#10;">
                <v:fill on="t" opacity="32768f"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682816" behindDoc="0" locked="0" layoutInCell="1" allowOverlap="1">
                <wp:simplePos x="0" y="0"/>
                <wp:positionH relativeFrom="column">
                  <wp:posOffset>5032375</wp:posOffset>
                </wp:positionH>
                <wp:positionV relativeFrom="paragraph">
                  <wp:posOffset>1362710</wp:posOffset>
                </wp:positionV>
                <wp:extent cx="635000" cy="1365250"/>
                <wp:effectExtent l="0" t="0" r="12700" b="6350"/>
                <wp:wrapNone/>
                <wp:docPr id="69" name="矩形 69"/>
                <wp:cNvGraphicFramePr/>
                <a:graphic xmlns:a="http://schemas.openxmlformats.org/drawingml/2006/main">
                  <a:graphicData uri="http://schemas.microsoft.com/office/word/2010/wordprocessingShape">
                    <wps:wsp>
                      <wps:cNvSpPr/>
                      <wps:spPr>
                        <a:xfrm>
                          <a:off x="0" y="0"/>
                          <a:ext cx="635000" cy="1365250"/>
                        </a:xfrm>
                        <a:prstGeom prst="rect">
                          <a:avLst/>
                        </a:prstGeom>
                        <a:solidFill>
                          <a:srgbClr val="FFFF00">
                            <a:alpha val="50000"/>
                          </a:srgbClr>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96.25pt;margin-top:107.3pt;height:107.5pt;width:50pt;z-index:251682816;v-text-anchor:middle;mso-width-relative:page;mso-height-relative:page;" fillcolor="#FFFF00" filled="t" stroked="f" coordsize="21600,21600" o:gfxdata="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IwEk6PZAAAACwEAAA8AAAAAAAAAAQAgAAAAIgAAAGRycy9kb3ducmV2&#10;LnhtbFBLAQIUABQAAAAIAIdO4kDmOe1obQIAANcEAAAOAAAAAAAAAAEAIAAAACgBAABkcnMvZTJv&#10;RG9jLnhtbFBLBQYAAAAABgAGAFkBAAAHBgAAAAA=&#10;">
                <v:fill on="t" opacity="32768f"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680768" behindDoc="0" locked="0" layoutInCell="1" allowOverlap="1">
                <wp:simplePos x="0" y="0"/>
                <wp:positionH relativeFrom="column">
                  <wp:posOffset>3727450</wp:posOffset>
                </wp:positionH>
                <wp:positionV relativeFrom="paragraph">
                  <wp:posOffset>883285</wp:posOffset>
                </wp:positionV>
                <wp:extent cx="492125" cy="492125"/>
                <wp:effectExtent l="0" t="0" r="3175" b="3175"/>
                <wp:wrapNone/>
                <wp:docPr id="67" name="矩形 67"/>
                <wp:cNvGraphicFramePr/>
                <a:graphic xmlns:a="http://schemas.openxmlformats.org/drawingml/2006/main">
                  <a:graphicData uri="http://schemas.microsoft.com/office/word/2010/wordprocessingShape">
                    <wps:wsp>
                      <wps:cNvSpPr/>
                      <wps:spPr>
                        <a:xfrm>
                          <a:off x="0" y="0"/>
                          <a:ext cx="492125" cy="492125"/>
                        </a:xfrm>
                        <a:prstGeom prst="rect">
                          <a:avLst/>
                        </a:prstGeom>
                        <a:solidFill>
                          <a:srgbClr val="FF0000">
                            <a:alpha val="50000"/>
                          </a:srgbClr>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93.5pt;margin-top:69.55pt;height:38.75pt;width:38.75pt;z-index:251680768;v-text-anchor:middle;mso-width-relative:page;mso-height-relative:page;" fillcolor="#FF0000" filled="t" stroked="f" coordsize="21600,21600" o:gfxdata="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DKh2Kt2gAAAAsBAAAPAAAAAAAAAAEAIAAAACIAAABkcnMvZG93bnJldi54&#10;bWxQSwECFAAUAAAACACHTuJALSh1+moCAADWBAAADgAAAAAAAAABACAAAAApAQAAZHJzL2Uyb0Rv&#10;Yy54bWxQSwUGAAAAAAYABgBZAQAABQYAAAAA&#10;">
                <v:fill on="t" opacity="32768f"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679744" behindDoc="0" locked="0" layoutInCell="1" allowOverlap="1">
                <wp:simplePos x="0" y="0"/>
                <wp:positionH relativeFrom="column">
                  <wp:posOffset>3768725</wp:posOffset>
                </wp:positionH>
                <wp:positionV relativeFrom="paragraph">
                  <wp:posOffset>241935</wp:posOffset>
                </wp:positionV>
                <wp:extent cx="1920240" cy="650875"/>
                <wp:effectExtent l="0" t="0" r="3810" b="15875"/>
                <wp:wrapNone/>
                <wp:docPr id="66" name="矩形 66"/>
                <wp:cNvGraphicFramePr/>
                <a:graphic xmlns:a="http://schemas.openxmlformats.org/drawingml/2006/main">
                  <a:graphicData uri="http://schemas.microsoft.com/office/word/2010/wordprocessingShape">
                    <wps:wsp>
                      <wps:cNvSpPr/>
                      <wps:spPr>
                        <a:xfrm>
                          <a:off x="0" y="0"/>
                          <a:ext cx="1920240" cy="650875"/>
                        </a:xfrm>
                        <a:prstGeom prst="rect">
                          <a:avLst/>
                        </a:prstGeom>
                        <a:solidFill>
                          <a:srgbClr val="FFFF00">
                            <a:alpha val="50000"/>
                          </a:srgbClr>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96.75pt;margin-top:19.05pt;height:51.25pt;width:151.2pt;z-index:251679744;v-text-anchor:middle;mso-width-relative:page;mso-height-relative:page;" fillcolor="#FFFF00" filled="t" stroked="f" coordsize="21600,21600" o:gfxdata="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ANNz9j2QAAAAoBAAAPAAAAAAAAAAEAIAAAACIAAABkcnMvZG93bnJl&#10;di54bWxQSwECFAAUAAAACACHTuJAEzti3G4CAADXBAAADgAAAAAAAAABACAAAAAoAQAAZHJzL2Uy&#10;b0RvYy54bWxQSwUGAAAAAAYABgBZAQAACAYAAAAA&#10;">
                <v:fill on="t" opacity="32768f"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673600" behindDoc="0" locked="0" layoutInCell="1" allowOverlap="1">
                <wp:simplePos x="0" y="0"/>
                <wp:positionH relativeFrom="column">
                  <wp:posOffset>2235200</wp:posOffset>
                </wp:positionH>
                <wp:positionV relativeFrom="paragraph">
                  <wp:posOffset>295910</wp:posOffset>
                </wp:positionV>
                <wp:extent cx="707390" cy="571500"/>
                <wp:effectExtent l="0" t="0" r="16510" b="0"/>
                <wp:wrapNone/>
                <wp:docPr id="60" name="矩形 60"/>
                <wp:cNvGraphicFramePr/>
                <a:graphic xmlns:a="http://schemas.openxmlformats.org/drawingml/2006/main">
                  <a:graphicData uri="http://schemas.microsoft.com/office/word/2010/wordprocessingShape">
                    <wps:wsp>
                      <wps:cNvSpPr/>
                      <wps:spPr>
                        <a:xfrm>
                          <a:off x="0" y="0"/>
                          <a:ext cx="707390" cy="571500"/>
                        </a:xfrm>
                        <a:prstGeom prst="rect">
                          <a:avLst/>
                        </a:prstGeom>
                        <a:solidFill>
                          <a:srgbClr val="FF0000">
                            <a:alpha val="50000"/>
                          </a:srgbClr>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76pt;margin-top:23.3pt;height:45pt;width:55.7pt;z-index:251673600;v-text-anchor:middle;mso-width-relative:page;mso-height-relative:page;" fillcolor="#FF0000" filled="t" stroked="f" coordsize="21600,21600" o:gfxdata="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DwVsRj2AAAAAoBAAAPAAAAAAAAAAEAIAAAACIAAABkcnMvZG93bnJldi54&#10;bWxQSwECFAAUAAAACACHTuJAwzv/FmwCAADWBAAADgAAAAAAAAABACAAAAAnAQAAZHJzL2Uyb0Rv&#10;Yy54bWxQSwUGAAAAAAYABgBZAQAABQYAAAAA&#10;">
                <v:fill on="t" opacity="32768f"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672576" behindDoc="0" locked="0" layoutInCell="1" allowOverlap="1">
                <wp:simplePos x="0" y="0"/>
                <wp:positionH relativeFrom="column">
                  <wp:posOffset>2241550</wp:posOffset>
                </wp:positionH>
                <wp:positionV relativeFrom="paragraph">
                  <wp:posOffset>905510</wp:posOffset>
                </wp:positionV>
                <wp:extent cx="730250" cy="476250"/>
                <wp:effectExtent l="0" t="0" r="12700" b="0"/>
                <wp:wrapNone/>
                <wp:docPr id="59" name="矩形 59"/>
                <wp:cNvGraphicFramePr/>
                <a:graphic xmlns:a="http://schemas.openxmlformats.org/drawingml/2006/main">
                  <a:graphicData uri="http://schemas.microsoft.com/office/word/2010/wordprocessingShape">
                    <wps:wsp>
                      <wps:cNvSpPr/>
                      <wps:spPr>
                        <a:xfrm>
                          <a:off x="0" y="0"/>
                          <a:ext cx="730250" cy="476250"/>
                        </a:xfrm>
                        <a:prstGeom prst="rect">
                          <a:avLst/>
                        </a:prstGeom>
                        <a:solidFill>
                          <a:srgbClr val="FF0000">
                            <a:alpha val="50000"/>
                          </a:srgbClr>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76.5pt;margin-top:71.3pt;height:37.5pt;width:57.5pt;z-index:251672576;v-text-anchor:middle;mso-width-relative:page;mso-height-relative:page;" fillcolor="#FF0000" filled="t" stroked="f" coordsize="21600,21600" o:gfxdata="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DSeQMHZAAAACwEAAA8AAAAAAAAAAQAgAAAAIgAAAGRycy9kb3ducmV2Lnht&#10;bFBLAQIUABQAAAAIAIdO4kDbraROagIAANYEAAAOAAAAAAAAAAEAIAAAACgBAABkcnMvZTJvRG9j&#10;LnhtbFBLBQYAAAAABgAGAFkBAAAEBgAAAAA=&#10;">
                <v:fill on="t" opacity="32768f"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670528" behindDoc="0" locked="0" layoutInCell="1" allowOverlap="1">
                <wp:simplePos x="0" y="0"/>
                <wp:positionH relativeFrom="column">
                  <wp:posOffset>3041650</wp:posOffset>
                </wp:positionH>
                <wp:positionV relativeFrom="paragraph">
                  <wp:posOffset>895985</wp:posOffset>
                </wp:positionV>
                <wp:extent cx="635000" cy="476250"/>
                <wp:effectExtent l="0" t="0" r="12700" b="0"/>
                <wp:wrapNone/>
                <wp:docPr id="58" name="矩形 58"/>
                <wp:cNvGraphicFramePr/>
                <a:graphic xmlns:a="http://schemas.openxmlformats.org/drawingml/2006/main">
                  <a:graphicData uri="http://schemas.microsoft.com/office/word/2010/wordprocessingShape">
                    <wps:wsp>
                      <wps:cNvSpPr/>
                      <wps:spPr>
                        <a:xfrm>
                          <a:off x="3942080" y="1796415"/>
                          <a:ext cx="635000" cy="476250"/>
                        </a:xfrm>
                        <a:prstGeom prst="rect">
                          <a:avLst/>
                        </a:prstGeom>
                        <a:solidFill>
                          <a:srgbClr val="FF0000">
                            <a:alpha val="50000"/>
                          </a:srgbClr>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39.5pt;margin-top:70.55pt;height:37.5pt;width:50pt;z-index:251670528;v-text-anchor:middle;mso-width-relative:page;mso-height-relative:page;" fillcolor="#FF0000" filled="t" stroked="f" coordsize="21600,21600" o:gfxdata="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F/MkojYAAAACwEAAA8AAAAAAAAAAQAgAAAAIgAA&#10;AGRycy9kb3ducmV2LnhtbFBLAQIUABQAAAAIAIdO4kCbBsWQegIAAOIEAAAOAAAAAAAAAAEAIAAA&#10;ACcBAABkcnMvZTJvRG9jLnhtbFBLBQYAAAAABgAGAFkBAAATBgAAAAA=&#10;">
                <v:fill on="t" opacity="32768f" focussize="0,0"/>
                <v:stroke on="f" weight="2pt"/>
                <v:imagedata o:title=""/>
                <o:lock v:ext="edit" aspectratio="f"/>
              </v:rect>
            </w:pict>
          </mc:Fallback>
        </mc:AlternateContent>
      </w:r>
      <w:r>
        <w:rPr>
          <w:color w:val="auto"/>
          <w:sz w:val="21"/>
        </w:rPr>
        <mc:AlternateContent>
          <mc:Choice Requires="wps">
            <w:drawing>
              <wp:anchor distT="0" distB="0" distL="114300" distR="114300" simplePos="0" relativeHeight="251670528" behindDoc="0" locked="0" layoutInCell="1" allowOverlap="1">
                <wp:simplePos x="0" y="0"/>
                <wp:positionH relativeFrom="column">
                  <wp:posOffset>6604000</wp:posOffset>
                </wp:positionH>
                <wp:positionV relativeFrom="paragraph">
                  <wp:posOffset>756920</wp:posOffset>
                </wp:positionV>
                <wp:extent cx="485775" cy="381000"/>
                <wp:effectExtent l="0" t="0" r="9525" b="0"/>
                <wp:wrapNone/>
                <wp:docPr id="54" name="文本框 78"/>
                <wp:cNvGraphicFramePr/>
                <a:graphic xmlns:a="http://schemas.openxmlformats.org/drawingml/2006/main">
                  <a:graphicData uri="http://schemas.microsoft.com/office/word/2010/wordprocessingShape">
                    <wps:wsp>
                      <wps:cNvSpPr txBox="1"/>
                      <wps:spPr>
                        <a:xfrm>
                          <a:off x="7475855" y="1619250"/>
                          <a:ext cx="485775" cy="381000"/>
                        </a:xfrm>
                        <a:prstGeom prst="rect">
                          <a:avLst/>
                        </a:prstGeom>
                        <a:solidFill>
                          <a:srgbClr val="FFFFFF"/>
                        </a:solidFill>
                        <a:ln w="9525">
                          <a:noFill/>
                        </a:ln>
                      </wps:spPr>
                      <wps:txbx>
                        <w:txbxContent>
                          <w:p w14:paraId="7CA807D4">
                            <w:pPr>
                              <w:rPr>
                                <w:rFonts w:hint="eastAsia" w:eastAsia="宋体"/>
                                <w:sz w:val="16"/>
                                <w:szCs w:val="20"/>
                                <w:lang w:val="en-US" w:eastAsia="zh-CN"/>
                              </w:rPr>
                            </w:pPr>
                            <w:r>
                              <w:rPr>
                                <w:rFonts w:hint="eastAsia"/>
                                <w:sz w:val="16"/>
                                <w:szCs w:val="20"/>
                                <w:lang w:val="en-US" w:eastAsia="zh-CN"/>
                              </w:rPr>
                              <w:t>仓库</w:t>
                            </w:r>
                          </w:p>
                        </w:txbxContent>
                      </wps:txbx>
                      <wps:bodyPr vert="horz" anchor="t" anchorCtr="0" upright="1"/>
                    </wps:wsp>
                  </a:graphicData>
                </a:graphic>
              </wp:anchor>
            </w:drawing>
          </mc:Choice>
          <mc:Fallback>
            <w:pict>
              <v:shape id="文本框 78" o:spid="_x0000_s1026" o:spt="202" type="#_x0000_t202" style="position:absolute;left:0pt;margin-left:520pt;margin-top:59.6pt;height:30pt;width:38.25pt;z-index:251670528;mso-width-relative:page;mso-height-relative:page;" fillcolor="#FFFFFF" filled="t" stroked="f" coordsize="21600,21600" o:gfxdata="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4xOu&#10;9tcAAAANAQAADwAAAAAAAAABACAAAAAiAAAAZHJzL2Rvd25yZXYueG1sUEsBAhQAFAAAAAgAh07i&#10;QM57P/zqAQAAsgMAAA4AAAAAAAAAAQAgAAAAJgEAAGRycy9lMm9Eb2MueG1sUEsFBgAAAAAGAAYA&#10;WQEAAIIFAAAAAA==&#10;">
                <v:fill on="t" focussize="0,0"/>
                <v:stroke on="f"/>
                <v:imagedata o:title=""/>
                <o:lock v:ext="edit" aspectratio="f"/>
                <v:textbox>
                  <w:txbxContent>
                    <w:p w14:paraId="7CA807D4">
                      <w:pPr>
                        <w:rPr>
                          <w:rFonts w:hint="eastAsia" w:eastAsia="宋体"/>
                          <w:sz w:val="16"/>
                          <w:szCs w:val="20"/>
                          <w:lang w:val="en-US" w:eastAsia="zh-CN"/>
                        </w:rPr>
                      </w:pPr>
                      <w:r>
                        <w:rPr>
                          <w:rFonts w:hint="eastAsia"/>
                          <w:sz w:val="16"/>
                          <w:szCs w:val="20"/>
                          <w:lang w:val="en-US" w:eastAsia="zh-CN"/>
                        </w:rPr>
                        <w:t>仓库</w:t>
                      </w:r>
                    </w:p>
                  </w:txbxContent>
                </v:textbox>
              </v:shape>
            </w:pict>
          </mc:Fallback>
        </mc:AlternateContent>
      </w:r>
      <w:r>
        <w:rPr>
          <w:color w:val="auto"/>
          <w:sz w:val="21"/>
        </w:rPr>
        <mc:AlternateContent>
          <mc:Choice Requires="wps">
            <w:drawing>
              <wp:anchor distT="0" distB="0" distL="114300" distR="114300" simplePos="0" relativeHeight="251671552" behindDoc="0" locked="0" layoutInCell="1" allowOverlap="1">
                <wp:simplePos x="0" y="0"/>
                <wp:positionH relativeFrom="column">
                  <wp:posOffset>3070225</wp:posOffset>
                </wp:positionH>
                <wp:positionV relativeFrom="paragraph">
                  <wp:posOffset>1195070</wp:posOffset>
                </wp:positionV>
                <wp:extent cx="751840" cy="248285"/>
                <wp:effectExtent l="0" t="0" r="0" b="0"/>
                <wp:wrapNone/>
                <wp:docPr id="55" name="文本框 79"/>
                <wp:cNvGraphicFramePr/>
                <a:graphic xmlns:a="http://schemas.openxmlformats.org/drawingml/2006/main">
                  <a:graphicData uri="http://schemas.microsoft.com/office/word/2010/wordprocessingShape">
                    <wps:wsp>
                      <wps:cNvSpPr txBox="1"/>
                      <wps:spPr>
                        <a:xfrm>
                          <a:off x="0" y="0"/>
                          <a:ext cx="751840" cy="248285"/>
                        </a:xfrm>
                        <a:prstGeom prst="rect">
                          <a:avLst/>
                        </a:prstGeom>
                        <a:noFill/>
                        <a:ln>
                          <a:noFill/>
                        </a:ln>
                      </wps:spPr>
                      <wps:txbx>
                        <w:txbxContent>
                          <w:p w14:paraId="2993816B">
                            <w:pPr>
                              <w:rPr>
                                <w:rFonts w:hint="default" w:eastAsia="宋体"/>
                                <w:sz w:val="16"/>
                                <w:szCs w:val="20"/>
                                <w:lang w:val="en-US" w:eastAsia="zh-CN"/>
                              </w:rPr>
                            </w:pPr>
                            <w:r>
                              <w:rPr>
                                <w:rFonts w:hint="eastAsia"/>
                                <w:sz w:val="16"/>
                                <w:szCs w:val="20"/>
                                <w:lang w:val="en-US" w:eastAsia="zh-CN"/>
                              </w:rPr>
                              <w:t>危废暂存间</w:t>
                            </w:r>
                          </w:p>
                        </w:txbxContent>
                      </wps:txbx>
                      <wps:bodyPr vert="horz" anchor="t" anchorCtr="0" upright="1"/>
                    </wps:wsp>
                  </a:graphicData>
                </a:graphic>
              </wp:anchor>
            </w:drawing>
          </mc:Choice>
          <mc:Fallback>
            <w:pict>
              <v:shape id="文本框 79" o:spid="_x0000_s1026" o:spt="202" type="#_x0000_t202" style="position:absolute;left:0pt;margin-left:241.75pt;margin-top:94.1pt;height:19.55pt;width:59.2pt;z-index:251671552;mso-width-relative:page;mso-height-relative:page;" filled="f" stroked="f" coordsize="21600,21600" o:gfxdata="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LylG6vZAAAACwEAAA8AAAAAAAAAAQAgAAAAIgAAAGRycy9kb3ducmV2&#10;LnhtbFBLAQIUABQAAAAIAIdO4kDwr/0swgEAAHQDAAAOAAAAAAAAAAEAIAAAACgBAABkcnMvZTJv&#10;RG9jLnhtbFBLBQYAAAAABgAGAFkBAABcBQAAAAA=&#10;">
                <v:fill on="f" focussize="0,0"/>
                <v:stroke on="f"/>
                <v:imagedata o:title=""/>
                <o:lock v:ext="edit" aspectratio="f"/>
                <v:textbox>
                  <w:txbxContent>
                    <w:p w14:paraId="2993816B">
                      <w:pPr>
                        <w:rPr>
                          <w:rFonts w:hint="default" w:eastAsia="宋体"/>
                          <w:sz w:val="16"/>
                          <w:szCs w:val="20"/>
                          <w:lang w:val="en-US" w:eastAsia="zh-CN"/>
                        </w:rPr>
                      </w:pPr>
                      <w:r>
                        <w:rPr>
                          <w:rFonts w:hint="eastAsia"/>
                          <w:sz w:val="16"/>
                          <w:szCs w:val="20"/>
                          <w:lang w:val="en-US" w:eastAsia="zh-CN"/>
                        </w:rPr>
                        <w:t>危废暂存间</w:t>
                      </w:r>
                    </w:p>
                  </w:txbxContent>
                </v:textbox>
              </v:shape>
            </w:pict>
          </mc:Fallback>
        </mc:AlternateContent>
      </w:r>
      <w:r>
        <w:rPr>
          <w:color w:val="auto"/>
          <w:sz w:val="21"/>
        </w:rPr>
        <mc:AlternateContent>
          <mc:Choice Requires="wps">
            <w:drawing>
              <wp:anchor distT="0" distB="0" distL="114300" distR="114300" simplePos="0" relativeHeight="251669504" behindDoc="0" locked="0" layoutInCell="1" allowOverlap="1">
                <wp:simplePos x="0" y="0"/>
                <wp:positionH relativeFrom="column">
                  <wp:posOffset>3365500</wp:posOffset>
                </wp:positionH>
                <wp:positionV relativeFrom="paragraph">
                  <wp:posOffset>1195070</wp:posOffset>
                </wp:positionV>
                <wp:extent cx="295275" cy="161925"/>
                <wp:effectExtent l="4445" t="4445" r="5080" b="5080"/>
                <wp:wrapNone/>
                <wp:docPr id="56" name="矩形 77"/>
                <wp:cNvGraphicFramePr/>
                <a:graphic xmlns:a="http://schemas.openxmlformats.org/drawingml/2006/main">
                  <a:graphicData uri="http://schemas.microsoft.com/office/word/2010/wordprocessingShape">
                    <wps:wsp>
                      <wps:cNvSpPr/>
                      <wps:spPr>
                        <a:xfrm>
                          <a:off x="3970655" y="2114550"/>
                          <a:ext cx="295275" cy="161925"/>
                        </a:xfrm>
                        <a:prstGeom prst="rect">
                          <a:avLst/>
                        </a:prstGeom>
                        <a:solidFill>
                          <a:srgbClr val="FFFFFF"/>
                        </a:solidFill>
                        <a:ln w="9525" cap="flat" cmpd="sng">
                          <a:solidFill>
                            <a:srgbClr val="FF0000"/>
                          </a:solidFill>
                          <a:prstDash val="solid"/>
                          <a:miter/>
                          <a:headEnd type="none" w="med" len="med"/>
                          <a:tailEnd type="none" w="med" len="med"/>
                        </a:ln>
                      </wps:spPr>
                      <wps:bodyPr vert="horz" anchor="t" anchorCtr="0" upright="1"/>
                    </wps:wsp>
                  </a:graphicData>
                </a:graphic>
              </wp:anchor>
            </w:drawing>
          </mc:Choice>
          <mc:Fallback>
            <w:pict>
              <v:rect id="矩形 77" o:spid="_x0000_s1026" o:spt="1" style="position:absolute;left:0pt;margin-left:265pt;margin-top:94.1pt;height:12.75pt;width:23.25pt;z-index:251669504;mso-width-relative:page;mso-height-relative:page;" fillcolor="#FFFFFF" filled="t" stroked="t" coordsize="21600,21600" o:gfxdata="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J3ZRztkAAAAL&#10;AQAADwAAAAAAAAABACAAAAAiAAAAZHJzL2Rvd25yZXYueG1sUEsBAhQAFAAAAAgAh07iQGNS8WQb&#10;AgAAUAQAAA4AAAAAAAAAAQAgAAAAKAEAAGRycy9lMm9Eb2MueG1sUEsFBgAAAAAGAAYAWQEAALUF&#10;AAAAAA==&#10;">
                <v:fill on="t" focussize="0,0"/>
                <v:stroke color="#FF0000" joinstyle="miter"/>
                <v:imagedata o:title=""/>
                <o:lock v:ext="edit" aspectratio="f"/>
              </v:rect>
            </w:pict>
          </mc:Fallback>
        </mc:AlternateContent>
      </w:r>
    </w:p>
    <w:p w14:paraId="2F481F1B">
      <w:pPr>
        <w:pStyle w:val="4"/>
        <w:bidi w:val="0"/>
        <w:jc w:val="center"/>
        <w:rPr>
          <w:rFonts w:hint="eastAsia" w:ascii="Times New Roman" w:hAnsi="Times New Roman" w:eastAsia="宋体" w:cs="Times New Roman"/>
          <w:color w:val="auto"/>
          <w:sz w:val="24"/>
          <w:szCs w:val="24"/>
          <w:lang w:val="en-US" w:eastAsia="zh-CN"/>
        </w:rPr>
        <w:sectPr>
          <w:pgSz w:w="16840" w:h="11907" w:orient="landscape"/>
          <w:pgMar w:top="1418" w:right="1418" w:bottom="1418" w:left="1418" w:header="851" w:footer="851" w:gutter="0"/>
          <w:pgBorders>
            <w:top w:val="none" w:sz="0" w:space="0"/>
            <w:left w:val="none" w:sz="0" w:space="0"/>
            <w:bottom w:val="none" w:sz="0" w:space="0"/>
            <w:right w:val="none" w:sz="0" w:space="0"/>
          </w:pgBorders>
          <w:cols w:space="720" w:num="1"/>
          <w:docGrid w:linePitch="312" w:charSpace="0"/>
        </w:sectPr>
      </w:pPr>
      <w:r>
        <w:rPr>
          <w:rFonts w:hint="eastAsia" w:ascii="Times New Roman" w:hAnsi="Times New Roman" w:eastAsia="宋体" w:cs="Times New Roman"/>
          <w:color w:val="auto"/>
          <w:sz w:val="24"/>
          <w:szCs w:val="24"/>
          <w:lang w:val="en-US" w:eastAsia="zh-CN"/>
        </w:rPr>
        <w:t>附图8  分区防渗图</w:t>
      </w:r>
    </w:p>
    <w:p w14:paraId="60BB0475">
      <w:pPr>
        <w:rPr>
          <w:rFonts w:hint="eastAsia"/>
          <w:color w:val="auto"/>
          <w:lang w:val="en-US" w:eastAsia="zh-CN"/>
        </w:rPr>
      </w:pPr>
    </w:p>
    <w:sectPr>
      <w:pgSz w:w="16840" w:h="11907" w:orient="landscape"/>
      <w:pgMar w:top="1418" w:right="1418" w:bottom="1418" w:left="1418" w:header="851" w:footer="851" w:gutter="0"/>
      <w:pgBorders>
        <w:top w:val="none" w:sz="0" w:space="0"/>
        <w:left w:val="none" w:sz="0" w:space="0"/>
        <w:bottom w:val="none" w:sz="0" w:space="0"/>
        <w:right w:val="none" w:sz="0" w:space="0"/>
      </w:pgBorders>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34"/>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华文隶书">
    <w:altName w:val="微软雅黑"/>
    <w:panose1 w:val="02010800040101010101"/>
    <w:charset w:val="86"/>
    <w:family w:val="auto"/>
    <w:pitch w:val="default"/>
    <w:sig w:usb0="00000000" w:usb1="00000000" w:usb2="00000000" w:usb3="00000000" w:csb0="00040000" w:csb1="00000000"/>
  </w:font>
  <w:font w:name="微软雅黑">
    <w:panose1 w:val="020B0503020204020204"/>
    <w:charset w:val="86"/>
    <w:family w:val="swiss"/>
    <w:pitch w:val="default"/>
    <w:sig w:usb0="80000287" w:usb1="2ACF3C50" w:usb2="00000016" w:usb3="00000000" w:csb0="0004001F" w:csb1="00000000"/>
  </w:font>
  <w:font w:name="Cambria">
    <w:panose1 w:val="02040503050406030204"/>
    <w:charset w:val="00"/>
    <w:family w:val="roman"/>
    <w:pitch w:val="default"/>
    <w:sig w:usb0="E00006FF" w:usb1="420024FF" w:usb2="02000000" w:usb3="00000000" w:csb0="2000019F" w:csb1="00000000"/>
  </w:font>
  <w:font w:name="华文行楷">
    <w:altName w:val="微软雅黑"/>
    <w:panose1 w:val="02010800040101010101"/>
    <w:charset w:val="86"/>
    <w:family w:val="auto"/>
    <w:pitch w:val="default"/>
    <w:sig w:usb0="00000000" w:usb1="00000000" w:usb2="00000000" w:usb3="00000000" w:csb0="00040000" w:csb1="0000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等线 Light">
    <w:panose1 w:val="02010600030101010101"/>
    <w:charset w:val="86"/>
    <w:family w:val="auto"/>
    <w:pitch w:val="default"/>
    <w:sig w:usb0="A00002BF" w:usb1="38CF7CFA" w:usb2="00000016" w:usb3="00000000" w:csb0="0004000F" w:csb1="00000000"/>
  </w:font>
  <w:font w:name="方正仿宋_GBK">
    <w:altName w:val="微软雅黑"/>
    <w:panose1 w:val="00000000000000000000"/>
    <w:charset w:val="86"/>
    <w:family w:val="script"/>
    <w:pitch w:val="default"/>
    <w:sig w:usb0="00000000" w:usb1="00000000" w:usb2="00000010" w:usb3="00000000" w:csb0="00040000" w:csb1="00000000"/>
  </w:font>
  <w:font w:name="Arial Unicode MS">
    <w:altName w:val="宋体"/>
    <w:panose1 w:val="020B0604020202020204"/>
    <w:charset w:val="86"/>
    <w:family w:val="auto"/>
    <w:pitch w:val="default"/>
    <w:sig w:usb0="00000000" w:usb1="00000000" w:usb2="0000003F" w:usb3="00000000" w:csb0="603F01FF" w:csb1="FFFF0000"/>
  </w:font>
  <w:font w:name="华文中宋">
    <w:altName w:val="宋体"/>
    <w:panose1 w:val="02010600040101010101"/>
    <w:charset w:val="86"/>
    <w:family w:val="auto"/>
    <w:pitch w:val="default"/>
    <w:sig w:usb0="00000000" w:usb1="00000000" w:usb2="00000000" w:usb3="00000000" w:csb0="0004009F" w:csb1="DFD7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modern"/>
    <w:pitch w:val="default"/>
    <w:sig w:usb0="800002BF" w:usb1="38CF7CFA" w:usb2="00000016" w:usb3="00000000" w:csb0="00040001" w:csb1="00000000"/>
  </w:font>
  <w:font w:name="方正小标宋_GBK">
    <w:altName w:val="微软雅黑"/>
    <w:panose1 w:val="03000509000000000000"/>
    <w:charset w:val="86"/>
    <w:family w:val="script"/>
    <w:pitch w:val="default"/>
    <w:sig w:usb0="00000000" w:usb1="00000000" w:usb2="00000000" w:usb3="00000000" w:csb0="00040000" w:csb1="00000000"/>
  </w:font>
  <w:font w:name="Wingdings 2">
    <w:altName w:val="Wingdings"/>
    <w:panose1 w:val="05020102010507070707"/>
    <w:charset w:val="02"/>
    <w:family w:val="roman"/>
    <w:pitch w:val="default"/>
    <w:sig w:usb0="00000000" w:usb1="00000000" w:usb2="00000000" w:usb3="00000000" w:csb0="80000000" w:csb1="00000000"/>
  </w:font>
  <w:font w:name="Segoe UI Emoji">
    <w:panose1 w:val="020B0502040204020203"/>
    <w:charset w:val="00"/>
    <w:family w:val="swiss"/>
    <w:pitch w:val="default"/>
    <w:sig w:usb0="00000001" w:usb1="02000000" w:usb2="00000000" w:usb3="00000000" w:csb0="00000001" w:csb1="00000000"/>
  </w:font>
  <w:font w:name="新宋体">
    <w:panose1 w:val="02010609030101010101"/>
    <w:charset w:val="86"/>
    <w:family w:val="modern"/>
    <w:pitch w:val="default"/>
    <w:sig w:usb0="00000283" w:usb1="288F0000" w:usb2="00000006" w:usb3="00000000" w:csb0="00040001" w:csb1="00000000"/>
  </w:font>
  <w:font w:name="Kingsoft UE">
    <w:altName w:val="ESRI AMFM Electric"/>
    <w:panose1 w:val="00000000000000000000"/>
    <w:charset w:val="00"/>
    <w:family w:val="auto"/>
    <w:pitch w:val="default"/>
    <w:sig w:usb0="00000000" w:usb1="00000000" w:usb2="00000000" w:usb3="00000000" w:csb0="00000000" w:csb1="00000000"/>
  </w:font>
  <w:font w:name="ESRI AMFM Electric">
    <w:panose1 w:val="02000400000000000000"/>
    <w:charset w:val="00"/>
    <w:family w:val="auto"/>
    <w:pitch w:val="default"/>
    <w:sig w:usb0="00000003" w:usb1="00000000" w:usb2="00000000" w:usb3="00000000" w:csb0="00000001"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2C3DEF1">
    <w:pPr>
      <w:pStyle w:val="19"/>
      <w:ind w:right="360" w:firstLine="360"/>
      <w:jc w:val="cen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CC2731">
    <w:pPr>
      <w:pStyle w:val="19"/>
      <w:ind w:firstLine="4500" w:firstLineChars="2500"/>
      <w:rPr>
        <w:rFonts w:hint="eastAsia"/>
      </w:rPr>
    </w:pPr>
  </w:p>
  <w:p w14:paraId="6F3BFEA3">
    <w:pPr>
      <w:pStyle w:val="19"/>
      <w:rPr>
        <w:rFonts w:hint="eastAsia"/>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8288DA">
    <w:pPr>
      <w:pStyle w:val="19"/>
      <w:framePr w:wrap="around" w:vAnchor="text" w:hAnchor="margin" w:xAlign="center" w:y="1"/>
      <w:rPr>
        <w:rStyle w:val="33"/>
      </w:rPr>
    </w:pPr>
    <w:r>
      <w:fldChar w:fldCharType="begin"/>
    </w:r>
    <w:r>
      <w:rPr>
        <w:rStyle w:val="33"/>
      </w:rPr>
      <w:instrText xml:space="preserve">PAGE  </w:instrText>
    </w:r>
    <w:r>
      <w:fldChar w:fldCharType="separate"/>
    </w:r>
    <w:r>
      <w:rPr>
        <w:rStyle w:val="33"/>
      </w:rPr>
      <w:t>61</w:t>
    </w:r>
    <w:r>
      <w:fldChar w:fldCharType="end"/>
    </w:r>
  </w:p>
  <w:p w14:paraId="03EB0787">
    <w:pPr>
      <w:pStyle w:val="19"/>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76E9E3">
    <w:pPr>
      <w:pStyle w:val="19"/>
      <w:jc w:val="center"/>
    </w:pPr>
    <w:r>
      <w:rPr>
        <w:sz w:val="21"/>
        <w:szCs w:val="21"/>
      </w:rPr>
      <w:fldChar w:fldCharType="begin"/>
    </w:r>
    <w:r>
      <w:rPr>
        <w:sz w:val="21"/>
        <w:szCs w:val="21"/>
      </w:rPr>
      <w:instrText xml:space="preserve">PAGE   \* MERGEFORMAT</w:instrText>
    </w:r>
    <w:r>
      <w:rPr>
        <w:sz w:val="21"/>
        <w:szCs w:val="21"/>
      </w:rPr>
      <w:fldChar w:fldCharType="separate"/>
    </w:r>
    <w:r>
      <w:rPr>
        <w:sz w:val="21"/>
        <w:szCs w:val="21"/>
        <w:lang w:val="zh-CN"/>
      </w:rPr>
      <w:t>65</w:t>
    </w:r>
    <w:r>
      <w:rPr>
        <w:sz w:val="21"/>
        <w:szCs w:val="21"/>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1AD9638">
    <w:pPr>
      <w:pStyle w:val="19"/>
      <w:jc w:val="center"/>
    </w:pPr>
    <w:r>
      <w:fldChar w:fldCharType="begin"/>
    </w:r>
    <w:r>
      <w:instrText xml:space="preserve">PAGE   \* MERGEFORMAT</w:instrText>
    </w:r>
    <w:r>
      <w:fldChar w:fldCharType="separate"/>
    </w:r>
    <w:r>
      <w:rPr>
        <w:lang w:val="zh-CN"/>
      </w:rPr>
      <w:t>66</w:t>
    </w:r>
    <w:r>
      <w:fldChar w:fldCharType="end"/>
    </w:r>
  </w:p>
  <w:p w14:paraId="567634CB">
    <w:pPr>
      <w:pStyle w:val="19"/>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62BF166">
    <w:pPr>
      <w:pStyle w:val="19"/>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A3737D7">
    <w:pPr>
      <w:pStyle w:val="19"/>
      <w:ind w:firstLine="4500" w:firstLineChars="2500"/>
      <w:rPr>
        <w:rFonts w:hint="eastAsia"/>
      </w:rP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50" name="文本框 3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1CEEE423">
                          <w:pPr>
                            <w:pStyle w:val="19"/>
                          </w:pPr>
                          <w:r>
                            <w:fldChar w:fldCharType="begin"/>
                          </w:r>
                          <w:r>
                            <w:instrText xml:space="preserve"> PAGE  \* MERGEFORMAT </w:instrText>
                          </w:r>
                          <w:r>
                            <w:fldChar w:fldCharType="separate"/>
                          </w:r>
                          <w:r>
                            <w:t>47</w:t>
                          </w:r>
                          <w:r>
                            <w:fldChar w:fldCharType="end"/>
                          </w:r>
                        </w:p>
                      </w:txbxContent>
                    </wps:txbx>
                    <wps:bodyPr wrap="none" lIns="0" tIns="0" rIns="0" bIns="0" upright="0">
                      <a:spAutoFit/>
                    </wps:bodyPr>
                  </wps:wsp>
                </a:graphicData>
              </a:graphic>
            </wp:anchor>
          </w:drawing>
        </mc:Choice>
        <mc:Fallback>
          <w:pict>
            <v:shape id="文本框 33"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zql5uc8AAAAFAQAADwAAAAAAAAABACAAAAAiAAAAZHJzL2Rvd25y&#10;ZXYueG1sUEsBAhQAFAAAAAgAh07iQNsK01zOAQAAqQMAAA4AAAAAAAAAAQAgAAAAHgEAAGRycy9l&#10;Mm9Eb2MueG1sUEsFBgAAAAAGAAYAWQEAAF4FAAAAAA==&#10;">
              <v:fill on="f" focussize="0,0"/>
              <v:stroke on="f"/>
              <v:imagedata o:title=""/>
              <o:lock v:ext="edit" aspectratio="f"/>
              <v:textbox inset="0mm,0mm,0mm,0mm" style="mso-fit-shape-to-text:t;">
                <w:txbxContent>
                  <w:p w14:paraId="1CEEE423">
                    <w:pPr>
                      <w:pStyle w:val="19"/>
                    </w:pPr>
                    <w:r>
                      <w:fldChar w:fldCharType="begin"/>
                    </w:r>
                    <w:r>
                      <w:instrText xml:space="preserve"> PAGE  \* MERGEFORMAT </w:instrText>
                    </w:r>
                    <w:r>
                      <w:fldChar w:fldCharType="separate"/>
                    </w:r>
                    <w:r>
                      <w:t>47</w:t>
                    </w:r>
                    <w:r>
                      <w:fldChar w:fldCharType="end"/>
                    </w:r>
                  </w:p>
                </w:txbxContent>
              </v:textbox>
            </v:shape>
          </w:pict>
        </mc:Fallback>
      </mc:AlternateContent>
    </w:r>
  </w:p>
  <w:p w14:paraId="4204CFE7">
    <w:pPr>
      <w:pStyle w:val="19"/>
      <w:rPr>
        <w:rFonts w:hint="eastAsia"/>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049CE6E">
    <w:pPr>
      <w:pStyle w:val="19"/>
      <w:ind w:firstLine="4500" w:firstLineChars="2500"/>
      <w:rPr>
        <w:rFonts w:hint="eastAsia"/>
      </w:rPr>
    </w:pPr>
  </w:p>
  <w:p w14:paraId="1EC044D9">
    <w:pPr>
      <w:pStyle w:val="19"/>
      <w:rPr>
        <w:rFonts w:hint="eastAsia"/>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742EDB1">
    <w:pPr>
      <w:pStyle w:val="19"/>
      <w:ind w:firstLine="4500" w:firstLineChars="2500"/>
      <w:rPr>
        <w:rFonts w:hint="eastAsia"/>
      </w:rPr>
    </w:pPr>
  </w:p>
  <w:p w14:paraId="51EB7747">
    <w:pPr>
      <w:pStyle w:val="19"/>
      <w:rPr>
        <w:rFonts w:hint="eastAsia"/>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65EBAE">
    <w:pPr>
      <w:pStyle w:val="19"/>
      <w:ind w:firstLine="4500" w:firstLineChars="2500"/>
      <w:rPr>
        <w:rFonts w:hint="eastAsia"/>
      </w:rPr>
    </w:pPr>
  </w:p>
  <w:p w14:paraId="76F9A23E">
    <w:pPr>
      <w:pStyle w:val="19"/>
      <w:rPr>
        <w:rFonts w:hint="eastAsia"/>
      </w:rP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2AE54CD5"/>
    <w:multiLevelType w:val="multilevel"/>
    <w:tmpl w:val="2AE54CD5"/>
    <w:lvl w:ilvl="0" w:tentative="0">
      <w:start w:val="1"/>
      <w:numFmt w:val="decimal"/>
      <w:suff w:val="nothing"/>
      <w:lvlText w:val="%1"/>
      <w:lvlJc w:val="center"/>
      <w:pPr>
        <w:ind w:left="0" w:firstLine="0"/>
      </w:pPr>
      <w:rPr>
        <w:rFonts w:hint="default" w:ascii="Times New Roman" w:hAnsi="Times New Roman" w:eastAsia="新宋体"/>
        <w:b w:val="0"/>
        <w:i w:val="0"/>
        <w:caps w:val="0"/>
        <w:strike w:val="0"/>
        <w:dstrike w:val="0"/>
        <w:vanish w:val="0"/>
        <w:sz w:val="21"/>
        <w:vertAlign w:val="baseline"/>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
    <w:nsid w:val="3AF28C7E"/>
    <w:multiLevelType w:val="multilevel"/>
    <w:tmpl w:val="3AF28C7E"/>
    <w:lvl w:ilvl="0" w:tentative="0">
      <w:start w:val="1"/>
      <w:numFmt w:val="decimal"/>
      <w:suff w:val="nothing"/>
      <w:lvlText w:val="第%1章 "/>
      <w:lvlJc w:val="center"/>
      <w:pPr>
        <w:tabs>
          <w:tab w:val="left" w:pos="420"/>
        </w:tabs>
        <w:ind w:left="425" w:hanging="425"/>
      </w:pPr>
      <w:rPr>
        <w:rFonts w:hint="default" w:ascii="Times New Roman" w:hAnsi="Times New Roman" w:eastAsia="华文隶书" w:cs="宋体"/>
        <w:b/>
        <w:sz w:val="36"/>
      </w:rPr>
    </w:lvl>
    <w:lvl w:ilvl="1" w:tentative="0">
      <w:start w:val="1"/>
      <w:numFmt w:val="decimal"/>
      <w:isLgl/>
      <w:suff w:val="space"/>
      <w:lvlText w:val="%1.%2"/>
      <w:lvlJc w:val="left"/>
      <w:pPr>
        <w:tabs>
          <w:tab w:val="left" w:pos="420"/>
        </w:tabs>
        <w:ind w:left="567" w:hanging="567"/>
      </w:pPr>
      <w:rPr>
        <w:rFonts w:hint="default" w:ascii="Times New Roman" w:hAnsi="Times New Roman" w:eastAsia="黑体" w:cs="宋体"/>
        <w:b/>
        <w:sz w:val="32"/>
      </w:rPr>
    </w:lvl>
    <w:lvl w:ilvl="2" w:tentative="0">
      <w:start w:val="1"/>
      <w:numFmt w:val="decimal"/>
      <w:pStyle w:val="6"/>
      <w:isLgl/>
      <w:suff w:val="space"/>
      <w:lvlText w:val="%1.%2.%3"/>
      <w:lvlJc w:val="left"/>
      <w:pPr>
        <w:tabs>
          <w:tab w:val="left" w:pos="0"/>
        </w:tabs>
        <w:ind w:left="709" w:hanging="709"/>
      </w:pPr>
      <w:rPr>
        <w:rFonts w:hint="default" w:ascii="Times New Roman" w:hAnsi="Times New Roman" w:eastAsia="宋体" w:cs="宋体"/>
        <w:b w:val="0"/>
        <w:sz w:val="30"/>
      </w:rPr>
    </w:lvl>
    <w:lvl w:ilvl="3" w:tentative="0">
      <w:start w:val="1"/>
      <w:numFmt w:val="decimal"/>
      <w:pStyle w:val="7"/>
      <w:isLgl/>
      <w:suff w:val="space"/>
      <w:lvlText w:val="%1.%2.%3.%4"/>
      <w:lvlJc w:val="left"/>
      <w:pPr>
        <w:tabs>
          <w:tab w:val="left" w:pos="0"/>
        </w:tabs>
        <w:ind w:left="850" w:hanging="850"/>
      </w:pPr>
      <w:rPr>
        <w:rFonts w:hint="default" w:ascii="Times New Roman" w:hAnsi="Times New Roman" w:eastAsia="宋体" w:cs="宋体"/>
        <w:b w:val="0"/>
        <w:sz w:val="24"/>
      </w:rPr>
    </w:lvl>
    <w:lvl w:ilvl="4" w:tentative="0">
      <w:start w:val="1"/>
      <w:numFmt w:val="decimal"/>
      <w:isLgl/>
      <w:lvlText w:val="%1.%2.%3.%4.%5."/>
      <w:lvlJc w:val="left"/>
      <w:pPr>
        <w:ind w:left="991" w:hanging="991"/>
      </w:pPr>
      <w:rPr>
        <w:rFonts w:hint="eastAsia"/>
      </w:rPr>
    </w:lvl>
    <w:lvl w:ilvl="5" w:tentative="0">
      <w:start w:val="1"/>
      <w:numFmt w:val="decimal"/>
      <w:isLgl/>
      <w:lvlText w:val="%1.%2.%3.%4.%5.%6."/>
      <w:lvlJc w:val="left"/>
      <w:pPr>
        <w:ind w:left="1134" w:hanging="1134"/>
      </w:pPr>
      <w:rPr>
        <w:rFonts w:hint="eastAsia"/>
      </w:rPr>
    </w:lvl>
    <w:lvl w:ilvl="6" w:tentative="0">
      <w:start w:val="1"/>
      <w:numFmt w:val="decimal"/>
      <w:isLgl/>
      <w:lvlText w:val="%1.%2.%3.%4.%5.%6.%7."/>
      <w:lvlJc w:val="left"/>
      <w:pPr>
        <w:ind w:left="1275" w:hanging="1275"/>
      </w:pPr>
      <w:rPr>
        <w:rFonts w:hint="eastAsia"/>
      </w:rPr>
    </w:lvl>
    <w:lvl w:ilvl="7" w:tentative="0">
      <w:start w:val="1"/>
      <w:numFmt w:val="decimal"/>
      <w:isLgl/>
      <w:lvlText w:val="%1.%2.%3.%4.%5.%6.%7.%8."/>
      <w:lvlJc w:val="left"/>
      <w:pPr>
        <w:ind w:left="1418" w:hanging="1418"/>
      </w:pPr>
      <w:rPr>
        <w:rFonts w:hint="eastAsia"/>
      </w:rPr>
    </w:lvl>
    <w:lvl w:ilvl="8" w:tentative="0">
      <w:start w:val="1"/>
      <w:numFmt w:val="decimal"/>
      <w:isLgl/>
      <w:lvlText w:val="%1.%2.%3.%4.%5.%6.%7.%8.%9."/>
      <w:lvlJc w:val="left"/>
      <w:pPr>
        <w:ind w:left="1558" w:hanging="1558"/>
      </w:pPr>
      <w:rPr>
        <w:rFonts w:hint="eastAsia"/>
      </w:rPr>
    </w:lvl>
  </w:abstractNum>
  <w:abstractNum w:abstractNumId="2">
    <w:nsid w:val="3BDC3010"/>
    <w:multiLevelType w:val="multilevel"/>
    <w:tmpl w:val="3BDC3010"/>
    <w:lvl w:ilvl="0" w:tentative="0">
      <w:start w:val="1"/>
      <w:numFmt w:val="decimal"/>
      <w:suff w:val="nothing"/>
      <w:lvlText w:val="%1"/>
      <w:lvlJc w:val="center"/>
      <w:pPr>
        <w:ind w:left="0" w:firstLine="0"/>
      </w:pPr>
      <w:rPr>
        <w:rFonts w:hint="default" w:ascii="Times New Roman" w:hAnsi="Times New Roman" w:eastAsia="新宋体"/>
        <w:b w:val="0"/>
        <w:i w:val="0"/>
        <w:caps w:val="0"/>
        <w:strike w:val="0"/>
        <w:dstrike w:val="0"/>
        <w:vanish w:val="0"/>
        <w:sz w:val="18"/>
        <w:szCs w:val="18"/>
        <w:vertAlign w:val="baseline"/>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4BABC709"/>
    <w:multiLevelType w:val="singleLevel"/>
    <w:tmpl w:val="4BABC709"/>
    <w:lvl w:ilvl="0" w:tentative="0">
      <w:start w:val="1"/>
      <w:numFmt w:val="bullet"/>
      <w:pStyle w:val="15"/>
      <w:lvlText w:val=""/>
      <w:lvlJc w:val="left"/>
      <w:pPr>
        <w:tabs>
          <w:tab w:val="left" w:pos="2040"/>
        </w:tabs>
        <w:ind w:left="2040" w:hanging="360"/>
      </w:pPr>
      <w:rPr>
        <w:rFonts w:hint="default" w:ascii="Wingdings" w:hAnsi="Wingdings"/>
      </w:rPr>
    </w:lvl>
  </w:abstractNum>
  <w:abstractNum w:abstractNumId="4">
    <w:nsid w:val="4BF06A97"/>
    <w:multiLevelType w:val="multilevel"/>
    <w:tmpl w:val="4BF06A97"/>
    <w:lvl w:ilvl="0" w:tentative="0">
      <w:start w:val="1"/>
      <w:numFmt w:val="decimal"/>
      <w:suff w:val="nothing"/>
      <w:lvlText w:val="%1"/>
      <w:lvlJc w:val="center"/>
      <w:pPr>
        <w:ind w:left="0" w:firstLine="0"/>
      </w:pPr>
      <w:rPr>
        <w:rFonts w:hint="default" w:ascii="Times New Roman" w:hAnsi="Times New Roman" w:eastAsia="新宋体"/>
        <w:b w:val="0"/>
        <w:i w:val="0"/>
        <w:caps w:val="0"/>
        <w:strike w:val="0"/>
        <w:dstrike w:val="0"/>
        <w:vanish w:val="0"/>
        <w:sz w:val="21"/>
        <w:vertAlign w:val="baseline"/>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1"/>
  </w:num>
  <w:num w:numId="2">
    <w:abstractNumId w:val="3"/>
  </w:num>
  <w:num w:numId="3">
    <w:abstractNumId w:val="0"/>
  </w:num>
  <w:num w:numId="4">
    <w:abstractNumId w:val="2"/>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displayBackgroundShape w:val="1"/>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hyphenationZone w:val="360"/>
  <w:doNotHyphenateCaps/>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hdrShapeDefaults>
    <o:shapelayout v:ext="edit">
      <o:idmap v:ext="edit" data="1"/>
    </o:shapelayout>
  </w:hdrShapeDefaults>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TZmYjkyM2U2OTlhMzViYWU2MTgzZmUwNjVhZGI2MTgifQ=="/>
  </w:docVars>
  <w:rsids>
    <w:rsidRoot w:val="00172A27"/>
    <w:rsid w:val="0000016E"/>
    <w:rsid w:val="00000FBC"/>
    <w:rsid w:val="00001D01"/>
    <w:rsid w:val="000021C9"/>
    <w:rsid w:val="0000286E"/>
    <w:rsid w:val="00004BBE"/>
    <w:rsid w:val="00004DB5"/>
    <w:rsid w:val="00004DFD"/>
    <w:rsid w:val="000050AE"/>
    <w:rsid w:val="000054DC"/>
    <w:rsid w:val="00005CE6"/>
    <w:rsid w:val="000060B3"/>
    <w:rsid w:val="00006696"/>
    <w:rsid w:val="00007530"/>
    <w:rsid w:val="00007576"/>
    <w:rsid w:val="00010739"/>
    <w:rsid w:val="0001101B"/>
    <w:rsid w:val="0001206C"/>
    <w:rsid w:val="000123F7"/>
    <w:rsid w:val="00012433"/>
    <w:rsid w:val="000133F3"/>
    <w:rsid w:val="00013A1A"/>
    <w:rsid w:val="0001410A"/>
    <w:rsid w:val="0001435E"/>
    <w:rsid w:val="00014488"/>
    <w:rsid w:val="00014BCE"/>
    <w:rsid w:val="000151C3"/>
    <w:rsid w:val="000159E5"/>
    <w:rsid w:val="000170CC"/>
    <w:rsid w:val="00017E3E"/>
    <w:rsid w:val="00020B6A"/>
    <w:rsid w:val="00020FBE"/>
    <w:rsid w:val="000215E3"/>
    <w:rsid w:val="0002233C"/>
    <w:rsid w:val="0002250A"/>
    <w:rsid w:val="0002289D"/>
    <w:rsid w:val="00022C11"/>
    <w:rsid w:val="00022CD1"/>
    <w:rsid w:val="00023730"/>
    <w:rsid w:val="00023787"/>
    <w:rsid w:val="00023FF8"/>
    <w:rsid w:val="00025E0E"/>
    <w:rsid w:val="00026413"/>
    <w:rsid w:val="0002648F"/>
    <w:rsid w:val="00027CF9"/>
    <w:rsid w:val="0003142A"/>
    <w:rsid w:val="00031791"/>
    <w:rsid w:val="00033FF3"/>
    <w:rsid w:val="0003462B"/>
    <w:rsid w:val="0003485A"/>
    <w:rsid w:val="0003564E"/>
    <w:rsid w:val="00036614"/>
    <w:rsid w:val="00040197"/>
    <w:rsid w:val="00040986"/>
    <w:rsid w:val="00040D13"/>
    <w:rsid w:val="00041173"/>
    <w:rsid w:val="000426FC"/>
    <w:rsid w:val="00042E00"/>
    <w:rsid w:val="0004364B"/>
    <w:rsid w:val="0004388D"/>
    <w:rsid w:val="00043A79"/>
    <w:rsid w:val="00044011"/>
    <w:rsid w:val="00044DFD"/>
    <w:rsid w:val="0004675B"/>
    <w:rsid w:val="00046A3B"/>
    <w:rsid w:val="00047475"/>
    <w:rsid w:val="000474F0"/>
    <w:rsid w:val="00047CF6"/>
    <w:rsid w:val="00051B95"/>
    <w:rsid w:val="00052CD3"/>
    <w:rsid w:val="000537F3"/>
    <w:rsid w:val="000539AA"/>
    <w:rsid w:val="00053AAD"/>
    <w:rsid w:val="00056A11"/>
    <w:rsid w:val="00057466"/>
    <w:rsid w:val="000607D7"/>
    <w:rsid w:val="00061B1F"/>
    <w:rsid w:val="000624CA"/>
    <w:rsid w:val="0006269C"/>
    <w:rsid w:val="00062C79"/>
    <w:rsid w:val="00062E71"/>
    <w:rsid w:val="00062F9E"/>
    <w:rsid w:val="0006552A"/>
    <w:rsid w:val="000666A7"/>
    <w:rsid w:val="00070912"/>
    <w:rsid w:val="00070943"/>
    <w:rsid w:val="00070982"/>
    <w:rsid w:val="00070DC6"/>
    <w:rsid w:val="0007167C"/>
    <w:rsid w:val="00071CDC"/>
    <w:rsid w:val="00072066"/>
    <w:rsid w:val="000724E2"/>
    <w:rsid w:val="000733C4"/>
    <w:rsid w:val="00073B90"/>
    <w:rsid w:val="00074783"/>
    <w:rsid w:val="00076883"/>
    <w:rsid w:val="0007692D"/>
    <w:rsid w:val="00077062"/>
    <w:rsid w:val="00077B90"/>
    <w:rsid w:val="000806C9"/>
    <w:rsid w:val="0008070B"/>
    <w:rsid w:val="00080CEC"/>
    <w:rsid w:val="000810AC"/>
    <w:rsid w:val="000816DE"/>
    <w:rsid w:val="00081A02"/>
    <w:rsid w:val="00081A78"/>
    <w:rsid w:val="00082231"/>
    <w:rsid w:val="000828DE"/>
    <w:rsid w:val="00082FBD"/>
    <w:rsid w:val="00083616"/>
    <w:rsid w:val="00084506"/>
    <w:rsid w:val="00084BCC"/>
    <w:rsid w:val="000852FF"/>
    <w:rsid w:val="0008715E"/>
    <w:rsid w:val="0008765D"/>
    <w:rsid w:val="000879B4"/>
    <w:rsid w:val="00091A82"/>
    <w:rsid w:val="00091BAD"/>
    <w:rsid w:val="00092D03"/>
    <w:rsid w:val="00092D38"/>
    <w:rsid w:val="0009377B"/>
    <w:rsid w:val="00093AD2"/>
    <w:rsid w:val="00093EDA"/>
    <w:rsid w:val="000945FB"/>
    <w:rsid w:val="0009476D"/>
    <w:rsid w:val="00095181"/>
    <w:rsid w:val="00095431"/>
    <w:rsid w:val="000955DD"/>
    <w:rsid w:val="0009637C"/>
    <w:rsid w:val="00096E3E"/>
    <w:rsid w:val="00097681"/>
    <w:rsid w:val="000978DA"/>
    <w:rsid w:val="000A071E"/>
    <w:rsid w:val="000A07BF"/>
    <w:rsid w:val="000A10AB"/>
    <w:rsid w:val="000A20C9"/>
    <w:rsid w:val="000A2B1F"/>
    <w:rsid w:val="000A2D8C"/>
    <w:rsid w:val="000A3FE9"/>
    <w:rsid w:val="000A44F2"/>
    <w:rsid w:val="000A58FE"/>
    <w:rsid w:val="000A694B"/>
    <w:rsid w:val="000A6AF9"/>
    <w:rsid w:val="000B058F"/>
    <w:rsid w:val="000B10BE"/>
    <w:rsid w:val="000B12C3"/>
    <w:rsid w:val="000B1DBB"/>
    <w:rsid w:val="000B2266"/>
    <w:rsid w:val="000B2665"/>
    <w:rsid w:val="000B28BC"/>
    <w:rsid w:val="000B2BE7"/>
    <w:rsid w:val="000B3673"/>
    <w:rsid w:val="000B36A4"/>
    <w:rsid w:val="000B3AA4"/>
    <w:rsid w:val="000B3DB2"/>
    <w:rsid w:val="000B4467"/>
    <w:rsid w:val="000B4BA2"/>
    <w:rsid w:val="000B4C79"/>
    <w:rsid w:val="000B4DB9"/>
    <w:rsid w:val="000B4E28"/>
    <w:rsid w:val="000B51F8"/>
    <w:rsid w:val="000B667E"/>
    <w:rsid w:val="000B6725"/>
    <w:rsid w:val="000B6DFA"/>
    <w:rsid w:val="000B7A65"/>
    <w:rsid w:val="000C00F9"/>
    <w:rsid w:val="000C09AC"/>
    <w:rsid w:val="000C0FC4"/>
    <w:rsid w:val="000C166B"/>
    <w:rsid w:val="000C3572"/>
    <w:rsid w:val="000C487D"/>
    <w:rsid w:val="000C554B"/>
    <w:rsid w:val="000C5726"/>
    <w:rsid w:val="000C5A24"/>
    <w:rsid w:val="000C5AC1"/>
    <w:rsid w:val="000C74D3"/>
    <w:rsid w:val="000C767F"/>
    <w:rsid w:val="000C7CA8"/>
    <w:rsid w:val="000D07DF"/>
    <w:rsid w:val="000D099C"/>
    <w:rsid w:val="000D17EB"/>
    <w:rsid w:val="000D1B73"/>
    <w:rsid w:val="000D1D42"/>
    <w:rsid w:val="000D280A"/>
    <w:rsid w:val="000D4756"/>
    <w:rsid w:val="000D4D65"/>
    <w:rsid w:val="000D4D92"/>
    <w:rsid w:val="000D5A44"/>
    <w:rsid w:val="000E0DB5"/>
    <w:rsid w:val="000E2BBF"/>
    <w:rsid w:val="000E2FDA"/>
    <w:rsid w:val="000E372D"/>
    <w:rsid w:val="000E3A14"/>
    <w:rsid w:val="000E3ED2"/>
    <w:rsid w:val="000E5915"/>
    <w:rsid w:val="000E77BC"/>
    <w:rsid w:val="000F0FF4"/>
    <w:rsid w:val="000F120B"/>
    <w:rsid w:val="000F17EA"/>
    <w:rsid w:val="000F193F"/>
    <w:rsid w:val="000F2055"/>
    <w:rsid w:val="000F2927"/>
    <w:rsid w:val="000F3929"/>
    <w:rsid w:val="000F5733"/>
    <w:rsid w:val="000F5E5E"/>
    <w:rsid w:val="000F5E98"/>
    <w:rsid w:val="000F6D8C"/>
    <w:rsid w:val="000F7687"/>
    <w:rsid w:val="000F77A1"/>
    <w:rsid w:val="000F7BD0"/>
    <w:rsid w:val="001003A2"/>
    <w:rsid w:val="00100E18"/>
    <w:rsid w:val="00101142"/>
    <w:rsid w:val="001022A3"/>
    <w:rsid w:val="00102EFE"/>
    <w:rsid w:val="00102FB7"/>
    <w:rsid w:val="001031CE"/>
    <w:rsid w:val="001043D9"/>
    <w:rsid w:val="00104451"/>
    <w:rsid w:val="00104732"/>
    <w:rsid w:val="0010522D"/>
    <w:rsid w:val="001054B0"/>
    <w:rsid w:val="00106A77"/>
    <w:rsid w:val="00106B55"/>
    <w:rsid w:val="00106D89"/>
    <w:rsid w:val="00107656"/>
    <w:rsid w:val="001076F4"/>
    <w:rsid w:val="00107D3A"/>
    <w:rsid w:val="001100E2"/>
    <w:rsid w:val="00111068"/>
    <w:rsid w:val="00111345"/>
    <w:rsid w:val="0011135F"/>
    <w:rsid w:val="00111BCA"/>
    <w:rsid w:val="00112B6C"/>
    <w:rsid w:val="00112EF6"/>
    <w:rsid w:val="00115969"/>
    <w:rsid w:val="0011648A"/>
    <w:rsid w:val="00116696"/>
    <w:rsid w:val="00117A96"/>
    <w:rsid w:val="00120ED0"/>
    <w:rsid w:val="001214EF"/>
    <w:rsid w:val="0012159B"/>
    <w:rsid w:val="001217EF"/>
    <w:rsid w:val="0012237B"/>
    <w:rsid w:val="00123A9A"/>
    <w:rsid w:val="001246C3"/>
    <w:rsid w:val="001259ED"/>
    <w:rsid w:val="00125EFC"/>
    <w:rsid w:val="0012691F"/>
    <w:rsid w:val="00126D77"/>
    <w:rsid w:val="00127829"/>
    <w:rsid w:val="00127B2E"/>
    <w:rsid w:val="00127BB6"/>
    <w:rsid w:val="00130141"/>
    <w:rsid w:val="00130A15"/>
    <w:rsid w:val="00131F42"/>
    <w:rsid w:val="00132858"/>
    <w:rsid w:val="00132AA3"/>
    <w:rsid w:val="00133D97"/>
    <w:rsid w:val="001345FB"/>
    <w:rsid w:val="0013568D"/>
    <w:rsid w:val="001356D7"/>
    <w:rsid w:val="001357F1"/>
    <w:rsid w:val="00135B8E"/>
    <w:rsid w:val="00135FC6"/>
    <w:rsid w:val="00136CFF"/>
    <w:rsid w:val="00136D29"/>
    <w:rsid w:val="0014046F"/>
    <w:rsid w:val="00140FA8"/>
    <w:rsid w:val="00141DF0"/>
    <w:rsid w:val="00141EC2"/>
    <w:rsid w:val="001425D4"/>
    <w:rsid w:val="001429D5"/>
    <w:rsid w:val="00142A14"/>
    <w:rsid w:val="00142A31"/>
    <w:rsid w:val="00142FEB"/>
    <w:rsid w:val="001436D9"/>
    <w:rsid w:val="00143A2D"/>
    <w:rsid w:val="00144D76"/>
    <w:rsid w:val="00145427"/>
    <w:rsid w:val="001454E8"/>
    <w:rsid w:val="00145942"/>
    <w:rsid w:val="00145A41"/>
    <w:rsid w:val="00145C76"/>
    <w:rsid w:val="00147273"/>
    <w:rsid w:val="001473C5"/>
    <w:rsid w:val="00150A8D"/>
    <w:rsid w:val="00151675"/>
    <w:rsid w:val="00151D93"/>
    <w:rsid w:val="001526D2"/>
    <w:rsid w:val="00152B39"/>
    <w:rsid w:val="00154221"/>
    <w:rsid w:val="001552AE"/>
    <w:rsid w:val="001568FF"/>
    <w:rsid w:val="00156AC3"/>
    <w:rsid w:val="0015715B"/>
    <w:rsid w:val="001573E6"/>
    <w:rsid w:val="00157435"/>
    <w:rsid w:val="00157F7C"/>
    <w:rsid w:val="0016025C"/>
    <w:rsid w:val="00160BDF"/>
    <w:rsid w:val="00160C62"/>
    <w:rsid w:val="00161787"/>
    <w:rsid w:val="001617FF"/>
    <w:rsid w:val="00161AC7"/>
    <w:rsid w:val="00161D4D"/>
    <w:rsid w:val="00162D15"/>
    <w:rsid w:val="001635D0"/>
    <w:rsid w:val="00163C88"/>
    <w:rsid w:val="001640D5"/>
    <w:rsid w:val="0016551B"/>
    <w:rsid w:val="00165745"/>
    <w:rsid w:val="00165849"/>
    <w:rsid w:val="00165F5B"/>
    <w:rsid w:val="00166344"/>
    <w:rsid w:val="001663DC"/>
    <w:rsid w:val="00170765"/>
    <w:rsid w:val="001713E8"/>
    <w:rsid w:val="001736A6"/>
    <w:rsid w:val="00173AD9"/>
    <w:rsid w:val="00173D7A"/>
    <w:rsid w:val="001740EC"/>
    <w:rsid w:val="00174B6D"/>
    <w:rsid w:val="0017504D"/>
    <w:rsid w:val="0017671A"/>
    <w:rsid w:val="00177422"/>
    <w:rsid w:val="00181A7F"/>
    <w:rsid w:val="00181F24"/>
    <w:rsid w:val="00182221"/>
    <w:rsid w:val="00182944"/>
    <w:rsid w:val="001843B5"/>
    <w:rsid w:val="00184590"/>
    <w:rsid w:val="00184707"/>
    <w:rsid w:val="001858BB"/>
    <w:rsid w:val="001858C6"/>
    <w:rsid w:val="001870D1"/>
    <w:rsid w:val="0018714C"/>
    <w:rsid w:val="0018781E"/>
    <w:rsid w:val="00187DED"/>
    <w:rsid w:val="0019050D"/>
    <w:rsid w:val="00190C80"/>
    <w:rsid w:val="0019217C"/>
    <w:rsid w:val="0019262D"/>
    <w:rsid w:val="00192755"/>
    <w:rsid w:val="00192E0A"/>
    <w:rsid w:val="0019400C"/>
    <w:rsid w:val="00194CA6"/>
    <w:rsid w:val="001950FC"/>
    <w:rsid w:val="00196D48"/>
    <w:rsid w:val="001A0148"/>
    <w:rsid w:val="001A015C"/>
    <w:rsid w:val="001A0CB6"/>
    <w:rsid w:val="001A0DE6"/>
    <w:rsid w:val="001A1483"/>
    <w:rsid w:val="001A155A"/>
    <w:rsid w:val="001A17B7"/>
    <w:rsid w:val="001A1AB0"/>
    <w:rsid w:val="001A1B35"/>
    <w:rsid w:val="001A1BB5"/>
    <w:rsid w:val="001A204C"/>
    <w:rsid w:val="001A2C29"/>
    <w:rsid w:val="001A308F"/>
    <w:rsid w:val="001A313E"/>
    <w:rsid w:val="001A44F7"/>
    <w:rsid w:val="001A48A2"/>
    <w:rsid w:val="001A4AE9"/>
    <w:rsid w:val="001A5033"/>
    <w:rsid w:val="001A5841"/>
    <w:rsid w:val="001A65E0"/>
    <w:rsid w:val="001A672C"/>
    <w:rsid w:val="001A6F61"/>
    <w:rsid w:val="001A7454"/>
    <w:rsid w:val="001A7B48"/>
    <w:rsid w:val="001B0159"/>
    <w:rsid w:val="001B0A78"/>
    <w:rsid w:val="001B1124"/>
    <w:rsid w:val="001B16EB"/>
    <w:rsid w:val="001B24F8"/>
    <w:rsid w:val="001B2833"/>
    <w:rsid w:val="001B2CC5"/>
    <w:rsid w:val="001B2D42"/>
    <w:rsid w:val="001B324A"/>
    <w:rsid w:val="001B325B"/>
    <w:rsid w:val="001B3C75"/>
    <w:rsid w:val="001B41E8"/>
    <w:rsid w:val="001B5084"/>
    <w:rsid w:val="001B6E65"/>
    <w:rsid w:val="001B72B8"/>
    <w:rsid w:val="001B7755"/>
    <w:rsid w:val="001C0AF9"/>
    <w:rsid w:val="001C16DA"/>
    <w:rsid w:val="001C1D2B"/>
    <w:rsid w:val="001C20E6"/>
    <w:rsid w:val="001C2406"/>
    <w:rsid w:val="001C3700"/>
    <w:rsid w:val="001C4122"/>
    <w:rsid w:val="001C51ED"/>
    <w:rsid w:val="001C69B3"/>
    <w:rsid w:val="001C735D"/>
    <w:rsid w:val="001C7CD7"/>
    <w:rsid w:val="001C7DD8"/>
    <w:rsid w:val="001D05D5"/>
    <w:rsid w:val="001D0B3B"/>
    <w:rsid w:val="001D0C74"/>
    <w:rsid w:val="001D1374"/>
    <w:rsid w:val="001D264B"/>
    <w:rsid w:val="001D2A30"/>
    <w:rsid w:val="001D2CA3"/>
    <w:rsid w:val="001D3519"/>
    <w:rsid w:val="001D5595"/>
    <w:rsid w:val="001D7575"/>
    <w:rsid w:val="001D7874"/>
    <w:rsid w:val="001D7F22"/>
    <w:rsid w:val="001E07C0"/>
    <w:rsid w:val="001E1144"/>
    <w:rsid w:val="001E1D54"/>
    <w:rsid w:val="001E1D87"/>
    <w:rsid w:val="001E35A3"/>
    <w:rsid w:val="001E3AE9"/>
    <w:rsid w:val="001E57A8"/>
    <w:rsid w:val="001E58D1"/>
    <w:rsid w:val="001E67B5"/>
    <w:rsid w:val="001F04C2"/>
    <w:rsid w:val="001F0CED"/>
    <w:rsid w:val="001F0F17"/>
    <w:rsid w:val="001F2EF9"/>
    <w:rsid w:val="001F3347"/>
    <w:rsid w:val="001F37A1"/>
    <w:rsid w:val="001F3829"/>
    <w:rsid w:val="001F443E"/>
    <w:rsid w:val="001F4579"/>
    <w:rsid w:val="001F54D0"/>
    <w:rsid w:val="001F631E"/>
    <w:rsid w:val="001F6780"/>
    <w:rsid w:val="001F69E4"/>
    <w:rsid w:val="001F6F39"/>
    <w:rsid w:val="001F7CE7"/>
    <w:rsid w:val="00201E29"/>
    <w:rsid w:val="00203509"/>
    <w:rsid w:val="0020409B"/>
    <w:rsid w:val="0020581E"/>
    <w:rsid w:val="00205EEA"/>
    <w:rsid w:val="0020620E"/>
    <w:rsid w:val="00206570"/>
    <w:rsid w:val="002067E2"/>
    <w:rsid w:val="002072A9"/>
    <w:rsid w:val="0020738E"/>
    <w:rsid w:val="00207668"/>
    <w:rsid w:val="00207A47"/>
    <w:rsid w:val="00207F53"/>
    <w:rsid w:val="00210732"/>
    <w:rsid w:val="00211B64"/>
    <w:rsid w:val="002125B4"/>
    <w:rsid w:val="002132EE"/>
    <w:rsid w:val="00214B4B"/>
    <w:rsid w:val="00214BFA"/>
    <w:rsid w:val="002150B8"/>
    <w:rsid w:val="002155B8"/>
    <w:rsid w:val="00216B23"/>
    <w:rsid w:val="00216C21"/>
    <w:rsid w:val="00216D0F"/>
    <w:rsid w:val="00216E0D"/>
    <w:rsid w:val="00220F52"/>
    <w:rsid w:val="00221457"/>
    <w:rsid w:val="00221BCF"/>
    <w:rsid w:val="00221C64"/>
    <w:rsid w:val="00222FD7"/>
    <w:rsid w:val="00223127"/>
    <w:rsid w:val="0022338E"/>
    <w:rsid w:val="00224839"/>
    <w:rsid w:val="002249B2"/>
    <w:rsid w:val="0022534B"/>
    <w:rsid w:val="00225A87"/>
    <w:rsid w:val="00225E48"/>
    <w:rsid w:val="00225E70"/>
    <w:rsid w:val="00226574"/>
    <w:rsid w:val="00226D12"/>
    <w:rsid w:val="002278EC"/>
    <w:rsid w:val="0023232D"/>
    <w:rsid w:val="0023280E"/>
    <w:rsid w:val="00234A40"/>
    <w:rsid w:val="00234A4B"/>
    <w:rsid w:val="002351D1"/>
    <w:rsid w:val="0023540B"/>
    <w:rsid w:val="00235A6B"/>
    <w:rsid w:val="002367DC"/>
    <w:rsid w:val="002370EB"/>
    <w:rsid w:val="002377D1"/>
    <w:rsid w:val="0023781A"/>
    <w:rsid w:val="00237AB6"/>
    <w:rsid w:val="002404B6"/>
    <w:rsid w:val="0024075D"/>
    <w:rsid w:val="00240FAF"/>
    <w:rsid w:val="00241201"/>
    <w:rsid w:val="002422C2"/>
    <w:rsid w:val="002428B0"/>
    <w:rsid w:val="00242E0C"/>
    <w:rsid w:val="00243A13"/>
    <w:rsid w:val="0024458C"/>
    <w:rsid w:val="00244A3D"/>
    <w:rsid w:val="002450F5"/>
    <w:rsid w:val="0024544E"/>
    <w:rsid w:val="00246A09"/>
    <w:rsid w:val="002506BC"/>
    <w:rsid w:val="00250D8D"/>
    <w:rsid w:val="00251C1D"/>
    <w:rsid w:val="00251D64"/>
    <w:rsid w:val="00251E9D"/>
    <w:rsid w:val="00252418"/>
    <w:rsid w:val="00252653"/>
    <w:rsid w:val="002527F7"/>
    <w:rsid w:val="0025288E"/>
    <w:rsid w:val="0025340C"/>
    <w:rsid w:val="00253582"/>
    <w:rsid w:val="00253822"/>
    <w:rsid w:val="00253D72"/>
    <w:rsid w:val="00254345"/>
    <w:rsid w:val="00254797"/>
    <w:rsid w:val="0025538E"/>
    <w:rsid w:val="00256D16"/>
    <w:rsid w:val="0025794D"/>
    <w:rsid w:val="0026005E"/>
    <w:rsid w:val="00261D24"/>
    <w:rsid w:val="002640A4"/>
    <w:rsid w:val="00264557"/>
    <w:rsid w:val="00264834"/>
    <w:rsid w:val="00265475"/>
    <w:rsid w:val="00265A66"/>
    <w:rsid w:val="00266A1C"/>
    <w:rsid w:val="00266C96"/>
    <w:rsid w:val="00270C7F"/>
    <w:rsid w:val="00271383"/>
    <w:rsid w:val="0027305B"/>
    <w:rsid w:val="002733B2"/>
    <w:rsid w:val="00273BDA"/>
    <w:rsid w:val="00275685"/>
    <w:rsid w:val="00275E5A"/>
    <w:rsid w:val="00280379"/>
    <w:rsid w:val="002805AB"/>
    <w:rsid w:val="00280773"/>
    <w:rsid w:val="00280D75"/>
    <w:rsid w:val="00280E36"/>
    <w:rsid w:val="00281340"/>
    <w:rsid w:val="00281A16"/>
    <w:rsid w:val="00281C82"/>
    <w:rsid w:val="00282462"/>
    <w:rsid w:val="0028275B"/>
    <w:rsid w:val="00283A4C"/>
    <w:rsid w:val="00284204"/>
    <w:rsid w:val="002852CA"/>
    <w:rsid w:val="002856C9"/>
    <w:rsid w:val="00285AE4"/>
    <w:rsid w:val="002862AC"/>
    <w:rsid w:val="002876F7"/>
    <w:rsid w:val="00290351"/>
    <w:rsid w:val="002914CB"/>
    <w:rsid w:val="00291773"/>
    <w:rsid w:val="00291DCC"/>
    <w:rsid w:val="00291F65"/>
    <w:rsid w:val="00292141"/>
    <w:rsid w:val="00292207"/>
    <w:rsid w:val="002937A9"/>
    <w:rsid w:val="002954DF"/>
    <w:rsid w:val="002957D7"/>
    <w:rsid w:val="00296016"/>
    <w:rsid w:val="002963CB"/>
    <w:rsid w:val="00297E4F"/>
    <w:rsid w:val="002A168C"/>
    <w:rsid w:val="002A1E2E"/>
    <w:rsid w:val="002A2371"/>
    <w:rsid w:val="002A2B1D"/>
    <w:rsid w:val="002A2F67"/>
    <w:rsid w:val="002A3DC7"/>
    <w:rsid w:val="002A4663"/>
    <w:rsid w:val="002A58C7"/>
    <w:rsid w:val="002A6169"/>
    <w:rsid w:val="002A64A7"/>
    <w:rsid w:val="002A68ED"/>
    <w:rsid w:val="002A6AA1"/>
    <w:rsid w:val="002A7A10"/>
    <w:rsid w:val="002B1F53"/>
    <w:rsid w:val="002B2302"/>
    <w:rsid w:val="002B434D"/>
    <w:rsid w:val="002B49E2"/>
    <w:rsid w:val="002B5007"/>
    <w:rsid w:val="002B573C"/>
    <w:rsid w:val="002B594E"/>
    <w:rsid w:val="002B64BB"/>
    <w:rsid w:val="002B7311"/>
    <w:rsid w:val="002B7850"/>
    <w:rsid w:val="002B7A34"/>
    <w:rsid w:val="002B7B00"/>
    <w:rsid w:val="002B7C44"/>
    <w:rsid w:val="002B7DE9"/>
    <w:rsid w:val="002B7E82"/>
    <w:rsid w:val="002C1144"/>
    <w:rsid w:val="002C191C"/>
    <w:rsid w:val="002C1E59"/>
    <w:rsid w:val="002C2B17"/>
    <w:rsid w:val="002C2D21"/>
    <w:rsid w:val="002C306C"/>
    <w:rsid w:val="002C488B"/>
    <w:rsid w:val="002C49C3"/>
    <w:rsid w:val="002C555B"/>
    <w:rsid w:val="002C7C44"/>
    <w:rsid w:val="002D0D0A"/>
    <w:rsid w:val="002D1CF2"/>
    <w:rsid w:val="002D3479"/>
    <w:rsid w:val="002D3DD0"/>
    <w:rsid w:val="002D59A4"/>
    <w:rsid w:val="002D5D1E"/>
    <w:rsid w:val="002D5D36"/>
    <w:rsid w:val="002D67A8"/>
    <w:rsid w:val="002D6F2D"/>
    <w:rsid w:val="002D7401"/>
    <w:rsid w:val="002D7529"/>
    <w:rsid w:val="002D7AA7"/>
    <w:rsid w:val="002E014B"/>
    <w:rsid w:val="002E0CA7"/>
    <w:rsid w:val="002E18C4"/>
    <w:rsid w:val="002E1AEB"/>
    <w:rsid w:val="002E1F3A"/>
    <w:rsid w:val="002E205F"/>
    <w:rsid w:val="002E24B7"/>
    <w:rsid w:val="002E298A"/>
    <w:rsid w:val="002E46E3"/>
    <w:rsid w:val="002E579C"/>
    <w:rsid w:val="002F0763"/>
    <w:rsid w:val="002F1215"/>
    <w:rsid w:val="002F1492"/>
    <w:rsid w:val="002F1916"/>
    <w:rsid w:val="002F2304"/>
    <w:rsid w:val="002F2729"/>
    <w:rsid w:val="002F3332"/>
    <w:rsid w:val="002F3BC6"/>
    <w:rsid w:val="002F414C"/>
    <w:rsid w:val="002F4B77"/>
    <w:rsid w:val="002F64E8"/>
    <w:rsid w:val="0030016E"/>
    <w:rsid w:val="00300786"/>
    <w:rsid w:val="00300D4C"/>
    <w:rsid w:val="00301978"/>
    <w:rsid w:val="00301DB3"/>
    <w:rsid w:val="003020A2"/>
    <w:rsid w:val="003024E7"/>
    <w:rsid w:val="003025FA"/>
    <w:rsid w:val="0030332C"/>
    <w:rsid w:val="0030339F"/>
    <w:rsid w:val="0030424B"/>
    <w:rsid w:val="003051C2"/>
    <w:rsid w:val="00305205"/>
    <w:rsid w:val="003052CC"/>
    <w:rsid w:val="003057C2"/>
    <w:rsid w:val="003057E4"/>
    <w:rsid w:val="00305DEA"/>
    <w:rsid w:val="00306B4C"/>
    <w:rsid w:val="0030759D"/>
    <w:rsid w:val="0030773D"/>
    <w:rsid w:val="00307DA4"/>
    <w:rsid w:val="00307E40"/>
    <w:rsid w:val="00311B61"/>
    <w:rsid w:val="00312296"/>
    <w:rsid w:val="0031257D"/>
    <w:rsid w:val="00312BB8"/>
    <w:rsid w:val="00312F47"/>
    <w:rsid w:val="00313742"/>
    <w:rsid w:val="00313DBA"/>
    <w:rsid w:val="00314894"/>
    <w:rsid w:val="00314BCB"/>
    <w:rsid w:val="00314F0E"/>
    <w:rsid w:val="0031770C"/>
    <w:rsid w:val="0031780F"/>
    <w:rsid w:val="00317C84"/>
    <w:rsid w:val="00320667"/>
    <w:rsid w:val="00320AAD"/>
    <w:rsid w:val="0032100B"/>
    <w:rsid w:val="0032155F"/>
    <w:rsid w:val="00321D8E"/>
    <w:rsid w:val="00321E27"/>
    <w:rsid w:val="003239F3"/>
    <w:rsid w:val="00325184"/>
    <w:rsid w:val="003255FA"/>
    <w:rsid w:val="00325787"/>
    <w:rsid w:val="00325928"/>
    <w:rsid w:val="0032597D"/>
    <w:rsid w:val="00326D02"/>
    <w:rsid w:val="0032797E"/>
    <w:rsid w:val="00330191"/>
    <w:rsid w:val="00330848"/>
    <w:rsid w:val="00331AF6"/>
    <w:rsid w:val="00331F9E"/>
    <w:rsid w:val="00332863"/>
    <w:rsid w:val="00333EE7"/>
    <w:rsid w:val="00336124"/>
    <w:rsid w:val="003361F5"/>
    <w:rsid w:val="00336347"/>
    <w:rsid w:val="0033684D"/>
    <w:rsid w:val="003368D0"/>
    <w:rsid w:val="00336BA3"/>
    <w:rsid w:val="00336E6A"/>
    <w:rsid w:val="00337B42"/>
    <w:rsid w:val="00340E8C"/>
    <w:rsid w:val="00341B42"/>
    <w:rsid w:val="00341D01"/>
    <w:rsid w:val="003428C7"/>
    <w:rsid w:val="00342936"/>
    <w:rsid w:val="00342BE2"/>
    <w:rsid w:val="00342EEE"/>
    <w:rsid w:val="0034348F"/>
    <w:rsid w:val="003443ED"/>
    <w:rsid w:val="00345B08"/>
    <w:rsid w:val="00345CD9"/>
    <w:rsid w:val="0034796C"/>
    <w:rsid w:val="00347C86"/>
    <w:rsid w:val="003508F5"/>
    <w:rsid w:val="00351D73"/>
    <w:rsid w:val="003521D5"/>
    <w:rsid w:val="00352700"/>
    <w:rsid w:val="0035275A"/>
    <w:rsid w:val="0035290F"/>
    <w:rsid w:val="00352DEE"/>
    <w:rsid w:val="00353AEC"/>
    <w:rsid w:val="00353CF3"/>
    <w:rsid w:val="00354252"/>
    <w:rsid w:val="00356653"/>
    <w:rsid w:val="00356EC2"/>
    <w:rsid w:val="0035706B"/>
    <w:rsid w:val="0035743F"/>
    <w:rsid w:val="00357807"/>
    <w:rsid w:val="00357BE2"/>
    <w:rsid w:val="00357D1A"/>
    <w:rsid w:val="00361162"/>
    <w:rsid w:val="0036137B"/>
    <w:rsid w:val="0036170C"/>
    <w:rsid w:val="00361FD9"/>
    <w:rsid w:val="00362688"/>
    <w:rsid w:val="003639E4"/>
    <w:rsid w:val="00364D44"/>
    <w:rsid w:val="00365B09"/>
    <w:rsid w:val="00366C15"/>
    <w:rsid w:val="00366C24"/>
    <w:rsid w:val="00366E0A"/>
    <w:rsid w:val="00366E0F"/>
    <w:rsid w:val="00367DA0"/>
    <w:rsid w:val="00370C45"/>
    <w:rsid w:val="0037124D"/>
    <w:rsid w:val="00371673"/>
    <w:rsid w:val="00371766"/>
    <w:rsid w:val="00371BD3"/>
    <w:rsid w:val="00372003"/>
    <w:rsid w:val="003726FD"/>
    <w:rsid w:val="0037336D"/>
    <w:rsid w:val="0037411A"/>
    <w:rsid w:val="00380188"/>
    <w:rsid w:val="00380457"/>
    <w:rsid w:val="003805BE"/>
    <w:rsid w:val="003813A8"/>
    <w:rsid w:val="00381A72"/>
    <w:rsid w:val="00381E18"/>
    <w:rsid w:val="00382428"/>
    <w:rsid w:val="003830F4"/>
    <w:rsid w:val="00383335"/>
    <w:rsid w:val="003836D1"/>
    <w:rsid w:val="00383748"/>
    <w:rsid w:val="00383B9E"/>
    <w:rsid w:val="00383C0D"/>
    <w:rsid w:val="0038459D"/>
    <w:rsid w:val="00384676"/>
    <w:rsid w:val="0038533A"/>
    <w:rsid w:val="00385517"/>
    <w:rsid w:val="00385810"/>
    <w:rsid w:val="00385EBE"/>
    <w:rsid w:val="003863D5"/>
    <w:rsid w:val="003865ED"/>
    <w:rsid w:val="00387BD9"/>
    <w:rsid w:val="00390490"/>
    <w:rsid w:val="00390824"/>
    <w:rsid w:val="00390857"/>
    <w:rsid w:val="00390898"/>
    <w:rsid w:val="003930D5"/>
    <w:rsid w:val="00394C77"/>
    <w:rsid w:val="00394DF6"/>
    <w:rsid w:val="003950CC"/>
    <w:rsid w:val="00395184"/>
    <w:rsid w:val="00395539"/>
    <w:rsid w:val="00396514"/>
    <w:rsid w:val="00396BC0"/>
    <w:rsid w:val="003970DB"/>
    <w:rsid w:val="003970EB"/>
    <w:rsid w:val="003970EF"/>
    <w:rsid w:val="003972C2"/>
    <w:rsid w:val="00397A2A"/>
    <w:rsid w:val="00397BE7"/>
    <w:rsid w:val="003A0BE2"/>
    <w:rsid w:val="003A2BEF"/>
    <w:rsid w:val="003A2F1D"/>
    <w:rsid w:val="003A46C2"/>
    <w:rsid w:val="003A4BF3"/>
    <w:rsid w:val="003A5118"/>
    <w:rsid w:val="003A56E3"/>
    <w:rsid w:val="003A5B17"/>
    <w:rsid w:val="003A6299"/>
    <w:rsid w:val="003A6777"/>
    <w:rsid w:val="003A6D5B"/>
    <w:rsid w:val="003A7585"/>
    <w:rsid w:val="003A7AC1"/>
    <w:rsid w:val="003A7ACF"/>
    <w:rsid w:val="003B05E2"/>
    <w:rsid w:val="003B13B5"/>
    <w:rsid w:val="003B194F"/>
    <w:rsid w:val="003B262A"/>
    <w:rsid w:val="003B3759"/>
    <w:rsid w:val="003B3796"/>
    <w:rsid w:val="003B420D"/>
    <w:rsid w:val="003C02E2"/>
    <w:rsid w:val="003C2945"/>
    <w:rsid w:val="003C4023"/>
    <w:rsid w:val="003C5AB4"/>
    <w:rsid w:val="003C60BB"/>
    <w:rsid w:val="003C69F6"/>
    <w:rsid w:val="003C6AE6"/>
    <w:rsid w:val="003C6C16"/>
    <w:rsid w:val="003C6DA2"/>
    <w:rsid w:val="003C7749"/>
    <w:rsid w:val="003C7B8A"/>
    <w:rsid w:val="003D0AE0"/>
    <w:rsid w:val="003D139A"/>
    <w:rsid w:val="003D143C"/>
    <w:rsid w:val="003D260E"/>
    <w:rsid w:val="003D2B37"/>
    <w:rsid w:val="003D3179"/>
    <w:rsid w:val="003D419F"/>
    <w:rsid w:val="003D4FCF"/>
    <w:rsid w:val="003D54DB"/>
    <w:rsid w:val="003D6172"/>
    <w:rsid w:val="003D6A1E"/>
    <w:rsid w:val="003D6C59"/>
    <w:rsid w:val="003D794D"/>
    <w:rsid w:val="003D7D92"/>
    <w:rsid w:val="003E0108"/>
    <w:rsid w:val="003E10AE"/>
    <w:rsid w:val="003E2300"/>
    <w:rsid w:val="003E3058"/>
    <w:rsid w:val="003E3607"/>
    <w:rsid w:val="003E37FE"/>
    <w:rsid w:val="003E3E41"/>
    <w:rsid w:val="003E41FB"/>
    <w:rsid w:val="003E4365"/>
    <w:rsid w:val="003E533F"/>
    <w:rsid w:val="003E5A28"/>
    <w:rsid w:val="003E60F5"/>
    <w:rsid w:val="003E6605"/>
    <w:rsid w:val="003E6A02"/>
    <w:rsid w:val="003E728C"/>
    <w:rsid w:val="003E76A9"/>
    <w:rsid w:val="003F0615"/>
    <w:rsid w:val="003F0809"/>
    <w:rsid w:val="003F1144"/>
    <w:rsid w:val="003F2586"/>
    <w:rsid w:val="003F2836"/>
    <w:rsid w:val="003F3379"/>
    <w:rsid w:val="003F3435"/>
    <w:rsid w:val="003F50DF"/>
    <w:rsid w:val="003F542C"/>
    <w:rsid w:val="003F55C7"/>
    <w:rsid w:val="003F5B35"/>
    <w:rsid w:val="003F6A8C"/>
    <w:rsid w:val="003F6AAA"/>
    <w:rsid w:val="003F7078"/>
    <w:rsid w:val="003F755C"/>
    <w:rsid w:val="004013D1"/>
    <w:rsid w:val="004018F8"/>
    <w:rsid w:val="004019F2"/>
    <w:rsid w:val="00401BB2"/>
    <w:rsid w:val="00401CC1"/>
    <w:rsid w:val="004020E1"/>
    <w:rsid w:val="004024A1"/>
    <w:rsid w:val="00403444"/>
    <w:rsid w:val="004037FD"/>
    <w:rsid w:val="00403953"/>
    <w:rsid w:val="00404059"/>
    <w:rsid w:val="004042AF"/>
    <w:rsid w:val="00404609"/>
    <w:rsid w:val="00404910"/>
    <w:rsid w:val="00404E14"/>
    <w:rsid w:val="00406B96"/>
    <w:rsid w:val="00406F01"/>
    <w:rsid w:val="00407155"/>
    <w:rsid w:val="0040754C"/>
    <w:rsid w:val="00411719"/>
    <w:rsid w:val="00411C62"/>
    <w:rsid w:val="00411E8E"/>
    <w:rsid w:val="00412DF0"/>
    <w:rsid w:val="00413B31"/>
    <w:rsid w:val="00413D14"/>
    <w:rsid w:val="004144E1"/>
    <w:rsid w:val="00415DD8"/>
    <w:rsid w:val="00416BEC"/>
    <w:rsid w:val="00416D50"/>
    <w:rsid w:val="00416FD5"/>
    <w:rsid w:val="00417772"/>
    <w:rsid w:val="0041783B"/>
    <w:rsid w:val="00420E6A"/>
    <w:rsid w:val="004216C0"/>
    <w:rsid w:val="004217A1"/>
    <w:rsid w:val="00421C63"/>
    <w:rsid w:val="00422CBC"/>
    <w:rsid w:val="00422FD3"/>
    <w:rsid w:val="004232BB"/>
    <w:rsid w:val="00423D25"/>
    <w:rsid w:val="00424A1C"/>
    <w:rsid w:val="00425049"/>
    <w:rsid w:val="00425A9E"/>
    <w:rsid w:val="00425FC3"/>
    <w:rsid w:val="0042642C"/>
    <w:rsid w:val="00426D6B"/>
    <w:rsid w:val="004270E9"/>
    <w:rsid w:val="00427E31"/>
    <w:rsid w:val="00430A73"/>
    <w:rsid w:val="00431720"/>
    <w:rsid w:val="00431AAC"/>
    <w:rsid w:val="00431CFF"/>
    <w:rsid w:val="00431E6C"/>
    <w:rsid w:val="00431EBE"/>
    <w:rsid w:val="004326BD"/>
    <w:rsid w:val="00432832"/>
    <w:rsid w:val="00433B39"/>
    <w:rsid w:val="00433CE7"/>
    <w:rsid w:val="00434884"/>
    <w:rsid w:val="00434E4D"/>
    <w:rsid w:val="00436E1F"/>
    <w:rsid w:val="00437027"/>
    <w:rsid w:val="00437235"/>
    <w:rsid w:val="004373FC"/>
    <w:rsid w:val="0044056A"/>
    <w:rsid w:val="004405F1"/>
    <w:rsid w:val="00441FF5"/>
    <w:rsid w:val="00442820"/>
    <w:rsid w:val="00442CCD"/>
    <w:rsid w:val="00443EE3"/>
    <w:rsid w:val="0044454B"/>
    <w:rsid w:val="00444DB9"/>
    <w:rsid w:val="00445812"/>
    <w:rsid w:val="00446D4B"/>
    <w:rsid w:val="00446DCF"/>
    <w:rsid w:val="00447748"/>
    <w:rsid w:val="0045026F"/>
    <w:rsid w:val="004508E2"/>
    <w:rsid w:val="00450B28"/>
    <w:rsid w:val="004513AF"/>
    <w:rsid w:val="004513B9"/>
    <w:rsid w:val="004519A9"/>
    <w:rsid w:val="00452738"/>
    <w:rsid w:val="00452ED7"/>
    <w:rsid w:val="004531DD"/>
    <w:rsid w:val="0045323D"/>
    <w:rsid w:val="00453E08"/>
    <w:rsid w:val="00455273"/>
    <w:rsid w:val="00455397"/>
    <w:rsid w:val="00455946"/>
    <w:rsid w:val="00456091"/>
    <w:rsid w:val="0045745F"/>
    <w:rsid w:val="00461C0F"/>
    <w:rsid w:val="00463391"/>
    <w:rsid w:val="00463FF1"/>
    <w:rsid w:val="00464478"/>
    <w:rsid w:val="004656D3"/>
    <w:rsid w:val="00465C8F"/>
    <w:rsid w:val="00465EBE"/>
    <w:rsid w:val="00466321"/>
    <w:rsid w:val="0046681E"/>
    <w:rsid w:val="00466A47"/>
    <w:rsid w:val="0046701D"/>
    <w:rsid w:val="00470033"/>
    <w:rsid w:val="00471505"/>
    <w:rsid w:val="004721C2"/>
    <w:rsid w:val="004722A0"/>
    <w:rsid w:val="0047312C"/>
    <w:rsid w:val="004732CF"/>
    <w:rsid w:val="004735E3"/>
    <w:rsid w:val="0047377F"/>
    <w:rsid w:val="0047394A"/>
    <w:rsid w:val="00474099"/>
    <w:rsid w:val="00476A22"/>
    <w:rsid w:val="00477E7E"/>
    <w:rsid w:val="00480422"/>
    <w:rsid w:val="004819E3"/>
    <w:rsid w:val="004835BF"/>
    <w:rsid w:val="00483BA0"/>
    <w:rsid w:val="00483D7D"/>
    <w:rsid w:val="00483FCD"/>
    <w:rsid w:val="00484B9B"/>
    <w:rsid w:val="00484EEB"/>
    <w:rsid w:val="00485038"/>
    <w:rsid w:val="004855F6"/>
    <w:rsid w:val="0048661E"/>
    <w:rsid w:val="00487638"/>
    <w:rsid w:val="0049047C"/>
    <w:rsid w:val="0049113F"/>
    <w:rsid w:val="004913A4"/>
    <w:rsid w:val="00491CD8"/>
    <w:rsid w:val="004920FF"/>
    <w:rsid w:val="00493529"/>
    <w:rsid w:val="00493F10"/>
    <w:rsid w:val="004943B6"/>
    <w:rsid w:val="00494496"/>
    <w:rsid w:val="00494670"/>
    <w:rsid w:val="004962C5"/>
    <w:rsid w:val="00496AAA"/>
    <w:rsid w:val="00496D6E"/>
    <w:rsid w:val="00496DC5"/>
    <w:rsid w:val="0049793F"/>
    <w:rsid w:val="00497DA4"/>
    <w:rsid w:val="004A1499"/>
    <w:rsid w:val="004A1634"/>
    <w:rsid w:val="004A2014"/>
    <w:rsid w:val="004A2E1F"/>
    <w:rsid w:val="004A3823"/>
    <w:rsid w:val="004A3F51"/>
    <w:rsid w:val="004A5895"/>
    <w:rsid w:val="004A5967"/>
    <w:rsid w:val="004A5CB7"/>
    <w:rsid w:val="004A5F77"/>
    <w:rsid w:val="004A616A"/>
    <w:rsid w:val="004A6B3B"/>
    <w:rsid w:val="004A7451"/>
    <w:rsid w:val="004B0914"/>
    <w:rsid w:val="004B14D1"/>
    <w:rsid w:val="004B1A98"/>
    <w:rsid w:val="004B3D8D"/>
    <w:rsid w:val="004B3D90"/>
    <w:rsid w:val="004B53EE"/>
    <w:rsid w:val="004B752F"/>
    <w:rsid w:val="004B77DA"/>
    <w:rsid w:val="004C0556"/>
    <w:rsid w:val="004C10BF"/>
    <w:rsid w:val="004C2043"/>
    <w:rsid w:val="004C2406"/>
    <w:rsid w:val="004C2D37"/>
    <w:rsid w:val="004C30F2"/>
    <w:rsid w:val="004C3128"/>
    <w:rsid w:val="004C3713"/>
    <w:rsid w:val="004C477D"/>
    <w:rsid w:val="004C4D48"/>
    <w:rsid w:val="004C59F6"/>
    <w:rsid w:val="004C59FD"/>
    <w:rsid w:val="004C5EDF"/>
    <w:rsid w:val="004C629B"/>
    <w:rsid w:val="004C66A8"/>
    <w:rsid w:val="004C6B7E"/>
    <w:rsid w:val="004C7359"/>
    <w:rsid w:val="004D01BF"/>
    <w:rsid w:val="004D1DD4"/>
    <w:rsid w:val="004D2054"/>
    <w:rsid w:val="004D234A"/>
    <w:rsid w:val="004D2CBF"/>
    <w:rsid w:val="004D3DA5"/>
    <w:rsid w:val="004D490B"/>
    <w:rsid w:val="004D5CF4"/>
    <w:rsid w:val="004D73C0"/>
    <w:rsid w:val="004E1A38"/>
    <w:rsid w:val="004E1F0B"/>
    <w:rsid w:val="004E1F17"/>
    <w:rsid w:val="004E2F6A"/>
    <w:rsid w:val="004E318E"/>
    <w:rsid w:val="004E37FF"/>
    <w:rsid w:val="004E45D6"/>
    <w:rsid w:val="004E50F4"/>
    <w:rsid w:val="004E5223"/>
    <w:rsid w:val="004E5836"/>
    <w:rsid w:val="004E619B"/>
    <w:rsid w:val="004E6342"/>
    <w:rsid w:val="004E63D8"/>
    <w:rsid w:val="004E6902"/>
    <w:rsid w:val="004E6946"/>
    <w:rsid w:val="004F093D"/>
    <w:rsid w:val="004F1589"/>
    <w:rsid w:val="004F174F"/>
    <w:rsid w:val="004F1988"/>
    <w:rsid w:val="004F1AD8"/>
    <w:rsid w:val="004F3BB9"/>
    <w:rsid w:val="004F3FFF"/>
    <w:rsid w:val="004F4758"/>
    <w:rsid w:val="004F536A"/>
    <w:rsid w:val="004F5451"/>
    <w:rsid w:val="004F5C7C"/>
    <w:rsid w:val="004F5EB3"/>
    <w:rsid w:val="004F5EC4"/>
    <w:rsid w:val="004F6346"/>
    <w:rsid w:val="004F63A6"/>
    <w:rsid w:val="004F6C85"/>
    <w:rsid w:val="0050076B"/>
    <w:rsid w:val="00501DF5"/>
    <w:rsid w:val="005020F1"/>
    <w:rsid w:val="005039CB"/>
    <w:rsid w:val="0050467C"/>
    <w:rsid w:val="0050509A"/>
    <w:rsid w:val="0050558F"/>
    <w:rsid w:val="00505CC7"/>
    <w:rsid w:val="00506286"/>
    <w:rsid w:val="005066C0"/>
    <w:rsid w:val="00506FDB"/>
    <w:rsid w:val="005070D5"/>
    <w:rsid w:val="00507ABE"/>
    <w:rsid w:val="005105FB"/>
    <w:rsid w:val="00510813"/>
    <w:rsid w:val="00510D81"/>
    <w:rsid w:val="00511943"/>
    <w:rsid w:val="00511990"/>
    <w:rsid w:val="00511DE0"/>
    <w:rsid w:val="00512DF2"/>
    <w:rsid w:val="00514870"/>
    <w:rsid w:val="00514B9B"/>
    <w:rsid w:val="005153E9"/>
    <w:rsid w:val="00515A6E"/>
    <w:rsid w:val="005172C5"/>
    <w:rsid w:val="00517F02"/>
    <w:rsid w:val="00520941"/>
    <w:rsid w:val="00520DC7"/>
    <w:rsid w:val="00522558"/>
    <w:rsid w:val="00522715"/>
    <w:rsid w:val="00523398"/>
    <w:rsid w:val="00523A10"/>
    <w:rsid w:val="0052415B"/>
    <w:rsid w:val="00524303"/>
    <w:rsid w:val="005243DA"/>
    <w:rsid w:val="005257B5"/>
    <w:rsid w:val="005258A2"/>
    <w:rsid w:val="00525D62"/>
    <w:rsid w:val="00526608"/>
    <w:rsid w:val="005278B5"/>
    <w:rsid w:val="00527ECA"/>
    <w:rsid w:val="0053063B"/>
    <w:rsid w:val="005327A7"/>
    <w:rsid w:val="00533A3B"/>
    <w:rsid w:val="00535255"/>
    <w:rsid w:val="00535AA7"/>
    <w:rsid w:val="00536A62"/>
    <w:rsid w:val="00536BF7"/>
    <w:rsid w:val="00536EC7"/>
    <w:rsid w:val="005370FA"/>
    <w:rsid w:val="00537574"/>
    <w:rsid w:val="005401AE"/>
    <w:rsid w:val="00540D06"/>
    <w:rsid w:val="00541514"/>
    <w:rsid w:val="0054169C"/>
    <w:rsid w:val="00541BCB"/>
    <w:rsid w:val="00542E07"/>
    <w:rsid w:val="005431D9"/>
    <w:rsid w:val="00543226"/>
    <w:rsid w:val="005433F2"/>
    <w:rsid w:val="0054397E"/>
    <w:rsid w:val="005444E3"/>
    <w:rsid w:val="00544710"/>
    <w:rsid w:val="00544AAF"/>
    <w:rsid w:val="00545424"/>
    <w:rsid w:val="00545DF6"/>
    <w:rsid w:val="0054629E"/>
    <w:rsid w:val="00546873"/>
    <w:rsid w:val="00546E2F"/>
    <w:rsid w:val="00550038"/>
    <w:rsid w:val="005501B2"/>
    <w:rsid w:val="0055174B"/>
    <w:rsid w:val="0055195C"/>
    <w:rsid w:val="005520FE"/>
    <w:rsid w:val="00553650"/>
    <w:rsid w:val="00554A7B"/>
    <w:rsid w:val="00554CDB"/>
    <w:rsid w:val="0055572C"/>
    <w:rsid w:val="0055600E"/>
    <w:rsid w:val="005562DC"/>
    <w:rsid w:val="00556D22"/>
    <w:rsid w:val="00556FFC"/>
    <w:rsid w:val="00557399"/>
    <w:rsid w:val="00557493"/>
    <w:rsid w:val="00557BF0"/>
    <w:rsid w:val="0056106A"/>
    <w:rsid w:val="005614BB"/>
    <w:rsid w:val="00561842"/>
    <w:rsid w:val="00562B74"/>
    <w:rsid w:val="005631CC"/>
    <w:rsid w:val="005638A7"/>
    <w:rsid w:val="00563FCD"/>
    <w:rsid w:val="0056442B"/>
    <w:rsid w:val="0056516B"/>
    <w:rsid w:val="0056543F"/>
    <w:rsid w:val="00565C69"/>
    <w:rsid w:val="00566B62"/>
    <w:rsid w:val="0056758D"/>
    <w:rsid w:val="00567699"/>
    <w:rsid w:val="00571947"/>
    <w:rsid w:val="005720AE"/>
    <w:rsid w:val="00573261"/>
    <w:rsid w:val="00573EDE"/>
    <w:rsid w:val="0057478F"/>
    <w:rsid w:val="00574C32"/>
    <w:rsid w:val="00574E6E"/>
    <w:rsid w:val="00575090"/>
    <w:rsid w:val="00577BB7"/>
    <w:rsid w:val="0058010B"/>
    <w:rsid w:val="00582322"/>
    <w:rsid w:val="0058242D"/>
    <w:rsid w:val="00582B9A"/>
    <w:rsid w:val="00583424"/>
    <w:rsid w:val="0058359C"/>
    <w:rsid w:val="0058368D"/>
    <w:rsid w:val="00583744"/>
    <w:rsid w:val="0058415B"/>
    <w:rsid w:val="00584A3B"/>
    <w:rsid w:val="0058698E"/>
    <w:rsid w:val="005870A2"/>
    <w:rsid w:val="0058748C"/>
    <w:rsid w:val="00587652"/>
    <w:rsid w:val="00594D77"/>
    <w:rsid w:val="00594FE2"/>
    <w:rsid w:val="005969E4"/>
    <w:rsid w:val="00596A4E"/>
    <w:rsid w:val="00597B2F"/>
    <w:rsid w:val="005A03F0"/>
    <w:rsid w:val="005A06B7"/>
    <w:rsid w:val="005A14D8"/>
    <w:rsid w:val="005A1759"/>
    <w:rsid w:val="005A2302"/>
    <w:rsid w:val="005A3255"/>
    <w:rsid w:val="005A334A"/>
    <w:rsid w:val="005A506E"/>
    <w:rsid w:val="005A5995"/>
    <w:rsid w:val="005A59E9"/>
    <w:rsid w:val="005A68A7"/>
    <w:rsid w:val="005A76D3"/>
    <w:rsid w:val="005A77DD"/>
    <w:rsid w:val="005B0C1D"/>
    <w:rsid w:val="005B1CE8"/>
    <w:rsid w:val="005B25C5"/>
    <w:rsid w:val="005B4936"/>
    <w:rsid w:val="005B514E"/>
    <w:rsid w:val="005B61B4"/>
    <w:rsid w:val="005B61E9"/>
    <w:rsid w:val="005B698E"/>
    <w:rsid w:val="005B76D4"/>
    <w:rsid w:val="005C10B8"/>
    <w:rsid w:val="005C1310"/>
    <w:rsid w:val="005C2EA7"/>
    <w:rsid w:val="005C32F1"/>
    <w:rsid w:val="005C3ADE"/>
    <w:rsid w:val="005C3ED0"/>
    <w:rsid w:val="005C4566"/>
    <w:rsid w:val="005C4BC4"/>
    <w:rsid w:val="005C4D80"/>
    <w:rsid w:val="005C5D39"/>
    <w:rsid w:val="005C6900"/>
    <w:rsid w:val="005D12F0"/>
    <w:rsid w:val="005D21D7"/>
    <w:rsid w:val="005D2A2F"/>
    <w:rsid w:val="005D36AB"/>
    <w:rsid w:val="005D3767"/>
    <w:rsid w:val="005D41B1"/>
    <w:rsid w:val="005D4FDA"/>
    <w:rsid w:val="005D58EA"/>
    <w:rsid w:val="005D6938"/>
    <w:rsid w:val="005D7AD8"/>
    <w:rsid w:val="005D7BDC"/>
    <w:rsid w:val="005E0A0C"/>
    <w:rsid w:val="005E12BB"/>
    <w:rsid w:val="005E3804"/>
    <w:rsid w:val="005E3E17"/>
    <w:rsid w:val="005E4FE6"/>
    <w:rsid w:val="005E5AE1"/>
    <w:rsid w:val="005E5D7D"/>
    <w:rsid w:val="005E5DE3"/>
    <w:rsid w:val="005F0A00"/>
    <w:rsid w:val="005F174B"/>
    <w:rsid w:val="005F24CF"/>
    <w:rsid w:val="005F25C1"/>
    <w:rsid w:val="005F362E"/>
    <w:rsid w:val="005F3DCC"/>
    <w:rsid w:val="005F465A"/>
    <w:rsid w:val="005F4E31"/>
    <w:rsid w:val="005F629A"/>
    <w:rsid w:val="005F6756"/>
    <w:rsid w:val="005F6CD6"/>
    <w:rsid w:val="005F71E1"/>
    <w:rsid w:val="005F737C"/>
    <w:rsid w:val="005F74C4"/>
    <w:rsid w:val="005F76B7"/>
    <w:rsid w:val="005F7BB3"/>
    <w:rsid w:val="00600155"/>
    <w:rsid w:val="00600D2E"/>
    <w:rsid w:val="006020A7"/>
    <w:rsid w:val="006022F0"/>
    <w:rsid w:val="006028BA"/>
    <w:rsid w:val="00603476"/>
    <w:rsid w:val="006035BA"/>
    <w:rsid w:val="00604725"/>
    <w:rsid w:val="00605AEA"/>
    <w:rsid w:val="00606806"/>
    <w:rsid w:val="00610439"/>
    <w:rsid w:val="006105BB"/>
    <w:rsid w:val="0061167C"/>
    <w:rsid w:val="006119CA"/>
    <w:rsid w:val="0061296F"/>
    <w:rsid w:val="006130A6"/>
    <w:rsid w:val="00613468"/>
    <w:rsid w:val="006144CD"/>
    <w:rsid w:val="0061489B"/>
    <w:rsid w:val="00614A14"/>
    <w:rsid w:val="00615C7F"/>
    <w:rsid w:val="00616803"/>
    <w:rsid w:val="00617CC3"/>
    <w:rsid w:val="00621082"/>
    <w:rsid w:val="006211D1"/>
    <w:rsid w:val="0062138F"/>
    <w:rsid w:val="0062188D"/>
    <w:rsid w:val="0062232D"/>
    <w:rsid w:val="00622BDF"/>
    <w:rsid w:val="00622C1C"/>
    <w:rsid w:val="00622DC2"/>
    <w:rsid w:val="0062315D"/>
    <w:rsid w:val="006233AB"/>
    <w:rsid w:val="00624C59"/>
    <w:rsid w:val="00624EBA"/>
    <w:rsid w:val="006253FC"/>
    <w:rsid w:val="00625D6F"/>
    <w:rsid w:val="0062609B"/>
    <w:rsid w:val="00626703"/>
    <w:rsid w:val="00627ABD"/>
    <w:rsid w:val="006300EE"/>
    <w:rsid w:val="00630278"/>
    <w:rsid w:val="0063246F"/>
    <w:rsid w:val="00632D9E"/>
    <w:rsid w:val="00633168"/>
    <w:rsid w:val="00633814"/>
    <w:rsid w:val="00633C81"/>
    <w:rsid w:val="006342F1"/>
    <w:rsid w:val="00634579"/>
    <w:rsid w:val="006348DE"/>
    <w:rsid w:val="00634CAB"/>
    <w:rsid w:val="0063570C"/>
    <w:rsid w:val="00635ED1"/>
    <w:rsid w:val="0063646B"/>
    <w:rsid w:val="006369D5"/>
    <w:rsid w:val="006370D7"/>
    <w:rsid w:val="006377A6"/>
    <w:rsid w:val="00637A3D"/>
    <w:rsid w:val="00640633"/>
    <w:rsid w:val="00640FA4"/>
    <w:rsid w:val="006411EF"/>
    <w:rsid w:val="006426B1"/>
    <w:rsid w:val="006427DA"/>
    <w:rsid w:val="00642F6A"/>
    <w:rsid w:val="00643949"/>
    <w:rsid w:val="00643F69"/>
    <w:rsid w:val="00645561"/>
    <w:rsid w:val="0064577F"/>
    <w:rsid w:val="00646EA6"/>
    <w:rsid w:val="006472C5"/>
    <w:rsid w:val="0064732A"/>
    <w:rsid w:val="0064744A"/>
    <w:rsid w:val="00650077"/>
    <w:rsid w:val="006518D5"/>
    <w:rsid w:val="00651EB7"/>
    <w:rsid w:val="00652B5B"/>
    <w:rsid w:val="00652ED4"/>
    <w:rsid w:val="0065325C"/>
    <w:rsid w:val="00653D62"/>
    <w:rsid w:val="006547B0"/>
    <w:rsid w:val="00654A27"/>
    <w:rsid w:val="00655523"/>
    <w:rsid w:val="00655587"/>
    <w:rsid w:val="006567E8"/>
    <w:rsid w:val="00656B28"/>
    <w:rsid w:val="00656BC0"/>
    <w:rsid w:val="006579AA"/>
    <w:rsid w:val="00661C06"/>
    <w:rsid w:val="00662031"/>
    <w:rsid w:val="0066210A"/>
    <w:rsid w:val="0066285F"/>
    <w:rsid w:val="00662B0A"/>
    <w:rsid w:val="00663C54"/>
    <w:rsid w:val="00664562"/>
    <w:rsid w:val="00664A8A"/>
    <w:rsid w:val="0066540A"/>
    <w:rsid w:val="006661E6"/>
    <w:rsid w:val="00666200"/>
    <w:rsid w:val="00666DD7"/>
    <w:rsid w:val="0066790A"/>
    <w:rsid w:val="00671436"/>
    <w:rsid w:val="00672924"/>
    <w:rsid w:val="00672D9B"/>
    <w:rsid w:val="00673A80"/>
    <w:rsid w:val="0067460E"/>
    <w:rsid w:val="006748B8"/>
    <w:rsid w:val="00674F64"/>
    <w:rsid w:val="006750A5"/>
    <w:rsid w:val="0067583D"/>
    <w:rsid w:val="00675FBA"/>
    <w:rsid w:val="006764ED"/>
    <w:rsid w:val="00677297"/>
    <w:rsid w:val="006775C3"/>
    <w:rsid w:val="006777C3"/>
    <w:rsid w:val="00680357"/>
    <w:rsid w:val="006808BA"/>
    <w:rsid w:val="00680CCE"/>
    <w:rsid w:val="00681E93"/>
    <w:rsid w:val="00682478"/>
    <w:rsid w:val="006835A3"/>
    <w:rsid w:val="006839A1"/>
    <w:rsid w:val="00683F06"/>
    <w:rsid w:val="0068449D"/>
    <w:rsid w:val="0068522B"/>
    <w:rsid w:val="006852A2"/>
    <w:rsid w:val="006862D0"/>
    <w:rsid w:val="006862E2"/>
    <w:rsid w:val="00686BB3"/>
    <w:rsid w:val="00686C0C"/>
    <w:rsid w:val="006874FA"/>
    <w:rsid w:val="006902FB"/>
    <w:rsid w:val="00690D61"/>
    <w:rsid w:val="00690F4B"/>
    <w:rsid w:val="0069108A"/>
    <w:rsid w:val="00691415"/>
    <w:rsid w:val="006916BE"/>
    <w:rsid w:val="006927F1"/>
    <w:rsid w:val="0069290A"/>
    <w:rsid w:val="00692ABC"/>
    <w:rsid w:val="006955AC"/>
    <w:rsid w:val="0069575D"/>
    <w:rsid w:val="0069642B"/>
    <w:rsid w:val="00696671"/>
    <w:rsid w:val="006966C6"/>
    <w:rsid w:val="00697423"/>
    <w:rsid w:val="006975EA"/>
    <w:rsid w:val="0069775A"/>
    <w:rsid w:val="00697813"/>
    <w:rsid w:val="006A3D03"/>
    <w:rsid w:val="006A3EE8"/>
    <w:rsid w:val="006A53BD"/>
    <w:rsid w:val="006A57D1"/>
    <w:rsid w:val="006A5BE7"/>
    <w:rsid w:val="006A6937"/>
    <w:rsid w:val="006A6B14"/>
    <w:rsid w:val="006A72BF"/>
    <w:rsid w:val="006B03F2"/>
    <w:rsid w:val="006B0400"/>
    <w:rsid w:val="006B0415"/>
    <w:rsid w:val="006B13F3"/>
    <w:rsid w:val="006B2773"/>
    <w:rsid w:val="006B2801"/>
    <w:rsid w:val="006B3370"/>
    <w:rsid w:val="006B377D"/>
    <w:rsid w:val="006B37DC"/>
    <w:rsid w:val="006B4565"/>
    <w:rsid w:val="006B49F6"/>
    <w:rsid w:val="006B4F68"/>
    <w:rsid w:val="006C0592"/>
    <w:rsid w:val="006C0AA7"/>
    <w:rsid w:val="006C1846"/>
    <w:rsid w:val="006C1B9F"/>
    <w:rsid w:val="006C272E"/>
    <w:rsid w:val="006C374B"/>
    <w:rsid w:val="006C44AD"/>
    <w:rsid w:val="006C5479"/>
    <w:rsid w:val="006C5ACA"/>
    <w:rsid w:val="006C7109"/>
    <w:rsid w:val="006C7300"/>
    <w:rsid w:val="006D06F7"/>
    <w:rsid w:val="006D1179"/>
    <w:rsid w:val="006D13B5"/>
    <w:rsid w:val="006D1C3E"/>
    <w:rsid w:val="006D1F84"/>
    <w:rsid w:val="006D1FB5"/>
    <w:rsid w:val="006D2A0B"/>
    <w:rsid w:val="006D368B"/>
    <w:rsid w:val="006D403F"/>
    <w:rsid w:val="006D4A7C"/>
    <w:rsid w:val="006D5324"/>
    <w:rsid w:val="006D5F62"/>
    <w:rsid w:val="006D6B28"/>
    <w:rsid w:val="006D70D0"/>
    <w:rsid w:val="006E0780"/>
    <w:rsid w:val="006E0856"/>
    <w:rsid w:val="006E0ECF"/>
    <w:rsid w:val="006E12FF"/>
    <w:rsid w:val="006E1FB0"/>
    <w:rsid w:val="006E3180"/>
    <w:rsid w:val="006E3C6D"/>
    <w:rsid w:val="006E54E5"/>
    <w:rsid w:val="006E5B41"/>
    <w:rsid w:val="006E607E"/>
    <w:rsid w:val="006E6C05"/>
    <w:rsid w:val="006E71FD"/>
    <w:rsid w:val="006F20B7"/>
    <w:rsid w:val="006F478C"/>
    <w:rsid w:val="006F4EEE"/>
    <w:rsid w:val="006F583B"/>
    <w:rsid w:val="006F6AF3"/>
    <w:rsid w:val="006F6F3C"/>
    <w:rsid w:val="006F6F65"/>
    <w:rsid w:val="006F7488"/>
    <w:rsid w:val="0070194A"/>
    <w:rsid w:val="00702322"/>
    <w:rsid w:val="0070381D"/>
    <w:rsid w:val="0070407D"/>
    <w:rsid w:val="00706C5D"/>
    <w:rsid w:val="0070709F"/>
    <w:rsid w:val="00710622"/>
    <w:rsid w:val="00710F11"/>
    <w:rsid w:val="007114CE"/>
    <w:rsid w:val="0071241C"/>
    <w:rsid w:val="0071279D"/>
    <w:rsid w:val="007127BE"/>
    <w:rsid w:val="00712978"/>
    <w:rsid w:val="00712AD3"/>
    <w:rsid w:val="00712F63"/>
    <w:rsid w:val="007133FE"/>
    <w:rsid w:val="007152B2"/>
    <w:rsid w:val="00717361"/>
    <w:rsid w:val="00717EC0"/>
    <w:rsid w:val="00720130"/>
    <w:rsid w:val="007228E8"/>
    <w:rsid w:val="00722A1B"/>
    <w:rsid w:val="00722E14"/>
    <w:rsid w:val="00723A5A"/>
    <w:rsid w:val="0072617B"/>
    <w:rsid w:val="007266C3"/>
    <w:rsid w:val="00726D16"/>
    <w:rsid w:val="00726E61"/>
    <w:rsid w:val="007271F6"/>
    <w:rsid w:val="00727398"/>
    <w:rsid w:val="007327F0"/>
    <w:rsid w:val="00732922"/>
    <w:rsid w:val="00732B9A"/>
    <w:rsid w:val="00733EFD"/>
    <w:rsid w:val="00734473"/>
    <w:rsid w:val="00734F9E"/>
    <w:rsid w:val="00735370"/>
    <w:rsid w:val="007359CD"/>
    <w:rsid w:val="0073711C"/>
    <w:rsid w:val="00737B3A"/>
    <w:rsid w:val="00737F72"/>
    <w:rsid w:val="00741842"/>
    <w:rsid w:val="00742BDE"/>
    <w:rsid w:val="00743E33"/>
    <w:rsid w:val="007456B0"/>
    <w:rsid w:val="00745933"/>
    <w:rsid w:val="00746756"/>
    <w:rsid w:val="007468D8"/>
    <w:rsid w:val="007469D7"/>
    <w:rsid w:val="00746F90"/>
    <w:rsid w:val="00747826"/>
    <w:rsid w:val="007504FB"/>
    <w:rsid w:val="0075162E"/>
    <w:rsid w:val="00751890"/>
    <w:rsid w:val="007519B5"/>
    <w:rsid w:val="00751C9A"/>
    <w:rsid w:val="00752AF0"/>
    <w:rsid w:val="0075358E"/>
    <w:rsid w:val="00754034"/>
    <w:rsid w:val="00755CBA"/>
    <w:rsid w:val="00755F3D"/>
    <w:rsid w:val="00756556"/>
    <w:rsid w:val="007566B2"/>
    <w:rsid w:val="00756E6E"/>
    <w:rsid w:val="00756F71"/>
    <w:rsid w:val="007575B8"/>
    <w:rsid w:val="00757799"/>
    <w:rsid w:val="007604F5"/>
    <w:rsid w:val="00760DA0"/>
    <w:rsid w:val="007613DE"/>
    <w:rsid w:val="007618C4"/>
    <w:rsid w:val="00761BFA"/>
    <w:rsid w:val="00763AD8"/>
    <w:rsid w:val="00764563"/>
    <w:rsid w:val="007645C3"/>
    <w:rsid w:val="00764679"/>
    <w:rsid w:val="007654DE"/>
    <w:rsid w:val="007658C4"/>
    <w:rsid w:val="00765BFB"/>
    <w:rsid w:val="007678B6"/>
    <w:rsid w:val="00767980"/>
    <w:rsid w:val="0077039E"/>
    <w:rsid w:val="00770736"/>
    <w:rsid w:val="00770B19"/>
    <w:rsid w:val="00770B4A"/>
    <w:rsid w:val="00771194"/>
    <w:rsid w:val="0077131D"/>
    <w:rsid w:val="00771A10"/>
    <w:rsid w:val="0077463F"/>
    <w:rsid w:val="00776887"/>
    <w:rsid w:val="00777062"/>
    <w:rsid w:val="00780BC3"/>
    <w:rsid w:val="00781EBC"/>
    <w:rsid w:val="0078242E"/>
    <w:rsid w:val="007824F5"/>
    <w:rsid w:val="007836EA"/>
    <w:rsid w:val="00783756"/>
    <w:rsid w:val="00783D35"/>
    <w:rsid w:val="007843B1"/>
    <w:rsid w:val="0078475D"/>
    <w:rsid w:val="0078483B"/>
    <w:rsid w:val="00784CDA"/>
    <w:rsid w:val="00785BB4"/>
    <w:rsid w:val="00786885"/>
    <w:rsid w:val="00787EFF"/>
    <w:rsid w:val="007900BC"/>
    <w:rsid w:val="007906C4"/>
    <w:rsid w:val="00790789"/>
    <w:rsid w:val="00791CEC"/>
    <w:rsid w:val="007924C6"/>
    <w:rsid w:val="00792D1E"/>
    <w:rsid w:val="00793316"/>
    <w:rsid w:val="007940EA"/>
    <w:rsid w:val="007943B0"/>
    <w:rsid w:val="007948A7"/>
    <w:rsid w:val="007955FB"/>
    <w:rsid w:val="00795B99"/>
    <w:rsid w:val="00795ECE"/>
    <w:rsid w:val="007967E8"/>
    <w:rsid w:val="00796B2A"/>
    <w:rsid w:val="00796FF8"/>
    <w:rsid w:val="007979A8"/>
    <w:rsid w:val="007A0352"/>
    <w:rsid w:val="007A0954"/>
    <w:rsid w:val="007A0CD4"/>
    <w:rsid w:val="007A123A"/>
    <w:rsid w:val="007A1B60"/>
    <w:rsid w:val="007A2170"/>
    <w:rsid w:val="007A22BF"/>
    <w:rsid w:val="007A3168"/>
    <w:rsid w:val="007A3323"/>
    <w:rsid w:val="007A491B"/>
    <w:rsid w:val="007A55A8"/>
    <w:rsid w:val="007A5B7F"/>
    <w:rsid w:val="007A6491"/>
    <w:rsid w:val="007A6604"/>
    <w:rsid w:val="007A6EA6"/>
    <w:rsid w:val="007A71C9"/>
    <w:rsid w:val="007B05D3"/>
    <w:rsid w:val="007B0CF4"/>
    <w:rsid w:val="007B1238"/>
    <w:rsid w:val="007B167F"/>
    <w:rsid w:val="007B1F7F"/>
    <w:rsid w:val="007B2837"/>
    <w:rsid w:val="007B3CA3"/>
    <w:rsid w:val="007B576B"/>
    <w:rsid w:val="007B72B8"/>
    <w:rsid w:val="007B76CF"/>
    <w:rsid w:val="007B7A58"/>
    <w:rsid w:val="007B7D41"/>
    <w:rsid w:val="007B7DA5"/>
    <w:rsid w:val="007B7E48"/>
    <w:rsid w:val="007C1E2A"/>
    <w:rsid w:val="007C216B"/>
    <w:rsid w:val="007C21B5"/>
    <w:rsid w:val="007C47F0"/>
    <w:rsid w:val="007C55C3"/>
    <w:rsid w:val="007C590E"/>
    <w:rsid w:val="007C6622"/>
    <w:rsid w:val="007C6853"/>
    <w:rsid w:val="007D0223"/>
    <w:rsid w:val="007D0899"/>
    <w:rsid w:val="007D2817"/>
    <w:rsid w:val="007D29CC"/>
    <w:rsid w:val="007D37C7"/>
    <w:rsid w:val="007D3F65"/>
    <w:rsid w:val="007D486E"/>
    <w:rsid w:val="007D4BFF"/>
    <w:rsid w:val="007D5BFC"/>
    <w:rsid w:val="007D6239"/>
    <w:rsid w:val="007D6553"/>
    <w:rsid w:val="007D6D23"/>
    <w:rsid w:val="007E2F81"/>
    <w:rsid w:val="007E378A"/>
    <w:rsid w:val="007E3DC0"/>
    <w:rsid w:val="007E4341"/>
    <w:rsid w:val="007E4BD2"/>
    <w:rsid w:val="007E6164"/>
    <w:rsid w:val="007E62C2"/>
    <w:rsid w:val="007E6EB2"/>
    <w:rsid w:val="007E7215"/>
    <w:rsid w:val="007F1F35"/>
    <w:rsid w:val="007F23BD"/>
    <w:rsid w:val="007F2FB9"/>
    <w:rsid w:val="007F385A"/>
    <w:rsid w:val="007F5413"/>
    <w:rsid w:val="007F578D"/>
    <w:rsid w:val="007F590A"/>
    <w:rsid w:val="008008A0"/>
    <w:rsid w:val="00801393"/>
    <w:rsid w:val="00801D24"/>
    <w:rsid w:val="008024A3"/>
    <w:rsid w:val="00802D07"/>
    <w:rsid w:val="00802F88"/>
    <w:rsid w:val="0080331C"/>
    <w:rsid w:val="00804537"/>
    <w:rsid w:val="00807A8E"/>
    <w:rsid w:val="00807EC4"/>
    <w:rsid w:val="008101E3"/>
    <w:rsid w:val="008107B2"/>
    <w:rsid w:val="00810813"/>
    <w:rsid w:val="00810C06"/>
    <w:rsid w:val="00811193"/>
    <w:rsid w:val="00811656"/>
    <w:rsid w:val="00811BBC"/>
    <w:rsid w:val="00811C43"/>
    <w:rsid w:val="008126F1"/>
    <w:rsid w:val="0081293E"/>
    <w:rsid w:val="00813DE2"/>
    <w:rsid w:val="008151A5"/>
    <w:rsid w:val="00815465"/>
    <w:rsid w:val="0081618E"/>
    <w:rsid w:val="0081661E"/>
    <w:rsid w:val="00816B7B"/>
    <w:rsid w:val="0081718B"/>
    <w:rsid w:val="00817633"/>
    <w:rsid w:val="00817E5E"/>
    <w:rsid w:val="00817E9A"/>
    <w:rsid w:val="008200D5"/>
    <w:rsid w:val="00821397"/>
    <w:rsid w:val="0082287B"/>
    <w:rsid w:val="008239E9"/>
    <w:rsid w:val="00823B3C"/>
    <w:rsid w:val="00824640"/>
    <w:rsid w:val="008259CC"/>
    <w:rsid w:val="008306BD"/>
    <w:rsid w:val="008306D8"/>
    <w:rsid w:val="00830C0A"/>
    <w:rsid w:val="00831442"/>
    <w:rsid w:val="00831A80"/>
    <w:rsid w:val="00831E39"/>
    <w:rsid w:val="00832029"/>
    <w:rsid w:val="00833743"/>
    <w:rsid w:val="00833D22"/>
    <w:rsid w:val="008340A4"/>
    <w:rsid w:val="0083497F"/>
    <w:rsid w:val="00835A27"/>
    <w:rsid w:val="00835D78"/>
    <w:rsid w:val="00835F0A"/>
    <w:rsid w:val="008368C8"/>
    <w:rsid w:val="00836C2A"/>
    <w:rsid w:val="00837281"/>
    <w:rsid w:val="0083794E"/>
    <w:rsid w:val="00840157"/>
    <w:rsid w:val="0084049F"/>
    <w:rsid w:val="00840C39"/>
    <w:rsid w:val="00843030"/>
    <w:rsid w:val="008447E3"/>
    <w:rsid w:val="008462F4"/>
    <w:rsid w:val="00846342"/>
    <w:rsid w:val="00847DDA"/>
    <w:rsid w:val="0085009D"/>
    <w:rsid w:val="0085063B"/>
    <w:rsid w:val="00853C7E"/>
    <w:rsid w:val="008555DC"/>
    <w:rsid w:val="008568E7"/>
    <w:rsid w:val="00856D36"/>
    <w:rsid w:val="00856D44"/>
    <w:rsid w:val="008572A9"/>
    <w:rsid w:val="0085770F"/>
    <w:rsid w:val="0086052D"/>
    <w:rsid w:val="00860615"/>
    <w:rsid w:val="008617AF"/>
    <w:rsid w:val="00862A29"/>
    <w:rsid w:val="008651B1"/>
    <w:rsid w:val="00866B5D"/>
    <w:rsid w:val="0086722B"/>
    <w:rsid w:val="008679F4"/>
    <w:rsid w:val="0087135F"/>
    <w:rsid w:val="00871786"/>
    <w:rsid w:val="00872095"/>
    <w:rsid w:val="008722F8"/>
    <w:rsid w:val="008723F9"/>
    <w:rsid w:val="00872D94"/>
    <w:rsid w:val="00872F7D"/>
    <w:rsid w:val="008741AC"/>
    <w:rsid w:val="00874E32"/>
    <w:rsid w:val="00875369"/>
    <w:rsid w:val="00875C66"/>
    <w:rsid w:val="00876173"/>
    <w:rsid w:val="00876738"/>
    <w:rsid w:val="00877516"/>
    <w:rsid w:val="0088004F"/>
    <w:rsid w:val="008800E8"/>
    <w:rsid w:val="008802E5"/>
    <w:rsid w:val="00880364"/>
    <w:rsid w:val="0088038E"/>
    <w:rsid w:val="00880B30"/>
    <w:rsid w:val="00881BE0"/>
    <w:rsid w:val="00881BF9"/>
    <w:rsid w:val="0088350F"/>
    <w:rsid w:val="008839BF"/>
    <w:rsid w:val="00883C67"/>
    <w:rsid w:val="00883E44"/>
    <w:rsid w:val="008849B0"/>
    <w:rsid w:val="00884A2D"/>
    <w:rsid w:val="0088513F"/>
    <w:rsid w:val="0088579F"/>
    <w:rsid w:val="0088685C"/>
    <w:rsid w:val="00887645"/>
    <w:rsid w:val="0089045F"/>
    <w:rsid w:val="0089125E"/>
    <w:rsid w:val="00891592"/>
    <w:rsid w:val="00891E9E"/>
    <w:rsid w:val="008929A6"/>
    <w:rsid w:val="00892E88"/>
    <w:rsid w:val="0089375D"/>
    <w:rsid w:val="00893F7F"/>
    <w:rsid w:val="008940B9"/>
    <w:rsid w:val="0089431B"/>
    <w:rsid w:val="008943BC"/>
    <w:rsid w:val="0089493D"/>
    <w:rsid w:val="00895424"/>
    <w:rsid w:val="008956DA"/>
    <w:rsid w:val="00896F00"/>
    <w:rsid w:val="0089790D"/>
    <w:rsid w:val="008A0189"/>
    <w:rsid w:val="008A10E3"/>
    <w:rsid w:val="008A2C1D"/>
    <w:rsid w:val="008A2F68"/>
    <w:rsid w:val="008A4084"/>
    <w:rsid w:val="008A5EBF"/>
    <w:rsid w:val="008A6748"/>
    <w:rsid w:val="008A67C2"/>
    <w:rsid w:val="008B092E"/>
    <w:rsid w:val="008B1CAD"/>
    <w:rsid w:val="008B26C1"/>
    <w:rsid w:val="008B30D6"/>
    <w:rsid w:val="008B3150"/>
    <w:rsid w:val="008B35FE"/>
    <w:rsid w:val="008B4CE2"/>
    <w:rsid w:val="008B4FA6"/>
    <w:rsid w:val="008B509A"/>
    <w:rsid w:val="008B5282"/>
    <w:rsid w:val="008B7BFF"/>
    <w:rsid w:val="008B7C17"/>
    <w:rsid w:val="008C0351"/>
    <w:rsid w:val="008C22FA"/>
    <w:rsid w:val="008C27E3"/>
    <w:rsid w:val="008C2D01"/>
    <w:rsid w:val="008C37CA"/>
    <w:rsid w:val="008C40E6"/>
    <w:rsid w:val="008C46B4"/>
    <w:rsid w:val="008C4EBB"/>
    <w:rsid w:val="008C56B7"/>
    <w:rsid w:val="008C5E4A"/>
    <w:rsid w:val="008C7709"/>
    <w:rsid w:val="008C77C8"/>
    <w:rsid w:val="008D078D"/>
    <w:rsid w:val="008D0F7A"/>
    <w:rsid w:val="008D1493"/>
    <w:rsid w:val="008D1F9C"/>
    <w:rsid w:val="008D4608"/>
    <w:rsid w:val="008D4680"/>
    <w:rsid w:val="008D4E97"/>
    <w:rsid w:val="008D63D6"/>
    <w:rsid w:val="008D68E4"/>
    <w:rsid w:val="008D6C0E"/>
    <w:rsid w:val="008D6CA5"/>
    <w:rsid w:val="008E0361"/>
    <w:rsid w:val="008E0506"/>
    <w:rsid w:val="008E08EC"/>
    <w:rsid w:val="008E0CFF"/>
    <w:rsid w:val="008E1171"/>
    <w:rsid w:val="008E1528"/>
    <w:rsid w:val="008E1E41"/>
    <w:rsid w:val="008E2F21"/>
    <w:rsid w:val="008E317C"/>
    <w:rsid w:val="008E4409"/>
    <w:rsid w:val="008E54ED"/>
    <w:rsid w:val="008E572E"/>
    <w:rsid w:val="008E5CAA"/>
    <w:rsid w:val="008E5D6B"/>
    <w:rsid w:val="008E6023"/>
    <w:rsid w:val="008E6879"/>
    <w:rsid w:val="008E76F0"/>
    <w:rsid w:val="008E787A"/>
    <w:rsid w:val="008E7BA7"/>
    <w:rsid w:val="008E7BCC"/>
    <w:rsid w:val="008E7E51"/>
    <w:rsid w:val="008E7F8F"/>
    <w:rsid w:val="008F15FE"/>
    <w:rsid w:val="008F2A59"/>
    <w:rsid w:val="008F2D29"/>
    <w:rsid w:val="008F355E"/>
    <w:rsid w:val="008F467B"/>
    <w:rsid w:val="008F5187"/>
    <w:rsid w:val="008F5594"/>
    <w:rsid w:val="008F5B87"/>
    <w:rsid w:val="008F60D8"/>
    <w:rsid w:val="008F66F0"/>
    <w:rsid w:val="008F7258"/>
    <w:rsid w:val="008F73FF"/>
    <w:rsid w:val="00900E91"/>
    <w:rsid w:val="00901F4D"/>
    <w:rsid w:val="00902727"/>
    <w:rsid w:val="0090279B"/>
    <w:rsid w:val="00902B39"/>
    <w:rsid w:val="0090312B"/>
    <w:rsid w:val="00903755"/>
    <w:rsid w:val="00903811"/>
    <w:rsid w:val="00903E58"/>
    <w:rsid w:val="00904D75"/>
    <w:rsid w:val="00905242"/>
    <w:rsid w:val="00905A56"/>
    <w:rsid w:val="00905B89"/>
    <w:rsid w:val="00907E6D"/>
    <w:rsid w:val="00911298"/>
    <w:rsid w:val="009112B5"/>
    <w:rsid w:val="009112DF"/>
    <w:rsid w:val="0091260F"/>
    <w:rsid w:val="00912EA0"/>
    <w:rsid w:val="00913E96"/>
    <w:rsid w:val="00915691"/>
    <w:rsid w:val="009158AA"/>
    <w:rsid w:val="0091736D"/>
    <w:rsid w:val="009174A2"/>
    <w:rsid w:val="00917AA5"/>
    <w:rsid w:val="00917ADE"/>
    <w:rsid w:val="00917B18"/>
    <w:rsid w:val="00917C50"/>
    <w:rsid w:val="00917FF6"/>
    <w:rsid w:val="0092061A"/>
    <w:rsid w:val="00920BCB"/>
    <w:rsid w:val="009220D6"/>
    <w:rsid w:val="0092376A"/>
    <w:rsid w:val="00925258"/>
    <w:rsid w:val="00927A9D"/>
    <w:rsid w:val="00930238"/>
    <w:rsid w:val="00930356"/>
    <w:rsid w:val="0093037A"/>
    <w:rsid w:val="00930461"/>
    <w:rsid w:val="009338B3"/>
    <w:rsid w:val="00934224"/>
    <w:rsid w:val="009343CD"/>
    <w:rsid w:val="00934A9A"/>
    <w:rsid w:val="009352C3"/>
    <w:rsid w:val="00935665"/>
    <w:rsid w:val="0093626F"/>
    <w:rsid w:val="00936E11"/>
    <w:rsid w:val="00937882"/>
    <w:rsid w:val="00937CE8"/>
    <w:rsid w:val="0094154D"/>
    <w:rsid w:val="009424DC"/>
    <w:rsid w:val="009426FD"/>
    <w:rsid w:val="009436BD"/>
    <w:rsid w:val="0094485E"/>
    <w:rsid w:val="00944C2D"/>
    <w:rsid w:val="009452A9"/>
    <w:rsid w:val="00945D4B"/>
    <w:rsid w:val="00945E77"/>
    <w:rsid w:val="00946C56"/>
    <w:rsid w:val="00946E66"/>
    <w:rsid w:val="00947573"/>
    <w:rsid w:val="0094765A"/>
    <w:rsid w:val="00947BF9"/>
    <w:rsid w:val="00950490"/>
    <w:rsid w:val="00950AF3"/>
    <w:rsid w:val="0095155F"/>
    <w:rsid w:val="00951864"/>
    <w:rsid w:val="00951886"/>
    <w:rsid w:val="00952DD2"/>
    <w:rsid w:val="00953B69"/>
    <w:rsid w:val="00954429"/>
    <w:rsid w:val="009549B4"/>
    <w:rsid w:val="0095539B"/>
    <w:rsid w:val="009558A0"/>
    <w:rsid w:val="009563CE"/>
    <w:rsid w:val="0095745A"/>
    <w:rsid w:val="00957A97"/>
    <w:rsid w:val="0096026E"/>
    <w:rsid w:val="00960524"/>
    <w:rsid w:val="00960D0F"/>
    <w:rsid w:val="009613A8"/>
    <w:rsid w:val="009619FF"/>
    <w:rsid w:val="00963972"/>
    <w:rsid w:val="00965CA7"/>
    <w:rsid w:val="009664D7"/>
    <w:rsid w:val="00966B00"/>
    <w:rsid w:val="00967EEF"/>
    <w:rsid w:val="009707B6"/>
    <w:rsid w:val="00970ED2"/>
    <w:rsid w:val="00971D52"/>
    <w:rsid w:val="00971FA5"/>
    <w:rsid w:val="009735CD"/>
    <w:rsid w:val="00974445"/>
    <w:rsid w:val="009748B0"/>
    <w:rsid w:val="009750FC"/>
    <w:rsid w:val="00975443"/>
    <w:rsid w:val="00975CA9"/>
    <w:rsid w:val="0097619E"/>
    <w:rsid w:val="00976328"/>
    <w:rsid w:val="0097680D"/>
    <w:rsid w:val="00976996"/>
    <w:rsid w:val="00980CCD"/>
    <w:rsid w:val="0098148B"/>
    <w:rsid w:val="00981514"/>
    <w:rsid w:val="00982438"/>
    <w:rsid w:val="00982553"/>
    <w:rsid w:val="00982CBC"/>
    <w:rsid w:val="0098404C"/>
    <w:rsid w:val="00984921"/>
    <w:rsid w:val="00984C9E"/>
    <w:rsid w:val="00985283"/>
    <w:rsid w:val="0098649B"/>
    <w:rsid w:val="00986F39"/>
    <w:rsid w:val="009908D9"/>
    <w:rsid w:val="009909D9"/>
    <w:rsid w:val="00990A93"/>
    <w:rsid w:val="009911D5"/>
    <w:rsid w:val="00991EF8"/>
    <w:rsid w:val="00992167"/>
    <w:rsid w:val="00992703"/>
    <w:rsid w:val="00993174"/>
    <w:rsid w:val="009931FA"/>
    <w:rsid w:val="0099412E"/>
    <w:rsid w:val="0099481D"/>
    <w:rsid w:val="00995547"/>
    <w:rsid w:val="00995992"/>
    <w:rsid w:val="00995F4A"/>
    <w:rsid w:val="0099637A"/>
    <w:rsid w:val="00997794"/>
    <w:rsid w:val="009979DC"/>
    <w:rsid w:val="00997CF4"/>
    <w:rsid w:val="009A03E5"/>
    <w:rsid w:val="009A0F3B"/>
    <w:rsid w:val="009A1BB4"/>
    <w:rsid w:val="009A2628"/>
    <w:rsid w:val="009A285F"/>
    <w:rsid w:val="009A298A"/>
    <w:rsid w:val="009A3200"/>
    <w:rsid w:val="009A32E2"/>
    <w:rsid w:val="009A42F0"/>
    <w:rsid w:val="009A4602"/>
    <w:rsid w:val="009A4C3A"/>
    <w:rsid w:val="009A51B2"/>
    <w:rsid w:val="009A5724"/>
    <w:rsid w:val="009A618F"/>
    <w:rsid w:val="009A6549"/>
    <w:rsid w:val="009A6763"/>
    <w:rsid w:val="009A762E"/>
    <w:rsid w:val="009A77EB"/>
    <w:rsid w:val="009B043F"/>
    <w:rsid w:val="009B052B"/>
    <w:rsid w:val="009B081F"/>
    <w:rsid w:val="009B0897"/>
    <w:rsid w:val="009B0F6B"/>
    <w:rsid w:val="009B201D"/>
    <w:rsid w:val="009B30C5"/>
    <w:rsid w:val="009B378B"/>
    <w:rsid w:val="009B38BD"/>
    <w:rsid w:val="009B4A87"/>
    <w:rsid w:val="009B5ABD"/>
    <w:rsid w:val="009B5B80"/>
    <w:rsid w:val="009B69BF"/>
    <w:rsid w:val="009B7212"/>
    <w:rsid w:val="009B782B"/>
    <w:rsid w:val="009B7BD9"/>
    <w:rsid w:val="009B7E9D"/>
    <w:rsid w:val="009C0CED"/>
    <w:rsid w:val="009C1AB2"/>
    <w:rsid w:val="009C238A"/>
    <w:rsid w:val="009C27AF"/>
    <w:rsid w:val="009C2C76"/>
    <w:rsid w:val="009C3F55"/>
    <w:rsid w:val="009C44B9"/>
    <w:rsid w:val="009C4646"/>
    <w:rsid w:val="009C5815"/>
    <w:rsid w:val="009C5E15"/>
    <w:rsid w:val="009C7DD5"/>
    <w:rsid w:val="009C7E77"/>
    <w:rsid w:val="009C7F92"/>
    <w:rsid w:val="009D1358"/>
    <w:rsid w:val="009D17A1"/>
    <w:rsid w:val="009D2B3E"/>
    <w:rsid w:val="009D2D95"/>
    <w:rsid w:val="009D3076"/>
    <w:rsid w:val="009D3883"/>
    <w:rsid w:val="009D5115"/>
    <w:rsid w:val="009D63E8"/>
    <w:rsid w:val="009D73DB"/>
    <w:rsid w:val="009E0B6D"/>
    <w:rsid w:val="009E20C6"/>
    <w:rsid w:val="009E227D"/>
    <w:rsid w:val="009E373C"/>
    <w:rsid w:val="009E5019"/>
    <w:rsid w:val="009E6FDE"/>
    <w:rsid w:val="009E755A"/>
    <w:rsid w:val="009F2221"/>
    <w:rsid w:val="009F336E"/>
    <w:rsid w:val="009F43EA"/>
    <w:rsid w:val="009F51D2"/>
    <w:rsid w:val="009F60B6"/>
    <w:rsid w:val="009F6628"/>
    <w:rsid w:val="009F75B3"/>
    <w:rsid w:val="009F7824"/>
    <w:rsid w:val="00A00DA1"/>
    <w:rsid w:val="00A018B5"/>
    <w:rsid w:val="00A01D41"/>
    <w:rsid w:val="00A02C30"/>
    <w:rsid w:val="00A02FF0"/>
    <w:rsid w:val="00A0401F"/>
    <w:rsid w:val="00A04F1B"/>
    <w:rsid w:val="00A0501B"/>
    <w:rsid w:val="00A05210"/>
    <w:rsid w:val="00A0622E"/>
    <w:rsid w:val="00A0716F"/>
    <w:rsid w:val="00A075A9"/>
    <w:rsid w:val="00A0771D"/>
    <w:rsid w:val="00A10A66"/>
    <w:rsid w:val="00A10ECA"/>
    <w:rsid w:val="00A11AED"/>
    <w:rsid w:val="00A11EDE"/>
    <w:rsid w:val="00A135DA"/>
    <w:rsid w:val="00A13BEA"/>
    <w:rsid w:val="00A14100"/>
    <w:rsid w:val="00A145D3"/>
    <w:rsid w:val="00A14947"/>
    <w:rsid w:val="00A15E5D"/>
    <w:rsid w:val="00A16100"/>
    <w:rsid w:val="00A16459"/>
    <w:rsid w:val="00A16E8F"/>
    <w:rsid w:val="00A1703C"/>
    <w:rsid w:val="00A17ACB"/>
    <w:rsid w:val="00A17D5F"/>
    <w:rsid w:val="00A20B7A"/>
    <w:rsid w:val="00A21C25"/>
    <w:rsid w:val="00A231D7"/>
    <w:rsid w:val="00A23287"/>
    <w:rsid w:val="00A23DF9"/>
    <w:rsid w:val="00A2528C"/>
    <w:rsid w:val="00A25465"/>
    <w:rsid w:val="00A2700C"/>
    <w:rsid w:val="00A27E5E"/>
    <w:rsid w:val="00A27E8A"/>
    <w:rsid w:val="00A307AA"/>
    <w:rsid w:val="00A30A7A"/>
    <w:rsid w:val="00A30D5A"/>
    <w:rsid w:val="00A32A83"/>
    <w:rsid w:val="00A330E5"/>
    <w:rsid w:val="00A33651"/>
    <w:rsid w:val="00A35AEF"/>
    <w:rsid w:val="00A3635F"/>
    <w:rsid w:val="00A368DB"/>
    <w:rsid w:val="00A36F13"/>
    <w:rsid w:val="00A37220"/>
    <w:rsid w:val="00A404C4"/>
    <w:rsid w:val="00A404E7"/>
    <w:rsid w:val="00A40AAC"/>
    <w:rsid w:val="00A418B8"/>
    <w:rsid w:val="00A419EB"/>
    <w:rsid w:val="00A41D15"/>
    <w:rsid w:val="00A421BE"/>
    <w:rsid w:val="00A423AA"/>
    <w:rsid w:val="00A4364B"/>
    <w:rsid w:val="00A45298"/>
    <w:rsid w:val="00A45E35"/>
    <w:rsid w:val="00A47311"/>
    <w:rsid w:val="00A4735A"/>
    <w:rsid w:val="00A47E8A"/>
    <w:rsid w:val="00A502DA"/>
    <w:rsid w:val="00A50673"/>
    <w:rsid w:val="00A50755"/>
    <w:rsid w:val="00A50DC8"/>
    <w:rsid w:val="00A510A5"/>
    <w:rsid w:val="00A5140E"/>
    <w:rsid w:val="00A5173F"/>
    <w:rsid w:val="00A5181B"/>
    <w:rsid w:val="00A51C0C"/>
    <w:rsid w:val="00A51CCC"/>
    <w:rsid w:val="00A52C58"/>
    <w:rsid w:val="00A52F38"/>
    <w:rsid w:val="00A5336F"/>
    <w:rsid w:val="00A53EC6"/>
    <w:rsid w:val="00A5438F"/>
    <w:rsid w:val="00A55C0F"/>
    <w:rsid w:val="00A56BE1"/>
    <w:rsid w:val="00A576F2"/>
    <w:rsid w:val="00A5794D"/>
    <w:rsid w:val="00A60AC0"/>
    <w:rsid w:val="00A60BAA"/>
    <w:rsid w:val="00A61828"/>
    <w:rsid w:val="00A6188F"/>
    <w:rsid w:val="00A61ABF"/>
    <w:rsid w:val="00A62DA9"/>
    <w:rsid w:val="00A638E8"/>
    <w:rsid w:val="00A63A13"/>
    <w:rsid w:val="00A63AF8"/>
    <w:rsid w:val="00A65546"/>
    <w:rsid w:val="00A65AD3"/>
    <w:rsid w:val="00A6795F"/>
    <w:rsid w:val="00A7074E"/>
    <w:rsid w:val="00A70846"/>
    <w:rsid w:val="00A7141D"/>
    <w:rsid w:val="00A71701"/>
    <w:rsid w:val="00A71D3F"/>
    <w:rsid w:val="00A726C2"/>
    <w:rsid w:val="00A72F65"/>
    <w:rsid w:val="00A73C43"/>
    <w:rsid w:val="00A74F1E"/>
    <w:rsid w:val="00A76211"/>
    <w:rsid w:val="00A80565"/>
    <w:rsid w:val="00A809AF"/>
    <w:rsid w:val="00A81BC6"/>
    <w:rsid w:val="00A82AD1"/>
    <w:rsid w:val="00A82E15"/>
    <w:rsid w:val="00A83916"/>
    <w:rsid w:val="00A83F26"/>
    <w:rsid w:val="00A8618B"/>
    <w:rsid w:val="00A86D3D"/>
    <w:rsid w:val="00A8713F"/>
    <w:rsid w:val="00A87231"/>
    <w:rsid w:val="00A87BC0"/>
    <w:rsid w:val="00A90BA1"/>
    <w:rsid w:val="00A914F3"/>
    <w:rsid w:val="00A92443"/>
    <w:rsid w:val="00A930FD"/>
    <w:rsid w:val="00A953DC"/>
    <w:rsid w:val="00A95441"/>
    <w:rsid w:val="00A954BE"/>
    <w:rsid w:val="00A96011"/>
    <w:rsid w:val="00A967C4"/>
    <w:rsid w:val="00A970C8"/>
    <w:rsid w:val="00A97A9A"/>
    <w:rsid w:val="00AA0671"/>
    <w:rsid w:val="00AA111A"/>
    <w:rsid w:val="00AA11D5"/>
    <w:rsid w:val="00AA20D1"/>
    <w:rsid w:val="00AA2531"/>
    <w:rsid w:val="00AA26BF"/>
    <w:rsid w:val="00AA2FB3"/>
    <w:rsid w:val="00AA58B0"/>
    <w:rsid w:val="00AA63A2"/>
    <w:rsid w:val="00AA6682"/>
    <w:rsid w:val="00AA69D9"/>
    <w:rsid w:val="00AA6EC5"/>
    <w:rsid w:val="00AA7170"/>
    <w:rsid w:val="00AA7289"/>
    <w:rsid w:val="00AA76B6"/>
    <w:rsid w:val="00AA7BB1"/>
    <w:rsid w:val="00AA7D2C"/>
    <w:rsid w:val="00AB01B0"/>
    <w:rsid w:val="00AB0384"/>
    <w:rsid w:val="00AB047A"/>
    <w:rsid w:val="00AB0EB1"/>
    <w:rsid w:val="00AB13BC"/>
    <w:rsid w:val="00AB1AE2"/>
    <w:rsid w:val="00AB1E09"/>
    <w:rsid w:val="00AB1E45"/>
    <w:rsid w:val="00AB41FB"/>
    <w:rsid w:val="00AB468E"/>
    <w:rsid w:val="00AB469D"/>
    <w:rsid w:val="00AB5330"/>
    <w:rsid w:val="00AB60AD"/>
    <w:rsid w:val="00AB698D"/>
    <w:rsid w:val="00AB6B03"/>
    <w:rsid w:val="00AB6E23"/>
    <w:rsid w:val="00AB71DE"/>
    <w:rsid w:val="00AB740B"/>
    <w:rsid w:val="00AB7739"/>
    <w:rsid w:val="00AB7747"/>
    <w:rsid w:val="00AB7BF5"/>
    <w:rsid w:val="00AC04A9"/>
    <w:rsid w:val="00AC0B39"/>
    <w:rsid w:val="00AC0E9D"/>
    <w:rsid w:val="00AC14CE"/>
    <w:rsid w:val="00AC167E"/>
    <w:rsid w:val="00AC1DF9"/>
    <w:rsid w:val="00AC22E9"/>
    <w:rsid w:val="00AC2A56"/>
    <w:rsid w:val="00AC2B41"/>
    <w:rsid w:val="00AC2BF0"/>
    <w:rsid w:val="00AC4572"/>
    <w:rsid w:val="00AC45F5"/>
    <w:rsid w:val="00AC4E46"/>
    <w:rsid w:val="00AC6F39"/>
    <w:rsid w:val="00AC6FD4"/>
    <w:rsid w:val="00AC7483"/>
    <w:rsid w:val="00AC761C"/>
    <w:rsid w:val="00AD055E"/>
    <w:rsid w:val="00AD12DC"/>
    <w:rsid w:val="00AD2487"/>
    <w:rsid w:val="00AD248C"/>
    <w:rsid w:val="00AD46F5"/>
    <w:rsid w:val="00AD47A7"/>
    <w:rsid w:val="00AD485B"/>
    <w:rsid w:val="00AD5B47"/>
    <w:rsid w:val="00AD5F08"/>
    <w:rsid w:val="00AD67B8"/>
    <w:rsid w:val="00AD67BE"/>
    <w:rsid w:val="00AD69FA"/>
    <w:rsid w:val="00AE0847"/>
    <w:rsid w:val="00AE1BF6"/>
    <w:rsid w:val="00AE1EE1"/>
    <w:rsid w:val="00AE3324"/>
    <w:rsid w:val="00AE3BBF"/>
    <w:rsid w:val="00AE4F5D"/>
    <w:rsid w:val="00AE5E70"/>
    <w:rsid w:val="00AE6512"/>
    <w:rsid w:val="00AE6CCF"/>
    <w:rsid w:val="00AF0607"/>
    <w:rsid w:val="00AF0CBF"/>
    <w:rsid w:val="00AF2329"/>
    <w:rsid w:val="00AF236D"/>
    <w:rsid w:val="00AF257F"/>
    <w:rsid w:val="00AF33CF"/>
    <w:rsid w:val="00AF3AA1"/>
    <w:rsid w:val="00AF46BF"/>
    <w:rsid w:val="00AF4AC7"/>
    <w:rsid w:val="00AF4D50"/>
    <w:rsid w:val="00AF567D"/>
    <w:rsid w:val="00AF5D9F"/>
    <w:rsid w:val="00AF6179"/>
    <w:rsid w:val="00AF761B"/>
    <w:rsid w:val="00B00891"/>
    <w:rsid w:val="00B00DC1"/>
    <w:rsid w:val="00B0122F"/>
    <w:rsid w:val="00B01499"/>
    <w:rsid w:val="00B0161C"/>
    <w:rsid w:val="00B01C06"/>
    <w:rsid w:val="00B01CDA"/>
    <w:rsid w:val="00B02CED"/>
    <w:rsid w:val="00B02E38"/>
    <w:rsid w:val="00B051B6"/>
    <w:rsid w:val="00B054D1"/>
    <w:rsid w:val="00B05954"/>
    <w:rsid w:val="00B072CF"/>
    <w:rsid w:val="00B10247"/>
    <w:rsid w:val="00B10CC2"/>
    <w:rsid w:val="00B11014"/>
    <w:rsid w:val="00B111F4"/>
    <w:rsid w:val="00B11652"/>
    <w:rsid w:val="00B117F5"/>
    <w:rsid w:val="00B121FA"/>
    <w:rsid w:val="00B123DF"/>
    <w:rsid w:val="00B12416"/>
    <w:rsid w:val="00B127DB"/>
    <w:rsid w:val="00B1295A"/>
    <w:rsid w:val="00B12FF7"/>
    <w:rsid w:val="00B13218"/>
    <w:rsid w:val="00B1369B"/>
    <w:rsid w:val="00B13D12"/>
    <w:rsid w:val="00B14077"/>
    <w:rsid w:val="00B14A7E"/>
    <w:rsid w:val="00B16384"/>
    <w:rsid w:val="00B20354"/>
    <w:rsid w:val="00B203DC"/>
    <w:rsid w:val="00B20A45"/>
    <w:rsid w:val="00B20F1D"/>
    <w:rsid w:val="00B211BF"/>
    <w:rsid w:val="00B21624"/>
    <w:rsid w:val="00B22072"/>
    <w:rsid w:val="00B2240C"/>
    <w:rsid w:val="00B22B16"/>
    <w:rsid w:val="00B22C5C"/>
    <w:rsid w:val="00B22F7D"/>
    <w:rsid w:val="00B24F30"/>
    <w:rsid w:val="00B25105"/>
    <w:rsid w:val="00B25D39"/>
    <w:rsid w:val="00B26136"/>
    <w:rsid w:val="00B2795C"/>
    <w:rsid w:val="00B27F82"/>
    <w:rsid w:val="00B30395"/>
    <w:rsid w:val="00B30BB3"/>
    <w:rsid w:val="00B31ABF"/>
    <w:rsid w:val="00B32919"/>
    <w:rsid w:val="00B33BE3"/>
    <w:rsid w:val="00B33C58"/>
    <w:rsid w:val="00B36AD6"/>
    <w:rsid w:val="00B37B00"/>
    <w:rsid w:val="00B40A1A"/>
    <w:rsid w:val="00B4119A"/>
    <w:rsid w:val="00B4130F"/>
    <w:rsid w:val="00B417E1"/>
    <w:rsid w:val="00B43534"/>
    <w:rsid w:val="00B4359C"/>
    <w:rsid w:val="00B45DC2"/>
    <w:rsid w:val="00B460B4"/>
    <w:rsid w:val="00B466CE"/>
    <w:rsid w:val="00B46AD7"/>
    <w:rsid w:val="00B46D87"/>
    <w:rsid w:val="00B46FBB"/>
    <w:rsid w:val="00B47687"/>
    <w:rsid w:val="00B50367"/>
    <w:rsid w:val="00B50808"/>
    <w:rsid w:val="00B51657"/>
    <w:rsid w:val="00B51C3B"/>
    <w:rsid w:val="00B525DE"/>
    <w:rsid w:val="00B52F40"/>
    <w:rsid w:val="00B5379B"/>
    <w:rsid w:val="00B5382D"/>
    <w:rsid w:val="00B53B5D"/>
    <w:rsid w:val="00B53DC6"/>
    <w:rsid w:val="00B54689"/>
    <w:rsid w:val="00B55120"/>
    <w:rsid w:val="00B600D0"/>
    <w:rsid w:val="00B60308"/>
    <w:rsid w:val="00B6055E"/>
    <w:rsid w:val="00B625AE"/>
    <w:rsid w:val="00B626FA"/>
    <w:rsid w:val="00B6317D"/>
    <w:rsid w:val="00B631C3"/>
    <w:rsid w:val="00B64359"/>
    <w:rsid w:val="00B6456A"/>
    <w:rsid w:val="00B648A2"/>
    <w:rsid w:val="00B64A58"/>
    <w:rsid w:val="00B64C3A"/>
    <w:rsid w:val="00B64CBC"/>
    <w:rsid w:val="00B66D54"/>
    <w:rsid w:val="00B67316"/>
    <w:rsid w:val="00B674A0"/>
    <w:rsid w:val="00B676AA"/>
    <w:rsid w:val="00B67B22"/>
    <w:rsid w:val="00B7006D"/>
    <w:rsid w:val="00B707AC"/>
    <w:rsid w:val="00B715AD"/>
    <w:rsid w:val="00B71DCA"/>
    <w:rsid w:val="00B7230D"/>
    <w:rsid w:val="00B735AE"/>
    <w:rsid w:val="00B737ED"/>
    <w:rsid w:val="00B73F7F"/>
    <w:rsid w:val="00B74098"/>
    <w:rsid w:val="00B74C61"/>
    <w:rsid w:val="00B756AD"/>
    <w:rsid w:val="00B75D5A"/>
    <w:rsid w:val="00B76EA2"/>
    <w:rsid w:val="00B7723F"/>
    <w:rsid w:val="00B77D47"/>
    <w:rsid w:val="00B77F43"/>
    <w:rsid w:val="00B802EC"/>
    <w:rsid w:val="00B80534"/>
    <w:rsid w:val="00B82272"/>
    <w:rsid w:val="00B823F3"/>
    <w:rsid w:val="00B82EA8"/>
    <w:rsid w:val="00B8396C"/>
    <w:rsid w:val="00B8433C"/>
    <w:rsid w:val="00B845AA"/>
    <w:rsid w:val="00B8569D"/>
    <w:rsid w:val="00B859A0"/>
    <w:rsid w:val="00B85B27"/>
    <w:rsid w:val="00B85FEC"/>
    <w:rsid w:val="00B861A0"/>
    <w:rsid w:val="00B86969"/>
    <w:rsid w:val="00B87491"/>
    <w:rsid w:val="00B90A2D"/>
    <w:rsid w:val="00B919A7"/>
    <w:rsid w:val="00B92286"/>
    <w:rsid w:val="00B92349"/>
    <w:rsid w:val="00B923EE"/>
    <w:rsid w:val="00B9268C"/>
    <w:rsid w:val="00B92F94"/>
    <w:rsid w:val="00B952F8"/>
    <w:rsid w:val="00BA0E5C"/>
    <w:rsid w:val="00BA22BC"/>
    <w:rsid w:val="00BA29E9"/>
    <w:rsid w:val="00BA461B"/>
    <w:rsid w:val="00BA62A4"/>
    <w:rsid w:val="00BA7142"/>
    <w:rsid w:val="00BA7AF3"/>
    <w:rsid w:val="00BB076F"/>
    <w:rsid w:val="00BB10C4"/>
    <w:rsid w:val="00BB237C"/>
    <w:rsid w:val="00BB34D4"/>
    <w:rsid w:val="00BB3D34"/>
    <w:rsid w:val="00BB41A3"/>
    <w:rsid w:val="00BB5D53"/>
    <w:rsid w:val="00BB67D8"/>
    <w:rsid w:val="00BB6F86"/>
    <w:rsid w:val="00BB7112"/>
    <w:rsid w:val="00BB7129"/>
    <w:rsid w:val="00BC06CD"/>
    <w:rsid w:val="00BC09B1"/>
    <w:rsid w:val="00BC16D2"/>
    <w:rsid w:val="00BC1F53"/>
    <w:rsid w:val="00BC32DC"/>
    <w:rsid w:val="00BC35B6"/>
    <w:rsid w:val="00BC3CF3"/>
    <w:rsid w:val="00BC4816"/>
    <w:rsid w:val="00BC4C8D"/>
    <w:rsid w:val="00BC5C0A"/>
    <w:rsid w:val="00BC5D52"/>
    <w:rsid w:val="00BC69F4"/>
    <w:rsid w:val="00BC6B9C"/>
    <w:rsid w:val="00BC6C8D"/>
    <w:rsid w:val="00BC7278"/>
    <w:rsid w:val="00BC75A5"/>
    <w:rsid w:val="00BD0D4A"/>
    <w:rsid w:val="00BD19A8"/>
    <w:rsid w:val="00BD1B51"/>
    <w:rsid w:val="00BD4596"/>
    <w:rsid w:val="00BD49A2"/>
    <w:rsid w:val="00BD525C"/>
    <w:rsid w:val="00BD559D"/>
    <w:rsid w:val="00BD55D2"/>
    <w:rsid w:val="00BD796D"/>
    <w:rsid w:val="00BE0D21"/>
    <w:rsid w:val="00BE1405"/>
    <w:rsid w:val="00BE154C"/>
    <w:rsid w:val="00BE1AC7"/>
    <w:rsid w:val="00BE2220"/>
    <w:rsid w:val="00BE25DA"/>
    <w:rsid w:val="00BE312D"/>
    <w:rsid w:val="00BE35D1"/>
    <w:rsid w:val="00BE3C58"/>
    <w:rsid w:val="00BE3DFC"/>
    <w:rsid w:val="00BE3E04"/>
    <w:rsid w:val="00BE3E3F"/>
    <w:rsid w:val="00BE47DD"/>
    <w:rsid w:val="00BE5CA2"/>
    <w:rsid w:val="00BE69E9"/>
    <w:rsid w:val="00BE6A51"/>
    <w:rsid w:val="00BE6C89"/>
    <w:rsid w:val="00BE7FCC"/>
    <w:rsid w:val="00BF0E9B"/>
    <w:rsid w:val="00BF1C20"/>
    <w:rsid w:val="00BF2936"/>
    <w:rsid w:val="00BF2BF2"/>
    <w:rsid w:val="00BF323B"/>
    <w:rsid w:val="00BF3422"/>
    <w:rsid w:val="00BF359C"/>
    <w:rsid w:val="00BF4C0A"/>
    <w:rsid w:val="00BF52D1"/>
    <w:rsid w:val="00BF61A1"/>
    <w:rsid w:val="00BF7888"/>
    <w:rsid w:val="00C001C9"/>
    <w:rsid w:val="00C01190"/>
    <w:rsid w:val="00C0348F"/>
    <w:rsid w:val="00C03C50"/>
    <w:rsid w:val="00C04591"/>
    <w:rsid w:val="00C04641"/>
    <w:rsid w:val="00C06381"/>
    <w:rsid w:val="00C0735E"/>
    <w:rsid w:val="00C10578"/>
    <w:rsid w:val="00C113EE"/>
    <w:rsid w:val="00C12138"/>
    <w:rsid w:val="00C12D02"/>
    <w:rsid w:val="00C135BC"/>
    <w:rsid w:val="00C14B50"/>
    <w:rsid w:val="00C14DD3"/>
    <w:rsid w:val="00C14E14"/>
    <w:rsid w:val="00C15C95"/>
    <w:rsid w:val="00C16C26"/>
    <w:rsid w:val="00C176E4"/>
    <w:rsid w:val="00C20317"/>
    <w:rsid w:val="00C2192D"/>
    <w:rsid w:val="00C22FF9"/>
    <w:rsid w:val="00C23040"/>
    <w:rsid w:val="00C23912"/>
    <w:rsid w:val="00C250A0"/>
    <w:rsid w:val="00C2516E"/>
    <w:rsid w:val="00C2596A"/>
    <w:rsid w:val="00C25C52"/>
    <w:rsid w:val="00C26085"/>
    <w:rsid w:val="00C27056"/>
    <w:rsid w:val="00C27537"/>
    <w:rsid w:val="00C2765A"/>
    <w:rsid w:val="00C31984"/>
    <w:rsid w:val="00C325B1"/>
    <w:rsid w:val="00C32683"/>
    <w:rsid w:val="00C328FE"/>
    <w:rsid w:val="00C331BD"/>
    <w:rsid w:val="00C33507"/>
    <w:rsid w:val="00C3434E"/>
    <w:rsid w:val="00C345BA"/>
    <w:rsid w:val="00C34CA4"/>
    <w:rsid w:val="00C35A34"/>
    <w:rsid w:val="00C35B9C"/>
    <w:rsid w:val="00C362B9"/>
    <w:rsid w:val="00C363FE"/>
    <w:rsid w:val="00C379CE"/>
    <w:rsid w:val="00C37AD5"/>
    <w:rsid w:val="00C40705"/>
    <w:rsid w:val="00C408EA"/>
    <w:rsid w:val="00C41316"/>
    <w:rsid w:val="00C41395"/>
    <w:rsid w:val="00C414F1"/>
    <w:rsid w:val="00C41667"/>
    <w:rsid w:val="00C4409D"/>
    <w:rsid w:val="00C44E72"/>
    <w:rsid w:val="00C452F7"/>
    <w:rsid w:val="00C458DF"/>
    <w:rsid w:val="00C45A06"/>
    <w:rsid w:val="00C45F78"/>
    <w:rsid w:val="00C46012"/>
    <w:rsid w:val="00C4717D"/>
    <w:rsid w:val="00C4749B"/>
    <w:rsid w:val="00C47E5B"/>
    <w:rsid w:val="00C52D8C"/>
    <w:rsid w:val="00C56984"/>
    <w:rsid w:val="00C60593"/>
    <w:rsid w:val="00C61E48"/>
    <w:rsid w:val="00C61E4B"/>
    <w:rsid w:val="00C62C95"/>
    <w:rsid w:val="00C6404B"/>
    <w:rsid w:val="00C6416B"/>
    <w:rsid w:val="00C64BFF"/>
    <w:rsid w:val="00C64EE0"/>
    <w:rsid w:val="00C65E77"/>
    <w:rsid w:val="00C66647"/>
    <w:rsid w:val="00C677B8"/>
    <w:rsid w:val="00C704E9"/>
    <w:rsid w:val="00C70AEB"/>
    <w:rsid w:val="00C7134F"/>
    <w:rsid w:val="00C71B28"/>
    <w:rsid w:val="00C71B42"/>
    <w:rsid w:val="00C72251"/>
    <w:rsid w:val="00C7494A"/>
    <w:rsid w:val="00C763C9"/>
    <w:rsid w:val="00C76408"/>
    <w:rsid w:val="00C76E61"/>
    <w:rsid w:val="00C771B9"/>
    <w:rsid w:val="00C7765F"/>
    <w:rsid w:val="00C776C1"/>
    <w:rsid w:val="00C80057"/>
    <w:rsid w:val="00C80BB1"/>
    <w:rsid w:val="00C80E14"/>
    <w:rsid w:val="00C8133C"/>
    <w:rsid w:val="00C82232"/>
    <w:rsid w:val="00C82913"/>
    <w:rsid w:val="00C837ED"/>
    <w:rsid w:val="00C83D7A"/>
    <w:rsid w:val="00C83F67"/>
    <w:rsid w:val="00C83FE1"/>
    <w:rsid w:val="00C842D2"/>
    <w:rsid w:val="00C87C61"/>
    <w:rsid w:val="00C907EA"/>
    <w:rsid w:val="00C9254D"/>
    <w:rsid w:val="00C92CA2"/>
    <w:rsid w:val="00C9444F"/>
    <w:rsid w:val="00C94C2B"/>
    <w:rsid w:val="00C94C46"/>
    <w:rsid w:val="00C94EC7"/>
    <w:rsid w:val="00C95653"/>
    <w:rsid w:val="00C95ABB"/>
    <w:rsid w:val="00C972B1"/>
    <w:rsid w:val="00C9755E"/>
    <w:rsid w:val="00C97AE6"/>
    <w:rsid w:val="00CA0770"/>
    <w:rsid w:val="00CA0EE5"/>
    <w:rsid w:val="00CA1E8E"/>
    <w:rsid w:val="00CA2CCE"/>
    <w:rsid w:val="00CA309B"/>
    <w:rsid w:val="00CA43FD"/>
    <w:rsid w:val="00CA463C"/>
    <w:rsid w:val="00CA5C54"/>
    <w:rsid w:val="00CA5F83"/>
    <w:rsid w:val="00CA6A68"/>
    <w:rsid w:val="00CA76DB"/>
    <w:rsid w:val="00CA7EF8"/>
    <w:rsid w:val="00CB05FF"/>
    <w:rsid w:val="00CB0B6E"/>
    <w:rsid w:val="00CB321F"/>
    <w:rsid w:val="00CB5B13"/>
    <w:rsid w:val="00CB6699"/>
    <w:rsid w:val="00CB78E1"/>
    <w:rsid w:val="00CB7AB5"/>
    <w:rsid w:val="00CC032E"/>
    <w:rsid w:val="00CC0E47"/>
    <w:rsid w:val="00CC0F98"/>
    <w:rsid w:val="00CC1900"/>
    <w:rsid w:val="00CC1916"/>
    <w:rsid w:val="00CC1A4E"/>
    <w:rsid w:val="00CC29E8"/>
    <w:rsid w:val="00CC2F8B"/>
    <w:rsid w:val="00CC3EFF"/>
    <w:rsid w:val="00CC4229"/>
    <w:rsid w:val="00CC489B"/>
    <w:rsid w:val="00CC55B9"/>
    <w:rsid w:val="00CC57A7"/>
    <w:rsid w:val="00CC6255"/>
    <w:rsid w:val="00CC6347"/>
    <w:rsid w:val="00CC70B1"/>
    <w:rsid w:val="00CD04D9"/>
    <w:rsid w:val="00CD0F3C"/>
    <w:rsid w:val="00CD1983"/>
    <w:rsid w:val="00CD27CA"/>
    <w:rsid w:val="00CD2BCD"/>
    <w:rsid w:val="00CD2CB4"/>
    <w:rsid w:val="00CD38B0"/>
    <w:rsid w:val="00CD3A4C"/>
    <w:rsid w:val="00CD4521"/>
    <w:rsid w:val="00CD4BFE"/>
    <w:rsid w:val="00CD5505"/>
    <w:rsid w:val="00CD6E59"/>
    <w:rsid w:val="00CD7187"/>
    <w:rsid w:val="00CE0432"/>
    <w:rsid w:val="00CE08A1"/>
    <w:rsid w:val="00CE0B17"/>
    <w:rsid w:val="00CE10E9"/>
    <w:rsid w:val="00CE221E"/>
    <w:rsid w:val="00CE2673"/>
    <w:rsid w:val="00CE2675"/>
    <w:rsid w:val="00CE26C0"/>
    <w:rsid w:val="00CE2910"/>
    <w:rsid w:val="00CE358B"/>
    <w:rsid w:val="00CE467D"/>
    <w:rsid w:val="00CE4EA1"/>
    <w:rsid w:val="00CE5393"/>
    <w:rsid w:val="00CE5F5C"/>
    <w:rsid w:val="00CE6671"/>
    <w:rsid w:val="00CE6B1D"/>
    <w:rsid w:val="00CE7301"/>
    <w:rsid w:val="00CE74F6"/>
    <w:rsid w:val="00CE7AEE"/>
    <w:rsid w:val="00CF00D6"/>
    <w:rsid w:val="00CF02B1"/>
    <w:rsid w:val="00CF05B7"/>
    <w:rsid w:val="00CF05FA"/>
    <w:rsid w:val="00CF07DE"/>
    <w:rsid w:val="00CF0FAB"/>
    <w:rsid w:val="00CF11C6"/>
    <w:rsid w:val="00CF1C48"/>
    <w:rsid w:val="00CF36BE"/>
    <w:rsid w:val="00CF3A0F"/>
    <w:rsid w:val="00CF431A"/>
    <w:rsid w:val="00CF4A7B"/>
    <w:rsid w:val="00CF52F6"/>
    <w:rsid w:val="00CF56E2"/>
    <w:rsid w:val="00CF6000"/>
    <w:rsid w:val="00CF63E9"/>
    <w:rsid w:val="00CF6591"/>
    <w:rsid w:val="00CF6E66"/>
    <w:rsid w:val="00CF7E37"/>
    <w:rsid w:val="00D003F3"/>
    <w:rsid w:val="00D01174"/>
    <w:rsid w:val="00D02463"/>
    <w:rsid w:val="00D02531"/>
    <w:rsid w:val="00D0364F"/>
    <w:rsid w:val="00D03CAF"/>
    <w:rsid w:val="00D04ADB"/>
    <w:rsid w:val="00D05120"/>
    <w:rsid w:val="00D062EC"/>
    <w:rsid w:val="00D06834"/>
    <w:rsid w:val="00D11E83"/>
    <w:rsid w:val="00D147DF"/>
    <w:rsid w:val="00D14BEB"/>
    <w:rsid w:val="00D14F9F"/>
    <w:rsid w:val="00D15834"/>
    <w:rsid w:val="00D163D8"/>
    <w:rsid w:val="00D166F2"/>
    <w:rsid w:val="00D169E1"/>
    <w:rsid w:val="00D2136A"/>
    <w:rsid w:val="00D21B21"/>
    <w:rsid w:val="00D22949"/>
    <w:rsid w:val="00D247AA"/>
    <w:rsid w:val="00D24BC9"/>
    <w:rsid w:val="00D25187"/>
    <w:rsid w:val="00D258FA"/>
    <w:rsid w:val="00D26D56"/>
    <w:rsid w:val="00D26F7F"/>
    <w:rsid w:val="00D2772F"/>
    <w:rsid w:val="00D308ED"/>
    <w:rsid w:val="00D3184A"/>
    <w:rsid w:val="00D31C09"/>
    <w:rsid w:val="00D32452"/>
    <w:rsid w:val="00D32E6A"/>
    <w:rsid w:val="00D33305"/>
    <w:rsid w:val="00D335C1"/>
    <w:rsid w:val="00D349FD"/>
    <w:rsid w:val="00D362F3"/>
    <w:rsid w:val="00D36A4E"/>
    <w:rsid w:val="00D36D86"/>
    <w:rsid w:val="00D37711"/>
    <w:rsid w:val="00D378E3"/>
    <w:rsid w:val="00D401DF"/>
    <w:rsid w:val="00D403DD"/>
    <w:rsid w:val="00D4058B"/>
    <w:rsid w:val="00D42302"/>
    <w:rsid w:val="00D42311"/>
    <w:rsid w:val="00D427CA"/>
    <w:rsid w:val="00D428AA"/>
    <w:rsid w:val="00D42974"/>
    <w:rsid w:val="00D43166"/>
    <w:rsid w:val="00D451BD"/>
    <w:rsid w:val="00D45F56"/>
    <w:rsid w:val="00D46EF1"/>
    <w:rsid w:val="00D50A34"/>
    <w:rsid w:val="00D513ED"/>
    <w:rsid w:val="00D515F4"/>
    <w:rsid w:val="00D517D1"/>
    <w:rsid w:val="00D5186B"/>
    <w:rsid w:val="00D51B76"/>
    <w:rsid w:val="00D522B4"/>
    <w:rsid w:val="00D52C9B"/>
    <w:rsid w:val="00D53E73"/>
    <w:rsid w:val="00D53EFA"/>
    <w:rsid w:val="00D5413F"/>
    <w:rsid w:val="00D556C6"/>
    <w:rsid w:val="00D56170"/>
    <w:rsid w:val="00D56EDF"/>
    <w:rsid w:val="00D6248B"/>
    <w:rsid w:val="00D6280A"/>
    <w:rsid w:val="00D62E23"/>
    <w:rsid w:val="00D62FB1"/>
    <w:rsid w:val="00D635C7"/>
    <w:rsid w:val="00D6470A"/>
    <w:rsid w:val="00D6530E"/>
    <w:rsid w:val="00D65A2C"/>
    <w:rsid w:val="00D65CA5"/>
    <w:rsid w:val="00D65DB6"/>
    <w:rsid w:val="00D65E2F"/>
    <w:rsid w:val="00D65EC6"/>
    <w:rsid w:val="00D6603B"/>
    <w:rsid w:val="00D663A5"/>
    <w:rsid w:val="00D66561"/>
    <w:rsid w:val="00D66E72"/>
    <w:rsid w:val="00D678B2"/>
    <w:rsid w:val="00D70E35"/>
    <w:rsid w:val="00D7116B"/>
    <w:rsid w:val="00D71EE0"/>
    <w:rsid w:val="00D72E67"/>
    <w:rsid w:val="00D7305C"/>
    <w:rsid w:val="00D7329A"/>
    <w:rsid w:val="00D734D2"/>
    <w:rsid w:val="00D73A07"/>
    <w:rsid w:val="00D74522"/>
    <w:rsid w:val="00D747AD"/>
    <w:rsid w:val="00D752C8"/>
    <w:rsid w:val="00D76284"/>
    <w:rsid w:val="00D76D89"/>
    <w:rsid w:val="00D76DED"/>
    <w:rsid w:val="00D7736B"/>
    <w:rsid w:val="00D80A59"/>
    <w:rsid w:val="00D813EB"/>
    <w:rsid w:val="00D8149B"/>
    <w:rsid w:val="00D82E1B"/>
    <w:rsid w:val="00D8344E"/>
    <w:rsid w:val="00D83458"/>
    <w:rsid w:val="00D838FC"/>
    <w:rsid w:val="00D83AB3"/>
    <w:rsid w:val="00D845E9"/>
    <w:rsid w:val="00D85B14"/>
    <w:rsid w:val="00D864E3"/>
    <w:rsid w:val="00D86946"/>
    <w:rsid w:val="00D87137"/>
    <w:rsid w:val="00D87708"/>
    <w:rsid w:val="00D87EC5"/>
    <w:rsid w:val="00D90641"/>
    <w:rsid w:val="00D91009"/>
    <w:rsid w:val="00D91231"/>
    <w:rsid w:val="00D91E9B"/>
    <w:rsid w:val="00D91EC4"/>
    <w:rsid w:val="00D94A7C"/>
    <w:rsid w:val="00D94D92"/>
    <w:rsid w:val="00D95896"/>
    <w:rsid w:val="00D95B53"/>
    <w:rsid w:val="00D95C4A"/>
    <w:rsid w:val="00D9633F"/>
    <w:rsid w:val="00D96E89"/>
    <w:rsid w:val="00D9789E"/>
    <w:rsid w:val="00D97C10"/>
    <w:rsid w:val="00DA04A1"/>
    <w:rsid w:val="00DA06E8"/>
    <w:rsid w:val="00DA08A1"/>
    <w:rsid w:val="00DA18DC"/>
    <w:rsid w:val="00DA25BD"/>
    <w:rsid w:val="00DA293C"/>
    <w:rsid w:val="00DA2C50"/>
    <w:rsid w:val="00DA2D41"/>
    <w:rsid w:val="00DA2F14"/>
    <w:rsid w:val="00DA3385"/>
    <w:rsid w:val="00DA3960"/>
    <w:rsid w:val="00DA3ABC"/>
    <w:rsid w:val="00DA4000"/>
    <w:rsid w:val="00DA49B4"/>
    <w:rsid w:val="00DA4DBF"/>
    <w:rsid w:val="00DA531A"/>
    <w:rsid w:val="00DA5593"/>
    <w:rsid w:val="00DA582F"/>
    <w:rsid w:val="00DA7043"/>
    <w:rsid w:val="00DA7444"/>
    <w:rsid w:val="00DA75A3"/>
    <w:rsid w:val="00DA7669"/>
    <w:rsid w:val="00DA7D83"/>
    <w:rsid w:val="00DA7FB1"/>
    <w:rsid w:val="00DB07F3"/>
    <w:rsid w:val="00DB13AE"/>
    <w:rsid w:val="00DB22C2"/>
    <w:rsid w:val="00DB2983"/>
    <w:rsid w:val="00DB306F"/>
    <w:rsid w:val="00DB4037"/>
    <w:rsid w:val="00DB41F4"/>
    <w:rsid w:val="00DB4B93"/>
    <w:rsid w:val="00DB5AFB"/>
    <w:rsid w:val="00DB5B59"/>
    <w:rsid w:val="00DB5BFD"/>
    <w:rsid w:val="00DB5CDB"/>
    <w:rsid w:val="00DB6764"/>
    <w:rsid w:val="00DB7024"/>
    <w:rsid w:val="00DC0ABC"/>
    <w:rsid w:val="00DC0BBA"/>
    <w:rsid w:val="00DC0CE4"/>
    <w:rsid w:val="00DC1257"/>
    <w:rsid w:val="00DC38C0"/>
    <w:rsid w:val="00DC3DC0"/>
    <w:rsid w:val="00DC5B2B"/>
    <w:rsid w:val="00DC6CB8"/>
    <w:rsid w:val="00DC7CB1"/>
    <w:rsid w:val="00DD26CF"/>
    <w:rsid w:val="00DD318D"/>
    <w:rsid w:val="00DD3481"/>
    <w:rsid w:val="00DD3671"/>
    <w:rsid w:val="00DD4916"/>
    <w:rsid w:val="00DD4DA7"/>
    <w:rsid w:val="00DD5D04"/>
    <w:rsid w:val="00DD772E"/>
    <w:rsid w:val="00DD7902"/>
    <w:rsid w:val="00DD7AD9"/>
    <w:rsid w:val="00DD7BEF"/>
    <w:rsid w:val="00DE0644"/>
    <w:rsid w:val="00DE0FB4"/>
    <w:rsid w:val="00DE107C"/>
    <w:rsid w:val="00DE1681"/>
    <w:rsid w:val="00DE25C2"/>
    <w:rsid w:val="00DE2856"/>
    <w:rsid w:val="00DE3059"/>
    <w:rsid w:val="00DE3D21"/>
    <w:rsid w:val="00DE4169"/>
    <w:rsid w:val="00DE6E85"/>
    <w:rsid w:val="00DE6F0F"/>
    <w:rsid w:val="00DE759B"/>
    <w:rsid w:val="00DF0297"/>
    <w:rsid w:val="00DF2061"/>
    <w:rsid w:val="00DF29E8"/>
    <w:rsid w:val="00DF2A42"/>
    <w:rsid w:val="00DF2D6A"/>
    <w:rsid w:val="00DF2E12"/>
    <w:rsid w:val="00DF303D"/>
    <w:rsid w:val="00DF39E0"/>
    <w:rsid w:val="00DF3C3D"/>
    <w:rsid w:val="00DF4C54"/>
    <w:rsid w:val="00DF514A"/>
    <w:rsid w:val="00DF544B"/>
    <w:rsid w:val="00DF593A"/>
    <w:rsid w:val="00DF60AF"/>
    <w:rsid w:val="00DF6334"/>
    <w:rsid w:val="00DF6690"/>
    <w:rsid w:val="00DF6804"/>
    <w:rsid w:val="00DF6A55"/>
    <w:rsid w:val="00DF6CAE"/>
    <w:rsid w:val="00DF7CD4"/>
    <w:rsid w:val="00E0089A"/>
    <w:rsid w:val="00E00BCB"/>
    <w:rsid w:val="00E03488"/>
    <w:rsid w:val="00E0358D"/>
    <w:rsid w:val="00E04323"/>
    <w:rsid w:val="00E04B16"/>
    <w:rsid w:val="00E05F92"/>
    <w:rsid w:val="00E0637E"/>
    <w:rsid w:val="00E06C7F"/>
    <w:rsid w:val="00E070A2"/>
    <w:rsid w:val="00E07173"/>
    <w:rsid w:val="00E074A0"/>
    <w:rsid w:val="00E078B1"/>
    <w:rsid w:val="00E10C66"/>
    <w:rsid w:val="00E11506"/>
    <w:rsid w:val="00E1170A"/>
    <w:rsid w:val="00E11E20"/>
    <w:rsid w:val="00E12BDC"/>
    <w:rsid w:val="00E12E05"/>
    <w:rsid w:val="00E13619"/>
    <w:rsid w:val="00E139A3"/>
    <w:rsid w:val="00E15E5D"/>
    <w:rsid w:val="00E16FF7"/>
    <w:rsid w:val="00E17FE2"/>
    <w:rsid w:val="00E20B84"/>
    <w:rsid w:val="00E20B9C"/>
    <w:rsid w:val="00E216F7"/>
    <w:rsid w:val="00E225E2"/>
    <w:rsid w:val="00E22F29"/>
    <w:rsid w:val="00E23EF6"/>
    <w:rsid w:val="00E23F42"/>
    <w:rsid w:val="00E243DE"/>
    <w:rsid w:val="00E24B6E"/>
    <w:rsid w:val="00E25E39"/>
    <w:rsid w:val="00E25F84"/>
    <w:rsid w:val="00E26012"/>
    <w:rsid w:val="00E2656A"/>
    <w:rsid w:val="00E26AC4"/>
    <w:rsid w:val="00E26B91"/>
    <w:rsid w:val="00E26FAA"/>
    <w:rsid w:val="00E26FAC"/>
    <w:rsid w:val="00E272BF"/>
    <w:rsid w:val="00E278F9"/>
    <w:rsid w:val="00E27E2D"/>
    <w:rsid w:val="00E316BB"/>
    <w:rsid w:val="00E32C05"/>
    <w:rsid w:val="00E3368B"/>
    <w:rsid w:val="00E34720"/>
    <w:rsid w:val="00E348A3"/>
    <w:rsid w:val="00E34FF6"/>
    <w:rsid w:val="00E367FF"/>
    <w:rsid w:val="00E36B9E"/>
    <w:rsid w:val="00E37648"/>
    <w:rsid w:val="00E37B35"/>
    <w:rsid w:val="00E37B88"/>
    <w:rsid w:val="00E37E79"/>
    <w:rsid w:val="00E405C5"/>
    <w:rsid w:val="00E41042"/>
    <w:rsid w:val="00E411DC"/>
    <w:rsid w:val="00E412D0"/>
    <w:rsid w:val="00E423C3"/>
    <w:rsid w:val="00E427C4"/>
    <w:rsid w:val="00E42EFA"/>
    <w:rsid w:val="00E450B3"/>
    <w:rsid w:val="00E46166"/>
    <w:rsid w:val="00E463D1"/>
    <w:rsid w:val="00E46660"/>
    <w:rsid w:val="00E47101"/>
    <w:rsid w:val="00E478A9"/>
    <w:rsid w:val="00E47BA8"/>
    <w:rsid w:val="00E50EF5"/>
    <w:rsid w:val="00E50F4D"/>
    <w:rsid w:val="00E52452"/>
    <w:rsid w:val="00E525E1"/>
    <w:rsid w:val="00E5405E"/>
    <w:rsid w:val="00E5425C"/>
    <w:rsid w:val="00E54D24"/>
    <w:rsid w:val="00E54FDA"/>
    <w:rsid w:val="00E55855"/>
    <w:rsid w:val="00E55F3A"/>
    <w:rsid w:val="00E56322"/>
    <w:rsid w:val="00E564A5"/>
    <w:rsid w:val="00E57DB0"/>
    <w:rsid w:val="00E60982"/>
    <w:rsid w:val="00E60C55"/>
    <w:rsid w:val="00E61C3F"/>
    <w:rsid w:val="00E62C62"/>
    <w:rsid w:val="00E62D83"/>
    <w:rsid w:val="00E62F6A"/>
    <w:rsid w:val="00E651A7"/>
    <w:rsid w:val="00E654C1"/>
    <w:rsid w:val="00E657A1"/>
    <w:rsid w:val="00E65D97"/>
    <w:rsid w:val="00E70372"/>
    <w:rsid w:val="00E727D5"/>
    <w:rsid w:val="00E72A5A"/>
    <w:rsid w:val="00E731C1"/>
    <w:rsid w:val="00E73354"/>
    <w:rsid w:val="00E7367A"/>
    <w:rsid w:val="00E73D59"/>
    <w:rsid w:val="00E776A4"/>
    <w:rsid w:val="00E80EFF"/>
    <w:rsid w:val="00E81915"/>
    <w:rsid w:val="00E81DE9"/>
    <w:rsid w:val="00E825C0"/>
    <w:rsid w:val="00E8465B"/>
    <w:rsid w:val="00E84833"/>
    <w:rsid w:val="00E84AD0"/>
    <w:rsid w:val="00E84CD0"/>
    <w:rsid w:val="00E84F7D"/>
    <w:rsid w:val="00E86187"/>
    <w:rsid w:val="00E86412"/>
    <w:rsid w:val="00E87192"/>
    <w:rsid w:val="00E8730A"/>
    <w:rsid w:val="00E8748A"/>
    <w:rsid w:val="00E8756F"/>
    <w:rsid w:val="00E876FD"/>
    <w:rsid w:val="00E8778E"/>
    <w:rsid w:val="00E87E6F"/>
    <w:rsid w:val="00E9006E"/>
    <w:rsid w:val="00E90E12"/>
    <w:rsid w:val="00E90F28"/>
    <w:rsid w:val="00E91F3E"/>
    <w:rsid w:val="00E9242D"/>
    <w:rsid w:val="00E925AF"/>
    <w:rsid w:val="00E94A32"/>
    <w:rsid w:val="00E94A70"/>
    <w:rsid w:val="00E94C64"/>
    <w:rsid w:val="00E95350"/>
    <w:rsid w:val="00E95790"/>
    <w:rsid w:val="00E95B8C"/>
    <w:rsid w:val="00E95F0D"/>
    <w:rsid w:val="00E95F16"/>
    <w:rsid w:val="00E96294"/>
    <w:rsid w:val="00E9663C"/>
    <w:rsid w:val="00E9681F"/>
    <w:rsid w:val="00E968AD"/>
    <w:rsid w:val="00E97289"/>
    <w:rsid w:val="00EA03AB"/>
    <w:rsid w:val="00EA10A1"/>
    <w:rsid w:val="00EA126E"/>
    <w:rsid w:val="00EA7AD0"/>
    <w:rsid w:val="00EA7D91"/>
    <w:rsid w:val="00EB0597"/>
    <w:rsid w:val="00EB16DE"/>
    <w:rsid w:val="00EB1848"/>
    <w:rsid w:val="00EB346D"/>
    <w:rsid w:val="00EB3833"/>
    <w:rsid w:val="00EB4D81"/>
    <w:rsid w:val="00EB5255"/>
    <w:rsid w:val="00EB5780"/>
    <w:rsid w:val="00EB5C47"/>
    <w:rsid w:val="00EB5EAF"/>
    <w:rsid w:val="00EB678A"/>
    <w:rsid w:val="00EB67FF"/>
    <w:rsid w:val="00EB6B12"/>
    <w:rsid w:val="00EB6ED7"/>
    <w:rsid w:val="00EB7593"/>
    <w:rsid w:val="00EC04CC"/>
    <w:rsid w:val="00EC0B72"/>
    <w:rsid w:val="00EC0EDB"/>
    <w:rsid w:val="00EC0F66"/>
    <w:rsid w:val="00EC19A6"/>
    <w:rsid w:val="00EC2644"/>
    <w:rsid w:val="00EC27A4"/>
    <w:rsid w:val="00EC3445"/>
    <w:rsid w:val="00EC3873"/>
    <w:rsid w:val="00EC3D7B"/>
    <w:rsid w:val="00EC3E99"/>
    <w:rsid w:val="00EC5039"/>
    <w:rsid w:val="00EC5A54"/>
    <w:rsid w:val="00EC5F91"/>
    <w:rsid w:val="00EC62AA"/>
    <w:rsid w:val="00EC7A21"/>
    <w:rsid w:val="00EC7C89"/>
    <w:rsid w:val="00EC7EE9"/>
    <w:rsid w:val="00ED0085"/>
    <w:rsid w:val="00ED0639"/>
    <w:rsid w:val="00ED100F"/>
    <w:rsid w:val="00ED15F9"/>
    <w:rsid w:val="00ED171C"/>
    <w:rsid w:val="00ED19CB"/>
    <w:rsid w:val="00ED1E55"/>
    <w:rsid w:val="00ED1EB0"/>
    <w:rsid w:val="00ED1FBD"/>
    <w:rsid w:val="00ED2378"/>
    <w:rsid w:val="00ED402E"/>
    <w:rsid w:val="00ED6BAB"/>
    <w:rsid w:val="00ED77F7"/>
    <w:rsid w:val="00EE0090"/>
    <w:rsid w:val="00EE06D1"/>
    <w:rsid w:val="00EE0AAF"/>
    <w:rsid w:val="00EE10E2"/>
    <w:rsid w:val="00EE20A8"/>
    <w:rsid w:val="00EE2B49"/>
    <w:rsid w:val="00EE2C22"/>
    <w:rsid w:val="00EE3611"/>
    <w:rsid w:val="00EE4541"/>
    <w:rsid w:val="00EE5BDB"/>
    <w:rsid w:val="00EE6991"/>
    <w:rsid w:val="00EE69CA"/>
    <w:rsid w:val="00EE6D71"/>
    <w:rsid w:val="00EE70E4"/>
    <w:rsid w:val="00EE76F6"/>
    <w:rsid w:val="00EE7A2C"/>
    <w:rsid w:val="00EF047C"/>
    <w:rsid w:val="00EF1C1B"/>
    <w:rsid w:val="00EF21C9"/>
    <w:rsid w:val="00EF2866"/>
    <w:rsid w:val="00EF32A7"/>
    <w:rsid w:val="00EF38AE"/>
    <w:rsid w:val="00EF4161"/>
    <w:rsid w:val="00EF4470"/>
    <w:rsid w:val="00EF4755"/>
    <w:rsid w:val="00EF593D"/>
    <w:rsid w:val="00EF5EAC"/>
    <w:rsid w:val="00EF70C4"/>
    <w:rsid w:val="00EF7135"/>
    <w:rsid w:val="00EF7326"/>
    <w:rsid w:val="00F00743"/>
    <w:rsid w:val="00F00B07"/>
    <w:rsid w:val="00F00DEB"/>
    <w:rsid w:val="00F01C77"/>
    <w:rsid w:val="00F027DB"/>
    <w:rsid w:val="00F04B89"/>
    <w:rsid w:val="00F05AFC"/>
    <w:rsid w:val="00F07E31"/>
    <w:rsid w:val="00F07ED1"/>
    <w:rsid w:val="00F1004E"/>
    <w:rsid w:val="00F137DE"/>
    <w:rsid w:val="00F14346"/>
    <w:rsid w:val="00F14A7A"/>
    <w:rsid w:val="00F151DC"/>
    <w:rsid w:val="00F15DA4"/>
    <w:rsid w:val="00F16710"/>
    <w:rsid w:val="00F175D0"/>
    <w:rsid w:val="00F178E1"/>
    <w:rsid w:val="00F17B20"/>
    <w:rsid w:val="00F20631"/>
    <w:rsid w:val="00F20A85"/>
    <w:rsid w:val="00F21143"/>
    <w:rsid w:val="00F2167B"/>
    <w:rsid w:val="00F22486"/>
    <w:rsid w:val="00F22985"/>
    <w:rsid w:val="00F237A9"/>
    <w:rsid w:val="00F2403C"/>
    <w:rsid w:val="00F240A2"/>
    <w:rsid w:val="00F26229"/>
    <w:rsid w:val="00F26DBE"/>
    <w:rsid w:val="00F304BE"/>
    <w:rsid w:val="00F30F55"/>
    <w:rsid w:val="00F315C2"/>
    <w:rsid w:val="00F31D40"/>
    <w:rsid w:val="00F3223B"/>
    <w:rsid w:val="00F3300C"/>
    <w:rsid w:val="00F33082"/>
    <w:rsid w:val="00F3383E"/>
    <w:rsid w:val="00F33A17"/>
    <w:rsid w:val="00F33E83"/>
    <w:rsid w:val="00F35478"/>
    <w:rsid w:val="00F35AAB"/>
    <w:rsid w:val="00F369BB"/>
    <w:rsid w:val="00F36C96"/>
    <w:rsid w:val="00F40237"/>
    <w:rsid w:val="00F407D6"/>
    <w:rsid w:val="00F41705"/>
    <w:rsid w:val="00F42491"/>
    <w:rsid w:val="00F42716"/>
    <w:rsid w:val="00F432E4"/>
    <w:rsid w:val="00F44A7E"/>
    <w:rsid w:val="00F44EB3"/>
    <w:rsid w:val="00F4646E"/>
    <w:rsid w:val="00F465A7"/>
    <w:rsid w:val="00F471F7"/>
    <w:rsid w:val="00F47A16"/>
    <w:rsid w:val="00F47EAA"/>
    <w:rsid w:val="00F508F4"/>
    <w:rsid w:val="00F50B7C"/>
    <w:rsid w:val="00F53031"/>
    <w:rsid w:val="00F537BA"/>
    <w:rsid w:val="00F53B2A"/>
    <w:rsid w:val="00F550E6"/>
    <w:rsid w:val="00F554F1"/>
    <w:rsid w:val="00F55876"/>
    <w:rsid w:val="00F55FDB"/>
    <w:rsid w:val="00F56DCA"/>
    <w:rsid w:val="00F603AC"/>
    <w:rsid w:val="00F60E16"/>
    <w:rsid w:val="00F63C36"/>
    <w:rsid w:val="00F644C0"/>
    <w:rsid w:val="00F64934"/>
    <w:rsid w:val="00F65011"/>
    <w:rsid w:val="00F67AE5"/>
    <w:rsid w:val="00F67E45"/>
    <w:rsid w:val="00F70731"/>
    <w:rsid w:val="00F70B2C"/>
    <w:rsid w:val="00F70F8C"/>
    <w:rsid w:val="00F718AC"/>
    <w:rsid w:val="00F73C2F"/>
    <w:rsid w:val="00F74165"/>
    <w:rsid w:val="00F74345"/>
    <w:rsid w:val="00F74DCF"/>
    <w:rsid w:val="00F75E96"/>
    <w:rsid w:val="00F77611"/>
    <w:rsid w:val="00F800BE"/>
    <w:rsid w:val="00F80143"/>
    <w:rsid w:val="00F807D4"/>
    <w:rsid w:val="00F80A09"/>
    <w:rsid w:val="00F80A0A"/>
    <w:rsid w:val="00F8250F"/>
    <w:rsid w:val="00F82B19"/>
    <w:rsid w:val="00F831DD"/>
    <w:rsid w:val="00F83DDE"/>
    <w:rsid w:val="00F843BE"/>
    <w:rsid w:val="00F86C78"/>
    <w:rsid w:val="00F871E8"/>
    <w:rsid w:val="00F90603"/>
    <w:rsid w:val="00F90DF7"/>
    <w:rsid w:val="00F913AD"/>
    <w:rsid w:val="00F91E6F"/>
    <w:rsid w:val="00F9212D"/>
    <w:rsid w:val="00F92C54"/>
    <w:rsid w:val="00F94401"/>
    <w:rsid w:val="00F94FA6"/>
    <w:rsid w:val="00F965DA"/>
    <w:rsid w:val="00F96CA2"/>
    <w:rsid w:val="00F9714C"/>
    <w:rsid w:val="00FA0515"/>
    <w:rsid w:val="00FA0DA1"/>
    <w:rsid w:val="00FA141A"/>
    <w:rsid w:val="00FA179E"/>
    <w:rsid w:val="00FA24DF"/>
    <w:rsid w:val="00FA3160"/>
    <w:rsid w:val="00FA406A"/>
    <w:rsid w:val="00FA4665"/>
    <w:rsid w:val="00FA5501"/>
    <w:rsid w:val="00FA5C7C"/>
    <w:rsid w:val="00FA5E56"/>
    <w:rsid w:val="00FA62BC"/>
    <w:rsid w:val="00FA6343"/>
    <w:rsid w:val="00FA6682"/>
    <w:rsid w:val="00FA7414"/>
    <w:rsid w:val="00FB0CF0"/>
    <w:rsid w:val="00FB0F08"/>
    <w:rsid w:val="00FB16A5"/>
    <w:rsid w:val="00FB3071"/>
    <w:rsid w:val="00FB35F2"/>
    <w:rsid w:val="00FB3C67"/>
    <w:rsid w:val="00FB4077"/>
    <w:rsid w:val="00FB474B"/>
    <w:rsid w:val="00FB503A"/>
    <w:rsid w:val="00FB516C"/>
    <w:rsid w:val="00FB5A40"/>
    <w:rsid w:val="00FB5CEB"/>
    <w:rsid w:val="00FB5DA1"/>
    <w:rsid w:val="00FB6075"/>
    <w:rsid w:val="00FC03CB"/>
    <w:rsid w:val="00FC193C"/>
    <w:rsid w:val="00FC1FD4"/>
    <w:rsid w:val="00FC23BC"/>
    <w:rsid w:val="00FC26A2"/>
    <w:rsid w:val="00FC2C68"/>
    <w:rsid w:val="00FC2F46"/>
    <w:rsid w:val="00FC2F47"/>
    <w:rsid w:val="00FC392D"/>
    <w:rsid w:val="00FC3C0F"/>
    <w:rsid w:val="00FC4467"/>
    <w:rsid w:val="00FC45FC"/>
    <w:rsid w:val="00FC5157"/>
    <w:rsid w:val="00FC5736"/>
    <w:rsid w:val="00FC575C"/>
    <w:rsid w:val="00FC5E80"/>
    <w:rsid w:val="00FC774E"/>
    <w:rsid w:val="00FC7B1A"/>
    <w:rsid w:val="00FD0236"/>
    <w:rsid w:val="00FD03E5"/>
    <w:rsid w:val="00FD18F4"/>
    <w:rsid w:val="00FD3185"/>
    <w:rsid w:val="00FD3A5F"/>
    <w:rsid w:val="00FD54DB"/>
    <w:rsid w:val="00FD619F"/>
    <w:rsid w:val="00FD6A9D"/>
    <w:rsid w:val="00FD6EF5"/>
    <w:rsid w:val="00FE230C"/>
    <w:rsid w:val="00FE25E4"/>
    <w:rsid w:val="00FE5619"/>
    <w:rsid w:val="00FE69EB"/>
    <w:rsid w:val="00FE6B50"/>
    <w:rsid w:val="00FE7189"/>
    <w:rsid w:val="00FE7505"/>
    <w:rsid w:val="00FE7E17"/>
    <w:rsid w:val="00FF0341"/>
    <w:rsid w:val="00FF233B"/>
    <w:rsid w:val="00FF268F"/>
    <w:rsid w:val="00FF2C9D"/>
    <w:rsid w:val="00FF34A7"/>
    <w:rsid w:val="00FF4621"/>
    <w:rsid w:val="00FF4843"/>
    <w:rsid w:val="00FF49D3"/>
    <w:rsid w:val="00FF6814"/>
    <w:rsid w:val="00FF7749"/>
    <w:rsid w:val="011E3730"/>
    <w:rsid w:val="01290F7E"/>
    <w:rsid w:val="012E0DE8"/>
    <w:rsid w:val="013374A1"/>
    <w:rsid w:val="015D1E09"/>
    <w:rsid w:val="019107DC"/>
    <w:rsid w:val="01E26271"/>
    <w:rsid w:val="02124769"/>
    <w:rsid w:val="026042C6"/>
    <w:rsid w:val="02697903"/>
    <w:rsid w:val="02A773D8"/>
    <w:rsid w:val="02CA4DAB"/>
    <w:rsid w:val="02F96569"/>
    <w:rsid w:val="031418F0"/>
    <w:rsid w:val="03650924"/>
    <w:rsid w:val="037329AC"/>
    <w:rsid w:val="03C53502"/>
    <w:rsid w:val="03E31F8E"/>
    <w:rsid w:val="03EA7B21"/>
    <w:rsid w:val="04041965"/>
    <w:rsid w:val="04183FFA"/>
    <w:rsid w:val="045B2858"/>
    <w:rsid w:val="049525BD"/>
    <w:rsid w:val="049F74E1"/>
    <w:rsid w:val="04CF36EC"/>
    <w:rsid w:val="04E91253"/>
    <w:rsid w:val="04FD1AC1"/>
    <w:rsid w:val="050D4849"/>
    <w:rsid w:val="051C5A8D"/>
    <w:rsid w:val="05833949"/>
    <w:rsid w:val="05B26445"/>
    <w:rsid w:val="05B64EE1"/>
    <w:rsid w:val="05C00C3F"/>
    <w:rsid w:val="05C44291"/>
    <w:rsid w:val="05EE7782"/>
    <w:rsid w:val="05F83EAE"/>
    <w:rsid w:val="063B3670"/>
    <w:rsid w:val="063C4E83"/>
    <w:rsid w:val="063E7D85"/>
    <w:rsid w:val="06443EA9"/>
    <w:rsid w:val="06782196"/>
    <w:rsid w:val="06F5467F"/>
    <w:rsid w:val="07293586"/>
    <w:rsid w:val="07295285"/>
    <w:rsid w:val="07636392"/>
    <w:rsid w:val="076D78DC"/>
    <w:rsid w:val="07731892"/>
    <w:rsid w:val="07770C56"/>
    <w:rsid w:val="08010120"/>
    <w:rsid w:val="080920D4"/>
    <w:rsid w:val="082560A3"/>
    <w:rsid w:val="085E70A3"/>
    <w:rsid w:val="08B95DC8"/>
    <w:rsid w:val="08FA1404"/>
    <w:rsid w:val="092217DD"/>
    <w:rsid w:val="093A7294"/>
    <w:rsid w:val="09A45BA1"/>
    <w:rsid w:val="09AE2130"/>
    <w:rsid w:val="09B237FA"/>
    <w:rsid w:val="09B6315B"/>
    <w:rsid w:val="09FB750B"/>
    <w:rsid w:val="0A263993"/>
    <w:rsid w:val="0A2D3AC2"/>
    <w:rsid w:val="0AA755DF"/>
    <w:rsid w:val="0AAD4274"/>
    <w:rsid w:val="0B0B30CC"/>
    <w:rsid w:val="0B120D44"/>
    <w:rsid w:val="0B54733E"/>
    <w:rsid w:val="0B8D4C68"/>
    <w:rsid w:val="0B9805CA"/>
    <w:rsid w:val="0B9B5E41"/>
    <w:rsid w:val="0BD27BF6"/>
    <w:rsid w:val="0BF008E1"/>
    <w:rsid w:val="0C0369A6"/>
    <w:rsid w:val="0C39743A"/>
    <w:rsid w:val="0C3B3C7D"/>
    <w:rsid w:val="0C5C6AD0"/>
    <w:rsid w:val="0C6F5FE5"/>
    <w:rsid w:val="0CAB2EAE"/>
    <w:rsid w:val="0CAB5589"/>
    <w:rsid w:val="0CD3520A"/>
    <w:rsid w:val="0D621C7D"/>
    <w:rsid w:val="0D9F2560"/>
    <w:rsid w:val="0E6B4E1C"/>
    <w:rsid w:val="0E73034D"/>
    <w:rsid w:val="0EA37FCC"/>
    <w:rsid w:val="0ECC3AAF"/>
    <w:rsid w:val="0F13775A"/>
    <w:rsid w:val="0F1C326D"/>
    <w:rsid w:val="0F2D5755"/>
    <w:rsid w:val="0F5F45FE"/>
    <w:rsid w:val="0F844F0F"/>
    <w:rsid w:val="0F9A112B"/>
    <w:rsid w:val="103F5237"/>
    <w:rsid w:val="106D2F64"/>
    <w:rsid w:val="108E2A27"/>
    <w:rsid w:val="10A95B61"/>
    <w:rsid w:val="10B565D2"/>
    <w:rsid w:val="10B63710"/>
    <w:rsid w:val="10BB33AB"/>
    <w:rsid w:val="10F10820"/>
    <w:rsid w:val="10F47AD2"/>
    <w:rsid w:val="111C2F7A"/>
    <w:rsid w:val="112E6FCA"/>
    <w:rsid w:val="11665CA1"/>
    <w:rsid w:val="11796EDC"/>
    <w:rsid w:val="117F262B"/>
    <w:rsid w:val="11B41911"/>
    <w:rsid w:val="1207193D"/>
    <w:rsid w:val="121B0C95"/>
    <w:rsid w:val="121C06C9"/>
    <w:rsid w:val="12594479"/>
    <w:rsid w:val="12865C4C"/>
    <w:rsid w:val="12881217"/>
    <w:rsid w:val="12AC2C68"/>
    <w:rsid w:val="12BC1288"/>
    <w:rsid w:val="12C56E74"/>
    <w:rsid w:val="12FC10BC"/>
    <w:rsid w:val="1303197C"/>
    <w:rsid w:val="13121C4A"/>
    <w:rsid w:val="13951726"/>
    <w:rsid w:val="13DC39DB"/>
    <w:rsid w:val="13E56991"/>
    <w:rsid w:val="14396509"/>
    <w:rsid w:val="144A64B1"/>
    <w:rsid w:val="146439EF"/>
    <w:rsid w:val="14B25190"/>
    <w:rsid w:val="14DD2C3C"/>
    <w:rsid w:val="151526B9"/>
    <w:rsid w:val="15181A79"/>
    <w:rsid w:val="155A42CC"/>
    <w:rsid w:val="155B3B94"/>
    <w:rsid w:val="16087E1D"/>
    <w:rsid w:val="16A668AC"/>
    <w:rsid w:val="16B91374"/>
    <w:rsid w:val="16C43269"/>
    <w:rsid w:val="16D5506D"/>
    <w:rsid w:val="16E7568B"/>
    <w:rsid w:val="175B4E86"/>
    <w:rsid w:val="17607F1E"/>
    <w:rsid w:val="17701D14"/>
    <w:rsid w:val="17735226"/>
    <w:rsid w:val="17A34B99"/>
    <w:rsid w:val="17C84C12"/>
    <w:rsid w:val="17D34EA1"/>
    <w:rsid w:val="17E94CA2"/>
    <w:rsid w:val="17F2236E"/>
    <w:rsid w:val="18473FB5"/>
    <w:rsid w:val="18924F68"/>
    <w:rsid w:val="189C1D14"/>
    <w:rsid w:val="189F624C"/>
    <w:rsid w:val="18B64290"/>
    <w:rsid w:val="18DD35A6"/>
    <w:rsid w:val="190D6498"/>
    <w:rsid w:val="19872178"/>
    <w:rsid w:val="19904F0E"/>
    <w:rsid w:val="19A76BC3"/>
    <w:rsid w:val="19BC5265"/>
    <w:rsid w:val="19F333ED"/>
    <w:rsid w:val="1A0E0D11"/>
    <w:rsid w:val="1A1353D3"/>
    <w:rsid w:val="1A145D3C"/>
    <w:rsid w:val="1A1C66C0"/>
    <w:rsid w:val="1A23589C"/>
    <w:rsid w:val="1A42393B"/>
    <w:rsid w:val="1AAA5060"/>
    <w:rsid w:val="1AAD45DE"/>
    <w:rsid w:val="1AC27276"/>
    <w:rsid w:val="1AC61FEA"/>
    <w:rsid w:val="1AF669D2"/>
    <w:rsid w:val="1B046F80"/>
    <w:rsid w:val="1B0D2C18"/>
    <w:rsid w:val="1B256CD3"/>
    <w:rsid w:val="1B3267B5"/>
    <w:rsid w:val="1B40161D"/>
    <w:rsid w:val="1B431AAF"/>
    <w:rsid w:val="1B441859"/>
    <w:rsid w:val="1B544B28"/>
    <w:rsid w:val="1B6250EA"/>
    <w:rsid w:val="1B6606B1"/>
    <w:rsid w:val="1B7A6073"/>
    <w:rsid w:val="1B9015FE"/>
    <w:rsid w:val="1BBF5468"/>
    <w:rsid w:val="1C5E7925"/>
    <w:rsid w:val="1C9849DD"/>
    <w:rsid w:val="1C986345"/>
    <w:rsid w:val="1CFD070F"/>
    <w:rsid w:val="1D303D9A"/>
    <w:rsid w:val="1D354A6F"/>
    <w:rsid w:val="1D380ABF"/>
    <w:rsid w:val="1D5F6196"/>
    <w:rsid w:val="1D6132A5"/>
    <w:rsid w:val="1D7039E6"/>
    <w:rsid w:val="1D8E56D5"/>
    <w:rsid w:val="1DBC1042"/>
    <w:rsid w:val="1DF223D6"/>
    <w:rsid w:val="1E27716B"/>
    <w:rsid w:val="1E5C4484"/>
    <w:rsid w:val="1E676920"/>
    <w:rsid w:val="1E7A43DA"/>
    <w:rsid w:val="1EAE2CD7"/>
    <w:rsid w:val="1EE30C58"/>
    <w:rsid w:val="1EF009FF"/>
    <w:rsid w:val="1EF46396"/>
    <w:rsid w:val="1FDC7DC5"/>
    <w:rsid w:val="1FE7539E"/>
    <w:rsid w:val="20192A20"/>
    <w:rsid w:val="20671BE0"/>
    <w:rsid w:val="2094293D"/>
    <w:rsid w:val="20963CB8"/>
    <w:rsid w:val="20A81A1B"/>
    <w:rsid w:val="20B07FB6"/>
    <w:rsid w:val="20B16579"/>
    <w:rsid w:val="20B646FB"/>
    <w:rsid w:val="20E003E3"/>
    <w:rsid w:val="21111E0A"/>
    <w:rsid w:val="21114B9E"/>
    <w:rsid w:val="213B74B1"/>
    <w:rsid w:val="215A2310"/>
    <w:rsid w:val="21DE318A"/>
    <w:rsid w:val="21E54389"/>
    <w:rsid w:val="21EF5B80"/>
    <w:rsid w:val="220B5563"/>
    <w:rsid w:val="220E5196"/>
    <w:rsid w:val="22230DB0"/>
    <w:rsid w:val="22373C3F"/>
    <w:rsid w:val="22576990"/>
    <w:rsid w:val="228851B6"/>
    <w:rsid w:val="22F47480"/>
    <w:rsid w:val="2379200F"/>
    <w:rsid w:val="23D26F32"/>
    <w:rsid w:val="23DE1C48"/>
    <w:rsid w:val="240210CD"/>
    <w:rsid w:val="241E453A"/>
    <w:rsid w:val="24774636"/>
    <w:rsid w:val="24816522"/>
    <w:rsid w:val="24B46637"/>
    <w:rsid w:val="24BF09F7"/>
    <w:rsid w:val="24DE5393"/>
    <w:rsid w:val="24EC76C7"/>
    <w:rsid w:val="25015CD7"/>
    <w:rsid w:val="251946ED"/>
    <w:rsid w:val="251B6C72"/>
    <w:rsid w:val="252D53FE"/>
    <w:rsid w:val="2536529E"/>
    <w:rsid w:val="254A012A"/>
    <w:rsid w:val="258F1B9D"/>
    <w:rsid w:val="25EC2D81"/>
    <w:rsid w:val="26181175"/>
    <w:rsid w:val="263D6CAC"/>
    <w:rsid w:val="26467F8E"/>
    <w:rsid w:val="26965307"/>
    <w:rsid w:val="26A55295"/>
    <w:rsid w:val="26AE1088"/>
    <w:rsid w:val="26CA498C"/>
    <w:rsid w:val="26DE4926"/>
    <w:rsid w:val="26EA51C8"/>
    <w:rsid w:val="272850B2"/>
    <w:rsid w:val="27360CE6"/>
    <w:rsid w:val="277057A2"/>
    <w:rsid w:val="279F712B"/>
    <w:rsid w:val="27F73AD0"/>
    <w:rsid w:val="27FC6F7C"/>
    <w:rsid w:val="288508A8"/>
    <w:rsid w:val="28AD5BAF"/>
    <w:rsid w:val="29206EB8"/>
    <w:rsid w:val="29315679"/>
    <w:rsid w:val="29436B5E"/>
    <w:rsid w:val="29595666"/>
    <w:rsid w:val="29810BC4"/>
    <w:rsid w:val="29874881"/>
    <w:rsid w:val="29AE5D67"/>
    <w:rsid w:val="29B04125"/>
    <w:rsid w:val="29E325E0"/>
    <w:rsid w:val="2A236298"/>
    <w:rsid w:val="2A3A3CCC"/>
    <w:rsid w:val="2A452503"/>
    <w:rsid w:val="2A64465C"/>
    <w:rsid w:val="2BA936A8"/>
    <w:rsid w:val="2BB331A5"/>
    <w:rsid w:val="2C315A5A"/>
    <w:rsid w:val="2C4B1C25"/>
    <w:rsid w:val="2C610BDF"/>
    <w:rsid w:val="2C6476D7"/>
    <w:rsid w:val="2CBF58F1"/>
    <w:rsid w:val="2D0D5178"/>
    <w:rsid w:val="2D9E56F5"/>
    <w:rsid w:val="2DA671B5"/>
    <w:rsid w:val="2DB11430"/>
    <w:rsid w:val="2E0F69ED"/>
    <w:rsid w:val="2E2E0994"/>
    <w:rsid w:val="2E5636A3"/>
    <w:rsid w:val="2E667F96"/>
    <w:rsid w:val="2E777C9E"/>
    <w:rsid w:val="2E81239E"/>
    <w:rsid w:val="2E8226AB"/>
    <w:rsid w:val="2EA91C44"/>
    <w:rsid w:val="2ED777BF"/>
    <w:rsid w:val="2F613EBC"/>
    <w:rsid w:val="2F931109"/>
    <w:rsid w:val="2FBA3CEE"/>
    <w:rsid w:val="2FD065E6"/>
    <w:rsid w:val="2FD60D43"/>
    <w:rsid w:val="2FD96870"/>
    <w:rsid w:val="2FEB5B6A"/>
    <w:rsid w:val="2FF6097D"/>
    <w:rsid w:val="30580BC9"/>
    <w:rsid w:val="307D6FB0"/>
    <w:rsid w:val="308A4680"/>
    <w:rsid w:val="30BA7913"/>
    <w:rsid w:val="30BE3428"/>
    <w:rsid w:val="310149B3"/>
    <w:rsid w:val="311961A0"/>
    <w:rsid w:val="311E2ED7"/>
    <w:rsid w:val="312E1520"/>
    <w:rsid w:val="315619EE"/>
    <w:rsid w:val="315C449C"/>
    <w:rsid w:val="31815AF3"/>
    <w:rsid w:val="31B82709"/>
    <w:rsid w:val="31D05482"/>
    <w:rsid w:val="31D54235"/>
    <w:rsid w:val="31E90299"/>
    <w:rsid w:val="31F6203D"/>
    <w:rsid w:val="32400B34"/>
    <w:rsid w:val="329E6876"/>
    <w:rsid w:val="32A954C4"/>
    <w:rsid w:val="33016EEC"/>
    <w:rsid w:val="33296463"/>
    <w:rsid w:val="333015F2"/>
    <w:rsid w:val="334B6320"/>
    <w:rsid w:val="33C561D9"/>
    <w:rsid w:val="33D934D4"/>
    <w:rsid w:val="33FE2F6A"/>
    <w:rsid w:val="340E07E5"/>
    <w:rsid w:val="34235BF7"/>
    <w:rsid w:val="34657FB5"/>
    <w:rsid w:val="34773FC4"/>
    <w:rsid w:val="35515901"/>
    <w:rsid w:val="358C5FA8"/>
    <w:rsid w:val="35A43036"/>
    <w:rsid w:val="35A96018"/>
    <w:rsid w:val="35C15DF1"/>
    <w:rsid w:val="35EF4EA0"/>
    <w:rsid w:val="36074A7F"/>
    <w:rsid w:val="368F54E0"/>
    <w:rsid w:val="36923549"/>
    <w:rsid w:val="36A22794"/>
    <w:rsid w:val="36AA5AEC"/>
    <w:rsid w:val="36AF650A"/>
    <w:rsid w:val="36B75FBF"/>
    <w:rsid w:val="36B878A4"/>
    <w:rsid w:val="36BD0C45"/>
    <w:rsid w:val="36E83E1E"/>
    <w:rsid w:val="36E937F0"/>
    <w:rsid w:val="3700279A"/>
    <w:rsid w:val="371E156A"/>
    <w:rsid w:val="371F2520"/>
    <w:rsid w:val="374B4063"/>
    <w:rsid w:val="37845EE3"/>
    <w:rsid w:val="37BD71D1"/>
    <w:rsid w:val="37C610B9"/>
    <w:rsid w:val="37D20E57"/>
    <w:rsid w:val="37E00298"/>
    <w:rsid w:val="37EB1F1A"/>
    <w:rsid w:val="38B302F9"/>
    <w:rsid w:val="38D056E2"/>
    <w:rsid w:val="38DA4DC1"/>
    <w:rsid w:val="38E6679B"/>
    <w:rsid w:val="38E86458"/>
    <w:rsid w:val="38F12CD3"/>
    <w:rsid w:val="38F94775"/>
    <w:rsid w:val="392971ED"/>
    <w:rsid w:val="39325651"/>
    <w:rsid w:val="39C36BA9"/>
    <w:rsid w:val="39F41558"/>
    <w:rsid w:val="39F666E7"/>
    <w:rsid w:val="3A470CCF"/>
    <w:rsid w:val="3A84200F"/>
    <w:rsid w:val="3A872856"/>
    <w:rsid w:val="3AB74D2F"/>
    <w:rsid w:val="3B277F78"/>
    <w:rsid w:val="3B2A6DC7"/>
    <w:rsid w:val="3B3763D1"/>
    <w:rsid w:val="3B760E9F"/>
    <w:rsid w:val="3B9805F2"/>
    <w:rsid w:val="3BE76A77"/>
    <w:rsid w:val="3BEC64BC"/>
    <w:rsid w:val="3C2F6E1E"/>
    <w:rsid w:val="3C4F64BA"/>
    <w:rsid w:val="3C883FD6"/>
    <w:rsid w:val="3CDA245A"/>
    <w:rsid w:val="3D1E06B7"/>
    <w:rsid w:val="3D48536F"/>
    <w:rsid w:val="3D9C09D6"/>
    <w:rsid w:val="3DBB4503"/>
    <w:rsid w:val="3DCA6682"/>
    <w:rsid w:val="3DED69EA"/>
    <w:rsid w:val="3E7E0D81"/>
    <w:rsid w:val="3EDA0523"/>
    <w:rsid w:val="3F0072FF"/>
    <w:rsid w:val="3F19380F"/>
    <w:rsid w:val="3F8352EC"/>
    <w:rsid w:val="3FA606A9"/>
    <w:rsid w:val="3FDA4D4C"/>
    <w:rsid w:val="3FF02A65"/>
    <w:rsid w:val="40172D44"/>
    <w:rsid w:val="40506D9D"/>
    <w:rsid w:val="4067186B"/>
    <w:rsid w:val="407A6407"/>
    <w:rsid w:val="40BB35FF"/>
    <w:rsid w:val="41661451"/>
    <w:rsid w:val="41C01412"/>
    <w:rsid w:val="41C71907"/>
    <w:rsid w:val="41DD15A7"/>
    <w:rsid w:val="41E56E90"/>
    <w:rsid w:val="41FB36A0"/>
    <w:rsid w:val="4200449D"/>
    <w:rsid w:val="422E27B0"/>
    <w:rsid w:val="423A3BCC"/>
    <w:rsid w:val="424E57D2"/>
    <w:rsid w:val="42AA7D37"/>
    <w:rsid w:val="42B26C49"/>
    <w:rsid w:val="42D75573"/>
    <w:rsid w:val="432E6898"/>
    <w:rsid w:val="432F3107"/>
    <w:rsid w:val="43374264"/>
    <w:rsid w:val="433A6FE6"/>
    <w:rsid w:val="43480868"/>
    <w:rsid w:val="4350713C"/>
    <w:rsid w:val="436653E0"/>
    <w:rsid w:val="439C056B"/>
    <w:rsid w:val="43BF6DCD"/>
    <w:rsid w:val="43C4431A"/>
    <w:rsid w:val="43FF433E"/>
    <w:rsid w:val="441706EC"/>
    <w:rsid w:val="44561A8B"/>
    <w:rsid w:val="445803CA"/>
    <w:rsid w:val="44894FF3"/>
    <w:rsid w:val="44922E89"/>
    <w:rsid w:val="44960A22"/>
    <w:rsid w:val="449D5C2A"/>
    <w:rsid w:val="44A81EE1"/>
    <w:rsid w:val="44B951CC"/>
    <w:rsid w:val="44CD14E0"/>
    <w:rsid w:val="44F20B0B"/>
    <w:rsid w:val="451627E9"/>
    <w:rsid w:val="452B38C5"/>
    <w:rsid w:val="452E5F4C"/>
    <w:rsid w:val="45343151"/>
    <w:rsid w:val="45612018"/>
    <w:rsid w:val="458946E9"/>
    <w:rsid w:val="4594467A"/>
    <w:rsid w:val="45A47C0E"/>
    <w:rsid w:val="45BB5620"/>
    <w:rsid w:val="45C6167E"/>
    <w:rsid w:val="45D835B4"/>
    <w:rsid w:val="45ED1D4A"/>
    <w:rsid w:val="462F02C8"/>
    <w:rsid w:val="46577FD6"/>
    <w:rsid w:val="46767799"/>
    <w:rsid w:val="46932F8C"/>
    <w:rsid w:val="46C12833"/>
    <w:rsid w:val="46D955A7"/>
    <w:rsid w:val="47133957"/>
    <w:rsid w:val="47A07E0C"/>
    <w:rsid w:val="4870272E"/>
    <w:rsid w:val="489F397A"/>
    <w:rsid w:val="48DF485E"/>
    <w:rsid w:val="491C63D6"/>
    <w:rsid w:val="492342E2"/>
    <w:rsid w:val="494358E7"/>
    <w:rsid w:val="49572ABD"/>
    <w:rsid w:val="49DC7715"/>
    <w:rsid w:val="4A023139"/>
    <w:rsid w:val="4A2E7CBC"/>
    <w:rsid w:val="4A625389"/>
    <w:rsid w:val="4A6333E1"/>
    <w:rsid w:val="4A7B576F"/>
    <w:rsid w:val="4AF561A9"/>
    <w:rsid w:val="4B7B725D"/>
    <w:rsid w:val="4B8B4D98"/>
    <w:rsid w:val="4C0142B9"/>
    <w:rsid w:val="4C046E69"/>
    <w:rsid w:val="4C3F1F77"/>
    <w:rsid w:val="4C4A0649"/>
    <w:rsid w:val="4C7E5ECA"/>
    <w:rsid w:val="4C8700C5"/>
    <w:rsid w:val="4C876AA5"/>
    <w:rsid w:val="4CA25DBD"/>
    <w:rsid w:val="4CD534DA"/>
    <w:rsid w:val="4D0E00FB"/>
    <w:rsid w:val="4D176606"/>
    <w:rsid w:val="4D331F40"/>
    <w:rsid w:val="4D3A507C"/>
    <w:rsid w:val="4D3D2EBB"/>
    <w:rsid w:val="4D7B2243"/>
    <w:rsid w:val="4DB210B7"/>
    <w:rsid w:val="4DBC4447"/>
    <w:rsid w:val="4DCA1F9B"/>
    <w:rsid w:val="4DEC4FB0"/>
    <w:rsid w:val="4E075D8A"/>
    <w:rsid w:val="4E181780"/>
    <w:rsid w:val="4E206011"/>
    <w:rsid w:val="4E685C19"/>
    <w:rsid w:val="4E8026A7"/>
    <w:rsid w:val="4E982D49"/>
    <w:rsid w:val="4EC00FAD"/>
    <w:rsid w:val="4F452FF2"/>
    <w:rsid w:val="4F9843DC"/>
    <w:rsid w:val="4FC62A8C"/>
    <w:rsid w:val="4FE20F0D"/>
    <w:rsid w:val="4FE51552"/>
    <w:rsid w:val="4FFA3BB8"/>
    <w:rsid w:val="502D2C76"/>
    <w:rsid w:val="50504C4B"/>
    <w:rsid w:val="509C6E7C"/>
    <w:rsid w:val="509D34D9"/>
    <w:rsid w:val="50E7040E"/>
    <w:rsid w:val="50F21F13"/>
    <w:rsid w:val="51064601"/>
    <w:rsid w:val="51183927"/>
    <w:rsid w:val="5162104E"/>
    <w:rsid w:val="51A92615"/>
    <w:rsid w:val="51B413BF"/>
    <w:rsid w:val="52083327"/>
    <w:rsid w:val="520F7BF8"/>
    <w:rsid w:val="521F0CE5"/>
    <w:rsid w:val="522B75E8"/>
    <w:rsid w:val="525C3B4D"/>
    <w:rsid w:val="52E91CAF"/>
    <w:rsid w:val="53590226"/>
    <w:rsid w:val="53715570"/>
    <w:rsid w:val="5373753A"/>
    <w:rsid w:val="53822F15"/>
    <w:rsid w:val="53A039CC"/>
    <w:rsid w:val="53A1505A"/>
    <w:rsid w:val="53A51013"/>
    <w:rsid w:val="53B00C9E"/>
    <w:rsid w:val="53D67BFB"/>
    <w:rsid w:val="53EF74DF"/>
    <w:rsid w:val="54063E08"/>
    <w:rsid w:val="543437E8"/>
    <w:rsid w:val="546E385E"/>
    <w:rsid w:val="547457C9"/>
    <w:rsid w:val="547C5815"/>
    <w:rsid w:val="547F33AB"/>
    <w:rsid w:val="54F73313"/>
    <w:rsid w:val="54F80955"/>
    <w:rsid w:val="555170A7"/>
    <w:rsid w:val="5587536D"/>
    <w:rsid w:val="559B174B"/>
    <w:rsid w:val="55B00C5A"/>
    <w:rsid w:val="55CE0CF4"/>
    <w:rsid w:val="55FE1ECC"/>
    <w:rsid w:val="569D0665"/>
    <w:rsid w:val="56B22A9C"/>
    <w:rsid w:val="56F204E1"/>
    <w:rsid w:val="57320604"/>
    <w:rsid w:val="57674F45"/>
    <w:rsid w:val="57B72A76"/>
    <w:rsid w:val="57C3426C"/>
    <w:rsid w:val="57CE1F93"/>
    <w:rsid w:val="58046C64"/>
    <w:rsid w:val="5826793A"/>
    <w:rsid w:val="58615BB3"/>
    <w:rsid w:val="58623A72"/>
    <w:rsid w:val="588743D1"/>
    <w:rsid w:val="5887701A"/>
    <w:rsid w:val="58A12662"/>
    <w:rsid w:val="58F5454D"/>
    <w:rsid w:val="590356E0"/>
    <w:rsid w:val="590F1AB3"/>
    <w:rsid w:val="59487A3A"/>
    <w:rsid w:val="59AA63F2"/>
    <w:rsid w:val="59C0439F"/>
    <w:rsid w:val="59F113D1"/>
    <w:rsid w:val="59FD5045"/>
    <w:rsid w:val="5A112DD4"/>
    <w:rsid w:val="5A5D2E14"/>
    <w:rsid w:val="5A920988"/>
    <w:rsid w:val="5ABE2233"/>
    <w:rsid w:val="5AC8016B"/>
    <w:rsid w:val="5B0373F5"/>
    <w:rsid w:val="5B091AA1"/>
    <w:rsid w:val="5BBA00E3"/>
    <w:rsid w:val="5BDF5D95"/>
    <w:rsid w:val="5BF32E5F"/>
    <w:rsid w:val="5BFD682A"/>
    <w:rsid w:val="5BFE7528"/>
    <w:rsid w:val="5C124E65"/>
    <w:rsid w:val="5C733B5E"/>
    <w:rsid w:val="5C7D31D8"/>
    <w:rsid w:val="5C881239"/>
    <w:rsid w:val="5C947320"/>
    <w:rsid w:val="5C9C3313"/>
    <w:rsid w:val="5CFD7E74"/>
    <w:rsid w:val="5D081CBB"/>
    <w:rsid w:val="5D1679A9"/>
    <w:rsid w:val="5D1A5252"/>
    <w:rsid w:val="5D213F9B"/>
    <w:rsid w:val="5E2467F1"/>
    <w:rsid w:val="5E334410"/>
    <w:rsid w:val="5E3A7ED3"/>
    <w:rsid w:val="5E4A6D71"/>
    <w:rsid w:val="5E7E46CC"/>
    <w:rsid w:val="5F1A2B43"/>
    <w:rsid w:val="5F290353"/>
    <w:rsid w:val="5F3E0472"/>
    <w:rsid w:val="5F440780"/>
    <w:rsid w:val="5F59511A"/>
    <w:rsid w:val="5FB837BB"/>
    <w:rsid w:val="602A3B4F"/>
    <w:rsid w:val="603561A9"/>
    <w:rsid w:val="603D0814"/>
    <w:rsid w:val="60C56EFB"/>
    <w:rsid w:val="60CC405A"/>
    <w:rsid w:val="60E90E39"/>
    <w:rsid w:val="60F8790A"/>
    <w:rsid w:val="610845D3"/>
    <w:rsid w:val="610D7C05"/>
    <w:rsid w:val="614F3BA1"/>
    <w:rsid w:val="615B5743"/>
    <w:rsid w:val="616F4876"/>
    <w:rsid w:val="61E215D8"/>
    <w:rsid w:val="61FF26C8"/>
    <w:rsid w:val="621B3775"/>
    <w:rsid w:val="62364782"/>
    <w:rsid w:val="623A3568"/>
    <w:rsid w:val="62681B24"/>
    <w:rsid w:val="6394356A"/>
    <w:rsid w:val="63C61B2C"/>
    <w:rsid w:val="63D40BE9"/>
    <w:rsid w:val="63DD7709"/>
    <w:rsid w:val="63E14B13"/>
    <w:rsid w:val="63FE555E"/>
    <w:rsid w:val="6403206E"/>
    <w:rsid w:val="640F7F00"/>
    <w:rsid w:val="64102431"/>
    <w:rsid w:val="6421636E"/>
    <w:rsid w:val="643272F3"/>
    <w:rsid w:val="64485E79"/>
    <w:rsid w:val="64A5243A"/>
    <w:rsid w:val="64D01269"/>
    <w:rsid w:val="64F531DE"/>
    <w:rsid w:val="65050C3F"/>
    <w:rsid w:val="651A5A67"/>
    <w:rsid w:val="653603C7"/>
    <w:rsid w:val="65373578"/>
    <w:rsid w:val="65E120E1"/>
    <w:rsid w:val="6717769C"/>
    <w:rsid w:val="671F124A"/>
    <w:rsid w:val="677A33C6"/>
    <w:rsid w:val="67822BE7"/>
    <w:rsid w:val="67E57B3E"/>
    <w:rsid w:val="681F6961"/>
    <w:rsid w:val="68393D00"/>
    <w:rsid w:val="685222F0"/>
    <w:rsid w:val="68610A2F"/>
    <w:rsid w:val="68805514"/>
    <w:rsid w:val="68C601E3"/>
    <w:rsid w:val="68D41ED8"/>
    <w:rsid w:val="69316E2F"/>
    <w:rsid w:val="694E2071"/>
    <w:rsid w:val="696372B1"/>
    <w:rsid w:val="69766163"/>
    <w:rsid w:val="697A3B33"/>
    <w:rsid w:val="69AF24F6"/>
    <w:rsid w:val="69D313B6"/>
    <w:rsid w:val="69D44760"/>
    <w:rsid w:val="69F957DD"/>
    <w:rsid w:val="6A3B6220"/>
    <w:rsid w:val="6A520EC7"/>
    <w:rsid w:val="6A8B7930"/>
    <w:rsid w:val="6AB06628"/>
    <w:rsid w:val="6AB956BB"/>
    <w:rsid w:val="6ABF6600"/>
    <w:rsid w:val="6AEC6564"/>
    <w:rsid w:val="6AF87E20"/>
    <w:rsid w:val="6B21238A"/>
    <w:rsid w:val="6B322639"/>
    <w:rsid w:val="6B824398"/>
    <w:rsid w:val="6BA20565"/>
    <w:rsid w:val="6BB169FA"/>
    <w:rsid w:val="6C4250EA"/>
    <w:rsid w:val="6C5A244F"/>
    <w:rsid w:val="6C617CCF"/>
    <w:rsid w:val="6C636C38"/>
    <w:rsid w:val="6C68355C"/>
    <w:rsid w:val="6C7D68DC"/>
    <w:rsid w:val="6C8E4A98"/>
    <w:rsid w:val="6CA224D7"/>
    <w:rsid w:val="6CA83959"/>
    <w:rsid w:val="6CBA368C"/>
    <w:rsid w:val="6CDE1668"/>
    <w:rsid w:val="6DB34098"/>
    <w:rsid w:val="6DB545B6"/>
    <w:rsid w:val="6DE02FB4"/>
    <w:rsid w:val="6E3223A9"/>
    <w:rsid w:val="6E514CED"/>
    <w:rsid w:val="6EB563D5"/>
    <w:rsid w:val="6ED92677"/>
    <w:rsid w:val="6F197552"/>
    <w:rsid w:val="6F1F1ECC"/>
    <w:rsid w:val="6F225983"/>
    <w:rsid w:val="6F6A75EB"/>
    <w:rsid w:val="6FC83406"/>
    <w:rsid w:val="6FFC5590"/>
    <w:rsid w:val="70001936"/>
    <w:rsid w:val="700274DD"/>
    <w:rsid w:val="703D387B"/>
    <w:rsid w:val="706D1DD0"/>
    <w:rsid w:val="706E5DB3"/>
    <w:rsid w:val="70856B87"/>
    <w:rsid w:val="70D527EE"/>
    <w:rsid w:val="70D959DF"/>
    <w:rsid w:val="70F45F65"/>
    <w:rsid w:val="71074F10"/>
    <w:rsid w:val="71463FC5"/>
    <w:rsid w:val="714B537A"/>
    <w:rsid w:val="715B5300"/>
    <w:rsid w:val="716D6F1F"/>
    <w:rsid w:val="71B473C6"/>
    <w:rsid w:val="71D27F8A"/>
    <w:rsid w:val="72263A65"/>
    <w:rsid w:val="72553024"/>
    <w:rsid w:val="725C7D2B"/>
    <w:rsid w:val="728E210C"/>
    <w:rsid w:val="72AD0753"/>
    <w:rsid w:val="72B1427D"/>
    <w:rsid w:val="72D500BF"/>
    <w:rsid w:val="73122968"/>
    <w:rsid w:val="731F5D5E"/>
    <w:rsid w:val="733046A8"/>
    <w:rsid w:val="73B12928"/>
    <w:rsid w:val="73C51AD5"/>
    <w:rsid w:val="73EF6311"/>
    <w:rsid w:val="741E793C"/>
    <w:rsid w:val="743B62C0"/>
    <w:rsid w:val="745E3944"/>
    <w:rsid w:val="74CC6652"/>
    <w:rsid w:val="75577A04"/>
    <w:rsid w:val="75580322"/>
    <w:rsid w:val="758D2342"/>
    <w:rsid w:val="75CB4B5C"/>
    <w:rsid w:val="75CD2682"/>
    <w:rsid w:val="75CE59FF"/>
    <w:rsid w:val="7608692E"/>
    <w:rsid w:val="7635099D"/>
    <w:rsid w:val="76374EA3"/>
    <w:rsid w:val="763B3A90"/>
    <w:rsid w:val="76831A70"/>
    <w:rsid w:val="770A60A5"/>
    <w:rsid w:val="77292A1C"/>
    <w:rsid w:val="77456248"/>
    <w:rsid w:val="77762421"/>
    <w:rsid w:val="77B56B1F"/>
    <w:rsid w:val="77B93D45"/>
    <w:rsid w:val="780F09F4"/>
    <w:rsid w:val="78372035"/>
    <w:rsid w:val="78A90480"/>
    <w:rsid w:val="78AA7BB8"/>
    <w:rsid w:val="78B90C9C"/>
    <w:rsid w:val="799910A7"/>
    <w:rsid w:val="79CE116D"/>
    <w:rsid w:val="79E9775C"/>
    <w:rsid w:val="7A011BCA"/>
    <w:rsid w:val="7A05766B"/>
    <w:rsid w:val="7A1243F2"/>
    <w:rsid w:val="7A364017"/>
    <w:rsid w:val="7A666C01"/>
    <w:rsid w:val="7A6E6309"/>
    <w:rsid w:val="7A8265E1"/>
    <w:rsid w:val="7A995229"/>
    <w:rsid w:val="7A9F4CE9"/>
    <w:rsid w:val="7AF26F49"/>
    <w:rsid w:val="7AFD1314"/>
    <w:rsid w:val="7B354F51"/>
    <w:rsid w:val="7B59196E"/>
    <w:rsid w:val="7B686D42"/>
    <w:rsid w:val="7B841746"/>
    <w:rsid w:val="7B9E53E0"/>
    <w:rsid w:val="7BA7539A"/>
    <w:rsid w:val="7BD77DB7"/>
    <w:rsid w:val="7BD95C0F"/>
    <w:rsid w:val="7C6C5AC7"/>
    <w:rsid w:val="7CAB6080"/>
    <w:rsid w:val="7CBB71DE"/>
    <w:rsid w:val="7CC6544B"/>
    <w:rsid w:val="7CE267EB"/>
    <w:rsid w:val="7D0239FF"/>
    <w:rsid w:val="7D5E40CD"/>
    <w:rsid w:val="7D937D0D"/>
    <w:rsid w:val="7DCD56F2"/>
    <w:rsid w:val="7DFD0943"/>
    <w:rsid w:val="7E4E645A"/>
    <w:rsid w:val="7E7F6381"/>
    <w:rsid w:val="7E9A331D"/>
    <w:rsid w:val="7E9D11D5"/>
    <w:rsid w:val="7E9E696A"/>
    <w:rsid w:val="7F001CE7"/>
    <w:rsid w:val="7F73153A"/>
    <w:rsid w:val="7FE47E50"/>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doNotEmbedSmartTag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nhideWhenUsed="0" w:uiPriority="0" w:semiHidden="0" w:name="heading 2" w:locked="1"/>
    <w:lsdException w:qFormat="1" w:unhideWhenUsed="0" w:uiPriority="0" w:semiHidden="0" w:name="heading 3" w:locked="1"/>
    <w:lsdException w:qFormat="1" w:unhideWhenUsed="0" w:uiPriority="0" w:semiHidden="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qFormat="1" w:unhideWhenUsed="0" w:uiPriority="0" w:semiHidden="0" w:name="toc 1" w:locked="1"/>
    <w:lsdException w:qFormat="1"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99" w:semiHidden="0" w:name="Normal Indent" w:locked="1"/>
    <w:lsdException w:unhideWhenUsed="0" w:uiPriority="0" w:semiHidden="0" w:name="footnote text" w:locked="1"/>
    <w:lsdException w:qFormat="1" w:unhideWhenUsed="0" w:uiPriority="0" w:name="annotation text"/>
    <w:lsdException w:qFormat="1" w:unhideWhenUsed="0" w:uiPriority="0" w:semiHidden="0" w:name="header"/>
    <w:lsdException w:qFormat="1" w:unhideWhenUsed="0" w:uiPriority="99" w:semiHidden="0" w:name="footer"/>
    <w:lsdException w:unhideWhenUsed="0" w:uiPriority="0" w:semiHidden="0" w:name="index heading" w:locked="1"/>
    <w:lsdException w:qFormat="1" w:unhideWhenUsed="0" w:uiPriority="0" w:semiHidden="0" w:name="caption" w:locked="1"/>
    <w:lsdException w:qFormat="1" w:uiPriority="99"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qFormat="1" w:unhideWhenUsed="0"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qFormat="1"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0" w:semiHidden="0" w:name="Subtitle" w:locked="1"/>
    <w:lsdException w:unhideWhenUsed="0" w:uiPriority="0" w:semiHidden="0" w:name="Salutation" w:locked="1"/>
    <w:lsdException w:qFormat="1" w:unhideWhenUsed="0" w:uiPriority="0" w:semiHidden="0" w:name="Date"/>
    <w:lsdException w:qFormat="1" w:unhideWhenUsed="0" w:uiPriority="99" w:semiHidden="0" w:name="Body Text First Indent" w:locked="1"/>
    <w:lsdException w:qFormat="1" w:unhideWhenUsed="0" w:uiPriority="99" w:semiHidden="0" w:name="Body Text First Indent 2" w:locked="1"/>
    <w:lsdException w:unhideWhenUsed="0" w:uiPriority="0" w:semiHidden="0" w:name="Note Heading" w:locked="1"/>
    <w:lsdException w:qFormat="1" w:unhideWhenUsed="0" w:uiPriority="0" w:semiHidden="0" w:name="Body Text 2" w:locked="1"/>
    <w:lsdException w:unhideWhenUsed="0" w:uiPriority="0" w:semiHidden="0" w:name="Body Text 3" w:locked="1"/>
    <w:lsdException w:qFormat="1" w:uiPriority="99" w:semiHidden="0" w:name="Body Text Indent 2" w:locked="1"/>
    <w:lsdException w:unhideWhenUsed="0" w:uiPriority="0" w:semiHidden="0" w:name="Body Text Indent 3" w:locked="1"/>
    <w:lsdException w:unhideWhenUsed="0" w:uiPriority="0" w:semiHidden="0" w:name="Block Text" w:locked="1"/>
    <w:lsdException w:qFormat="1" w:unhideWhenUsed="0" w:uiPriority="99" w:semiHidden="0" w:name="Hyperlink" w:locked="1"/>
    <w:lsdException w:unhideWhenUsed="0" w:uiPriority="0" w:semiHidden="0" w:name="FollowedHyperlink" w:locked="1"/>
    <w:lsdException w:qFormat="1" w:unhideWhenUsed="0" w:uiPriority="0" w:semiHidden="0" w:name="Strong" w:locked="1"/>
    <w:lsdException w:qFormat="1" w:unhideWhenUsed="0" w:uiPriority="0" w:semiHidden="0" w:name="Emphasis" w:locked="1"/>
    <w:lsdException w:unhideWhenUsed="0" w:uiPriority="0" w:semiHidden="0" w:name="Document Map" w:locked="1"/>
    <w:lsdException w:qFormat="1" w:unhideWhenUsed="0" w:uiPriority="0" w:semiHidden="0" w:name="Plain Text" w:locked="1"/>
    <w:lsdException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nhideWhenUsed="0" w:uiPriority="0" w:name="Normal Table"/>
    <w:lsdException w:qFormat="1" w:unhideWhenUsed="0" w:uiPriority="0" w:name="annotation subject"/>
    <w:lsdException w:unhideWhenUsed="0" w:uiPriority="0" w:semiHidden="0" w:name="Table Simple 1" w:locked="1"/>
    <w:lsdException w:unhideWhenUsed="0" w:uiPriority="0" w:semiHidden="0" w:name="Table Simple 2" w:locked="1"/>
    <w:lsdException w:unhideWhenUsed="0" w:uiPriority="0" w:semiHidden="0" w:name="Table Simple 3" w:locked="1"/>
    <w:lsdException w:unhideWhenUsed="0" w:uiPriority="0" w:semiHidden="0" w:name="Table Classic 1" w:locked="1"/>
    <w:lsdException w:unhideWhenUsed="0" w:uiPriority="0" w:semiHidden="0" w:name="Table Classic 2" w:locked="1"/>
    <w:lsdException w:unhideWhenUsed="0" w:uiPriority="0" w:semiHidden="0" w:name="Table Classic 3" w:locked="1"/>
    <w:lsdException w:unhideWhenUsed="0" w:uiPriority="0" w:semiHidden="0" w:name="Table Classic 4" w:locked="1"/>
    <w:lsdException w:unhideWhenUsed="0" w:uiPriority="0" w:semiHidden="0" w:name="Table Colorful 1" w:locked="1"/>
    <w:lsdException w:unhideWhenUsed="0" w:uiPriority="0" w:semiHidden="0" w:name="Table Colorful 2" w:locked="1"/>
    <w:lsdException w:unhideWhenUsed="0" w:uiPriority="0" w:semiHidden="0" w:name="Table Colorful 3" w:locked="1"/>
    <w:lsdException w:unhideWhenUsed="0" w:uiPriority="0" w:semiHidden="0" w:name="Table Columns 1" w:locked="1"/>
    <w:lsdException w:unhideWhenUsed="0" w:uiPriority="0" w:semiHidden="0" w:name="Table Columns 2" w:locked="1"/>
    <w:lsdException w:unhideWhenUsed="0" w:uiPriority="0" w:semiHidden="0" w:name="Table Columns 3" w:locked="1"/>
    <w:lsdException w:unhideWhenUsed="0" w:uiPriority="0" w:semiHidden="0" w:name="Table Columns 4" w:locked="1"/>
    <w:lsdException w:unhideWhenUsed="0" w:uiPriority="0" w:semiHidden="0" w:name="Table Columns 5" w:locked="1"/>
    <w:lsdException w:unhideWhenUsed="0" w:uiPriority="0" w:semiHidden="0" w:name="Table Grid 1" w:locked="1"/>
    <w:lsdException w:unhideWhenUsed="0" w:uiPriority="0" w:semiHidden="0" w:name="Table Grid 2" w:locked="1"/>
    <w:lsdException w:unhideWhenUsed="0" w:uiPriority="0" w:semiHidden="0" w:name="Table Grid 3" w:locked="1"/>
    <w:lsdException w:unhideWhenUsed="0" w:uiPriority="0" w:semiHidden="0" w:name="Table Grid 4" w:locked="1"/>
    <w:lsdException w:unhideWhenUsed="0" w:uiPriority="0" w:semiHidden="0" w:name="Table Grid 5" w:locked="1"/>
    <w:lsdException w:unhideWhenUsed="0" w:uiPriority="0" w:semiHidden="0" w:name="Table Grid 6" w:locked="1"/>
    <w:lsdException w:unhideWhenUsed="0" w:uiPriority="0" w:semiHidden="0" w:name="Table Grid 7" w:locked="1"/>
    <w:lsdException w:unhideWhenUsed="0" w:uiPriority="0" w:semiHidden="0" w:name="Table Grid 8" w:locked="1"/>
    <w:lsdException w:unhideWhenUsed="0" w:uiPriority="0" w:semiHidden="0" w:name="Table List 1" w:locked="1"/>
    <w:lsdException w:unhideWhenUsed="0" w:uiPriority="0" w:semiHidden="0" w:name="Table List 2" w:locked="1"/>
    <w:lsdException w:unhideWhenUsed="0" w:uiPriority="0" w:semiHidden="0" w:name="Table List 3" w:locked="1"/>
    <w:lsdException w:unhideWhenUsed="0" w:uiPriority="0" w:semiHidden="0" w:name="Table List 4" w:locked="1"/>
    <w:lsdException w:unhideWhenUsed="0" w:uiPriority="0" w:semiHidden="0" w:name="Table List 5" w:locked="1"/>
    <w:lsdException w:unhideWhenUsed="0" w:uiPriority="0" w:semiHidden="0" w:name="Table List 6" w:locked="1"/>
    <w:lsdException w:unhideWhenUsed="0" w:uiPriority="0" w:semiHidden="0" w:name="Table List 7" w:locked="1"/>
    <w:lsdException w:unhideWhenUsed="0" w:uiPriority="0" w:semiHidden="0" w:name="Table List 8" w:locked="1"/>
    <w:lsdException w:unhideWhenUsed="0" w:uiPriority="0" w:semiHidden="0" w:name="Table 3D effects 1" w:locked="1"/>
    <w:lsdException w:unhideWhenUsed="0" w:uiPriority="0" w:semiHidden="0" w:name="Table 3D effects 2" w:locked="1"/>
    <w:lsdException w:unhideWhenUsed="0" w:uiPriority="0" w:semiHidden="0" w:name="Table 3D effects 3" w:locked="1"/>
    <w:lsdException w:qFormat="1" w:unhideWhenUsed="0" w:uiPriority="0" w:semiHidden="0" w:name="Table Contemporary" w:locked="1"/>
    <w:lsdException w:unhideWhenUsed="0" w:uiPriority="0" w:semiHidden="0" w:name="Table Elegant" w:locked="1"/>
    <w:lsdException w:unhideWhenUsed="0" w:uiPriority="0" w:semiHidden="0" w:name="Table Professional" w:locked="1"/>
    <w:lsdException w:unhideWhenUsed="0" w:uiPriority="0" w:semiHidden="0" w:name="Table Subtle 1" w:locked="1"/>
    <w:lsdException w:unhideWhenUsed="0" w:uiPriority="0" w:semiHidden="0" w:name="Table Subtle 2" w:locked="1"/>
    <w:lsdException w:unhideWhenUsed="0" w:uiPriority="0" w:semiHidden="0" w:name="Table Web 1" w:locked="1"/>
    <w:lsdException w:unhideWhenUsed="0" w:uiPriority="0" w:semiHidden="0" w:name="Table Web 2" w:locked="1"/>
    <w:lsdException w:unhideWhenUsed="0" w:uiPriority="0" w:semiHidden="0" w:name="Table Web 3" w:locked="1"/>
    <w:lsdException w:qFormat="1" w:unhideWhenUsed="0" w:uiPriority="0" w:name="Balloon Text"/>
    <w:lsdException w:qFormat="1" w:unhideWhenUsed="0" w:uiPriority="39" w:semiHidden="0" w:name="Table Grid"/>
    <w:lsdException w:unhideWhenUsed="0" w:uiPriority="0" w:semiHidden="0"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4">
    <w:name w:val="heading 1"/>
    <w:basedOn w:val="1"/>
    <w:next w:val="1"/>
    <w:qFormat/>
    <w:locked/>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5">
    <w:name w:val="heading 2"/>
    <w:basedOn w:val="1"/>
    <w:next w:val="1"/>
    <w:qFormat/>
    <w:locked/>
    <w:uiPriority w:val="0"/>
    <w:pPr>
      <w:keepNext/>
      <w:keepLines/>
      <w:spacing w:beforeLines="0" w:beforeAutospacing="0" w:afterLines="0" w:afterAutospacing="0" w:line="360" w:lineRule="auto"/>
      <w:ind w:firstLine="600" w:firstLineChars="200"/>
      <w:outlineLvl w:val="1"/>
    </w:pPr>
    <w:rPr>
      <w:rFonts w:ascii="Times New Roman" w:hAnsi="Times New Roman" w:eastAsia="宋体"/>
    </w:rPr>
  </w:style>
  <w:style w:type="paragraph" w:styleId="6">
    <w:name w:val="heading 3"/>
    <w:basedOn w:val="1"/>
    <w:next w:val="1"/>
    <w:qFormat/>
    <w:locked/>
    <w:uiPriority w:val="0"/>
    <w:pPr>
      <w:keepNext/>
      <w:keepLines/>
      <w:numPr>
        <w:ilvl w:val="2"/>
        <w:numId w:val="1"/>
      </w:numPr>
      <w:tabs>
        <w:tab w:val="left" w:pos="420"/>
        <w:tab w:val="clear" w:pos="0"/>
      </w:tabs>
      <w:ind w:firstLineChars="0"/>
      <w:jc w:val="left"/>
      <w:outlineLvl w:val="2"/>
    </w:pPr>
    <w:rPr>
      <w:sz w:val="30"/>
    </w:rPr>
  </w:style>
  <w:style w:type="paragraph" w:styleId="7">
    <w:name w:val="heading 4"/>
    <w:basedOn w:val="1"/>
    <w:next w:val="1"/>
    <w:qFormat/>
    <w:locked/>
    <w:uiPriority w:val="0"/>
    <w:pPr>
      <w:keepNext/>
      <w:keepLines/>
      <w:numPr>
        <w:ilvl w:val="3"/>
        <w:numId w:val="1"/>
      </w:numPr>
      <w:tabs>
        <w:tab w:val="left" w:pos="420"/>
        <w:tab w:val="clear" w:pos="0"/>
      </w:tabs>
      <w:ind w:firstLineChars="0"/>
      <w:jc w:val="left"/>
      <w:outlineLvl w:val="3"/>
    </w:pPr>
    <w:rPr>
      <w:sz w:val="24"/>
    </w:rPr>
  </w:style>
  <w:style w:type="character" w:default="1" w:styleId="31">
    <w:name w:val="Default Paragraph Font"/>
    <w:semiHidden/>
    <w:qFormat/>
    <w:uiPriority w:val="0"/>
  </w:style>
  <w:style w:type="table" w:default="1" w:styleId="28">
    <w:name w:val="Normal Table"/>
    <w:semiHidden/>
    <w:qFormat/>
    <w:uiPriority w:val="0"/>
    <w:tblPr>
      <w:tblCellMar>
        <w:top w:w="0" w:type="dxa"/>
        <w:left w:w="108" w:type="dxa"/>
        <w:bottom w:w="0" w:type="dxa"/>
        <w:right w:w="108" w:type="dxa"/>
      </w:tblCellMar>
    </w:tblPr>
  </w:style>
  <w:style w:type="paragraph" w:styleId="2">
    <w:name w:val="Body Text"/>
    <w:basedOn w:val="1"/>
    <w:next w:val="3"/>
    <w:link w:val="40"/>
    <w:qFormat/>
    <w:uiPriority w:val="0"/>
    <w:pPr>
      <w:widowControl/>
      <w:snapToGrid w:val="0"/>
      <w:spacing w:before="60" w:after="160" w:line="259" w:lineRule="auto"/>
      <w:ind w:right="113"/>
    </w:pPr>
    <w:rPr>
      <w:kern w:val="0"/>
      <w:sz w:val="18"/>
      <w:szCs w:val="20"/>
    </w:rPr>
  </w:style>
  <w:style w:type="paragraph" w:styleId="3">
    <w:name w:val="Body Text 2"/>
    <w:basedOn w:val="1"/>
    <w:link w:val="47"/>
    <w:qFormat/>
    <w:locked/>
    <w:uiPriority w:val="0"/>
    <w:pPr>
      <w:spacing w:after="120" w:line="480" w:lineRule="auto"/>
    </w:pPr>
  </w:style>
  <w:style w:type="paragraph" w:styleId="8">
    <w:name w:val="Normal Indent"/>
    <w:basedOn w:val="1"/>
    <w:link w:val="38"/>
    <w:qFormat/>
    <w:locked/>
    <w:uiPriority w:val="99"/>
    <w:pPr>
      <w:ind w:firstLine="420" w:firstLineChars="200"/>
    </w:pPr>
    <w:rPr>
      <w:rFonts w:ascii="宋体" w:hAnsi="宋体"/>
      <w:spacing w:val="10"/>
      <w:sz w:val="28"/>
      <w:szCs w:val="20"/>
    </w:rPr>
  </w:style>
  <w:style w:type="paragraph" w:styleId="9">
    <w:name w:val="caption"/>
    <w:basedOn w:val="1"/>
    <w:next w:val="1"/>
    <w:qFormat/>
    <w:locked/>
    <w:uiPriority w:val="0"/>
    <w:pPr>
      <w:ind w:firstLine="0" w:firstLineChars="0"/>
      <w:jc w:val="center"/>
    </w:pPr>
    <w:rPr>
      <w:rFonts w:eastAsia="黑体"/>
      <w:sz w:val="21"/>
    </w:rPr>
  </w:style>
  <w:style w:type="paragraph" w:styleId="10">
    <w:name w:val="annotation text"/>
    <w:basedOn w:val="1"/>
    <w:link w:val="39"/>
    <w:semiHidden/>
    <w:qFormat/>
    <w:uiPriority w:val="0"/>
    <w:pPr>
      <w:jc w:val="left"/>
    </w:pPr>
    <w:rPr>
      <w:kern w:val="0"/>
      <w:sz w:val="24"/>
      <w:szCs w:val="20"/>
    </w:rPr>
  </w:style>
  <w:style w:type="paragraph" w:styleId="11">
    <w:name w:val="Body Text Indent"/>
    <w:basedOn w:val="1"/>
    <w:next w:val="12"/>
    <w:link w:val="41"/>
    <w:qFormat/>
    <w:uiPriority w:val="0"/>
    <w:pPr>
      <w:spacing w:after="120"/>
      <w:ind w:left="420" w:leftChars="200"/>
    </w:pPr>
    <w:rPr>
      <w:kern w:val="0"/>
      <w:sz w:val="24"/>
      <w:szCs w:val="20"/>
    </w:rPr>
  </w:style>
  <w:style w:type="paragraph" w:styleId="12">
    <w:name w:val="header"/>
    <w:basedOn w:val="1"/>
    <w:next w:val="1"/>
    <w:link w:val="46"/>
    <w:qFormat/>
    <w:uiPriority w:val="0"/>
    <w:pPr>
      <w:pBdr>
        <w:bottom w:val="single" w:color="auto" w:sz="6" w:space="1"/>
      </w:pBdr>
      <w:tabs>
        <w:tab w:val="center" w:pos="4153"/>
        <w:tab w:val="right" w:pos="8306"/>
      </w:tabs>
      <w:snapToGrid w:val="0"/>
      <w:jc w:val="center"/>
    </w:pPr>
    <w:rPr>
      <w:kern w:val="0"/>
      <w:sz w:val="18"/>
      <w:szCs w:val="20"/>
    </w:rPr>
  </w:style>
  <w:style w:type="paragraph" w:styleId="13">
    <w:name w:val="Plain Text"/>
    <w:basedOn w:val="1"/>
    <w:next w:val="14"/>
    <w:link w:val="42"/>
    <w:qFormat/>
    <w:locked/>
    <w:uiPriority w:val="0"/>
    <w:pPr>
      <w:adjustRightInd w:val="0"/>
      <w:spacing w:line="360" w:lineRule="atLeast"/>
      <w:textAlignment w:val="baseline"/>
    </w:pPr>
    <w:rPr>
      <w:rFonts w:ascii="宋体" w:hAnsi="Courier New"/>
      <w:szCs w:val="20"/>
    </w:rPr>
  </w:style>
  <w:style w:type="paragraph" w:styleId="14">
    <w:name w:val="toc 1"/>
    <w:basedOn w:val="1"/>
    <w:next w:val="1"/>
    <w:qFormat/>
    <w:locked/>
    <w:uiPriority w:val="0"/>
  </w:style>
  <w:style w:type="paragraph" w:styleId="15">
    <w:name w:val="List Bullet 5"/>
    <w:basedOn w:val="1"/>
    <w:qFormat/>
    <w:locked/>
    <w:uiPriority w:val="0"/>
    <w:pPr>
      <w:numPr>
        <w:ilvl w:val="0"/>
        <w:numId w:val="2"/>
      </w:numPr>
    </w:pPr>
  </w:style>
  <w:style w:type="paragraph" w:styleId="16">
    <w:name w:val="Date"/>
    <w:basedOn w:val="1"/>
    <w:next w:val="1"/>
    <w:link w:val="43"/>
    <w:qFormat/>
    <w:uiPriority w:val="0"/>
    <w:pPr>
      <w:ind w:left="100" w:leftChars="2500"/>
    </w:pPr>
    <w:rPr>
      <w:kern w:val="0"/>
      <w:sz w:val="24"/>
      <w:szCs w:val="20"/>
    </w:rPr>
  </w:style>
  <w:style w:type="paragraph" w:styleId="17">
    <w:name w:val="Body Text Indent 2"/>
    <w:basedOn w:val="1"/>
    <w:next w:val="1"/>
    <w:unhideWhenUsed/>
    <w:qFormat/>
    <w:locked/>
    <w:uiPriority w:val="99"/>
    <w:pPr>
      <w:spacing w:line="620" w:lineRule="exact"/>
      <w:ind w:firstLine="570"/>
    </w:pPr>
  </w:style>
  <w:style w:type="paragraph" w:styleId="18">
    <w:name w:val="Balloon Text"/>
    <w:basedOn w:val="1"/>
    <w:link w:val="44"/>
    <w:semiHidden/>
    <w:qFormat/>
    <w:uiPriority w:val="0"/>
    <w:rPr>
      <w:kern w:val="0"/>
      <w:sz w:val="18"/>
      <w:szCs w:val="20"/>
    </w:rPr>
  </w:style>
  <w:style w:type="paragraph" w:styleId="19">
    <w:name w:val="footer"/>
    <w:basedOn w:val="1"/>
    <w:next w:val="1"/>
    <w:link w:val="45"/>
    <w:qFormat/>
    <w:uiPriority w:val="99"/>
    <w:pPr>
      <w:tabs>
        <w:tab w:val="center" w:pos="4153"/>
        <w:tab w:val="right" w:pos="8306"/>
      </w:tabs>
      <w:snapToGrid w:val="0"/>
      <w:jc w:val="left"/>
    </w:pPr>
    <w:rPr>
      <w:kern w:val="0"/>
      <w:sz w:val="18"/>
      <w:szCs w:val="20"/>
    </w:rPr>
  </w:style>
  <w:style w:type="paragraph" w:styleId="20">
    <w:name w:val="List"/>
    <w:basedOn w:val="1"/>
    <w:qFormat/>
    <w:locked/>
    <w:uiPriority w:val="0"/>
    <w:pPr>
      <w:ind w:left="200" w:hanging="200" w:hangingChars="200"/>
    </w:pPr>
  </w:style>
  <w:style w:type="paragraph" w:styleId="21">
    <w:name w:val="table of figures"/>
    <w:basedOn w:val="1"/>
    <w:next w:val="1"/>
    <w:unhideWhenUsed/>
    <w:qFormat/>
    <w:locked/>
    <w:uiPriority w:val="99"/>
    <w:pPr>
      <w:ind w:left="200" w:leftChars="200" w:hanging="200" w:hangingChars="200"/>
    </w:pPr>
  </w:style>
  <w:style w:type="paragraph" w:styleId="22">
    <w:name w:val="toc 2"/>
    <w:basedOn w:val="1"/>
    <w:next w:val="1"/>
    <w:qFormat/>
    <w:locked/>
    <w:uiPriority w:val="0"/>
    <w:pPr>
      <w:ind w:left="210"/>
      <w:jc w:val="left"/>
    </w:pPr>
    <w:rPr>
      <w:smallCaps/>
      <w:sz w:val="20"/>
      <w:szCs w:val="20"/>
    </w:rPr>
  </w:style>
  <w:style w:type="paragraph" w:styleId="23">
    <w:name w:val="Normal (Web)"/>
    <w:basedOn w:val="1"/>
    <w:link w:val="48"/>
    <w:qFormat/>
    <w:uiPriority w:val="0"/>
    <w:pPr>
      <w:widowControl/>
      <w:spacing w:before="100" w:beforeAutospacing="1" w:after="100" w:afterAutospacing="1"/>
      <w:jc w:val="left"/>
    </w:pPr>
    <w:rPr>
      <w:rFonts w:ascii="宋体" w:hAnsi="宋体"/>
      <w:kern w:val="0"/>
      <w:sz w:val="24"/>
      <w:szCs w:val="20"/>
    </w:rPr>
  </w:style>
  <w:style w:type="paragraph" w:styleId="24">
    <w:name w:val="Title"/>
    <w:basedOn w:val="1"/>
    <w:next w:val="1"/>
    <w:link w:val="49"/>
    <w:qFormat/>
    <w:locked/>
    <w:uiPriority w:val="0"/>
    <w:pPr>
      <w:spacing w:before="240" w:after="60"/>
      <w:jc w:val="center"/>
      <w:outlineLvl w:val="0"/>
    </w:pPr>
    <w:rPr>
      <w:rFonts w:ascii="Cambria" w:hAnsi="Cambria"/>
      <w:b/>
      <w:bCs/>
      <w:sz w:val="32"/>
      <w:szCs w:val="32"/>
    </w:rPr>
  </w:style>
  <w:style w:type="paragraph" w:styleId="25">
    <w:name w:val="annotation subject"/>
    <w:basedOn w:val="10"/>
    <w:next w:val="10"/>
    <w:link w:val="50"/>
    <w:semiHidden/>
    <w:qFormat/>
    <w:uiPriority w:val="0"/>
    <w:rPr>
      <w:b/>
      <w:sz w:val="24"/>
      <w:szCs w:val="20"/>
    </w:rPr>
  </w:style>
  <w:style w:type="paragraph" w:styleId="26">
    <w:name w:val="Body Text First Indent"/>
    <w:basedOn w:val="2"/>
    <w:next w:val="1"/>
    <w:qFormat/>
    <w:locked/>
    <w:uiPriority w:val="99"/>
    <w:pPr>
      <w:ind w:firstLine="420" w:firstLineChars="100"/>
    </w:pPr>
  </w:style>
  <w:style w:type="paragraph" w:styleId="27">
    <w:name w:val="Body Text First Indent 2"/>
    <w:basedOn w:val="11"/>
    <w:next w:val="26"/>
    <w:qFormat/>
    <w:locked/>
    <w:uiPriority w:val="99"/>
    <w:pPr>
      <w:ind w:firstLine="420" w:firstLineChars="200"/>
    </w:pPr>
    <w:rPr>
      <w:spacing w:val="10"/>
    </w:rPr>
  </w:style>
  <w:style w:type="table" w:styleId="29">
    <w:name w:val="Table Grid"/>
    <w:basedOn w:val="28"/>
    <w:qFormat/>
    <w:uiPriority w:val="39"/>
    <w:rPr>
      <w:lang w:val="en-US" w:eastAsia="zh-CN"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30">
    <w:name w:val="Table Contemporary"/>
    <w:basedOn w:val="28"/>
    <w:qFormat/>
    <w:locked/>
    <w:uiPriority w:val="0"/>
    <w:pPr>
      <w:widowControl w:val="0"/>
      <w:jc w:val="both"/>
    </w:pPr>
    <w:tblPr>
      <w:tblBorders>
        <w:insideH w:val="single" w:color="FFFFFF" w:sz="18" w:space="0"/>
        <w:insideV w:val="single" w:color="FFFFFF" w:sz="18" w:space="0"/>
      </w:tblBorders>
    </w:tblPr>
    <w:tblStylePr w:type="firstRow">
      <w:rPr>
        <w:b/>
        <w:bCs/>
        <w:color w:val="auto"/>
      </w:rPr>
      <w:tblPr/>
      <w:tcPr>
        <w:tcBorders>
          <w:top w:val="nil"/>
          <w:left w:val="nil"/>
          <w:bottom w:val="nil"/>
          <w:right w:val="nil"/>
          <w:insideH w:val="nil"/>
          <w:insideV w:val="nil"/>
          <w:tl2br w:val="nil"/>
          <w:tr2bl w:val="nil"/>
        </w:tcBorders>
        <w:shd w:val="pct20" w:color="000000" w:fill="FFFFFF"/>
      </w:tcPr>
    </w:tblStylePr>
    <w:tblStylePr w:type="band1Horz">
      <w:rPr>
        <w:color w:val="auto"/>
      </w:rPr>
      <w:tblPr/>
      <w:tcPr>
        <w:tcBorders>
          <w:top w:val="nil"/>
          <w:left w:val="nil"/>
          <w:bottom w:val="nil"/>
          <w:right w:val="nil"/>
          <w:insideH w:val="nil"/>
          <w:insideV w:val="nil"/>
          <w:tl2br w:val="nil"/>
          <w:tr2bl w:val="nil"/>
        </w:tcBorders>
        <w:shd w:val="pct5" w:color="000000" w:fill="FFFFFF"/>
      </w:tcPr>
    </w:tblStylePr>
    <w:tblStylePr w:type="band2Horz">
      <w:rPr>
        <w:color w:val="auto"/>
      </w:rPr>
      <w:tblPr/>
      <w:tcPr>
        <w:tcBorders>
          <w:top w:val="nil"/>
          <w:left w:val="nil"/>
          <w:bottom w:val="nil"/>
          <w:right w:val="nil"/>
          <w:insideH w:val="nil"/>
          <w:insideV w:val="nil"/>
          <w:tl2br w:val="nil"/>
          <w:tr2bl w:val="nil"/>
        </w:tcBorders>
        <w:shd w:val="pct20" w:color="000000" w:fill="FFFFFF"/>
      </w:tcPr>
    </w:tblStylePr>
  </w:style>
  <w:style w:type="character" w:styleId="32">
    <w:name w:val="Strong"/>
    <w:qFormat/>
    <w:locked/>
    <w:uiPriority w:val="0"/>
    <w:rPr>
      <w:b/>
      <w:bCs/>
    </w:rPr>
  </w:style>
  <w:style w:type="character" w:styleId="33">
    <w:name w:val="page number"/>
    <w:qFormat/>
    <w:locked/>
    <w:uiPriority w:val="0"/>
  </w:style>
  <w:style w:type="character" w:styleId="34">
    <w:name w:val="Hyperlink"/>
    <w:qFormat/>
    <w:locked/>
    <w:uiPriority w:val="99"/>
    <w:rPr>
      <w:rFonts w:hint="eastAsia" w:ascii="微软雅黑" w:hAnsi="微软雅黑" w:eastAsia="微软雅黑" w:cs="微软雅黑"/>
      <w:color w:val="0000FF"/>
      <w:u w:val="none"/>
    </w:rPr>
  </w:style>
  <w:style w:type="character" w:styleId="35">
    <w:name w:val="annotation reference"/>
    <w:semiHidden/>
    <w:qFormat/>
    <w:uiPriority w:val="0"/>
    <w:rPr>
      <w:sz w:val="21"/>
    </w:rPr>
  </w:style>
  <w:style w:type="paragraph" w:customStyle="1" w:styleId="36">
    <w:name w:val="样式 正文文本缩进 + 行距: 1.5 倍行距"/>
    <w:basedOn w:val="11"/>
    <w:qFormat/>
    <w:uiPriority w:val="0"/>
    <w:pPr>
      <w:tabs>
        <w:tab w:val="left" w:pos="945"/>
        <w:tab w:val="left" w:pos="2085"/>
        <w:tab w:val="center" w:pos="4153"/>
      </w:tabs>
      <w:spacing w:line="360" w:lineRule="auto"/>
      <w:ind w:left="90" w:leftChars="32" w:firstLine="560"/>
    </w:pPr>
  </w:style>
  <w:style w:type="paragraph" w:customStyle="1" w:styleId="37">
    <w:name w:val="样式5"/>
    <w:basedOn w:val="8"/>
    <w:qFormat/>
    <w:uiPriority w:val="0"/>
    <w:pPr>
      <w:tabs>
        <w:tab w:val="left" w:pos="840"/>
      </w:tabs>
      <w:spacing w:line="380" w:lineRule="exact"/>
      <w:ind w:firstLine="566" w:firstLineChars="202"/>
    </w:pPr>
    <w:rPr>
      <w:rFonts w:eastAsia="华文行楷"/>
      <w:sz w:val="28"/>
    </w:rPr>
  </w:style>
  <w:style w:type="character" w:customStyle="1" w:styleId="38">
    <w:name w:val="正文缩进 字符"/>
    <w:link w:val="8"/>
    <w:qFormat/>
    <w:uiPriority w:val="99"/>
    <w:rPr>
      <w:rFonts w:ascii="宋体" w:hAnsi="宋体"/>
      <w:spacing w:val="10"/>
      <w:kern w:val="2"/>
      <w:sz w:val="28"/>
    </w:rPr>
  </w:style>
  <w:style w:type="character" w:customStyle="1" w:styleId="39">
    <w:name w:val="批注文字 字符"/>
    <w:link w:val="10"/>
    <w:qFormat/>
    <w:locked/>
    <w:uiPriority w:val="0"/>
    <w:rPr>
      <w:rFonts w:ascii="Times New Roman" w:hAnsi="Times New Roman" w:eastAsia="宋体"/>
      <w:sz w:val="24"/>
    </w:rPr>
  </w:style>
  <w:style w:type="character" w:customStyle="1" w:styleId="40">
    <w:name w:val="正文文本 字符"/>
    <w:link w:val="2"/>
    <w:qFormat/>
    <w:locked/>
    <w:uiPriority w:val="0"/>
    <w:rPr>
      <w:sz w:val="18"/>
    </w:rPr>
  </w:style>
  <w:style w:type="character" w:customStyle="1" w:styleId="41">
    <w:name w:val="正文文本缩进 字符"/>
    <w:link w:val="11"/>
    <w:semiHidden/>
    <w:qFormat/>
    <w:locked/>
    <w:uiPriority w:val="0"/>
    <w:rPr>
      <w:rFonts w:ascii="Times New Roman" w:hAnsi="Times New Roman" w:eastAsia="宋体"/>
      <w:sz w:val="24"/>
    </w:rPr>
  </w:style>
  <w:style w:type="character" w:customStyle="1" w:styleId="42">
    <w:name w:val="纯文本 字符"/>
    <w:link w:val="13"/>
    <w:qFormat/>
    <w:uiPriority w:val="0"/>
    <w:rPr>
      <w:rFonts w:ascii="宋体" w:hAnsi="Courier New"/>
      <w:kern w:val="2"/>
      <w:sz w:val="21"/>
    </w:rPr>
  </w:style>
  <w:style w:type="character" w:customStyle="1" w:styleId="43">
    <w:name w:val="日期 字符1"/>
    <w:link w:val="16"/>
    <w:qFormat/>
    <w:locked/>
    <w:uiPriority w:val="0"/>
    <w:rPr>
      <w:rFonts w:ascii="Times New Roman" w:hAnsi="Times New Roman" w:eastAsia="宋体"/>
      <w:sz w:val="24"/>
    </w:rPr>
  </w:style>
  <w:style w:type="character" w:customStyle="1" w:styleId="44">
    <w:name w:val="批注框文本 字符"/>
    <w:link w:val="18"/>
    <w:semiHidden/>
    <w:qFormat/>
    <w:locked/>
    <w:uiPriority w:val="0"/>
    <w:rPr>
      <w:rFonts w:ascii="Times New Roman" w:hAnsi="Times New Roman" w:eastAsia="宋体"/>
      <w:sz w:val="18"/>
    </w:rPr>
  </w:style>
  <w:style w:type="character" w:customStyle="1" w:styleId="45">
    <w:name w:val="页脚 字符1"/>
    <w:link w:val="19"/>
    <w:qFormat/>
    <w:locked/>
    <w:uiPriority w:val="99"/>
    <w:rPr>
      <w:sz w:val="18"/>
    </w:rPr>
  </w:style>
  <w:style w:type="character" w:customStyle="1" w:styleId="46">
    <w:name w:val="页眉 字符"/>
    <w:link w:val="12"/>
    <w:qFormat/>
    <w:locked/>
    <w:uiPriority w:val="0"/>
    <w:rPr>
      <w:sz w:val="18"/>
    </w:rPr>
  </w:style>
  <w:style w:type="character" w:customStyle="1" w:styleId="47">
    <w:name w:val="正文文本 2 字符"/>
    <w:link w:val="3"/>
    <w:qFormat/>
    <w:uiPriority w:val="0"/>
    <w:rPr>
      <w:kern w:val="2"/>
      <w:sz w:val="21"/>
      <w:szCs w:val="24"/>
    </w:rPr>
  </w:style>
  <w:style w:type="character" w:customStyle="1" w:styleId="48">
    <w:name w:val="普通(网站) 字符"/>
    <w:link w:val="23"/>
    <w:qFormat/>
    <w:locked/>
    <w:uiPriority w:val="0"/>
    <w:rPr>
      <w:rFonts w:ascii="宋体" w:hAnsi="宋体" w:eastAsia="宋体"/>
      <w:sz w:val="24"/>
    </w:rPr>
  </w:style>
  <w:style w:type="character" w:customStyle="1" w:styleId="49">
    <w:name w:val="标题 字符1"/>
    <w:link w:val="24"/>
    <w:qFormat/>
    <w:uiPriority w:val="0"/>
    <w:rPr>
      <w:rFonts w:ascii="Cambria" w:hAnsi="Cambria"/>
      <w:b/>
      <w:bCs/>
      <w:kern w:val="2"/>
      <w:sz w:val="32"/>
      <w:szCs w:val="32"/>
    </w:rPr>
  </w:style>
  <w:style w:type="character" w:customStyle="1" w:styleId="50">
    <w:name w:val="批注主题 字符"/>
    <w:link w:val="25"/>
    <w:semiHidden/>
    <w:qFormat/>
    <w:locked/>
    <w:uiPriority w:val="0"/>
    <w:rPr>
      <w:rFonts w:ascii="Times New Roman" w:hAnsi="Times New Roman" w:eastAsia="宋体"/>
      <w:b/>
      <w:kern w:val="2"/>
      <w:sz w:val="24"/>
    </w:rPr>
  </w:style>
  <w:style w:type="paragraph" w:customStyle="1" w:styleId="51">
    <w:name w:val="表格内"/>
    <w:basedOn w:val="1"/>
    <w:qFormat/>
    <w:uiPriority w:val="0"/>
    <w:pPr>
      <w:widowControl/>
      <w:snapToGrid w:val="0"/>
      <w:spacing w:after="200" w:line="360" w:lineRule="exact"/>
      <w:jc w:val="center"/>
    </w:pPr>
    <w:rPr>
      <w:rFonts w:eastAsia="微软雅黑"/>
      <w:snapToGrid w:val="0"/>
      <w:kern w:val="0"/>
      <w:sz w:val="22"/>
      <w:szCs w:val="21"/>
    </w:rPr>
  </w:style>
  <w:style w:type="character" w:customStyle="1" w:styleId="52">
    <w:name w:val="font61"/>
    <w:qFormat/>
    <w:uiPriority w:val="0"/>
    <w:rPr>
      <w:rFonts w:hint="eastAsia" w:ascii="宋体" w:hAnsi="宋体" w:eastAsia="宋体" w:cs="宋体"/>
      <w:color w:val="000000"/>
      <w:sz w:val="21"/>
      <w:szCs w:val="21"/>
      <w:u w:val="none"/>
    </w:rPr>
  </w:style>
  <w:style w:type="character" w:customStyle="1" w:styleId="53">
    <w:name w:val="表格 Char"/>
    <w:link w:val="54"/>
    <w:qFormat/>
    <w:locked/>
    <w:uiPriority w:val="0"/>
    <w:rPr>
      <w:rFonts w:ascii="宋体"/>
      <w:sz w:val="21"/>
    </w:rPr>
  </w:style>
  <w:style w:type="paragraph" w:customStyle="1" w:styleId="54">
    <w:name w:val="表格"/>
    <w:basedOn w:val="20"/>
    <w:next w:val="1"/>
    <w:link w:val="53"/>
    <w:qFormat/>
    <w:uiPriority w:val="0"/>
    <w:pPr>
      <w:adjustRightInd w:val="0"/>
      <w:snapToGrid w:val="0"/>
      <w:spacing w:beforeLines="10" w:afterLines="10" w:line="259" w:lineRule="auto"/>
      <w:jc w:val="center"/>
    </w:pPr>
    <w:rPr>
      <w:rFonts w:ascii="宋体"/>
      <w:kern w:val="0"/>
      <w:szCs w:val="20"/>
    </w:rPr>
  </w:style>
  <w:style w:type="character" w:customStyle="1" w:styleId="55">
    <w:name w:val="日期 字符"/>
    <w:semiHidden/>
    <w:qFormat/>
    <w:uiPriority w:val="0"/>
    <w:rPr>
      <w:rFonts w:ascii="Times New Roman" w:hAnsi="Times New Roman" w:eastAsia="宋体"/>
      <w:sz w:val="24"/>
    </w:rPr>
  </w:style>
  <w:style w:type="character" w:customStyle="1" w:styleId="56">
    <w:name w:val="批注文字 字符1"/>
    <w:semiHidden/>
    <w:qFormat/>
    <w:uiPriority w:val="0"/>
    <w:rPr>
      <w:rFonts w:ascii="Times New Roman" w:hAnsi="Times New Roman" w:eastAsia="宋体"/>
      <w:sz w:val="24"/>
    </w:rPr>
  </w:style>
  <w:style w:type="character" w:customStyle="1" w:styleId="57">
    <w:name w:val="表内字 Char1"/>
    <w:link w:val="58"/>
    <w:qFormat/>
    <w:locked/>
    <w:uiPriority w:val="0"/>
    <w:rPr>
      <w:sz w:val="21"/>
      <w:szCs w:val="24"/>
    </w:rPr>
  </w:style>
  <w:style w:type="paragraph" w:customStyle="1" w:styleId="58">
    <w:name w:val="表内字"/>
    <w:basedOn w:val="1"/>
    <w:link w:val="57"/>
    <w:qFormat/>
    <w:uiPriority w:val="0"/>
    <w:pPr>
      <w:spacing w:line="320" w:lineRule="exact"/>
      <w:jc w:val="center"/>
    </w:pPr>
    <w:rPr>
      <w:kern w:val="0"/>
    </w:rPr>
  </w:style>
  <w:style w:type="character" w:customStyle="1" w:styleId="59">
    <w:name w:val="页脚 字符"/>
    <w:qFormat/>
    <w:uiPriority w:val="99"/>
  </w:style>
  <w:style w:type="character" w:customStyle="1" w:styleId="60">
    <w:name w:val="【正文】 Char"/>
    <w:link w:val="61"/>
    <w:qFormat/>
    <w:uiPriority w:val="0"/>
  </w:style>
  <w:style w:type="paragraph" w:customStyle="1" w:styleId="61">
    <w:name w:val="【正文】"/>
    <w:basedOn w:val="1"/>
    <w:link w:val="60"/>
    <w:qFormat/>
    <w:uiPriority w:val="0"/>
    <w:pPr>
      <w:spacing w:line="480" w:lineRule="exact"/>
      <w:ind w:firstLine="544"/>
      <w:jc w:val="left"/>
    </w:pPr>
  </w:style>
  <w:style w:type="character" w:customStyle="1" w:styleId="62">
    <w:name w:val="font71"/>
    <w:qFormat/>
    <w:uiPriority w:val="0"/>
    <w:rPr>
      <w:rFonts w:hint="eastAsia" w:ascii="宋体" w:hAnsi="宋体" w:eastAsia="宋体" w:cs="宋体"/>
      <w:b/>
      <w:color w:val="000000"/>
      <w:sz w:val="21"/>
      <w:szCs w:val="21"/>
      <w:u w:val="none"/>
    </w:rPr>
  </w:style>
  <w:style w:type="character" w:customStyle="1" w:styleId="63">
    <w:name w:val="正文文本 字符1"/>
    <w:semiHidden/>
    <w:qFormat/>
    <w:uiPriority w:val="0"/>
    <w:rPr>
      <w:rFonts w:ascii="Times New Roman" w:hAnsi="Times New Roman" w:eastAsia="宋体"/>
      <w:sz w:val="24"/>
    </w:rPr>
  </w:style>
  <w:style w:type="character" w:customStyle="1" w:styleId="64">
    <w:name w:val="表头A Char"/>
    <w:link w:val="65"/>
    <w:qFormat/>
    <w:uiPriority w:val="0"/>
    <w:rPr>
      <w:rFonts w:eastAsia="楷体_GB2312"/>
      <w:b/>
      <w:kern w:val="2"/>
      <w:sz w:val="24"/>
      <w:szCs w:val="24"/>
    </w:rPr>
  </w:style>
  <w:style w:type="paragraph" w:customStyle="1" w:styleId="65">
    <w:name w:val="表头A"/>
    <w:basedOn w:val="66"/>
    <w:link w:val="64"/>
    <w:qFormat/>
    <w:uiPriority w:val="0"/>
    <w:pPr>
      <w:widowControl w:val="0"/>
      <w:spacing w:before="0" w:beforeLines="0" w:line="400" w:lineRule="exact"/>
      <w:ind w:firstLine="0" w:firstLineChars="0"/>
    </w:pPr>
    <w:rPr>
      <w:rFonts w:ascii="Times New Roman" w:hAnsi="Times New Roman" w:eastAsia="楷体_GB2312"/>
      <w:snapToGrid/>
      <w:kern w:val="2"/>
    </w:rPr>
  </w:style>
  <w:style w:type="paragraph" w:customStyle="1" w:styleId="66">
    <w:name w:val="表头"/>
    <w:basedOn w:val="8"/>
    <w:next w:val="1"/>
    <w:qFormat/>
    <w:uiPriority w:val="0"/>
    <w:pPr>
      <w:spacing w:before="156" w:beforeLines="50"/>
      <w:ind w:firstLine="602" w:firstLineChars="250"/>
      <w:jc w:val="center"/>
    </w:pPr>
    <w:rPr>
      <w:rFonts w:ascii="黑体" w:hAnsi="黑体" w:eastAsia="黑体" w:cs="Times New Roman"/>
      <w:b/>
      <w:snapToGrid w:val="0"/>
      <w:sz w:val="24"/>
      <w:szCs w:val="24"/>
      <w:lang w:val="en-US" w:eastAsia="zh-CN" w:bidi="ar-SA"/>
    </w:rPr>
  </w:style>
  <w:style w:type="character" w:customStyle="1" w:styleId="67">
    <w:name w:val="表格内字体 Char"/>
    <w:link w:val="68"/>
    <w:qFormat/>
    <w:uiPriority w:val="0"/>
    <w:rPr>
      <w:rFonts w:ascii="宋体" w:hAnsi="宋体"/>
      <w:color w:val="FF0000"/>
      <w:sz w:val="21"/>
      <w:szCs w:val="24"/>
    </w:rPr>
  </w:style>
  <w:style w:type="paragraph" w:customStyle="1" w:styleId="68">
    <w:name w:val="表格内字体"/>
    <w:basedOn w:val="1"/>
    <w:next w:val="1"/>
    <w:link w:val="67"/>
    <w:qFormat/>
    <w:uiPriority w:val="0"/>
    <w:pPr>
      <w:jc w:val="center"/>
    </w:pPr>
    <w:rPr>
      <w:rFonts w:ascii="宋体" w:hAnsi="宋体"/>
      <w:color w:val="FF0000"/>
      <w:kern w:val="0"/>
    </w:rPr>
  </w:style>
  <w:style w:type="character" w:customStyle="1" w:styleId="69">
    <w:name w:val="标题 字符"/>
    <w:qFormat/>
    <w:uiPriority w:val="0"/>
    <w:rPr>
      <w:rFonts w:ascii="等线 Light" w:hAnsi="等线 Light" w:cs="Times New Roman"/>
      <w:b/>
      <w:bCs/>
      <w:kern w:val="2"/>
      <w:sz w:val="32"/>
      <w:szCs w:val="32"/>
    </w:rPr>
  </w:style>
  <w:style w:type="character" w:customStyle="1" w:styleId="70">
    <w:name w:val="font51"/>
    <w:qFormat/>
    <w:uiPriority w:val="0"/>
    <w:rPr>
      <w:rFonts w:hint="default" w:ascii="Times New Roman" w:hAnsi="Times New Roman" w:cs="Times New Roman"/>
      <w:color w:val="000000"/>
      <w:sz w:val="18"/>
      <w:szCs w:val="18"/>
      <w:u w:val="none"/>
      <w:vertAlign w:val="superscript"/>
    </w:rPr>
  </w:style>
  <w:style w:type="paragraph" w:customStyle="1" w:styleId="71">
    <w:name w:val="中文报告书样式"/>
    <w:basedOn w:val="1"/>
    <w:qFormat/>
    <w:uiPriority w:val="99"/>
    <w:pPr>
      <w:adjustRightInd w:val="0"/>
      <w:spacing w:line="420" w:lineRule="atLeast"/>
      <w:textAlignment w:val="baseline"/>
    </w:pPr>
    <w:rPr>
      <w:kern w:val="24"/>
      <w:szCs w:val="20"/>
    </w:rPr>
  </w:style>
  <w:style w:type="paragraph" w:customStyle="1" w:styleId="72">
    <w:name w:val="Char Char Char Char"/>
    <w:basedOn w:val="1"/>
    <w:qFormat/>
    <w:uiPriority w:val="0"/>
    <w:rPr>
      <w:szCs w:val="21"/>
    </w:rPr>
  </w:style>
  <w:style w:type="paragraph" w:customStyle="1" w:styleId="73">
    <w:name w:val="样式 首行缩进:  2 字符"/>
    <w:basedOn w:val="1"/>
    <w:qFormat/>
    <w:uiPriority w:val="0"/>
    <w:pPr>
      <w:widowControl/>
      <w:pBdr>
        <w:top w:val="none" w:color="auto" w:sz="0" w:space="0"/>
        <w:left w:val="none" w:color="auto" w:sz="0" w:space="0"/>
        <w:bottom w:val="none" w:color="auto" w:sz="0" w:space="0"/>
        <w:right w:val="none" w:color="auto" w:sz="0" w:space="0"/>
      </w:pBdr>
      <w:tabs>
        <w:tab w:val="left" w:pos="2235"/>
      </w:tabs>
      <w:snapToGrid w:val="0"/>
      <w:spacing w:line="460" w:lineRule="exact"/>
      <w:ind w:firstLine="480"/>
    </w:pPr>
    <w:rPr>
      <w:rFonts w:cs="宋体"/>
      <w:lang w:val="en-GB"/>
    </w:rPr>
  </w:style>
  <w:style w:type="paragraph" w:customStyle="1" w:styleId="74">
    <w:name w:val="普通(网站)2"/>
    <w:basedOn w:val="1"/>
    <w:qFormat/>
    <w:uiPriority w:val="0"/>
    <w:pPr>
      <w:widowControl/>
      <w:spacing w:before="100" w:beforeAutospacing="1" w:after="100" w:afterAutospacing="1"/>
      <w:jc w:val="left"/>
    </w:pPr>
    <w:rPr>
      <w:rFonts w:ascii="宋体" w:hAnsi="宋体"/>
      <w:sz w:val="24"/>
      <w:szCs w:val="20"/>
    </w:rPr>
  </w:style>
  <w:style w:type="paragraph" w:customStyle="1" w:styleId="75">
    <w:name w:val="Default"/>
    <w:basedOn w:val="76"/>
    <w:next w:val="1"/>
    <w:qFormat/>
    <w:uiPriority w:val="0"/>
    <w:pPr>
      <w:widowControl w:val="0"/>
      <w:autoSpaceDE w:val="0"/>
      <w:autoSpaceDN w:val="0"/>
      <w:adjustRightInd w:val="0"/>
    </w:pPr>
    <w:rPr>
      <w:rFonts w:ascii="Times New Roman" w:hAnsi="Times New Roman" w:eastAsia="宋体" w:cs="Times New Roman"/>
      <w:color w:val="000000"/>
      <w:sz w:val="24"/>
      <w:szCs w:val="24"/>
      <w:lang w:val="en-US" w:eastAsia="zh-CN" w:bidi="ar-SA"/>
    </w:rPr>
  </w:style>
  <w:style w:type="paragraph" w:customStyle="1" w:styleId="76">
    <w:name w:val="1 表头"/>
    <w:basedOn w:val="1"/>
    <w:qFormat/>
    <w:uiPriority w:val="0"/>
    <w:pPr>
      <w:adjustRightInd w:val="0"/>
      <w:snapToGrid w:val="0"/>
      <w:spacing w:line="240" w:lineRule="auto"/>
      <w:ind w:firstLine="0" w:firstLineChars="0"/>
      <w:jc w:val="center"/>
    </w:pPr>
    <w:rPr>
      <w:b/>
      <w:color w:val="000000"/>
      <w:sz w:val="21"/>
      <w:szCs w:val="21"/>
    </w:rPr>
  </w:style>
  <w:style w:type="paragraph" w:customStyle="1" w:styleId="77">
    <w:name w:val="Table Paragraph"/>
    <w:basedOn w:val="1"/>
    <w:qFormat/>
    <w:uiPriority w:val="1"/>
    <w:pPr>
      <w:spacing w:before="8" w:beforeLines="0" w:line="240" w:lineRule="auto"/>
      <w:jc w:val="center"/>
    </w:pPr>
    <w:rPr>
      <w:rFonts w:cs="宋体"/>
      <w:kern w:val="0"/>
      <w:sz w:val="22"/>
      <w:szCs w:val="22"/>
      <w:lang w:eastAsia="en-US"/>
    </w:rPr>
  </w:style>
  <w:style w:type="paragraph" w:customStyle="1" w:styleId="78">
    <w:name w:val="表格文字"/>
    <w:next w:val="1"/>
    <w:link w:val="79"/>
    <w:qFormat/>
    <w:uiPriority w:val="0"/>
    <w:pPr>
      <w:adjustRightInd w:val="0"/>
      <w:snapToGrid w:val="0"/>
      <w:jc w:val="center"/>
    </w:pPr>
    <w:rPr>
      <w:rFonts w:ascii="Times New Roman" w:hAnsi="Times New Roman" w:eastAsia="宋体" w:cs="Times New Roman"/>
      <w:kern w:val="2"/>
      <w:sz w:val="21"/>
      <w:szCs w:val="24"/>
      <w:lang w:val="en-US" w:eastAsia="zh-CN" w:bidi="ar-SA"/>
    </w:rPr>
  </w:style>
  <w:style w:type="character" w:customStyle="1" w:styleId="79">
    <w:name w:val="表格文字 Char"/>
    <w:link w:val="78"/>
    <w:qFormat/>
    <w:uiPriority w:val="0"/>
    <w:rPr>
      <w:kern w:val="2"/>
      <w:sz w:val="21"/>
      <w:szCs w:val="24"/>
    </w:rPr>
  </w:style>
  <w:style w:type="paragraph" w:customStyle="1" w:styleId="80">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81">
    <w:name w:val="表格内容"/>
    <w:basedOn w:val="1"/>
    <w:qFormat/>
    <w:uiPriority w:val="0"/>
    <w:pPr>
      <w:autoSpaceDE w:val="0"/>
      <w:autoSpaceDN w:val="0"/>
      <w:adjustRightInd w:val="0"/>
      <w:snapToGrid w:val="0"/>
      <w:spacing w:line="360" w:lineRule="exact"/>
      <w:jc w:val="center"/>
    </w:pPr>
    <w:rPr>
      <w:sz w:val="21"/>
      <w:szCs w:val="21"/>
    </w:rPr>
  </w:style>
  <w:style w:type="paragraph" w:styleId="82">
    <w:name w:val="List Paragraph"/>
    <w:basedOn w:val="1"/>
    <w:qFormat/>
    <w:uiPriority w:val="34"/>
    <w:pPr>
      <w:ind w:firstLine="420"/>
    </w:pPr>
  </w:style>
  <w:style w:type="paragraph" w:customStyle="1" w:styleId="83">
    <w:name w:val="我的表格文字"/>
    <w:basedOn w:val="1"/>
    <w:qFormat/>
    <w:uiPriority w:val="0"/>
    <w:pPr>
      <w:keepNext w:val="0"/>
      <w:keepLines w:val="0"/>
      <w:widowControl w:val="0"/>
      <w:suppressLineNumbers w:val="0"/>
      <w:adjustRightInd w:val="0"/>
      <w:spacing w:before="0" w:beforeAutospacing="0" w:after="0" w:afterAutospacing="0" w:line="360" w:lineRule="exact"/>
      <w:ind w:left="0" w:right="0" w:firstLine="0" w:firstLineChars="0"/>
      <w:jc w:val="center"/>
    </w:pPr>
    <w:rPr>
      <w:rFonts w:hint="eastAsia" w:ascii="宋体" w:hAnsi="Calibri" w:eastAsia="宋体" w:cs="Times New Roman"/>
      <w:kern w:val="0"/>
      <w:sz w:val="20"/>
      <w:szCs w:val="21"/>
      <w:lang w:val="en-US" w:eastAsia="zh-CN" w:bidi="ar"/>
    </w:rPr>
  </w:style>
  <w:style w:type="paragraph" w:customStyle="1" w:styleId="84">
    <w:name w:val="正文-1"/>
    <w:qFormat/>
    <w:uiPriority w:val="0"/>
    <w:pPr>
      <w:spacing w:line="480" w:lineRule="exact"/>
      <w:ind w:firstLine="200" w:firstLineChars="200"/>
      <w:jc w:val="both"/>
    </w:pPr>
    <w:rPr>
      <w:rFonts w:ascii="Times New Roman" w:hAnsi="Times New Roman" w:eastAsia="宋体" w:cs="宋体"/>
      <w:kern w:val="2"/>
      <w:sz w:val="24"/>
      <w:lang w:val="en-US" w:eastAsia="zh-CN" w:bidi="ar-SA"/>
    </w:rPr>
  </w:style>
  <w:style w:type="paragraph" w:customStyle="1" w:styleId="85">
    <w:name w:val="正文(首行缩进)"/>
    <w:basedOn w:val="1"/>
    <w:next w:val="1"/>
    <w:qFormat/>
    <w:uiPriority w:val="99"/>
    <w:pPr>
      <w:widowControl/>
      <w:ind w:firstLine="540" w:firstLineChars="225"/>
      <w:jc w:val="left"/>
    </w:pPr>
    <w:rPr>
      <w:snapToGrid w:val="0"/>
      <w:color w:val="000000"/>
      <w:kern w:val="0"/>
    </w:rPr>
  </w:style>
  <w:style w:type="table" w:customStyle="1" w:styleId="86">
    <w:name w:val="Table Normal"/>
    <w:unhideWhenUsed/>
    <w:qFormat/>
    <w:uiPriority w:val="2"/>
    <w:pPr>
      <w:widowControl w:val="0"/>
    </w:pPr>
    <w:rPr>
      <w:rFonts w:ascii="Calibri" w:hAnsi="Calibri"/>
      <w:sz w:val="22"/>
      <w:szCs w:val="22"/>
      <w:lang w:val="en-US" w:eastAsia="en-US" w:bidi="ar-SA"/>
    </w:rPr>
    <w:tblPr>
      <w:tblCellMar>
        <w:top w:w="0" w:type="dxa"/>
        <w:left w:w="0" w:type="dxa"/>
        <w:bottom w:w="0" w:type="dxa"/>
        <w:right w:w="0" w:type="dxa"/>
      </w:tblCellMar>
    </w:tblPr>
  </w:style>
  <w:style w:type="table" w:customStyle="1" w:styleId="87">
    <w:name w:val="表格样式1"/>
    <w:basedOn w:val="30"/>
    <w:qFormat/>
    <w:uiPriority w:val="0"/>
    <w:pPr>
      <w:adjustRightInd w:val="0"/>
      <w:spacing w:line="360" w:lineRule="exact"/>
      <w:jc w:val="center"/>
      <w:textAlignment w:val="center"/>
    </w:pPr>
    <w:rPr>
      <w:sz w:val="21"/>
      <w:szCs w:val="21"/>
    </w:rPr>
    <w:tblPr>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Pr>
    <w:tcPr>
      <w:vAlign w:val="center"/>
    </w:tcPr>
    <w:tblStylePr w:type="firstRow">
      <w:pPr>
        <w:jc w:val="center"/>
      </w:pPr>
      <w:rPr>
        <w:rFonts w:eastAsia="Symbol"/>
        <w:b w:val="0"/>
        <w:bCs/>
        <w:color w:val="auto"/>
        <w:sz w:val="21"/>
      </w:rPr>
      <w:tcPr>
        <w:shd w:val="pct20" w:color="000000" w:fill="FFFFFF"/>
      </w:tcPr>
    </w:tblStylePr>
    <w:tblStylePr w:type="band1Horz">
      <w:rPr>
        <w:color w:val="auto"/>
      </w:rPr>
      <w:tcPr>
        <w:tcBorders>
          <w:top w:val="nil"/>
          <w:left w:val="nil"/>
          <w:bottom w:val="nil"/>
          <w:right w:val="nil"/>
          <w:insideH w:val="nil"/>
          <w:insideV w:val="nil"/>
          <w:tl2br w:val="nil"/>
          <w:tr2bl w:val="nil"/>
        </w:tcBorders>
        <w:shd w:val="pct5" w:color="000000" w:fill="FFFFFF"/>
      </w:tcPr>
    </w:tblStylePr>
    <w:tblStylePr w:type="band2Horz">
      <w:rPr>
        <w:color w:val="auto"/>
      </w:rPr>
      <w:tcPr>
        <w:tcBorders>
          <w:top w:val="nil"/>
          <w:left w:val="nil"/>
          <w:bottom w:val="nil"/>
          <w:right w:val="nil"/>
          <w:insideH w:val="nil"/>
          <w:insideV w:val="nil"/>
          <w:tl2br w:val="nil"/>
          <w:tr2bl w:val="nil"/>
        </w:tcBorders>
        <w:shd w:val="pct20" w:color="000000" w:fill="FFFFFF"/>
      </w:tcPr>
    </w:tblStylePr>
  </w:style>
  <w:style w:type="character" w:customStyle="1" w:styleId="88">
    <w:name w:val="标题 Char"/>
    <w:qFormat/>
    <w:uiPriority w:val="0"/>
    <w:rPr>
      <w:rFonts w:ascii="Cambria" w:hAnsi="Cambria"/>
      <w:b/>
      <w:bCs/>
      <w:kern w:val="2"/>
      <w:sz w:val="32"/>
      <w:szCs w:val="32"/>
    </w:rPr>
  </w:style>
  <w:style w:type="paragraph" w:customStyle="1" w:styleId="89">
    <w:name w:val="_Style 86"/>
    <w:unhideWhenUsed/>
    <w:qFormat/>
    <w:uiPriority w:val="99"/>
    <w:rPr>
      <w:rFonts w:ascii="Times New Roman" w:hAnsi="Times New Roman" w:eastAsia="宋体" w:cs="Times New Roman"/>
      <w:kern w:val="2"/>
      <w:sz w:val="21"/>
      <w:szCs w:val="24"/>
      <w:lang w:val="en-US" w:eastAsia="zh-CN" w:bidi="ar-SA"/>
    </w:rPr>
  </w:style>
  <w:style w:type="paragraph" w:customStyle="1" w:styleId="90">
    <w:name w:val="首行缩进"/>
    <w:basedOn w:val="1"/>
    <w:qFormat/>
    <w:uiPriority w:val="0"/>
    <w:pPr>
      <w:ind w:firstLine="480" w:firstLineChars="200"/>
    </w:pPr>
    <w:rPr>
      <w:lang w:val="zh-CN"/>
    </w:rPr>
  </w:style>
  <w:style w:type="paragraph" w:customStyle="1" w:styleId="91">
    <w:name w:val="正文文字"/>
    <w:basedOn w:val="1"/>
    <w:qFormat/>
    <w:uiPriority w:val="0"/>
    <w:pPr>
      <w:spacing w:line="360" w:lineRule="auto"/>
      <w:ind w:firstLine="720" w:firstLineChars="200"/>
    </w:pPr>
    <w:rPr>
      <w:rFonts w:ascii="Times New Roman" w:hAnsi="Times New Roman"/>
      <w:sz w:val="24"/>
    </w:rPr>
  </w:style>
  <w:style w:type="paragraph" w:customStyle="1" w:styleId="92">
    <w:name w:val="表格1"/>
    <w:basedOn w:val="1"/>
    <w:next w:val="1"/>
    <w:qFormat/>
    <w:uiPriority w:val="0"/>
    <w:pPr>
      <w:adjustRightInd w:val="0"/>
      <w:snapToGrid w:val="0"/>
      <w:jc w:val="center"/>
    </w:pPr>
    <w:rPr>
      <w:rFonts w:eastAsia="方正仿宋_GBK"/>
      <w:color w:val="000000"/>
      <w:kern w:val="0"/>
      <w:szCs w:val="24"/>
    </w:rPr>
  </w:style>
  <w:style w:type="paragraph" w:customStyle="1" w:styleId="93">
    <w:name w:val="报告正文"/>
    <w:basedOn w:val="1"/>
    <w:qFormat/>
    <w:uiPriority w:val="0"/>
    <w:pPr>
      <w:spacing w:line="360" w:lineRule="auto"/>
      <w:ind w:firstLine="480" w:firstLineChars="200"/>
    </w:pPr>
    <w:rPr>
      <w:rFonts w:ascii="Times New Roman" w:hAnsi="Times New Roman"/>
      <w:kern w:val="0"/>
      <w:sz w:val="24"/>
      <w:szCs w:val="20"/>
    </w:rPr>
  </w:style>
  <w:style w:type="paragraph" w:customStyle="1" w:styleId="94">
    <w:name w:val="正文 首行缩进:  2 字符"/>
    <w:basedOn w:val="1"/>
    <w:qFormat/>
    <w:uiPriority w:val="0"/>
    <w:pPr>
      <w:suppressAutoHyphens/>
      <w:ind w:firstLine="579" w:firstLineChars="200"/>
    </w:pPr>
    <w:rPr>
      <w:rFonts w:cs="宋体"/>
      <w:kern w:val="1"/>
      <w:lang w:eastAsia="ar-SA"/>
    </w:rPr>
  </w:style>
  <w:style w:type="character" w:customStyle="1" w:styleId="95">
    <w:name w:val="font21"/>
    <w:basedOn w:val="31"/>
    <w:qFormat/>
    <w:uiPriority w:val="0"/>
    <w:rPr>
      <w:rFonts w:ascii="宋体" w:hAnsi="宋体" w:eastAsia="宋体" w:cs="宋体"/>
      <w:color w:val="000000"/>
      <w:sz w:val="26"/>
      <w:szCs w:val="26"/>
      <w:u w:val="none"/>
    </w:rPr>
  </w:style>
  <w:style w:type="character" w:customStyle="1" w:styleId="96">
    <w:name w:val="font31"/>
    <w:basedOn w:val="31"/>
    <w:qFormat/>
    <w:uiPriority w:val="0"/>
    <w:rPr>
      <w:rFonts w:hint="default" w:ascii="Arial" w:hAnsi="Arial" w:cs="Arial"/>
      <w:color w:val="000000"/>
      <w:sz w:val="22"/>
      <w:szCs w:val="22"/>
      <w:u w:val="none"/>
    </w:rPr>
  </w:style>
  <w:style w:type="character" w:customStyle="1" w:styleId="97">
    <w:name w:val="font41"/>
    <w:basedOn w:val="31"/>
    <w:qFormat/>
    <w:uiPriority w:val="0"/>
    <w:rPr>
      <w:rFonts w:ascii="Arial Unicode MS" w:hAnsi="Arial Unicode MS" w:eastAsia="Arial Unicode MS" w:cs="Arial Unicode MS"/>
      <w:color w:val="000000"/>
      <w:sz w:val="22"/>
      <w:szCs w:val="22"/>
      <w:u w:val="none"/>
    </w:rPr>
  </w:style>
  <w:style w:type="paragraph" w:customStyle="1" w:styleId="98">
    <w:name w:val="表内文字"/>
    <w:qFormat/>
    <w:uiPriority w:val="0"/>
    <w:pPr>
      <w:jc w:val="center"/>
    </w:pPr>
    <w:rPr>
      <w:rFonts w:ascii="Times New Roman" w:hAnsi="Times New Roman" w:eastAsia="宋体" w:cs="Times New Roman"/>
      <w:kern w:val="2"/>
      <w:sz w:val="21"/>
      <w:szCs w:val="24"/>
      <w:lang w:val="en-US" w:eastAsia="zh-CN" w:bidi="ar-SA"/>
    </w:rPr>
  </w:style>
  <w:style w:type="paragraph" w:customStyle="1" w:styleId="99">
    <w:name w:val="TOC 31"/>
    <w:basedOn w:val="1"/>
    <w:next w:val="1"/>
    <w:qFormat/>
    <w:uiPriority w:val="0"/>
    <w:pPr>
      <w:widowControl w:val="0"/>
      <w:autoSpaceDE/>
      <w:autoSpaceDN/>
      <w:spacing w:before="0" w:after="0" w:line="240" w:lineRule="auto"/>
      <w:ind w:left="420" w:firstLine="0"/>
      <w:jc w:val="both"/>
    </w:pPr>
    <w:rPr>
      <w:rFonts w:ascii="Times New Roman" w:eastAsia="宋体"/>
      <w:i/>
    </w:rPr>
  </w:style>
  <w:style w:type="character" w:customStyle="1" w:styleId="100">
    <w:name w:val="font11"/>
    <w:basedOn w:val="31"/>
    <w:qFormat/>
    <w:uiPriority w:val="0"/>
    <w:rPr>
      <w:rFonts w:ascii="宋体" w:hAnsi="宋体" w:eastAsia="宋体" w:cs="宋体"/>
      <w:color w:val="2020FF"/>
      <w:sz w:val="28"/>
      <w:szCs w:val="28"/>
      <w:u w:val="none"/>
    </w:rPr>
  </w:style>
  <w:style w:type="paragraph" w:customStyle="1" w:styleId="101">
    <w:name w:val="Table Text"/>
    <w:basedOn w:val="1"/>
    <w:semiHidden/>
    <w:qFormat/>
    <w:uiPriority w:val="0"/>
    <w:rPr>
      <w:rFonts w:ascii="Times New Roman" w:hAnsi="Times New Roman" w:eastAsia="Times New Roman" w:cs="Times New Roman"/>
      <w:sz w:val="20"/>
      <w:szCs w:val="20"/>
      <w:lang w:val="en-US" w:eastAsia="en-US" w:bidi="ar-SA"/>
    </w:rPr>
  </w:style>
  <w:style w:type="paragraph" w:customStyle="1" w:styleId="102">
    <w:name w:val="样式 正文缩进正文缩进2正文缩进 Char Char正文缩进 Char Char Char Char正文缩进 Char ..."/>
    <w:basedOn w:val="8"/>
    <w:qFormat/>
    <w:uiPriority w:val="0"/>
    <w:pPr>
      <w:ind w:firstLine="200" w:firstLineChars="200"/>
    </w:pPr>
    <w:rPr>
      <w:rFonts w:hint="eastAsia" w:ascii="宋体" w:hAnsi="宋体" w:eastAsia="宋体" w:cs="宋体"/>
      <w:kern w:val="0"/>
      <w:sz w:val="24"/>
      <w:szCs w:val="24"/>
    </w:rPr>
  </w:style>
  <w:style w:type="paragraph" w:customStyle="1" w:styleId="103">
    <w:name w:val="邓表格文字"/>
    <w:basedOn w:val="104"/>
    <w:qFormat/>
    <w:uiPriority w:val="0"/>
    <w:pPr>
      <w:spacing w:line="220" w:lineRule="exact"/>
    </w:pPr>
    <w:rPr>
      <w:rFonts w:eastAsia="宋体"/>
      <w:kern w:val="0"/>
      <w:sz w:val="15"/>
      <w:szCs w:val="15"/>
    </w:rPr>
  </w:style>
  <w:style w:type="paragraph" w:customStyle="1" w:styleId="104">
    <w:name w:val="表格文字邓"/>
    <w:basedOn w:val="1"/>
    <w:qFormat/>
    <w:uiPriority w:val="0"/>
    <w:pPr>
      <w:widowControl/>
      <w:snapToGrid w:val="0"/>
      <w:spacing w:line="200" w:lineRule="exact"/>
      <w:jc w:val="center"/>
    </w:pPr>
    <w:rPr>
      <w:rFonts w:ascii="宋体" w:hAnsi="宋体" w:eastAsia="华文中宋"/>
      <w:color w:val="000000"/>
      <w:sz w:val="18"/>
      <w:szCs w:val="18"/>
    </w:rPr>
  </w:style>
</w:styles>
</file>

<file path=word/_rels/document.xml.rels><?xml version="1.0" encoding="UTF-8" standalone="yes"?>
<Relationships xmlns="http://schemas.openxmlformats.org/package/2006/relationships"><Relationship Id="rId9" Type="http://schemas.openxmlformats.org/officeDocument/2006/relationships/footer" Target="footer7.xml"/><Relationship Id="rId8" Type="http://schemas.openxmlformats.org/officeDocument/2006/relationships/footer" Target="footer6.xml"/><Relationship Id="rId7" Type="http://schemas.openxmlformats.org/officeDocument/2006/relationships/footer" Target="footer5.xml"/><Relationship Id="rId61" Type="http://schemas.openxmlformats.org/officeDocument/2006/relationships/fontTable" Target="fontTable.xml"/><Relationship Id="rId60" Type="http://schemas.openxmlformats.org/officeDocument/2006/relationships/customXml" Target="../customXml/item2.xml"/><Relationship Id="rId6" Type="http://schemas.openxmlformats.org/officeDocument/2006/relationships/footer" Target="footer4.xml"/><Relationship Id="rId59" Type="http://schemas.openxmlformats.org/officeDocument/2006/relationships/numbering" Target="numbering.xml"/><Relationship Id="rId58" Type="http://schemas.openxmlformats.org/officeDocument/2006/relationships/customXml" Target="../customXml/item1.xml"/><Relationship Id="rId57" Type="http://schemas.openxmlformats.org/officeDocument/2006/relationships/image" Target="media/image44.png"/><Relationship Id="rId56" Type="http://schemas.openxmlformats.org/officeDocument/2006/relationships/image" Target="media/image43.png"/><Relationship Id="rId55" Type="http://schemas.openxmlformats.org/officeDocument/2006/relationships/image" Target="media/image42.png"/><Relationship Id="rId54" Type="http://schemas.openxmlformats.org/officeDocument/2006/relationships/image" Target="media/image41.png"/><Relationship Id="rId53" Type="http://schemas.openxmlformats.org/officeDocument/2006/relationships/image" Target="media/image40.png"/><Relationship Id="rId52" Type="http://schemas.openxmlformats.org/officeDocument/2006/relationships/image" Target="media/image39.png"/><Relationship Id="rId51" Type="http://schemas.openxmlformats.org/officeDocument/2006/relationships/image" Target="media/image38.jpeg"/><Relationship Id="rId50" Type="http://schemas.openxmlformats.org/officeDocument/2006/relationships/image" Target="media/image37.jpeg"/><Relationship Id="rId5" Type="http://schemas.openxmlformats.org/officeDocument/2006/relationships/footer" Target="footer3.xml"/><Relationship Id="rId49" Type="http://schemas.openxmlformats.org/officeDocument/2006/relationships/image" Target="media/image36.png"/><Relationship Id="rId48" Type="http://schemas.openxmlformats.org/officeDocument/2006/relationships/image" Target="media/image35.png"/><Relationship Id="rId47" Type="http://schemas.openxmlformats.org/officeDocument/2006/relationships/image" Target="media/image34.png"/><Relationship Id="rId46" Type="http://schemas.openxmlformats.org/officeDocument/2006/relationships/image" Target="media/image33.png"/><Relationship Id="rId45" Type="http://schemas.openxmlformats.org/officeDocument/2006/relationships/image" Target="media/image32.png"/><Relationship Id="rId44" Type="http://schemas.openxmlformats.org/officeDocument/2006/relationships/image" Target="media/image31.png"/><Relationship Id="rId43" Type="http://schemas.openxmlformats.org/officeDocument/2006/relationships/image" Target="media/image30.png"/><Relationship Id="rId42" Type="http://schemas.openxmlformats.org/officeDocument/2006/relationships/image" Target="media/image29.jpeg"/><Relationship Id="rId41" Type="http://schemas.openxmlformats.org/officeDocument/2006/relationships/image" Target="media/image28.wmf"/><Relationship Id="rId40" Type="http://schemas.openxmlformats.org/officeDocument/2006/relationships/image" Target="media/image27.wmf"/><Relationship Id="rId4" Type="http://schemas.openxmlformats.org/officeDocument/2006/relationships/footer" Target="footer2.xml"/><Relationship Id="rId39" Type="http://schemas.openxmlformats.org/officeDocument/2006/relationships/image" Target="media/image26.wmf"/><Relationship Id="rId38" Type="http://schemas.openxmlformats.org/officeDocument/2006/relationships/image" Target="media/image25.wmf"/><Relationship Id="rId37" Type="http://schemas.openxmlformats.org/officeDocument/2006/relationships/image" Target="media/image24.wmf"/><Relationship Id="rId36" Type="http://schemas.openxmlformats.org/officeDocument/2006/relationships/image" Target="media/image23.wmf"/><Relationship Id="rId35" Type="http://schemas.openxmlformats.org/officeDocument/2006/relationships/image" Target="media/image22.wmf"/><Relationship Id="rId34" Type="http://schemas.openxmlformats.org/officeDocument/2006/relationships/image" Target="media/image21.wmf"/><Relationship Id="rId33" Type="http://schemas.openxmlformats.org/officeDocument/2006/relationships/image" Target="media/image20.wmf"/><Relationship Id="rId32" Type="http://schemas.openxmlformats.org/officeDocument/2006/relationships/image" Target="media/image19.wmf"/><Relationship Id="rId31" Type="http://schemas.openxmlformats.org/officeDocument/2006/relationships/image" Target="media/image18.wmf"/><Relationship Id="rId30" Type="http://schemas.openxmlformats.org/officeDocument/2006/relationships/image" Target="media/image17.wmf"/><Relationship Id="rId3" Type="http://schemas.openxmlformats.org/officeDocument/2006/relationships/footer" Target="footer1.xml"/><Relationship Id="rId29" Type="http://schemas.openxmlformats.org/officeDocument/2006/relationships/image" Target="media/image16.wmf"/><Relationship Id="rId28" Type="http://schemas.openxmlformats.org/officeDocument/2006/relationships/image" Target="media/image15.wmf"/><Relationship Id="rId27" Type="http://schemas.openxmlformats.org/officeDocument/2006/relationships/image" Target="media/image14.wmf"/><Relationship Id="rId26" Type="http://schemas.openxmlformats.org/officeDocument/2006/relationships/image" Target="media/image13.wmf"/><Relationship Id="rId25" Type="http://schemas.openxmlformats.org/officeDocument/2006/relationships/image" Target="media/image12.wmf"/><Relationship Id="rId24" Type="http://schemas.openxmlformats.org/officeDocument/2006/relationships/image" Target="media/image11.wmf"/><Relationship Id="rId23" Type="http://schemas.openxmlformats.org/officeDocument/2006/relationships/image" Target="media/image10.jpeg"/><Relationship Id="rId22" Type="http://schemas.openxmlformats.org/officeDocument/2006/relationships/image" Target="media/image9.png"/><Relationship Id="rId21" Type="http://schemas.openxmlformats.org/officeDocument/2006/relationships/image" Target="media/image8.png"/><Relationship Id="rId20" Type="http://schemas.openxmlformats.org/officeDocument/2006/relationships/image" Target="media/image7.png"/><Relationship Id="rId2" Type="http://schemas.openxmlformats.org/officeDocument/2006/relationships/settings" Target="settings.xml"/><Relationship Id="rId19" Type="http://schemas.openxmlformats.org/officeDocument/2006/relationships/image" Target="media/image6.jpeg"/><Relationship Id="rId18" Type="http://schemas.openxmlformats.org/officeDocument/2006/relationships/image" Target="media/image5.jpeg"/><Relationship Id="rId17" Type="http://schemas.openxmlformats.org/officeDocument/2006/relationships/image" Target="media/image4.jpeg"/><Relationship Id="rId16" Type="http://schemas.openxmlformats.org/officeDocument/2006/relationships/image" Target="media/image3.jpeg"/><Relationship Id="rId15" Type="http://schemas.openxmlformats.org/officeDocument/2006/relationships/image" Target="media/image2.jpeg"/><Relationship Id="rId14" Type="http://schemas.openxmlformats.org/officeDocument/2006/relationships/image" Target="media/image1.jpeg"/><Relationship Id="rId13" Type="http://schemas.openxmlformats.org/officeDocument/2006/relationships/theme" Target="theme/theme1.xml"/><Relationship Id="rId12" Type="http://schemas.openxmlformats.org/officeDocument/2006/relationships/footer" Target="footer10.xml"/><Relationship Id="rId11" Type="http://schemas.openxmlformats.org/officeDocument/2006/relationships/footer" Target="footer9.xml"/><Relationship Id="rId10" Type="http://schemas.openxmlformats.org/officeDocument/2006/relationships/footer" Target="footer8.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extobjs>
    <extobj name="F360BE8B-6686-4F3D-AEAF-501FE73E4058-1">
      <extobjdata type="F360BE8B-6686-4F3D-AEAF-501FE73E4058" data="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"/>
    </extobj>
  </extobjs>
</s:customData>
</file>

<file path=customXml/item2.xml><?xml version="1.0" encoding="utf-8"?>
<contractReview xmlns="http://schemas.wps.cn/vas-ai-hub/contract-review">
  <reviewItems>
    <reviewItem>
      <errorID>d927e505-ced9-4064-aa6b-11fb67011268</errorID>
      <errorWord>国家高新产业</errorWord>
      <group>L1_Word</group>
      <groupName>字词问题</groupName>
      <ability>L2_Typo</ability>
      <abilityName>字词错误</abilityName>
      <candidateList>
        <item>国家高新技术产业</item>
      </candidateList>
      <explain/>
      <paraID>39FC81F5</paraID>
      <start>15</start>
      <end>21</end>
      <status>unmodified</status>
      <modifiedWord/>
      <trackRevisions>false</trackRevisions>
    </reviewItem>
    <reviewItem>
      <errorID>e76ddeb4-4300-4276-94f4-ab4936df1960</errorID>
      <errorWord>）</errorWord>
      <group>L1_AI</group>
      <groupName>深度校对</groupName>
      <ability>L2_AI_Word</ability>
      <abilityName>字词纠错</abilityName>
      <candidateList>
        <item>年）</item>
      </candidateList>
      <explain/>
      <paraID>74716E11</paraID>
      <start>38</start>
      <end>39</end>
      <status>unmodified</status>
      <modifiedWord/>
      <trackRevisions>false</trackRevisions>
    </reviewItem>
    <reviewItem>
      <errorID>1b3306c8-403d-46e7-a7cd-9cfbbdf73dd9</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792D726E</paraID>
      <start>0</start>
      <end>2</end>
      <status>unmodified</status>
      <modifiedWord/>
      <trackRevisions>false</trackRevisions>
    </reviewItem>
    <reviewItem>
      <errorID>8f77656c-ee6a-4767-9f5a-c322fa6e5711</errorID>
      <errorWord>）</errorWord>
      <group>L1_AI</group>
      <groupName>深度校对</groupName>
      <ability>L2_AI_Word</ability>
      <abilityName>字词纠错</abilityName>
      <candidateList>
        <item>年）</item>
      </candidateList>
      <explain/>
      <paraID>792D726E</paraID>
      <start>29</start>
      <end>30</end>
      <status>unmodified</status>
      <modifiedWord/>
      <trackRevisions>false</trackRevisions>
    </reviewItem>
    <reviewItem>
      <errorID>e53e65cd-1f60-4e47-9a1c-5560a36271d9</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411D297C</paraID>
      <start>0</start>
      <end>2</end>
      <status>unmodified</status>
      <modifiedWord/>
      <trackRevisions>false</trackRevisions>
    </reviewItem>
    <reviewItem>
      <errorID>31d6b35a-175f-4654-badf-41a512dcbd57</errorID>
      <errorWord>三</errorWord>
      <group>L1_AI</group>
      <groupName>深度校对</groupName>
      <ability>L2_AI_Word</ability>
      <abilityName>字词纠错</abilityName>
      <candidateList>
        <item>以三</item>
      </candidateList>
      <explain/>
      <paraID>73D5D091</paraID>
      <start>15</start>
      <end>16</end>
      <status>unmodified</status>
      <modifiedWord/>
      <trackRevisions>false</trackRevisions>
    </reviewItem>
    <reviewItem>
      <errorID>543f7ae6-6a57-4b19-b114-15946042c3cf</errorID>
      <errorWord>，</errorWord>
      <group>L1_AI</group>
      <groupName>深度校对</groupName>
      <ability>L2_AI_Punc</ability>
      <abilityName>标点纠错</abilityName>
      <candidateList>
        <item>；</item>
      </candidateList>
      <explain/>
      <paraID>73D5D091</paraID>
      <start>50</start>
      <end>51</end>
      <status>unmodified</status>
      <modifiedWord/>
      <trackRevisions>false</trackRevisions>
    </reviewItem>
    <reviewItem>
      <errorID>9b395d2f-14fe-4b7f-9598-70a57e39de07</errorID>
      <errorWord>，</errorWord>
      <group>L1_AI</group>
      <groupName>深度校对</groupName>
      <ability>L2_AI_Punc</ability>
      <abilityName>标点纠错</abilityName>
      <candidateList>
        <item>。</item>
      </candidateList>
      <explain/>
      <paraID>73D5D091</paraID>
      <start>129</start>
      <end>130</end>
      <status>unmodified</status>
      <modifiedWord/>
      <trackRevisions>false</trackRevisions>
    </reviewItem>
    <reviewItem>
      <errorID>5630d517-6571-40f9-85cc-c07aa7bae0f6</errorID>
      <errorWord>在</errorWord>
      <group>L1_AI</group>
      <groupName>深度校对</groupName>
      <ability>L2_AI_Punc</ability>
      <abilityName>标点纠错</abilityName>
      <candidateList>
        <item>，在</item>
      </candidateList>
      <explain/>
      <paraID>73D5D091</paraID>
      <start>139</start>
      <end>140</end>
      <status>unmodified</status>
      <modifiedWord/>
      <trackRevisions>false</trackRevisions>
    </reviewItem>
    <reviewItem>
      <errorID>9836cb74-2443-4c90-ae59-591d21d34a00</errorID>
      <errorWord>，会对</errorWord>
      <group>L1_AI</group>
      <groupName>深度校对</groupName>
      <ability>L2_AI_Grammar</ability>
      <abilityName>语法纠错</abilityName>
      <candidateList>
        <item>，</item>
      </candidateList>
      <explain/>
      <paraID>73D5D091</paraID>
      <start>157</start>
      <end>160</end>
      <status>unmodified</status>
      <modifiedWord/>
      <trackRevisions>false</trackRevisions>
    </reviewItem>
    <reviewItem>
      <errorID>7e4010e4-de02-424f-ac8e-de6f8b0ed366</errorID>
      <errorWord>废水</errorWord>
      <group>L1_AI</group>
      <groupName>深度校对</groupName>
      <ability>L2_AI_Word</ability>
      <abilityName>字词纠错</abilityName>
      <candidateList>
        <item>的废水</item>
      </candidateList>
      <explain/>
      <paraID>73D5D091</paraID>
      <start>166</start>
      <end>168</end>
      <status>unmodified</status>
      <modifiedWord/>
      <trackRevisions>false</trackRevisions>
    </reviewItem>
    <reviewItem>
      <errorID>5b99aef2-53b3-47ed-9c8d-8c4c7b0de892</errorID>
      <errorWord>后，</errorWord>
      <group>L1_AI</group>
      <groupName>深度校对</groupName>
      <ability>L2_AI_Word</ability>
      <abilityName>字词纠错</abilityName>
      <candidateList>
        <item>；</item>
      </candidateList>
      <explain/>
      <paraID>73D5D091</paraID>
      <start>304</start>
      <end>306</end>
      <status>unmodified</status>
      <modifiedWord/>
      <trackRevisions>false</trackRevisions>
    </reviewItem>
    <reviewItem>
      <errorID>d20b1db3-f2d9-407c-8947-9c331a2a9759</errorID>
      <errorWord>，</errorWord>
      <group>L1_AI</group>
      <groupName>深度校对</groupName>
      <ability>L2_AI_Punc</ability>
      <abilityName>标点纠错</abilityName>
      <candidateList>
        <item>。</item>
      </candidateList>
      <explain/>
      <paraID>73D5D091</paraID>
      <start>330</start>
      <end>331</end>
      <status>unmodified</status>
      <modifiedWord/>
      <trackRevisions>false</trackRevisions>
    </reviewItem>
    <reviewItem>
      <errorID>aaa74db6-8c21-4110-997e-5f678a07e4af</errorID>
      <errorWord>情况</errorWord>
      <group>L1_AI</group>
      <groupName>深度校对</groupName>
      <ability>L2_AI_Word</ability>
      <abilityName>字词纠错</abilityName>
      <candidateList>
        <item>的情况</item>
      </candidateList>
      <explain/>
      <paraID>73D5D091</paraID>
      <start>345</start>
      <end>347</end>
      <status>unmodified</status>
      <modifiedWord/>
      <trackRevisions>false</trackRevisions>
    </reviewItem>
    <reviewItem>
      <errorID>08dff8fe-6a6c-40c1-8658-eb7e03c6c63a</errorID>
      <errorWord>危险废物暂存危险废物暂存</errorWord>
      <group>L1_Word</group>
      <groupName>字词问题</groupName>
      <ability>L2_Typo</ability>
      <abilityName>字词错误</abilityName>
      <candidateList>
        <item>危险废物暂存</item>
      </candidateList>
      <explain/>
      <paraID>1483D111</paraID>
      <start>27</start>
      <end>39</end>
      <status>unmodified</status>
      <modifiedWord/>
      <trackRevisions>false</trackRevisions>
    </reviewItem>
    <reviewItem>
      <errorID>e21907d0-62ed-4a85-b448-7fce034ab0bc</errorID>
      <errorWord>交有</errorWord>
      <group>L1_Word</group>
      <groupName>字词问题</groupName>
      <ability>L2_Typo</ability>
      <abilityName>字词错误</abilityName>
      <candidateList>
        <item>交由</item>
      </candidateList>
      <explain>存在发音相同字词的误用。</explain>
      <paraID>1D27A14A</paraID>
      <start>101</start>
      <end>103</end>
      <status>unmodified</status>
      <modifiedWord/>
      <trackRevisions>false</trackRevisions>
    </reviewItem>
    <reviewItem>
      <errorID>b01c5ded-dbfa-4361-8887-fba1e38bb5a4</errorID>
      <errorWord>产生</errorWord>
      <group>L1_AI</group>
      <groupName>深度校对</groupName>
      <ability>L2_AI_Punc</ability>
      <abilityName>标点纠错</abilityName>
      <candidateList>
        <item>；产生</item>
      </candidateList>
      <explain/>
      <paraID>7F581983</paraID>
      <start>61</start>
      <end>63</end>
      <status>unmodified</status>
      <modifiedWord/>
      <trackRevisions>false</trackRevisions>
    </reviewItem>
    <reviewItem>
      <errorID>9752125e-48de-4de1-a8c8-7837c7c2ec51</errorID>
      <errorWord>交有</errorWord>
      <group>L1_Word</group>
      <groupName>字词问题</groupName>
      <ability>L2_Typo</ability>
      <abilityName>字词错误</abilityName>
      <candidateList>
        <item>交由</item>
      </candidateList>
      <explain>存在发音相同字词的误用。</explain>
      <paraID>7F581983</paraID>
      <start>77</start>
      <end>79</end>
      <status>unmodified</status>
      <modifiedWord/>
      <trackRevisions>false</trackRevisions>
    </reviewItem>
    <reviewItem>
      <errorID>f05a444d-9443-4746-992c-30958c0d2f80</errorID>
      <errorWord>实验废水经</errorWord>
      <group>L1_AI</group>
      <groupName>深度校对</groupName>
      <ability>L2_AI_Grammar</ability>
      <abilityName>语法纠错</abilityName>
      <candidateList>
        <item>实验</item>
      </candidateList>
      <explain/>
      <paraID>6755312D</paraID>
      <start>54</start>
      <end>59</end>
      <status>unmodified</status>
      <modifiedWord/>
      <trackRevisions>false</trackRevisions>
    </reviewItem>
    <reviewItem>
      <errorID>09fa2449-a688-427d-b0ed-1539c2c4f62c</errorID>
      <errorWord>交有</errorWord>
      <group>L1_Word</group>
      <groupName>字词问题</groupName>
      <ability>L2_Typo</ability>
      <abilityName>字词错误</abilityName>
      <candidateList>
        <item>交由</item>
      </candidateList>
      <explain/>
      <paraID>6755312D</paraID>
      <start>119</start>
      <end>121</end>
      <status>unmodified</status>
      <modifiedWord/>
      <trackRevisions>false</trackRevisions>
    </reviewItem>
    <reviewItem>
      <errorID>1d5fea0c-b362-42aa-9ffd-6b4ab6503a53</errorID>
      <errorWord>中</errorWord>
      <group>L1_Word</group>
      <groupName>字词问题</groupName>
      <ability>L2_Typo</ability>
      <abilityName>字词错误</abilityName>
      <candidateList>
        <item>中必</item>
      </candidateList>
      <explain/>
      <paraID>29A184AA</paraID>
      <start>73</start>
      <end>74</end>
      <status>unmodified</status>
      <modifiedWord/>
      <trackRevisions>false</trackRevisions>
    </reviewItem>
    <reviewItem>
      <errorID>f5a5d430-04fb-4dad-916e-01a8ada3dfbf</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6A6144A9</paraID>
      <start>0</start>
      <end>2</end>
      <status>unmodified</status>
      <modifiedWord/>
      <trackRevisions>false</trackRevisions>
    </reviewItem>
    <reviewItem>
      <errorID>076c591d-53dd-4798-8d24-6b887505b8eb</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4BAEF2B</paraID>
      <start>0</start>
      <end>2</end>
      <status>unmodified</status>
      <modifiedWord/>
      <trackRevisions>false</trackRevisions>
    </reviewItem>
    <reviewItem>
      <errorID>10d2a75d-bd15-479d-9b8b-e709429e0120</errorID>
      <errorWord>管控管控</errorWord>
      <group>L1_Word</group>
      <groupName>字词问题</groupName>
      <ability>L2_Typo</ability>
      <abilityName>字词错误</abilityName>
      <candidateList>
        <item>管控</item>
      </candidateList>
      <explain/>
      <paraID>19BDCA5E</paraID>
      <start>170</start>
      <end>174</end>
      <status>unmodified</status>
      <modifiedWord/>
      <trackRevisions>false</trackRevisions>
    </reviewItem>
    <reviewItem>
      <errorID>29611764-73dd-4f48-a28e-449089023d85</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239C99FF</paraID>
      <start>0</start>
      <end>2</end>
      <status>unmodified</status>
      <modifiedWord/>
      <trackRevisions>false</trackRevisions>
    </reviewItem>
    <reviewItem>
      <errorID>711ab3af-8b75-407d-a8f8-e83b143cdb7b</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47DC5C11</paraID>
      <start>0</start>
      <end>2</end>
      <status>unmodified</status>
      <modifiedWord/>
      <trackRevisions>false</trackRevisions>
    </reviewItem>
    <reviewItem>
      <errorID>74d9137d-f8b0-4d58-9330-23e7ed1c43a2</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50D09A33</paraID>
      <start>0</start>
      <end>2</end>
      <status>unmodified</status>
      <modifiedWord/>
      <trackRevisions>false</trackRevisions>
    </reviewItem>
    <reviewItem>
      <errorID>f209b63d-bf83-4584-95cf-89188ca13910</errorID>
      <errorWord>程</errorWord>
      <group>L1_Word</group>
      <groupName>字词问题</groupName>
      <ability>L2_Typo</ability>
      <abilityName>字词错误</abilityName>
      <candidateList>
        <item>程中</item>
      </candidateList>
      <explain/>
      <paraID>4E65E1F4</paraID>
      <start>42</start>
      <end>43</end>
      <status>unmodified</status>
      <modifiedWord/>
      <trackRevisions>false</trackRevisions>
    </reviewItem>
    <reviewItem>
      <errorID>26afeead-49b9-420c-8883-121a3d25f9e8</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66280554</paraID>
      <start>0</start>
      <end>2</end>
      <status>unmodified</status>
      <modifiedWord/>
      <trackRevisions>false</trackRevisions>
    </reviewItem>
    <reviewItem>
      <errorID>6f06da99-009f-453b-9ad7-5488748e2f36</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4D9F2392</paraID>
      <start>0</start>
      <end>2</end>
      <status>unmodified</status>
      <modifiedWord/>
      <trackRevisions>false</trackRevisions>
    </reviewItem>
    <reviewItem>
      <errorID>751e1441-a7a7-4629-91cc-38992f5ba7b7</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464D22C0</paraID>
      <start>0</start>
      <end>2</end>
      <status>unmodified</status>
      <modifiedWord/>
      <trackRevisions>false</trackRevisions>
    </reviewItem>
    <reviewItem>
      <errorID>76614999-6046-462d-a838-a2aeb3a408a9</errorID>
      <errorWord>燃煤纯</errorWord>
      <group>L1_Word</group>
      <groupName>字词问题</groupName>
      <ability>L2_Typo</ability>
      <abilityName>字词错误</abilityName>
      <candidateList>
        <item>燃煤</item>
      </candidateList>
      <explain/>
      <paraID>4FE8BDED</paraID>
      <start>62</start>
      <end>65</end>
      <status>unmodified</status>
      <modifiedWord/>
      <trackRevisions>false</trackRevisions>
    </reviewItem>
    <reviewItem>
      <errorID>15fdf69b-da71-4934-b24b-872d3ef7314b</errorID>
      <errorWord>〔2016〕第45号</errorWord>
      <group>L1_Knowledge</group>
      <groupName>知识性问题</groupName>
      <ability>L2_Knowledge</ability>
      <abilityName>其他知识</abilityName>
      <candidateList>
        <item>〔2016〕45号</item>
      </candidateList>
      <explain>发文字号格式错误。</explain>
      <paraID>219D4A7F</paraID>
      <start>41</start>
      <end>51</end>
      <status>unmodified</status>
      <modifiedWord/>
      <trackRevisions>false</trackRevisions>
    </reviewItem>
    <reviewItem>
      <errorID>7be3429f-4993-4720-bea4-40598ffb2c74</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6E893713</paraID>
      <start>0</start>
      <end>2</end>
      <status>unmodified</status>
      <modifiedWord/>
      <trackRevisions>false</trackRevisions>
    </reviewItem>
    <reviewItem>
      <errorID>5891461c-6133-42db-8783-29cc362609d3</errorID>
      <errorWord>......</errorWord>
      <group>L1_Punc</group>
      <groupName>标点问题</groupName>
      <ability>L2_Punc</ability>
      <abilityName>标点符号检查</abilityName>
      <candidateList>
        <item>……</item>
      </candidateList>
      <explain>省略号错误。</explain>
      <paraID>6AC35286</paraID>
      <start>186</start>
      <end>192</end>
      <status>unmodified</status>
      <modifiedWord/>
      <trackRevisions>false</trackRevisions>
    </reviewItem>
    <reviewItem>
      <errorID>8ca3959f-ad4c-4971-9c8e-69539c6ab26c</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5D0C3205</paraID>
      <start>0</start>
      <end>2</end>
      <status>unmodified</status>
      <modifiedWord/>
      <trackRevisions>false</trackRevisions>
    </reviewItem>
    <reviewItem>
      <errorID>57aad630-9851-4c3e-ae1c-de0206555314</errorID>
      <errorWord>、就</errorWord>
      <group>L1_Punc</group>
      <groupName>标点问题</groupName>
      <ability>L2_Punc</ability>
      <abilityName>标点符号检查</abilityName>
      <candidateList>
        <item>，就</item>
      </candidateList>
      <explain>连接词前后不宜使用顿号，建议使用逗号。</explain>
      <paraID>446B991C</paraID>
      <start>89</start>
      <end>91</end>
      <status>unmodified</status>
      <modifiedWord/>
      <trackRevisions>false</trackRevisions>
    </reviewItem>
    <reviewItem>
      <errorID>e4ed4009-3ae6-49db-b669-1499b8d6e91d</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16C0D62E</paraID>
      <start>0</start>
      <end>2</end>
      <status>unmodified</status>
      <modifiedWord/>
      <trackRevisions>false</trackRevisions>
    </reviewItem>
    <reviewItem>
      <errorID>591dbca2-f19e-4d51-8d42-e55f0fb9ec04</errorID>
      <errorWord>》</errorWord>
      <group>L1_Punc</group>
      <groupName>标点问题</groupName>
      <ability>L2_Punc</ability>
      <abilityName>标点符号检查</abilityName>
      <candidateList/>
      <explain/>
      <paraID>16C0D62E</paraID>
      <start>54</start>
      <end>55</end>
      <status>unmodified</status>
      <modifiedWord/>
      <trackRevisions>false</trackRevisions>
    </reviewItem>
    <reviewItem>
      <errorID>afc8c1b4-7344-4e45-8d99-4bb9dbe4ce37</errorID>
      <errorWord>、就</errorWord>
      <group>L1_Punc</group>
      <groupName>标点问题</groupName>
      <ability>L2_Punc</ability>
      <abilityName>标点符号检查</abilityName>
      <candidateList>
        <item>，就</item>
      </candidateList>
      <explain>连接词前后不宜使用顿号，建议使用逗号。</explain>
      <paraID>67353D4E</paraID>
      <start>55</start>
      <end>57</end>
      <status>unmodified</status>
      <modifiedWord/>
      <trackRevisions>false</trackRevisions>
    </reviewItem>
    <reviewItem>
      <errorID>9d002cd0-dcea-4cba-9439-5bae3b3788af</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686E2A5F</paraID>
      <start>0</start>
      <end>2</end>
      <status>unmodified</status>
      <modifiedWord/>
      <trackRevisions>false</trackRevisions>
    </reviewItem>
    <reviewItem>
      <errorID>1f1a840d-c382-424b-94c6-965fab267903</errorID>
      <errorWord>用品售</errorWord>
      <group>L1_Word</group>
      <groupName>字词问题</groupName>
      <ability>L2_Typo</ability>
      <abilityName>字词错误</abilityName>
      <candidateList>
        <item>用品</item>
      </candidateList>
      <explain/>
      <paraID>5E9EB57D</paraID>
      <start>20</start>
      <end>23</end>
      <status>unmodified</status>
      <modifiedWord/>
      <trackRevisions>false</trackRevisions>
    </reviewItem>
    <reviewItem>
      <errorID>27202dc3-a18c-43a8-9d68-07bcb941794a</errorID>
      <errorWord>1.5－2万</errorWord>
      <group>L1_Knowledge</group>
      <groupName>知识性问题</groupName>
      <ability>L2_Knowledge</ability>
      <abilityName>其他知识</abilityName>
      <candidateList>
        <item>1.5万—2万</item>
      </candidateList>
      <explain>1. “1.5－2万”中的单位“万”仅出现在后一个数字上，容易引起歧义；根据《现代汉语标点符号数字用法规范手册》，数字表示范围两边需要使用统一的格式。2. 根据标点国标 4.13 中的规则，数字、时间或地域连接符应使用（视觉上更长的）“—”或“～”。</explain>
      <paraID>7DEEEB82</paraID>
      <start>72</start>
      <end>78</end>
      <status>unmodified</status>
      <modifiedWord/>
      <trackRevisions>false</trackRevisions>
    </reviewItem>
    <reviewItem>
      <errorID>23b97be4-bfec-440c-a9d5-ff58a0f91b60</errorID>
      <errorWord>大称</errorWord>
      <group>L1_Word</group>
      <groupName>字词问题</groupName>
      <ability>L2_Typo</ability>
      <abilityName>字词错误</abilityName>
      <candidateList>
        <item>大容</item>
      </candidateList>
      <explain/>
      <paraID>5ED3B203</paraID>
      <start>0</start>
      <end>2</end>
      <status>unmodified</status>
      <modifiedWord/>
      <trackRevisions>false</trackRevisions>
    </reviewItem>
    <reviewItem>
      <errorID>1f570d82-572f-4e4b-95cd-48436ae4cc2c</errorID>
      <errorWord>KW</errorWord>
      <group>L1_Word</group>
      <groupName>字词问题</groupName>
      <ability>L2_Typo</ability>
      <abilityName>字词错误</abilityName>
      <candidateList>
        <item>kW</item>
      </candidateList>
      <explain/>
      <paraID>33062C8C</paraID>
      <start>3</start>
      <end>5</end>
      <status>unmodified</status>
      <modifiedWord/>
      <trackRevisions>false</trackRevisions>
    </reviewItem>
    <reviewItem>
      <errorID>249b9f34-f410-4288-9169-91c3cdc1cfec</errorID>
      <errorWord>kw</errorWord>
      <group>L1_Word</group>
      <groupName>字词问题</groupName>
      <ability>L2_Typo</ability>
      <abilityName>字词错误</abilityName>
      <candidateList>
        <item>kW</item>
      </candidateList>
      <explain/>
      <paraID>  96C8A3</paraID>
      <start>24</start>
      <end>26</end>
      <status>unmodified</status>
      <modifiedWord/>
      <trackRevisions>false</trackRevisions>
    </reviewItem>
    <reviewItem>
      <errorID>8e89e962-357f-4481-ab16-725725e7d550</errorID>
      <errorWord>kw</errorWord>
      <group>L1_Word</group>
      <groupName>字词问题</groupName>
      <ability>L2_Typo</ability>
      <abilityName>字词错误</abilityName>
      <candidateList>
        <item>kW</item>
      </candidateList>
      <explain/>
      <paraID>  96C8A3</paraID>
      <start>32</start>
      <end>34</end>
      <status>unmodified</status>
      <modifiedWord/>
      <trackRevisions>false</trackRevisions>
    </reviewItem>
    <reviewItem>
      <errorID>6861bca2-fa49-4b26-83de-46edfd628896</errorID>
      <errorWord>具</errorWord>
      <group>L1_Word</group>
      <groupName>字词问题</groupName>
      <ability>L2_Typo</ability>
      <abilityName>字词错误</abilityName>
      <candidateList>
        <item>具有</item>
      </candidateList>
      <explain>〈动〉有（多用于抽象事物）：～信心｜～伟大的意义。</explain>
      <paraID>4DAB0995</paraID>
      <start>10</start>
      <end>11</end>
      <status>unmodified</status>
      <modifiedWord/>
      <trackRevisions>false</trackRevisions>
    </reviewItem>
    <reviewItem>
      <errorID>1d5d739b-6d04-4afa-97b6-a1d7bb008d4a</errorID>
      <errorWord>具</errorWord>
      <group>L1_Word</group>
      <groupName>字词问题</groupName>
      <ability>L2_Typo</ability>
      <abilityName>字词错误</abilityName>
      <candidateList>
        <item>具有</item>
      </candidateList>
      <explain>〈动〉有（多用于抽象事物）：～信心｜～伟大的意义。</explain>
      <paraID>380C36A2</paraID>
      <start>10</start>
      <end>11</end>
      <status>unmodified</status>
      <modifiedWord/>
      <trackRevisions>false</trackRevisions>
    </reviewItem>
    <reviewItem>
      <errorID>a475dfa4-5b87-40a2-8e5c-4f94662b674e</errorID>
      <errorWord>具</errorWord>
      <group>L1_Word</group>
      <groupName>字词问题</groupName>
      <ability>L2_Typo</ability>
      <abilityName>字词错误</abilityName>
      <candidateList>
        <item>具有</item>
      </candidateList>
      <explain>〈动〉有（多用于抽象事物）：～信心｜～伟大的意义。</explain>
      <paraID>5ECD98DD</paraID>
      <start>52</start>
      <end>53</end>
      <status>unmodified</status>
      <modifiedWord/>
      <trackRevisions>false</trackRevisions>
    </reviewItem>
    <reviewItem>
      <errorID>95f67905-a0c6-435f-ad9c-d33b3c1c597f</errorID>
      <errorWord>具</errorWord>
      <group>L1_Word</group>
      <groupName>字词问题</groupName>
      <ability>L2_Typo</ability>
      <abilityName>字词错误</abilityName>
      <candidateList>
        <item>具有</item>
      </candidateList>
      <explain>〈动〉有（多用于抽象事物）：～信心｜～伟大的意义。</explain>
      <paraID>7562D1E4</paraID>
      <start>68</start>
      <end>69</end>
      <status>unmodified</status>
      <modifiedWord/>
      <trackRevisions>false</trackRevisions>
    </reviewItem>
    <reviewItem>
      <errorID>dbb0f947-0994-4e49-9587-99c2138b39e9</errorID>
      <errorWord>具</errorWord>
      <group>L1_Word</group>
      <groupName>字词问题</groupName>
      <ability>L2_Typo</ability>
      <abilityName>字词错误</abilityName>
      <candidateList>
        <item>具有</item>
      </candidateList>
      <explain>〈动〉有（多用于抽象事物）：～信心｜～伟大的意义。</explain>
      <paraID>3D25C800</paraID>
      <start>63</start>
      <end>64</end>
      <status>unmodified</status>
      <modifiedWord/>
      <trackRevisions>false</trackRevisions>
    </reviewItem>
    <reviewItem>
      <errorID>1f9ac981-f670-4b04-85f6-00424e72200f</errorID>
      <errorWord>具</errorWord>
      <group>L1_Word</group>
      <groupName>字词问题</groupName>
      <ability>L2_Typo</ability>
      <abilityName>字词错误</abilityName>
      <candidateList>
        <item>具有</item>
      </candidateList>
      <explain>〈动〉有（多用于抽象事物）：～信心｜～伟大的意义。</explain>
      <paraID>7A43DBD3</paraID>
      <start>35</start>
      <end>36</end>
      <status>unmodified</status>
      <modifiedWord/>
      <trackRevisions>false</trackRevisions>
    </reviewItem>
    <reviewItem>
      <errorID>5f5c47c2-566c-40eb-b096-e79e0bf2daf2</errorID>
      <errorWord>具</errorWord>
      <group>L1_Word</group>
      <groupName>字词问题</groupName>
      <ability>L2_Typo</ability>
      <abilityName>字词错误</abilityName>
      <candidateList>
        <item>具有</item>
      </candidateList>
      <explain>〈动〉有（多用于抽象事物）：～信心｜～伟大的意义。</explain>
      <paraID>141CB480</paraID>
      <start>56</start>
      <end>57</end>
      <status>unmodified</status>
      <modifiedWord/>
      <trackRevisions>false</trackRevisions>
    </reviewItem>
    <reviewItem>
      <errorID>9726b0ec-ceb9-47ac-bd8f-aa72227a1e84</errorID>
      <errorWord>具</errorWord>
      <group>L1_Word</group>
      <groupName>字词问题</groupName>
      <ability>L2_Typo</ability>
      <abilityName>字词错误</abilityName>
      <candidateList>
        <item>具有</item>
      </candidateList>
      <explain>〈动〉有（多用于抽象事物）：～信心｜～伟大的意义。</explain>
      <paraID>77F0DD53</paraID>
      <start>50</start>
      <end>51</end>
      <status>unmodified</status>
      <modifiedWord/>
      <trackRevisions>false</trackRevisions>
    </reviewItem>
    <reviewItem>
      <errorID>8282e001-dc54-43a7-a87c-ae36fe9978c5</errorID>
      <errorWord>具</errorWord>
      <group>L1_Word</group>
      <groupName>字词问题</groupName>
      <ability>L2_Typo</ability>
      <abilityName>字词错误</abilityName>
      <candidateList>
        <item>具有</item>
      </candidateList>
      <explain>〈动〉有（多用于抽象事物）：～信心｜～伟大的意义。</explain>
      <paraID>5F09B285</paraID>
      <start>65</start>
      <end>66</end>
      <status>unmodified</status>
      <modifiedWord/>
      <trackRevisions>false</trackRevisions>
    </reviewItem>
    <reviewItem>
      <errorID>09c22c14-2814-451f-9101-9bdda7126e1c</errorID>
      <errorWord>碳化</errorWord>
      <group>L1_Word</group>
      <groupName>字词问题</groupName>
      <ability>L2_Typo</ability>
      <abilityName>字词错误</abilityName>
      <candidateList>
        <item>炭化</item>
      </candidateList>
      <explain/>
      <paraID>4FEB2D36</paraID>
      <start>20</start>
      <end>22</end>
      <status>unmodified</status>
      <modifiedWord/>
      <trackRevisions>false</trackRevisions>
    </reviewItem>
    <reviewItem>
      <errorID>c651e766-4dec-4996-ae23-70d53e8a5975</errorID>
      <errorWord>具</errorWord>
      <group>L1_Word</group>
      <groupName>字词问题</groupName>
      <ability>L2_Typo</ability>
      <abilityName>字词错误</abilityName>
      <candidateList>
        <item>具有</item>
      </candidateList>
      <explain>〈动〉有（多用于抽象事物）：～信心｜～伟大的意义。</explain>
      <paraID>16E22FCB</paraID>
      <start>58</start>
      <end>59</end>
      <status>unmodified</status>
      <modifiedWord/>
      <trackRevisions>false</trackRevisions>
    </reviewItem>
    <reviewItem>
      <errorID>32659c65-8e9d-4cd8-9f40-dd4a641cb2d3</errorID>
      <errorWord>具</errorWord>
      <group>L1_Word</group>
      <groupName>字词问题</groupName>
      <ability>L2_Typo</ability>
      <abilityName>字词错误</abilityName>
      <candidateList>
        <item>具有</item>
      </candidateList>
      <explain>〈动〉有（多用于抽象事物）：～信心｜～伟大的意义。</explain>
      <paraID>1979D0F0</paraID>
      <start>56</start>
      <end>57</end>
      <status>unmodified</status>
      <modifiedWord/>
      <trackRevisions>false</trackRevisions>
    </reviewItem>
    <reviewItem>
      <errorID>7a8999d9-bce8-42c0-b8ea-4dad29462534</errorID>
      <errorWord>具</errorWord>
      <group>L1_Word</group>
      <groupName>字词问题</groupName>
      <ability>L2_Typo</ability>
      <abilityName>字词错误</abilityName>
      <candidateList>
        <item>具有</item>
      </candidateList>
      <explain>〈动〉有（多用于抽象事物）：～信心｜～伟大的意义。</explain>
      <paraID>7F86F673</paraID>
      <start>76</start>
      <end>77</end>
      <status>unmodified</status>
      <modifiedWord/>
      <trackRevisions>false</trackRevisions>
    </reviewItem>
    <reviewItem>
      <errorID>2d3e4112-b4f1-4b03-8160-b2d3bb135bd7</errorID>
      <errorWord>具</errorWord>
      <group>L1_Word</group>
      <groupName>字词问题</groupName>
      <ability>L2_Typo</ability>
      <abilityName>字词错误</abilityName>
      <candidateList>
        <item>具有</item>
      </candidateList>
      <explain>〈动〉有（多用于抽象事物）：～信心｜～伟大的意义。</explain>
      <paraID>54E2C8E1</paraID>
      <start>22</start>
      <end>23</end>
      <status>unmodified</status>
      <modifiedWord/>
      <trackRevisions>false</trackRevisions>
    </reviewItem>
    <reviewItem>
      <errorID>7d8a6f6b-3fda-46de-95b8-b3b3749932da</errorID>
      <errorWord>光度计法</errorWord>
      <group>L1_Word</group>
      <groupName>字词问题</groupName>
      <ability>L2_Typo</ability>
      <abilityName>字词错误</abilityName>
      <candidateList>
        <item>光度计</item>
      </candidateList>
      <explain/>
      <paraID>74274B69</paraID>
      <start>16</start>
      <end>20</end>
      <status>unmodified</status>
      <modifiedWord/>
      <trackRevisions>false</trackRevisions>
    </reviewItem>
    <reviewItem>
      <errorID>4c394e12-f681-4678-a86a-5d040def18ad</errorID>
      <errorWord>现状用</errorWord>
      <group>L1_Word</group>
      <groupName>字词问题</groupName>
      <ability>L2_Typo</ability>
      <abilityName>字词错误</abilityName>
      <candidateList>
        <item>现状</item>
      </candidateList>
      <explain/>
      <paraID>5F3BEBC8</paraID>
      <start>13</start>
      <end>16</end>
      <status>unmodified</status>
      <modifiedWord/>
      <trackRevisions>false</trackRevisions>
    </reviewItem>
    <reviewItem>
      <errorID>6d33eef7-a8ed-402e-83a0-ca5a145649e2</errorID>
      <errorWord>年</errorWord>
      <group>L1_Word</group>
      <groupName>字词问题</groupName>
      <ability>L2_Typo</ability>
      <abilityName>字词错误</abilityName>
      <candidateList>
        <item>年度</item>
      </candidateList>
      <explain/>
      <paraID>50432E25</paraID>
      <start>0</start>
      <end>1</end>
      <status>unmodified</status>
      <modifiedWord/>
      <trackRevisions>false</trackRevisions>
    </reviewItem>
    <reviewItem>
      <errorID>adcb1e93-72a1-46a8-b917-c6e605dd91ed</errorID>
      <errorWord>设</errorWord>
      <group>L1_Word</group>
      <groupName>字词问题</groupName>
      <ability>L2_Typo</ability>
      <abilityName>字词错误</abilityName>
      <candidateList>
        <item>设项</item>
      </candidateList>
      <explain/>
      <paraID> F720C9A</paraID>
      <start>255</start>
      <end>256</end>
      <status>unmodified</status>
      <modifiedWord/>
      <trackRevisions>false</trackRevisions>
    </reviewItem>
    <reviewItem>
      <errorID>e0edd946-ae55-44e1-b886-a4864806288b</errorID>
      <errorWord>（</errorWord>
      <group>L1_Format</group>
      <groupName>格式问题</groupName>
      <ability>L2_HalfPunc</ability>
      <abilityName>全半角检查</abilityName>
      <candidateList>
        <item>(</item>
      </candidateList>
      <explain>文本全半角错误。</explain>
      <paraID>531D6550</paraID>
      <start>0</start>
      <end>1</end>
      <status>unmodified</status>
      <modifiedWord/>
      <trackRevisions>false</trackRevisions>
    </reviewItem>
    <reviewItem>
      <errorID>a5699303-efd7-469d-8654-a5d64a935789</errorID>
      <errorWord>）</errorWord>
      <group>L1_Format</group>
      <groupName>格式问题</groupName>
      <ability>L2_HalfPunc</ability>
      <abilityName>全半角检查</abilityName>
      <candidateList>
        <item>)</item>
      </candidateList>
      <explain>文本全半角错误。</explain>
      <paraID>531D6550</paraID>
      <start>6</start>
      <end>7</end>
      <status>unmodified</status>
      <modifiedWord/>
      <trackRevisions>false</trackRevisions>
    </reviewItem>
    <reviewItem>
      <errorID>11e99be9-353c-4ce8-b6d1-8e647f783759</errorID>
      <errorWord>小</errorWord>
      <group>L1_Word</group>
      <groupName>字词问题</groupName>
      <ability>L2_Typo</ability>
      <abilityName>字词错误</abilityName>
      <candidateList>
        <item>少</item>
      </candidateList>
      <explain>存在字形相近字词的误用。</explain>
      <paraID>1B714B07</paraID>
      <start>97</start>
      <end>98</end>
      <status>unmodified</status>
      <modifiedWord/>
      <trackRevisions>false</trackRevisions>
    </reviewItem>
    <reviewItem>
      <errorID>7509cb0c-c23a-406a-b11b-6b25e8e0213a</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18BE3E9B</paraID>
      <start>0</start>
      <end>2</end>
      <status>unmodified</status>
      <modifiedWord/>
      <trackRevisions>false</trackRevisions>
    </reviewItem>
    <reviewItem>
      <errorID>815dd5a5-2c9f-40a7-b4f7-a289960e47a1</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275683E5</paraID>
      <start>0</start>
      <end>2</end>
      <status>unmodified</status>
      <modifiedWord/>
      <trackRevisions>false</trackRevisions>
    </reviewItem>
    <reviewItem>
      <errorID>692e3ec3-d88c-4877-a684-80eb53fecbd9</errorID>
      <errorWord>～</errorWord>
      <group>L1_Format</group>
      <groupName>格式问题</groupName>
      <ability>L2_HalfPunc</ability>
      <abilityName>全半角检查</abilityName>
      <candidateList>
        <item>~</item>
      </candidateList>
      <explain>文本全半角错误。</explain>
      <paraID>2DB6A285</paraID>
      <start>3</start>
      <end>4</end>
      <status>unmodified</status>
      <modifiedWord/>
      <trackRevisions>false</trackRevisions>
    </reviewItem>
    <reviewItem>
      <errorID>ae7e1168-d6f9-46ef-a975-cab2573661a3</errorID>
      <errorWord>/）</errorWord>
      <group>L1_Punc</group>
      <groupName>标点问题</groupName>
      <ability>L2_Punc</ability>
      <abilityName>标点符号检查</abilityName>
      <candidateList>
        <item>）</item>
      </candidateList>
      <explain/>
      <paraID>41E7545A</paraID>
      <start>6</start>
      <end>8</end>
      <status>unmodified</status>
      <modifiedWord/>
      <trackRevisions>false</trackRevisions>
    </reviewItem>
    <reviewItem>
      <errorID>38bbc94c-8ae9-4115-a3f5-fe70a12ac20c</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1B222162</paraID>
      <start>0</start>
      <end>2</end>
      <status>unmodified</status>
      <modifiedWord/>
      <trackRevisions>false</trackRevisions>
    </reviewItem>
    <reviewItem>
      <errorID>8284456f-53d9-46b5-a07b-18ab7f8d0da9</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4706F331</paraID>
      <start>0</start>
      <end>2</end>
      <status>unmodified</status>
      <modifiedWord/>
      <trackRevisions>false</trackRevisions>
    </reviewItem>
    <reviewItem>
      <errorID>2936a135-e34f-45af-bf90-3ee8d32d8180</errorID>
      <errorWord>量中</errorWord>
      <group>L1_Word</group>
      <groupName>字词问题</groupName>
      <ability>L2_Typo</ability>
      <abilityName>字词错误</abilityName>
      <candidateList>
        <item>量</item>
      </candidateList>
      <explain/>
      <paraID>32C512C4</paraID>
      <start>183</start>
      <end>185</end>
      <status>unmodified</status>
      <modifiedWord/>
      <trackRevisions>false</trackRevisions>
    </reviewItem>
    <reviewItem>
      <errorID>d81bb72d-b66e-4f3c-9eba-85b10bac7cd4</errorID>
      <errorWord>位</errorWord>
      <group>L1_Word</group>
      <groupName>字词问题</groupName>
      <ability>L2_Typo</ability>
      <abilityName>字词错误</abilityName>
      <candidateList>
        <item>位在</item>
      </candidateList>
      <explain/>
      <paraID>2DA2BCDD</paraID>
      <start>74</start>
      <end>75</end>
      <status>unmodified</status>
      <modifiedWord/>
      <trackRevisions>false</trackRevisions>
    </reviewItem>
    <reviewItem>
      <errorID>1e969a52-9f2f-4917-8045-bc753e7b1a40</errorID>
      <errorWord>年用</errorWord>
      <group>L1_Word</group>
      <groupName>字词问题</groupName>
      <ability>L2_Typo</ability>
      <abilityName>字词错误</abilityName>
      <candidateList>
        <item>使用</item>
      </candidateList>
      <explain>〈动〉使人员、器物、资金等为某种目的服务：～干部｜合理～资金。</explain>
      <paraID>75B76B23</paraID>
      <start>41</start>
      <end>43</end>
      <status>unmodified</status>
      <modifiedWord/>
      <trackRevisions>false</trackRevisions>
    </reviewItem>
    <reviewItem>
      <errorID>6e972b2c-89d4-4de5-b8a7-89f01d60dc9c</errorID>
      <errorWord>（</errorWord>
      <group>L1_Format</group>
      <groupName>格式问题</groupName>
      <ability>L2_HalfPunc</ability>
      <abilityName>全半角检查</abilityName>
      <candidateList>
        <item>(</item>
      </candidateList>
      <explain>文本全半角错误。</explain>
      <paraID>24CAB022</paraID>
      <start>0</start>
      <end>1</end>
      <status>unmodified</status>
      <modifiedWord/>
      <trackRevisions>false</trackRevisions>
    </reviewItem>
    <reviewItem>
      <errorID>e946310c-1eca-4161-b253-ba2612ce6cc9</errorID>
      <errorWord>（</errorWord>
      <group>L1_Format</group>
      <groupName>格式问题</groupName>
      <ability>L2_HalfPunc</ability>
      <abilityName>全半角检查</abilityName>
      <candidateList>
        <item>(</item>
      </candidateList>
      <explain>文本全半角错误。</explain>
      <paraID>2C8D087F</paraID>
      <start>0</start>
      <end>1</end>
      <status>unmodified</status>
      <modifiedWord/>
      <trackRevisions>false</trackRevisions>
    </reviewItem>
    <reviewItem>
      <errorID>8e1b9acc-a51a-458d-9451-20388bfb0c04</errorID>
      <errorWord>）</errorWord>
      <group>L1_Format</group>
      <groupName>格式问题</groupName>
      <ability>L2_HalfPunc</ability>
      <abilityName>全半角检查</abilityName>
      <candidateList>
        <item>)</item>
      </candidateList>
      <explain>文本全半角错误。</explain>
      <paraID>2C8D087F</paraID>
      <start>6</start>
      <end>7</end>
      <status>unmodified</status>
      <modifiedWord/>
      <trackRevisions>false</trackRevisions>
    </reviewItem>
    <reviewItem>
      <errorID>7c0a0174-ad99-4c7b-8120-906aa0ee7a46</errorID>
      <errorWord>（</errorWord>
      <group>L1_Format</group>
      <groupName>格式问题</groupName>
      <ability>L2_HalfPunc</ability>
      <abilityName>全半角检查</abilityName>
      <candidateList>
        <item>(</item>
      </candidateList>
      <explain>文本全半角错误。</explain>
      <paraID>5E199555</paraID>
      <start>0</start>
      <end>1</end>
      <status>unmodified</status>
      <modifiedWord/>
      <trackRevisions>false</trackRevisions>
    </reviewItem>
    <reviewItem>
      <errorID>e5169d8e-76d2-4bdf-a6e0-472924ae4e5c</errorID>
      <errorWord>（</errorWord>
      <group>L1_Format</group>
      <groupName>格式问题</groupName>
      <ability>L2_HalfPunc</ability>
      <abilityName>全半角检查</abilityName>
      <candidateList>
        <item>(</item>
      </candidateList>
      <explain>文本全半角错误。</explain>
      <paraID>6B6A220C</paraID>
      <start>0</start>
      <end>1</end>
      <status>unmodified</status>
      <modifiedWord/>
      <trackRevisions>false</trackRevisions>
    </reviewItem>
    <reviewItem>
      <errorID>371bf0d8-729a-4589-907c-0989508cd021</errorID>
      <errorWord>（</errorWord>
      <group>L1_Format</group>
      <groupName>格式问题</groupName>
      <ability>L2_HalfPunc</ability>
      <abilityName>全半角检查</abilityName>
      <candidateList>
        <item>(</item>
      </candidateList>
      <explain>文本全半角错误。</explain>
      <paraID>7970C4AF</paraID>
      <start>0</start>
      <end>1</end>
      <status>unmodified</status>
      <modifiedWord/>
      <trackRevisions>false</trackRevisions>
    </reviewItem>
    <reviewItem>
      <errorID>b0a3c0b6-1bfa-45e0-a291-d4407c34f2ec</errorID>
      <errorWord>）</errorWord>
      <group>L1_Format</group>
      <groupName>格式问题</groupName>
      <ability>L2_HalfPunc</ability>
      <abilityName>全半角检查</abilityName>
      <candidateList>
        <item>)</item>
      </candidateList>
      <explain>文本全半角错误。</explain>
      <paraID>7970C4AF</paraID>
      <start>5</start>
      <end>6</end>
      <status>unmodified</status>
      <modifiedWord/>
      <trackRevisions>false</trackRevisions>
    </reviewItem>
    <reviewItem>
      <errorID>0028f5c5-70d2-4233-a654-ea1aba542597</errorID>
      <errorWord>，</errorWord>
      <group>L1_Format</group>
      <groupName>格式问题</groupName>
      <ability>L2_HalfPunc</ability>
      <abilityName>全半角检查</abilityName>
      <candidateList>
        <item>, </item>
      </candidateList>
      <explain>文本全半角错误。</explain>
      <paraID>1E48672C</paraID>
      <start>12</start>
      <end>13</end>
      <status>unmodified</status>
      <modifiedWord/>
      <trackRevisions>false</trackRevisions>
    </reviewItem>
    <reviewItem>
      <errorID>9cb68df3-14e4-4280-8699-01b74564499e</errorID>
      <errorWord>，</errorWord>
      <group>L1_Format</group>
      <groupName>格式问题</groupName>
      <ability>L2_HalfPunc</ability>
      <abilityName>全半角检查</abilityName>
      <candidateList>
        <item>, </item>
      </candidateList>
      <explain>文本全半角错误。</explain>
      <paraID>74786E1A</paraID>
      <start>13</start>
      <end>14</end>
      <status>unmodified</status>
      <modifiedWord/>
      <trackRevisions>false</trackRevisions>
    </reviewItem>
    <reviewItem>
      <errorID>17657719-97e9-496b-8af4-bc6af7187c3e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9858E6D</paraID>
      <start>0</start>
      <end>2</end>
      <status>unmodified</status>
      <modifiedWord/>
      <trackRevisions>false</trackRevisions>
    </reviewItem>
    <reviewItem>
      <errorID>99d1d761-79f9-484b-8f2e-64eb413b8f78</errorID>
      <errorWord>（</errorWord>
      <group>L1_Punc</group>
      <groupName>标点问题</groupName>
      <ability>L2_Punc</ability>
      <abilityName>标点符号检查</abilityName>
      <candidateList/>
      <explain>同一形式括号套用。</explain>
      <paraID>66F629AB</paraID>
      <start>106</start>
      <end>107</end>
      <status>unmodified</status>
      <modifiedWord/>
      <trackRevisions>false</trackRevisions>
    </reviewItem>
    <reviewItem>
      <errorID>b79b2fb1-9087-41c1-8b0a-c6958b5d9896</errorID>
      <errorWord>）</errorWord>
      <group>L1_Punc</group>
      <groupName>标点问题</groupName>
      <ability>L2_Punc</ability>
      <abilityName>标点符号检查</abilityName>
      <candidateList/>
      <explain>同一形式括号套用。</explain>
      <paraID>66F629AB</paraID>
      <start>112</start>
      <end>113</end>
      <status>unmodified</status>
      <modifiedWord/>
      <trackRevisions>false</trackRevisions>
    </reviewItem>
    <reviewItem>
      <errorID>3daaf6ae-da53-494c-a006-e5cff6ca3259</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708958C8</paraID>
      <start>0</start>
      <end>2</end>
      <status>unmodified</status>
      <modifiedWord/>
      <trackRevisions>false</trackRevisions>
    </reviewItem>
    <reviewItem>
      <errorID>cfcb9e5d-cac8-4566-8fba-0daf5d3de7b4</errorID>
      <errorWord>由由</errorWord>
      <group>L1_Word</group>
      <groupName>字词问题</groupName>
      <ability>L2_Typo</ability>
      <abilityName>字词错误</abilityName>
      <candidateList>
        <item>由</item>
      </candidateList>
      <explain>❶缘由：因～｜事～｜理～。❷〈介〉由于▲：咎～自取｜～感冒引起了肺炎。❸经过：必～之路。❹〈介〉表示经由：～南门入场。❺〈动〉顺随；听从：事不～己｜～着性子。❻〈介〉归（某人去做）：准备工作～我负责｜队长～你担任。❼〈介〉表示凭借：～此可知｜人体是～各种细胞组成的。❽〈介〉表示起点：～表及里｜～北京出发。</explain>
      <paraID> 4EC585A</paraID>
      <start>39</start>
      <end>41</end>
      <status>unmodified</status>
      <modifiedWord/>
      <trackRevisions>false</trackRevisions>
    </reviewItem>
    <reviewItem>
      <errorID>e63af04d-891b-484b-ad50-ba064d8ab867</errorID>
      <errorWord>除尘器地</errorWord>
      <group>L1_Word</group>
      <groupName>字词问题</groupName>
      <ability>L2_Typo</ability>
      <abilityName>字词错误</abilityName>
      <candidateList>
        <item>除尘器</item>
      </candidateList>
      <explain/>
      <paraID>7A707F51</paraID>
      <start>170</start>
      <end>174</end>
      <status>unmodified</status>
      <modifiedWord/>
      <trackRevisions>false</trackRevisions>
    </reviewItem>
    <reviewItem>
      <errorID>a71f30f5-bbe3-4ad1-b2fb-b348a4fe9ef1</errorID>
      <errorWord>气包</errorWord>
      <group>L1_Word</group>
      <groupName>字词问题</groupName>
      <ability>L2_Typo</ability>
      <abilityName>字词错误</abilityName>
      <candidateList>
        <item>汽包</item>
      </candidateList>
      <explain/>
      <paraID>4CFB9A70</paraID>
      <start>217</start>
      <end>219</end>
      <status>unmodified</status>
      <modifiedWord/>
      <trackRevisions>false</trackRevisions>
    </reviewItem>
    <reviewItem>
      <errorID>595625fe-82a9-4850-8daf-137037c64cc5</errorID>
      <errorWord>粘附</errorWord>
      <group>L1_Word</group>
      <groupName>字词问题</groupName>
      <ability>L2_Alias</ability>
      <abilityName>也作/曾用词</abilityName>
      <candidateList>
        <item>黏附</item>
      </candidateList>
      <explain>词汇[粘附]为不规范表述或旧称，其规范书面表述为[黏附]。</explain>
      <paraID>4CFB9A70</paraID>
      <start>290</start>
      <end>292</end>
      <status>unmodified</status>
      <modifiedWord/>
      <trackRevisions>false</trackRevisions>
    </reviewItem>
    <reviewItem>
      <errorID>61c72b81-5e52-43f5-990a-8dd6dd3c13a4</errorID>
      <errorWord>外逸</errorWord>
      <group>L1_Word</group>
      <groupName>字词问题</groupName>
      <ability>L2_Typo</ability>
      <abilityName>字词错误</abilityName>
      <candidateList>
        <item>外溢</item>
      </candidateList>
      <explain/>
      <paraID>11C27CED</paraID>
      <start>56</start>
      <end>58</end>
      <status>unmodified</status>
      <modifiedWord/>
      <trackRevisions>false</trackRevisions>
    </reviewItem>
    <reviewItem>
      <errorID>56add24e-940e-4070-bf5a-acb8a1840e65</errorID>
      <errorWord>碱液</errorWord>
      <group>L1_Word</group>
      <groupName>字词问题</groupName>
      <ability>L2_Typo</ability>
      <abilityName>字词错误</abilityName>
      <candidateList>
        <item>液碱</item>
      </candidateList>
      <explain/>
      <paraID>4377698C</paraID>
      <start>15</start>
      <end>17</end>
      <status>unmodified</status>
      <modifiedWord/>
      <trackRevisions>false</trackRevisions>
    </reviewItem>
    <reviewItem>
      <errorID>1690fffc-5031-4f5c-8ab9-772ba87ca1a2</errorID>
      <errorWord>先</errorWord>
      <group>L1_Word</group>
      <groupName>字词问题</groupName>
      <ability>L2_Typo</ability>
      <abilityName>字词错误</abilityName>
      <candidateList>
        <item>先在</item>
      </candidateList>
      <explain/>
      <paraID>1B756E4B</paraID>
      <start>16</start>
      <end>17</end>
      <status>unmodified</status>
      <modifiedWord/>
      <trackRevisions>false</trackRevisions>
    </reviewItem>
    <reviewItem>
      <errorID>bbeed355-42c2-4fe9-b284-158006e73f16</errorID>
      <errorWord>均化</errorWord>
      <group>L1_Word</group>
      <groupName>字词问题</groupName>
      <ability>L2_Typo</ability>
      <abilityName>字词错误</abilityName>
      <candidateList>
        <item>净化</item>
      </candidateList>
      <explain/>
      <paraID>1B756E4B</paraID>
      <start>34</start>
      <end>36</end>
      <status>unmodified</status>
      <modifiedWord/>
      <trackRevisions>false</trackRevisions>
    </reviewItem>
    <reviewItem>
      <errorID>52e54ee2-29bd-45bf-8e3d-9833cf58e981</errorID>
      <errorWord>吸咐</errorWord>
      <group>L1_Word</group>
      <groupName>字词问题</groupName>
      <ability>L2_Typo</ability>
      <abilityName>字词错误</abilityName>
      <candidateList>
        <item>吸附</item>
      </candidateList>
      <explain/>
      <paraID>39656AE2</paraID>
      <start>123</start>
      <end>125</end>
      <status>unmodified</status>
      <modifiedWord/>
      <trackRevisions>false</trackRevisions>
    </reviewItem>
    <reviewItem>
      <errorID>6bbb1189-6e59-4690-8377-53615c28539a</errorID>
      <errorWord>满足满足</errorWord>
      <group>L1_Word</group>
      <groupName>字词问题</groupName>
      <ability>L2_Typo</ability>
      <abilityName>字词错误</abilityName>
      <candidateList>
        <item>满足</item>
      </candidateList>
      <explain/>
      <paraID>320A7659</paraID>
      <start>43</start>
      <end>47</end>
      <status>unmodified</status>
      <modifiedWord/>
      <trackRevisions>false</trackRevisions>
    </reviewItem>
    <reviewItem>
      <errorID>b8054dd7-374a-4c21-a64f-0e90c230db74</errorID>
      <errorWord>废水废水</errorWord>
      <group>L1_Word</group>
      <groupName>字词问题</groupName>
      <ability>L2_Typo</ability>
      <abilityName>字词错误</abilityName>
      <candidateList>
        <item>废水</item>
      </candidateList>
      <explain/>
      <paraID>17A15310</paraID>
      <start>36</start>
      <end>40</end>
      <status>unmodified</status>
      <modifiedWord/>
      <trackRevisions>false</trackRevisions>
    </reviewItem>
    <reviewItem>
      <errorID>1d3ed6c7-9d7f-4d43-a193-3af857c8f5a9</errorID>
      <errorWord>源源</errorWord>
      <group>L1_Word</group>
      <groupName>字词问题</groupName>
      <ability>L2_Typo</ability>
      <abilityName>字词错误</abilityName>
      <candidateList>
        <item>源</item>
      </candidateList>
      <explain/>
      <paraID>36F4F4BA</paraID>
      <start>1</start>
      <end>3</end>
      <status>unmodified</status>
      <modifiedWord/>
      <trackRevisions>false</trackRevisions>
    </reviewItem>
    <reviewItem>
      <errorID>e47b6d5c-fa1c-4f1e-96f9-0d32b57ece18</errorID>
      <errorWord>维护结构</errorWord>
      <group>L1_Word</group>
      <groupName>字词问题</groupName>
      <ability>L2_Typo</ability>
      <abilityName>字词错误</abilityName>
      <candidateList>
        <item>围护结构</item>
      </candidateList>
      <explain/>
      <paraID>29D63A10</paraID>
      <start>8</start>
      <end>12</end>
      <status>unmodified</status>
      <modifiedWord/>
      <trackRevisions>false</trackRevisions>
    </reviewItem>
    <reviewItem>
      <errorID>9538c70b-d7c6-4c80-8a2e-07cf64d45754</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2F810EC6</paraID>
      <start>0</start>
      <end>2</end>
      <status>unmodified</status>
      <modifiedWord/>
      <trackRevisions>false</trackRevisions>
    </reviewItem>
    <reviewItem>
      <errorID>e245823e-5802-44ba-93d0-3ea7ad258f32</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598B5050</paraID>
      <start>0</start>
      <end>2</end>
      <status>unmodified</status>
      <modifiedWord/>
      <trackRevisions>false</trackRevisions>
    </reviewItem>
    <reviewItem>
      <errorID>9b6924fe-d357-4b27-beaf-5b63f39df7b8</errorID>
      <errorWord>程</errorWord>
      <group>L1_Word</group>
      <groupName>字词问题</groupName>
      <ability>L2_Typo</ability>
      <abilityName>字词错误</abilityName>
      <candidateList>
        <item>程中</item>
      </candidateList>
      <explain/>
      <paraID>10E4F04C</paraID>
      <start>8</start>
      <end>9</end>
      <status>unmodified</status>
      <modifiedWord/>
      <trackRevisions>false</trackRevisions>
    </reviewItem>
    <reviewItem>
      <errorID>fd0e880e-2eff-4dfe-b2b6-8875d8929a76</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78613C1A</paraID>
      <start>0</start>
      <end>2</end>
      <status>unmodified</status>
      <modifiedWord/>
      <trackRevisions>false</trackRevisions>
    </reviewItem>
    <reviewItem>
      <errorID>8ed2cc3b-1ca5-4f54-b17a-a69db22e193c</errorID>
      <errorWord>固体废物污染环境防治法</errorWord>
      <group>L1_Knowledge</group>
      <groupName>知识性问题</groupName>
      <ability>L2_Knowledge</ability>
      <abilityName>其他知识</abilityName>
      <candidateList>
        <item>中华人民共和国固体废物污染环境防治法</item>
      </candidateList>
      <explain>当前法律法规名称使用简称，请注意是否应当使用全称。</explain>
      <paraID>542F1EDD</paraID>
      <start>1</start>
      <end>12</end>
      <status>unmodified</status>
      <modifiedWord/>
      <trackRevisions>false</trackRevisions>
    </reviewItem>
    <reviewItem>
      <errorID>1c545c51-5a6b-468b-98c7-acef64e3ff14</errorID>
      <errorWord>裙脚</errorWord>
      <group>L1_Word</group>
      <groupName>字词问题</groupName>
      <ability>L2_Typo</ability>
      <abilityName>字词错误</abilityName>
      <candidateList>
        <item>裙角</item>
      </candidateList>
      <explain/>
      <paraID>48DB4912</paraID>
      <start>16</start>
      <end>18</end>
      <status>unmodified</status>
      <modifiedWord/>
      <trackRevisions>false</trackRevisions>
    </reviewItem>
    <reviewItem>
      <errorID>e063d722-d9e7-41aa-9292-e7ef25a56299</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6BA67532</paraID>
      <start>125</start>
      <end>126</end>
      <status>unmodified</status>
      <modifiedWord/>
      <trackRevisions>false</trackRevisions>
    </reviewItem>
    <reviewItem>
      <errorID>4d01d87a-3ae2-4ca9-b7ee-ed4d5c584e5e</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6BA67532</paraID>
      <start>164</start>
      <end>165</end>
      <status>unmodified</status>
      <modifiedWord/>
      <trackRevisions>false</trackRevisions>
    </reviewItem>
    <reviewItem>
      <errorID>ee0d9bbc-12b5-41db-b20b-b386c4e208ef</errorID>
      <errorWord>后</errorWord>
      <group>L1_Word</group>
      <groupName>字词问题</groupName>
      <ability>L2_Typo</ability>
      <abilityName>字词错误</abilityName>
      <candidateList>
        <item>厚</item>
      </candidateList>
      <explain>存在发音相同字词的误用。</explain>
      <paraID>6A47C376</paraID>
      <start>71</start>
      <end>72</end>
      <status>unmodified</status>
      <modifiedWord/>
      <trackRevisions>false</trackRevisions>
    </reviewItem>
    <reviewItem>
      <errorID>29a8ff5e-85f5-4248-8d44-36b89966c7a6</errorID>
      <errorWord>后</errorWord>
      <group>L1_Word</group>
      <groupName>字词问题</groupName>
      <ability>L2_Typo</ability>
      <abilityName>字词错误</abilityName>
      <candidateList>
        <item>厚</item>
      </candidateList>
      <explain>存在发音相同字词的误用。</explain>
      <paraID> B7CCE1D</paraID>
      <start>38</start>
      <end>39</end>
      <status>unmodified</status>
      <modifiedWord/>
      <trackRevisions>false</trackRevisions>
    </reviewItem>
    <reviewItem>
      <errorID>48c8797d-e42a-45ae-abbc-c60c79290545</errorID>
      <errorWord>,</errorWord>
      <group>L1_Format</group>
      <groupName>格式问题</groupName>
      <ability>L2_HalfPunc</ability>
      <abilityName>全半角检查</abilityName>
      <candidateList>
        <item>，</item>
      </candidateList>
      <explain>文本全半角错误。</explain>
      <paraID>6B01B28B</paraID>
      <start>62</start>
      <end>63</end>
      <status>unmodified</status>
      <modifiedWord/>
      <trackRevisions>false</trackRevisions>
    </reviewItem>
    <reviewItem>
      <errorID>99afaf16-0ab8-4c60-b27a-8f1fb14fcab2</errorID>
      <errorWord>为及</errorWord>
      <group>L1_Word</group>
      <groupName>字词问题</groupName>
      <ability>L2_Typo</ability>
      <abilityName>字词错误</abilityName>
      <candidateList>
        <item>为</item>
      </candidateList>
      <explain>（爲、為）wèi❶〈书〉帮助；卫护：～吕氏者右袒，～刘氏者左袒。❷〈介〉表示行为的对象；替：～你庆幸｜～人民服务｜～这本书写一篇序。❸〈介〉表示原因、目的：大家都～这件事高兴｜～建设伟大祖国而奋斗。❹〈书〉〈介〉对；向：不足～外人道。</explain>
      <paraID>1CEC741F</paraID>
      <start>77</start>
      <end>79</end>
      <status>unmodified</status>
      <modifiedWord/>
      <trackRevisions>false</trackRevisions>
    </reviewItem>
    <reviewItem>
      <errorID>0fadd4cf-0a8f-4d8c-95c2-c572494342e2</errorID>
      <errorWord>IV</errorWord>
      <group>L1_Knowledge</group>
      <groupName>知识性问题</groupName>
      <ability>L2_Knowledge</ability>
      <abilityName>其他知识</abilityName>
      <candidateList>
        <item>Ⅳ</item>
      </candidateList>
      <explain/>
      <paraID>1CEC741F</paraID>
      <start>110</start>
      <end>112</end>
      <status>unmodified</status>
      <modifiedWord/>
      <trackRevisions>false</trackRevisions>
    </reviewItem>
    <reviewItem>
      <errorID>1186804e-1f37-4367-8d23-582910a52da4</errorID>
      <errorWord>III</errorWord>
      <group>L1_Knowledge</group>
      <groupName>知识性问题</groupName>
      <ability>L2_Knowledge</ability>
      <abilityName>其他知识</abilityName>
      <candidateList>
        <item>Ⅲ</item>
      </candidateList>
      <explain/>
      <paraID>1CEC741F</paraID>
      <start>160</start>
      <end>163</end>
      <status>unmodified</status>
      <modifiedWord/>
      <trackRevisions>false</trackRevisions>
    </reviewItem>
    <reviewItem>
      <errorID>a0c8f352-abcb-4916-af7d-5b2acc0d858c</errorID>
      <errorWord>II</errorWord>
      <group>L1_Knowledge</group>
      <groupName>知识性问题</groupName>
      <ability>L2_Knowledge</ability>
      <abilityName>其他知识</abilityName>
      <candidateList>
        <item>Ⅱ</item>
      </candidateList>
      <explain/>
      <paraID>1CEC741F</paraID>
      <start>208</start>
      <end>210</end>
      <status>unmodified</status>
      <modifiedWord/>
      <trackRevisions>false</trackRevisions>
    </reviewItem>
    <reviewItem>
      <errorID>e3e9af03-8b95-4a87-a18a-9c8b3cfb3cb1</errorID>
      <errorWord>III</errorWord>
      <group>L1_Word</group>
      <groupName>字词问题</groupName>
      <ability>L2_Typo</ability>
      <abilityName>字词错误</abilityName>
      <candidateList>
        <item>Ⅲ</item>
      </candidateList>
      <explain/>
      <paraID>300D99E5</paraID>
      <start>0</start>
      <end>3</end>
      <status>unmodified</status>
      <modifiedWord/>
      <trackRevisions>false</trackRevisions>
    </reviewItem>
    <reviewItem>
      <errorID>ee6047a5-36ee-4a82-98d5-afbd3da6c39e</errorID>
      <errorWord>程</errorWord>
      <group>L1_Word</group>
      <groupName>字词问题</groupName>
      <ability>L2_Typo</ability>
      <abilityName>字词错误</abilityName>
      <candidateList>
        <item>程中</item>
      </candidateList>
      <explain/>
      <paraID>18CF767E</paraID>
      <start>6</start>
      <end>7</end>
      <status>unmodified</status>
      <modifiedWord/>
      <trackRevisions>false</trackRevisions>
    </reviewItem>
    <reviewItem>
      <errorID>254181ca-5b01-49b6-8dbc-d8388fe8b8bd</errorID>
      <errorWord>物质物质</errorWord>
      <group>L1_Word</group>
      <groupName>字词问题</groupName>
      <ability>L2_Typo</ability>
      <abilityName>字词错误</abilityName>
      <candidateList>
        <item>物质</item>
      </candidateList>
      <explain/>
      <paraID>18CF767E</paraID>
      <start>12</start>
      <end>16</end>
      <status>unmodified</status>
      <modifiedWord/>
      <trackRevisions>false</trackRevisions>
    </reviewItem>
    <reviewItem>
      <errorID>7977ad1f-a00b-4a0d-9abf-553231f04509</errorID>
      <errorWord>具</errorWord>
      <group>L1_Word</group>
      <groupName>字词问题</groupName>
      <ability>L2_Typo</ability>
      <abilityName>字词错误</abilityName>
      <candidateList>
        <item>具有</item>
      </candidateList>
      <explain>〈动〉有（多用于抽象事物）：～信心｜～伟大的意义。</explain>
      <paraID>37DF8C06</paraID>
      <start>10</start>
      <end>11</end>
      <status>unmodified</status>
      <modifiedWord/>
      <trackRevisions>false</trackRevisions>
    </reviewItem>
    <reviewItem>
      <errorID>408d0e01-33e3-4f1a-925e-e3032cd19413</errorID>
      <errorWord>具</errorWord>
      <group>L1_Word</group>
      <groupName>字词问题</groupName>
      <ability>L2_Typo</ability>
      <abilityName>字词错误</abilityName>
      <candidateList>
        <item>具有</item>
      </candidateList>
      <explain>〈动〉有（多用于抽象事物）：～信心｜～伟大的意义。</explain>
      <paraID>75932A1C</paraID>
      <start>10</start>
      <end>11</end>
      <status>unmodified</status>
      <modifiedWord/>
      <trackRevisions>false</trackRevisions>
    </reviewItem>
    <reviewItem>
      <errorID>12fe9f02-7c58-4bb7-8485-40ab7d7104a6</errorID>
      <errorWord>具</errorWord>
      <group>L1_Word</group>
      <groupName>字词问题</groupName>
      <ability>L2_Typo</ability>
      <abilityName>字词错误</abilityName>
      <candidateList>
        <item>具有</item>
      </candidateList>
      <explain>〈动〉有（多用于抽象事物）：～信心｜～伟大的意义。</explain>
      <paraID>477CD635</paraID>
      <start>68</start>
      <end>69</end>
      <status>unmodified</status>
      <modifiedWord/>
      <trackRevisions>false</trackRevisions>
    </reviewItem>
    <reviewItem>
      <errorID>7e64d82e-615a-4cd6-9077-f6d30fafdb89</errorID>
      <errorWord>具</errorWord>
      <group>L1_Word</group>
      <groupName>字词问题</groupName>
      <ability>L2_Typo</ability>
      <abilityName>字词错误</abilityName>
      <candidateList>
        <item>具有</item>
      </candidateList>
      <explain>〈动〉有（多用于抽象事物）：～信心｜～伟大的意义。</explain>
      <paraID>185EF080</paraID>
      <start>63</start>
      <end>64</end>
      <status>unmodified</status>
      <modifiedWord/>
      <trackRevisions>false</trackRevisions>
    </reviewItem>
    <reviewItem>
      <errorID>de76c143-1d67-4f4d-b040-e481878ae231</errorID>
      <errorWord>具</errorWord>
      <group>L1_Word</group>
      <groupName>字词问题</groupName>
      <ability>L2_Typo</ability>
      <abilityName>字词错误</abilityName>
      <candidateList>
        <item>具有</item>
      </candidateList>
      <explain>〈动〉有（多用于抽象事物）：～信心｜～伟大的意义。</explain>
      <paraID>4BEEE0E6</paraID>
      <start>56</start>
      <end>57</end>
      <status>unmodified</status>
      <modifiedWord/>
      <trackRevisions>false</trackRevisions>
    </reviewItem>
    <reviewItem>
      <errorID>e5d14ac1-4671-4c99-8b11-b269f5cca6c7</errorID>
      <errorWord>具</errorWord>
      <group>L1_Word</group>
      <groupName>字词问题</groupName>
      <ability>L2_Typo</ability>
      <abilityName>字词错误</abilityName>
      <candidateList>
        <item>具有</item>
      </candidateList>
      <explain>〈动〉有（多用于抽象事物）：～信心｜～伟大的意义。</explain>
      <paraID>7F7FE5E4</paraID>
      <start>50</start>
      <end>51</end>
      <status>unmodified</status>
      <modifiedWord/>
      <trackRevisions>false</trackRevisions>
    </reviewItem>
  </reviewItems>
  <config/>
</contractReview>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54b18a16-a462-4567-aa35-f04321186e68}">
  <ds:schemaRefs/>
</ds:datastoreItem>
</file>

<file path=docProps/app.xml><?xml version="1.0" encoding="utf-8"?>
<Properties xmlns="http://schemas.openxmlformats.org/officeDocument/2006/extended-properties" xmlns:vt="http://schemas.openxmlformats.org/officeDocument/2006/docPropsVTypes">
  <Template>Normal.dotm</Template>
  <Company>微软中国</Company>
  <Pages>80</Pages>
  <Words>19839</Words>
  <Characters>22748</Characters>
  <Lines>326</Lines>
  <Paragraphs>91</Paragraphs>
  <TotalTime>412</TotalTime>
  <ScaleCrop>false</ScaleCrop>
  <LinksUpToDate>false</LinksUpToDate>
  <CharactersWithSpaces>23171</CharactersWithSpaces>
  <Application>WPS Office_12.1.0.25865_F1E327BC-269C-435d-A152-05C5408002CA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2023-02-02T13:04:00Z</dcterms:created>
  <dc:creator>lhj</dc:creator>
  <cp:lastModifiedBy>小胡</cp:lastModifiedBy>
  <cp:lastPrinted>2022-07-28T09:25:00Z</cp:lastPrinted>
  <dcterms:modified xsi:type="dcterms:W3CDTF">2026-05-18T10:12:02Z</dcterms:modified>
  <dc:title>附件2</dc:title>
  <cp:revision>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2052-12.1.0.25865</vt:lpwstr>
  </property>
  <property fmtid="{D5CDD505-2E9C-101B-9397-08002B2CF9AE}" pid="3" name="ICV">
    <vt:lpwstr>4536DA267E8D4C438AE9884C6AF25F67_13</vt:lpwstr>
  </property>
  <property fmtid="{D5CDD505-2E9C-101B-9397-08002B2CF9AE}" pid="4" name="KSOTemplateDocerSaveRecord">
    <vt:lpwstr>eyJoZGlkIjoiYTlkMGE1NzMzMzVhY2M4MDY0NjlmM2VjMzFiN2NlZjciLCJ1c2VySWQiOiI2MzQwODIyNTAifQ==</vt:lpwstr>
  </property>
</Properties>
</file>